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highlight w:val="none"/>
        </w:rPr>
      </w:pPr>
    </w:p>
    <w:p>
      <w:pPr>
        <w:spacing w:line="360" w:lineRule="auto"/>
        <w:rPr>
          <w:rFonts w:ascii="宋体" w:hAnsi="宋体" w:cs="宋体"/>
          <w:sz w:val="52"/>
          <w:szCs w:val="52"/>
          <w:highlight w:val="none"/>
        </w:rPr>
      </w:pPr>
    </w:p>
    <w:p>
      <w:pPr>
        <w:spacing w:line="360" w:lineRule="auto"/>
        <w:rPr>
          <w:rFonts w:ascii="宋体" w:hAnsi="宋体" w:cs="宋体"/>
          <w:b/>
          <w:sz w:val="52"/>
          <w:szCs w:val="52"/>
          <w:highlight w:val="none"/>
        </w:rPr>
      </w:pPr>
      <w:r>
        <w:rPr>
          <w:rFonts w:hint="eastAsia" w:ascii="宋体" w:hAnsi="宋体" w:cs="宋体"/>
          <w:b/>
          <w:sz w:val="52"/>
          <w:szCs w:val="52"/>
          <w:highlight w:val="none"/>
        </w:rPr>
        <w:t>增城开发区新民路建设工程施工总承包</w:t>
      </w:r>
    </w:p>
    <w:p>
      <w:pPr>
        <w:spacing w:line="360" w:lineRule="auto"/>
        <w:ind w:left="359" w:leftChars="171"/>
        <w:jc w:val="center"/>
        <w:rPr>
          <w:rFonts w:ascii="宋体" w:hAnsi="宋体" w:cs="宋体"/>
          <w:sz w:val="52"/>
          <w:szCs w:val="52"/>
          <w:highlight w:val="none"/>
        </w:rPr>
      </w:pPr>
    </w:p>
    <w:p>
      <w:pPr>
        <w:pStyle w:val="6"/>
        <w:rPr>
          <w:rFonts w:ascii="宋体" w:hAnsi="宋体" w:cs="宋体"/>
          <w:color w:val="auto"/>
          <w:sz w:val="52"/>
          <w:szCs w:val="52"/>
          <w:highlight w:val="none"/>
        </w:rPr>
      </w:pPr>
    </w:p>
    <w:p>
      <w:pPr>
        <w:pStyle w:val="6"/>
        <w:rPr>
          <w:color w:val="auto"/>
          <w:highlight w:val="none"/>
        </w:rPr>
      </w:pPr>
    </w:p>
    <w:p>
      <w:pPr>
        <w:rPr>
          <w:highlight w:val="none"/>
        </w:rPr>
      </w:pPr>
    </w:p>
    <w:p>
      <w:pPr>
        <w:rPr>
          <w:highlight w:val="none"/>
        </w:rPr>
      </w:pPr>
    </w:p>
    <w:p>
      <w:pPr>
        <w:spacing w:line="360" w:lineRule="auto"/>
        <w:jc w:val="center"/>
        <w:rPr>
          <w:sz w:val="36"/>
          <w:highlight w:val="none"/>
          <w:u w:val="single"/>
        </w:rPr>
      </w:pPr>
    </w:p>
    <w:p>
      <w:pPr>
        <w:spacing w:line="360" w:lineRule="auto"/>
        <w:jc w:val="center"/>
        <w:rPr>
          <w:rFonts w:eastAsia="楷体_GB2312"/>
          <w:b/>
          <w:bCs/>
          <w:spacing w:val="26"/>
          <w:sz w:val="110"/>
          <w:szCs w:val="110"/>
          <w:highlight w:val="none"/>
        </w:rPr>
      </w:pPr>
      <w:r>
        <w:rPr>
          <w:rFonts w:hint="eastAsia" w:eastAsia="楷体_GB2312"/>
          <w:b/>
          <w:bCs/>
          <w:spacing w:val="26"/>
          <w:sz w:val="110"/>
          <w:szCs w:val="110"/>
          <w:highlight w:val="none"/>
        </w:rPr>
        <w:t>招标文件</w:t>
      </w:r>
    </w:p>
    <w:p>
      <w:pPr>
        <w:spacing w:line="360" w:lineRule="auto"/>
        <w:jc w:val="center"/>
        <w:rPr>
          <w:sz w:val="32"/>
          <w:highlight w:val="none"/>
        </w:rPr>
      </w:pPr>
    </w:p>
    <w:p>
      <w:pPr>
        <w:spacing w:line="360" w:lineRule="auto"/>
        <w:ind w:firstLine="2560" w:firstLineChars="800"/>
        <w:rPr>
          <w:sz w:val="32"/>
          <w:highlight w:val="none"/>
        </w:rPr>
      </w:pPr>
    </w:p>
    <w:p>
      <w:pPr>
        <w:spacing w:line="360" w:lineRule="auto"/>
        <w:rPr>
          <w:sz w:val="52"/>
          <w:highlight w:val="none"/>
        </w:rPr>
      </w:pPr>
    </w:p>
    <w:p>
      <w:pPr>
        <w:pStyle w:val="6"/>
        <w:rPr>
          <w:color w:val="auto"/>
          <w:highlight w:val="none"/>
        </w:rPr>
      </w:pPr>
    </w:p>
    <w:p>
      <w:pPr>
        <w:rPr>
          <w:highlight w:val="none"/>
        </w:rPr>
      </w:pPr>
    </w:p>
    <w:p>
      <w:pPr>
        <w:pStyle w:val="2"/>
        <w:rPr>
          <w:highlight w:val="none"/>
        </w:rPr>
      </w:pPr>
    </w:p>
    <w:p>
      <w:pPr>
        <w:spacing w:line="360" w:lineRule="auto"/>
        <w:ind w:firstLine="900" w:firstLineChars="300"/>
        <w:rPr>
          <w:sz w:val="30"/>
          <w:szCs w:val="30"/>
          <w:highlight w:val="none"/>
          <w:u w:val="single"/>
        </w:rPr>
      </w:pPr>
      <w:r>
        <w:rPr>
          <w:rFonts w:hint="eastAsia"/>
          <w:sz w:val="30"/>
          <w:szCs w:val="30"/>
          <w:highlight w:val="none"/>
        </w:rPr>
        <w:t>招</w:t>
      </w:r>
      <w:r>
        <w:rPr>
          <w:sz w:val="30"/>
          <w:szCs w:val="30"/>
          <w:highlight w:val="none"/>
        </w:rPr>
        <w:t xml:space="preserve">  </w:t>
      </w:r>
      <w:r>
        <w:rPr>
          <w:rFonts w:hint="eastAsia"/>
          <w:sz w:val="30"/>
          <w:szCs w:val="30"/>
          <w:highlight w:val="none"/>
        </w:rPr>
        <w:t>标</w:t>
      </w:r>
      <w:r>
        <w:rPr>
          <w:sz w:val="30"/>
          <w:szCs w:val="30"/>
          <w:highlight w:val="none"/>
        </w:rPr>
        <w:t xml:space="preserve"> </w:t>
      </w:r>
      <w:r>
        <w:rPr>
          <w:rFonts w:hint="eastAsia"/>
          <w:sz w:val="30"/>
          <w:szCs w:val="30"/>
          <w:highlight w:val="none"/>
        </w:rPr>
        <w:t>单</w:t>
      </w:r>
      <w:r>
        <w:rPr>
          <w:sz w:val="30"/>
          <w:szCs w:val="30"/>
          <w:highlight w:val="none"/>
        </w:rPr>
        <w:t xml:space="preserve"> </w:t>
      </w:r>
      <w:r>
        <w:rPr>
          <w:rFonts w:hint="eastAsia"/>
          <w:sz w:val="30"/>
          <w:szCs w:val="30"/>
          <w:highlight w:val="none"/>
        </w:rPr>
        <w:t>位：</w:t>
      </w:r>
      <w:r>
        <w:rPr>
          <w:rFonts w:hint="eastAsia" w:ascii="宋体" w:hAnsi="宋体" w:cs="宋体"/>
          <w:sz w:val="30"/>
          <w:szCs w:val="30"/>
          <w:highlight w:val="none"/>
        </w:rPr>
        <w:t>广州市增城区公共建设项目管理服务中心</w:t>
      </w:r>
    </w:p>
    <w:p>
      <w:pPr>
        <w:spacing w:line="360" w:lineRule="auto"/>
        <w:ind w:firstLine="945"/>
        <w:rPr>
          <w:sz w:val="30"/>
          <w:szCs w:val="30"/>
          <w:highlight w:val="none"/>
          <w:u w:val="single"/>
        </w:rPr>
      </w:pPr>
      <w:r>
        <w:rPr>
          <w:rFonts w:hint="eastAsia"/>
          <w:sz w:val="30"/>
          <w:szCs w:val="30"/>
          <w:highlight w:val="none"/>
        </w:rPr>
        <w:t>招标代理单位：</w:t>
      </w:r>
      <w:r>
        <w:rPr>
          <w:rFonts w:hint="eastAsia" w:ascii="宋体" w:hAnsi="宋体" w:cs="宋体"/>
          <w:sz w:val="30"/>
          <w:szCs w:val="30"/>
          <w:highlight w:val="none"/>
        </w:rPr>
        <w:t>广东省城规建设监理有限公司</w:t>
      </w:r>
    </w:p>
    <w:p>
      <w:pPr>
        <w:spacing w:line="360" w:lineRule="auto"/>
        <w:ind w:firstLine="945"/>
        <w:rPr>
          <w:sz w:val="32"/>
          <w:highlight w:val="none"/>
        </w:rPr>
      </w:pPr>
      <w:r>
        <w:rPr>
          <w:rFonts w:hint="eastAsia"/>
          <w:sz w:val="32"/>
          <w:highlight w:val="none"/>
        </w:rPr>
        <w:t>日</w:t>
      </w:r>
      <w:r>
        <w:rPr>
          <w:sz w:val="32"/>
          <w:highlight w:val="none"/>
        </w:rPr>
        <w:t xml:space="preserve">       </w:t>
      </w:r>
      <w:r>
        <w:rPr>
          <w:rFonts w:hint="eastAsia"/>
          <w:sz w:val="32"/>
          <w:highlight w:val="none"/>
        </w:rPr>
        <w:t>期：</w:t>
      </w:r>
      <w:r>
        <w:rPr>
          <w:rFonts w:hint="eastAsia"/>
          <w:sz w:val="32"/>
          <w:highlight w:val="none"/>
          <w:u w:val="single"/>
        </w:rPr>
        <w:t>2023</w:t>
      </w:r>
      <w:r>
        <w:rPr>
          <w:rFonts w:hint="eastAsia"/>
          <w:sz w:val="32"/>
          <w:highlight w:val="none"/>
        </w:rPr>
        <w:t>年</w:t>
      </w:r>
      <w:r>
        <w:rPr>
          <w:rFonts w:hint="eastAsia"/>
          <w:sz w:val="32"/>
          <w:highlight w:val="none"/>
          <w:u w:val="single"/>
        </w:rPr>
        <w:t xml:space="preserve">  </w:t>
      </w:r>
      <w:r>
        <w:rPr>
          <w:rFonts w:hint="eastAsia"/>
          <w:sz w:val="32"/>
          <w:highlight w:val="none"/>
        </w:rPr>
        <w:t>月</w:t>
      </w:r>
    </w:p>
    <w:p>
      <w:pPr>
        <w:jc w:val="center"/>
        <w:rPr>
          <w:rFonts w:ascii="宋体" w:hAnsi="宋体"/>
          <w:b/>
          <w:caps/>
          <w:kern w:val="0"/>
          <w:highlight w:val="none"/>
        </w:rPr>
      </w:pPr>
      <w:r>
        <w:rPr>
          <w:rStyle w:val="42"/>
          <w:b/>
          <w:bCs/>
          <w:color w:val="auto"/>
          <w:highlight w:val="none"/>
        </w:rPr>
        <w:br w:type="page"/>
      </w:r>
      <w:r>
        <w:rPr>
          <w:rStyle w:val="42"/>
          <w:rFonts w:hint="eastAsia"/>
          <w:b/>
          <w:bCs/>
          <w:color w:val="auto"/>
          <w:sz w:val="28"/>
          <w:szCs w:val="28"/>
          <w:highlight w:val="none"/>
        </w:rPr>
        <w:t>目录</w:t>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"_Toc21525489" </w:instrText>
      </w:r>
      <w:r>
        <w:rPr>
          <w:highlight w:val="none"/>
        </w:rPr>
        <w:fldChar w:fldCharType="separate"/>
      </w:r>
      <w:r>
        <w:rPr>
          <w:rStyle w:val="42"/>
          <w:color w:val="auto"/>
          <w:highlight w:val="none"/>
        </w:rPr>
        <w:t>第一章  投标须知</w:t>
      </w:r>
      <w:r>
        <w:rPr>
          <w:highlight w:val="none"/>
        </w:rPr>
        <w:tab/>
      </w:r>
      <w:r>
        <w:rPr>
          <w:highlight w:val="none"/>
        </w:rPr>
        <w:fldChar w:fldCharType="begin"/>
      </w:r>
      <w:r>
        <w:rPr>
          <w:highlight w:val="none"/>
        </w:rPr>
        <w:instrText xml:space="preserve"> PAGEREF _Toc21525489 \h </w:instrText>
      </w:r>
      <w:r>
        <w:rPr>
          <w:highlight w:val="none"/>
        </w:rPr>
        <w:fldChar w:fldCharType="separate"/>
      </w:r>
      <w:r>
        <w:rPr>
          <w:highlight w:val="none"/>
        </w:rPr>
        <w:t>3</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"_Toc21525490" </w:instrText>
      </w:r>
      <w:r>
        <w:rPr>
          <w:highlight w:val="none"/>
        </w:rPr>
        <w:fldChar w:fldCharType="separate"/>
      </w:r>
      <w:r>
        <w:rPr>
          <w:rStyle w:val="42"/>
          <w:color w:val="auto"/>
          <w:highlight w:val="none"/>
        </w:rPr>
        <w:t>一、投标须知前附表</w:t>
      </w:r>
      <w:r>
        <w:rPr>
          <w:highlight w:val="none"/>
        </w:rPr>
        <w:tab/>
      </w:r>
      <w:r>
        <w:rPr>
          <w:highlight w:val="none"/>
        </w:rPr>
        <w:fldChar w:fldCharType="begin"/>
      </w:r>
      <w:r>
        <w:rPr>
          <w:highlight w:val="none"/>
        </w:rPr>
        <w:instrText xml:space="preserve"> PAGEREF _Toc21525490 \h </w:instrText>
      </w:r>
      <w:r>
        <w:rPr>
          <w:highlight w:val="none"/>
        </w:rPr>
        <w:fldChar w:fldCharType="separate"/>
      </w:r>
      <w:r>
        <w:rPr>
          <w:highlight w:val="none"/>
        </w:rPr>
        <w:t>3</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"_Toc21525491" </w:instrText>
      </w:r>
      <w:r>
        <w:rPr>
          <w:highlight w:val="none"/>
        </w:rPr>
        <w:fldChar w:fldCharType="separate"/>
      </w:r>
      <w:r>
        <w:rPr>
          <w:rStyle w:val="42"/>
          <w:color w:val="auto"/>
          <w:highlight w:val="none"/>
        </w:rPr>
        <w:t>二、投标须知修改表</w:t>
      </w:r>
      <w:r>
        <w:rPr>
          <w:highlight w:val="none"/>
        </w:rPr>
        <w:tab/>
      </w:r>
      <w:r>
        <w:rPr>
          <w:highlight w:val="none"/>
        </w:rPr>
        <w:fldChar w:fldCharType="begin"/>
      </w:r>
      <w:r>
        <w:rPr>
          <w:highlight w:val="none"/>
        </w:rPr>
        <w:instrText xml:space="preserve"> PAGEREF _Toc21525491 \h </w:instrText>
      </w:r>
      <w:r>
        <w:rPr>
          <w:highlight w:val="none"/>
        </w:rPr>
        <w:fldChar w:fldCharType="separate"/>
      </w:r>
      <w:r>
        <w:rPr>
          <w:highlight w:val="none"/>
        </w:rPr>
        <w:t>8</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"_Toc21525492" </w:instrText>
      </w:r>
      <w:r>
        <w:rPr>
          <w:highlight w:val="none"/>
        </w:rPr>
        <w:fldChar w:fldCharType="separate"/>
      </w:r>
      <w:r>
        <w:rPr>
          <w:rStyle w:val="42"/>
          <w:color w:val="auto"/>
          <w:highlight w:val="none"/>
        </w:rPr>
        <w:t>三、投标须知通用条款</w:t>
      </w:r>
      <w:r>
        <w:rPr>
          <w:highlight w:val="none"/>
        </w:rPr>
        <w:tab/>
      </w:r>
      <w:r>
        <w:rPr>
          <w:highlight w:val="none"/>
        </w:rPr>
        <w:fldChar w:fldCharType="begin"/>
      </w:r>
      <w:r>
        <w:rPr>
          <w:highlight w:val="none"/>
        </w:rPr>
        <w:instrText xml:space="preserve"> PAGEREF _Toc21525492 \h </w:instrText>
      </w:r>
      <w:r>
        <w:rPr>
          <w:highlight w:val="none"/>
        </w:rPr>
        <w:fldChar w:fldCharType="separate"/>
      </w:r>
      <w:r>
        <w:rPr>
          <w:highlight w:val="none"/>
        </w:rPr>
        <w:t>20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"_Toc21525493" </w:instrText>
      </w:r>
      <w:r>
        <w:rPr>
          <w:highlight w:val="none"/>
        </w:rPr>
        <w:fldChar w:fldCharType="separate"/>
      </w:r>
      <w:r>
        <w:rPr>
          <w:rStyle w:val="42"/>
          <w:color w:val="auto"/>
          <w:highlight w:val="none"/>
        </w:rPr>
        <w:t>（一）总则</w:t>
      </w:r>
      <w:r>
        <w:rPr>
          <w:highlight w:val="none"/>
        </w:rPr>
        <w:tab/>
      </w:r>
      <w:bookmarkStart w:id="45" w:name="_GoBack"/>
      <w:bookmarkEnd w:id="45"/>
      <w:r>
        <w:rPr>
          <w:highlight w:val="none"/>
        </w:rPr>
        <w:fldChar w:fldCharType="begin"/>
      </w:r>
      <w:r>
        <w:rPr>
          <w:highlight w:val="none"/>
        </w:rPr>
        <w:instrText xml:space="preserve"> PAGEREF _Toc21525493 \h </w:instrText>
      </w:r>
      <w:r>
        <w:rPr>
          <w:highlight w:val="none"/>
        </w:rPr>
        <w:fldChar w:fldCharType="separate"/>
      </w:r>
      <w:r>
        <w:rPr>
          <w:highlight w:val="none"/>
        </w:rPr>
        <w:t>20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"_Toc21525494" </w:instrText>
      </w:r>
      <w:r>
        <w:rPr>
          <w:highlight w:val="none"/>
        </w:rPr>
        <w:fldChar w:fldCharType="separate"/>
      </w:r>
      <w:r>
        <w:rPr>
          <w:rStyle w:val="42"/>
          <w:color w:val="auto"/>
          <w:highlight w:val="none"/>
        </w:rPr>
        <w:t>（二）招标文件</w:t>
      </w:r>
      <w:r>
        <w:rPr>
          <w:highlight w:val="none"/>
        </w:rPr>
        <w:tab/>
      </w:r>
      <w:r>
        <w:rPr>
          <w:highlight w:val="none"/>
        </w:rPr>
        <w:fldChar w:fldCharType="begin"/>
      </w:r>
      <w:r>
        <w:rPr>
          <w:highlight w:val="none"/>
        </w:rPr>
        <w:instrText xml:space="preserve"> PAGEREF _Toc21525494 \h </w:instrText>
      </w:r>
      <w:r>
        <w:rPr>
          <w:highlight w:val="none"/>
        </w:rPr>
        <w:fldChar w:fldCharType="separate"/>
      </w:r>
      <w:r>
        <w:rPr>
          <w:highlight w:val="none"/>
        </w:rPr>
        <w:t>21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"_Toc21525495" </w:instrText>
      </w:r>
      <w:r>
        <w:rPr>
          <w:highlight w:val="none"/>
        </w:rPr>
        <w:fldChar w:fldCharType="separate"/>
      </w:r>
      <w:r>
        <w:rPr>
          <w:rStyle w:val="42"/>
          <w:color w:val="auto"/>
          <w:highlight w:val="none"/>
        </w:rPr>
        <w:t>（三）投标文件的编制</w:t>
      </w:r>
      <w:r>
        <w:rPr>
          <w:highlight w:val="none"/>
        </w:rPr>
        <w:tab/>
      </w:r>
      <w:r>
        <w:rPr>
          <w:highlight w:val="none"/>
        </w:rPr>
        <w:fldChar w:fldCharType="begin"/>
      </w:r>
      <w:r>
        <w:rPr>
          <w:highlight w:val="none"/>
        </w:rPr>
        <w:instrText xml:space="preserve"> PAGEREF _Toc21525495 \h </w:instrText>
      </w:r>
      <w:r>
        <w:rPr>
          <w:highlight w:val="none"/>
        </w:rPr>
        <w:fldChar w:fldCharType="separate"/>
      </w:r>
      <w:r>
        <w:rPr>
          <w:highlight w:val="none"/>
        </w:rPr>
        <w:t>23</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"_Toc21525496" </w:instrText>
      </w:r>
      <w:r>
        <w:rPr>
          <w:highlight w:val="none"/>
        </w:rPr>
        <w:fldChar w:fldCharType="separate"/>
      </w:r>
      <w:r>
        <w:rPr>
          <w:rStyle w:val="42"/>
          <w:color w:val="auto"/>
          <w:highlight w:val="none"/>
        </w:rPr>
        <w:t>（四）投标文件的提交</w:t>
      </w:r>
      <w:r>
        <w:rPr>
          <w:highlight w:val="none"/>
        </w:rPr>
        <w:tab/>
      </w:r>
      <w:r>
        <w:rPr>
          <w:highlight w:val="none"/>
        </w:rPr>
        <w:fldChar w:fldCharType="begin"/>
      </w:r>
      <w:r>
        <w:rPr>
          <w:highlight w:val="none"/>
        </w:rPr>
        <w:instrText xml:space="preserve"> PAGEREF _Toc21525496 \h </w:instrText>
      </w:r>
      <w:r>
        <w:rPr>
          <w:highlight w:val="none"/>
        </w:rPr>
        <w:fldChar w:fldCharType="separate"/>
      </w:r>
      <w:r>
        <w:rPr>
          <w:highlight w:val="none"/>
        </w:rPr>
        <w:t>29</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"_Toc21525497" </w:instrText>
      </w:r>
      <w:r>
        <w:rPr>
          <w:highlight w:val="none"/>
        </w:rPr>
        <w:fldChar w:fldCharType="separate"/>
      </w:r>
      <w:r>
        <w:rPr>
          <w:rStyle w:val="42"/>
          <w:color w:val="auto"/>
          <w:highlight w:val="none"/>
        </w:rPr>
        <w:t>（五）开标、评标、定标及合同签定</w:t>
      </w:r>
      <w:r>
        <w:rPr>
          <w:highlight w:val="none"/>
        </w:rPr>
        <w:tab/>
      </w:r>
      <w:r>
        <w:rPr>
          <w:highlight w:val="none"/>
        </w:rPr>
        <w:fldChar w:fldCharType="begin"/>
      </w:r>
      <w:r>
        <w:rPr>
          <w:highlight w:val="none"/>
        </w:rPr>
        <w:instrText xml:space="preserve"> PAGEREF _Toc21525497 \h </w:instrText>
      </w:r>
      <w:r>
        <w:rPr>
          <w:highlight w:val="none"/>
        </w:rPr>
        <w:fldChar w:fldCharType="separate"/>
      </w:r>
      <w:r>
        <w:rPr>
          <w:highlight w:val="none"/>
        </w:rPr>
        <w:t>30</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"_Toc21525498" </w:instrText>
      </w:r>
      <w:r>
        <w:rPr>
          <w:highlight w:val="none"/>
        </w:rPr>
        <w:fldChar w:fldCharType="separate"/>
      </w:r>
      <w:r>
        <w:rPr>
          <w:rStyle w:val="42"/>
          <w:color w:val="auto"/>
          <w:highlight w:val="none"/>
        </w:rPr>
        <w:t>第二章  开标、评标及定标办法</w:t>
      </w:r>
      <w:r>
        <w:rPr>
          <w:highlight w:val="none"/>
        </w:rPr>
        <w:tab/>
      </w:r>
      <w:r>
        <w:rPr>
          <w:highlight w:val="none"/>
        </w:rPr>
        <w:fldChar w:fldCharType="begin"/>
      </w:r>
      <w:r>
        <w:rPr>
          <w:highlight w:val="none"/>
        </w:rPr>
        <w:instrText xml:space="preserve"> PAGEREF _Toc21525498 \h </w:instrText>
      </w:r>
      <w:r>
        <w:rPr>
          <w:highlight w:val="none"/>
        </w:rPr>
        <w:fldChar w:fldCharType="separate"/>
      </w:r>
      <w:r>
        <w:rPr>
          <w:highlight w:val="none"/>
        </w:rPr>
        <w:t>34</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"_Toc21525499" </w:instrText>
      </w:r>
      <w:r>
        <w:rPr>
          <w:highlight w:val="none"/>
        </w:rPr>
        <w:fldChar w:fldCharType="separate"/>
      </w:r>
      <w:r>
        <w:rPr>
          <w:rStyle w:val="42"/>
          <w:color w:val="auto"/>
          <w:highlight w:val="none"/>
        </w:rPr>
        <w:t>一、开标、评标及定标办法修改表</w:t>
      </w:r>
      <w:r>
        <w:rPr>
          <w:highlight w:val="none"/>
        </w:rPr>
        <w:tab/>
      </w:r>
      <w:r>
        <w:rPr>
          <w:highlight w:val="none"/>
        </w:rPr>
        <w:fldChar w:fldCharType="begin"/>
      </w:r>
      <w:r>
        <w:rPr>
          <w:highlight w:val="none"/>
        </w:rPr>
        <w:instrText xml:space="preserve"> PAGEREF _Toc21525499 \h </w:instrText>
      </w:r>
      <w:r>
        <w:rPr>
          <w:highlight w:val="none"/>
        </w:rPr>
        <w:fldChar w:fldCharType="separate"/>
      </w:r>
      <w:r>
        <w:rPr>
          <w:highlight w:val="none"/>
        </w:rPr>
        <w:t>34</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"_Toc21525500" </w:instrText>
      </w:r>
      <w:r>
        <w:rPr>
          <w:highlight w:val="none"/>
        </w:rPr>
        <w:fldChar w:fldCharType="separate"/>
      </w:r>
      <w:r>
        <w:rPr>
          <w:rStyle w:val="42"/>
          <w:color w:val="auto"/>
          <w:highlight w:val="none"/>
        </w:rPr>
        <w:t>二、开标、评标及定标办法通用条款</w:t>
      </w:r>
      <w:r>
        <w:rPr>
          <w:highlight w:val="none"/>
        </w:rPr>
        <w:tab/>
      </w:r>
      <w:r>
        <w:rPr>
          <w:highlight w:val="none"/>
        </w:rPr>
        <w:fldChar w:fldCharType="begin"/>
      </w:r>
      <w:r>
        <w:rPr>
          <w:highlight w:val="none"/>
        </w:rPr>
        <w:instrText xml:space="preserve"> PAGEREF _Toc21525500 \h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"_Toc21525501" </w:instrText>
      </w:r>
      <w:r>
        <w:rPr>
          <w:highlight w:val="none"/>
        </w:rPr>
        <w:fldChar w:fldCharType="separate"/>
      </w:r>
      <w:r>
        <w:rPr>
          <w:rStyle w:val="42"/>
          <w:color w:val="auto"/>
          <w:highlight w:val="none"/>
        </w:rPr>
        <w:t>（一）总则</w:t>
      </w:r>
      <w:r>
        <w:rPr>
          <w:highlight w:val="none"/>
        </w:rPr>
        <w:tab/>
      </w:r>
      <w:r>
        <w:rPr>
          <w:highlight w:val="none"/>
        </w:rPr>
        <w:fldChar w:fldCharType="begin"/>
      </w:r>
      <w:r>
        <w:rPr>
          <w:highlight w:val="none"/>
        </w:rPr>
        <w:instrText xml:space="preserve"> PAGEREF _Toc21525501 \h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"_Toc21525502" </w:instrText>
      </w:r>
      <w:r>
        <w:rPr>
          <w:highlight w:val="none"/>
        </w:rPr>
        <w:fldChar w:fldCharType="separate"/>
      </w:r>
      <w:r>
        <w:rPr>
          <w:rStyle w:val="42"/>
          <w:color w:val="auto"/>
          <w:highlight w:val="none"/>
        </w:rPr>
        <w:t>（二）开标评标办法程序和细则</w:t>
      </w:r>
      <w:r>
        <w:rPr>
          <w:highlight w:val="none"/>
        </w:rPr>
        <w:tab/>
      </w:r>
      <w:r>
        <w:rPr>
          <w:highlight w:val="none"/>
        </w:rPr>
        <w:fldChar w:fldCharType="begin"/>
      </w:r>
      <w:r>
        <w:rPr>
          <w:highlight w:val="none"/>
        </w:rPr>
        <w:instrText xml:space="preserve"> PAGEREF _Toc21525502 \h </w:instrText>
      </w:r>
      <w:r>
        <w:rPr>
          <w:highlight w:val="none"/>
        </w:rPr>
        <w:fldChar w:fldCharType="separate"/>
      </w:r>
      <w:r>
        <w:rPr>
          <w:highlight w:val="none"/>
        </w:rPr>
        <w:t>43</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"_Toc21525509" </w:instrText>
      </w:r>
      <w:r>
        <w:rPr>
          <w:highlight w:val="none"/>
        </w:rPr>
        <w:fldChar w:fldCharType="separate"/>
      </w:r>
      <w:r>
        <w:rPr>
          <w:rStyle w:val="42"/>
          <w:color w:val="auto"/>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_Toc21525509 \h </w:instrText>
      </w:r>
      <w:r>
        <w:rPr>
          <w:highlight w:val="none"/>
        </w:rPr>
        <w:fldChar w:fldCharType="separate"/>
      </w:r>
      <w:r>
        <w:rPr>
          <w:highlight w:val="none"/>
        </w:rPr>
        <w:t>43</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"_Toc21525511" </w:instrText>
      </w:r>
      <w:r>
        <w:rPr>
          <w:highlight w:val="none"/>
        </w:rPr>
        <w:fldChar w:fldCharType="separate"/>
      </w:r>
      <w:r>
        <w:rPr>
          <w:rStyle w:val="42"/>
          <w:color w:val="auto"/>
          <w:highlight w:val="none"/>
        </w:rPr>
        <w:t>第三章  合同条款</w:t>
      </w:r>
      <w:r>
        <w:rPr>
          <w:highlight w:val="none"/>
        </w:rPr>
        <w:tab/>
      </w:r>
      <w:r>
        <w:rPr>
          <w:highlight w:val="none"/>
        </w:rPr>
        <w:fldChar w:fldCharType="begin"/>
      </w:r>
      <w:r>
        <w:rPr>
          <w:highlight w:val="none"/>
        </w:rPr>
        <w:instrText xml:space="preserve"> PAGEREF _Toc21525511 \h </w:instrText>
      </w:r>
      <w:r>
        <w:rPr>
          <w:highlight w:val="none"/>
        </w:rPr>
        <w:fldChar w:fldCharType="separate"/>
      </w:r>
      <w:r>
        <w:rPr>
          <w:highlight w:val="none"/>
        </w:rPr>
        <w:t>58</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"_Toc21525512" </w:instrText>
      </w:r>
      <w:r>
        <w:rPr>
          <w:highlight w:val="none"/>
        </w:rPr>
        <w:fldChar w:fldCharType="separate"/>
      </w:r>
      <w:r>
        <w:rPr>
          <w:rStyle w:val="42"/>
          <w:color w:val="auto"/>
          <w:highlight w:val="none"/>
        </w:rPr>
        <w:t>第四章  投标文件格式</w:t>
      </w:r>
      <w:r>
        <w:rPr>
          <w:highlight w:val="none"/>
        </w:rPr>
        <w:tab/>
      </w:r>
      <w:r>
        <w:rPr>
          <w:highlight w:val="none"/>
        </w:rPr>
        <w:fldChar w:fldCharType="begin"/>
      </w:r>
      <w:r>
        <w:rPr>
          <w:highlight w:val="none"/>
        </w:rPr>
        <w:instrText xml:space="preserve"> PAGEREF _Toc21525512 \h </w:instrText>
      </w:r>
      <w:r>
        <w:rPr>
          <w:highlight w:val="none"/>
        </w:rPr>
        <w:fldChar w:fldCharType="separate"/>
      </w:r>
      <w:r>
        <w:rPr>
          <w:highlight w:val="none"/>
        </w:rPr>
        <w:t>59</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"_Toc21525513" </w:instrText>
      </w:r>
      <w:r>
        <w:rPr>
          <w:highlight w:val="none"/>
        </w:rPr>
        <w:fldChar w:fldCharType="separate"/>
      </w:r>
      <w:r>
        <w:rPr>
          <w:rStyle w:val="42"/>
          <w:color w:val="auto"/>
          <w:highlight w:val="none"/>
        </w:rPr>
        <w:t>第五章  技术条件（工程建设标准）</w:t>
      </w:r>
      <w:r>
        <w:rPr>
          <w:highlight w:val="none"/>
        </w:rPr>
        <w:tab/>
      </w:r>
      <w:r>
        <w:rPr>
          <w:highlight w:val="none"/>
        </w:rPr>
        <w:fldChar w:fldCharType="begin"/>
      </w:r>
      <w:r>
        <w:rPr>
          <w:highlight w:val="none"/>
        </w:rPr>
        <w:instrText xml:space="preserve"> PAGEREF _Toc21525513 \h </w:instrText>
      </w:r>
      <w:r>
        <w:rPr>
          <w:highlight w:val="none"/>
        </w:rPr>
        <w:fldChar w:fldCharType="separate"/>
      </w:r>
      <w:r>
        <w:rPr>
          <w:highlight w:val="none"/>
        </w:rPr>
        <w:t>64</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"_Toc21525514" </w:instrText>
      </w:r>
      <w:r>
        <w:rPr>
          <w:highlight w:val="none"/>
        </w:rPr>
        <w:fldChar w:fldCharType="separate"/>
      </w:r>
      <w:r>
        <w:rPr>
          <w:rStyle w:val="42"/>
          <w:color w:val="auto"/>
          <w:highlight w:val="none"/>
        </w:rPr>
        <w:t>第六章  图纸及勘察资料</w:t>
      </w:r>
      <w:r>
        <w:rPr>
          <w:highlight w:val="none"/>
        </w:rPr>
        <w:tab/>
      </w:r>
      <w:r>
        <w:rPr>
          <w:highlight w:val="none"/>
        </w:rPr>
        <w:fldChar w:fldCharType="begin"/>
      </w:r>
      <w:r>
        <w:rPr>
          <w:highlight w:val="none"/>
        </w:rPr>
        <w:instrText xml:space="preserve"> PAGEREF _Toc21525514 \h </w:instrText>
      </w:r>
      <w:r>
        <w:rPr>
          <w:highlight w:val="none"/>
        </w:rPr>
        <w:fldChar w:fldCharType="separate"/>
      </w:r>
      <w:r>
        <w:rPr>
          <w:highlight w:val="none"/>
        </w:rPr>
        <w:t>66</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"_Toc21525515" </w:instrText>
      </w:r>
      <w:r>
        <w:rPr>
          <w:highlight w:val="none"/>
        </w:rPr>
        <w:fldChar w:fldCharType="separate"/>
      </w:r>
      <w:r>
        <w:rPr>
          <w:rStyle w:val="42"/>
          <w:color w:val="auto"/>
          <w:highlight w:val="none"/>
        </w:rPr>
        <w:t>第七章  工程量清单</w:t>
      </w:r>
      <w:r>
        <w:rPr>
          <w:highlight w:val="none"/>
        </w:rPr>
        <w:tab/>
      </w:r>
      <w:r>
        <w:rPr>
          <w:highlight w:val="none"/>
        </w:rPr>
        <w:fldChar w:fldCharType="begin"/>
      </w:r>
      <w:r>
        <w:rPr>
          <w:highlight w:val="none"/>
        </w:rPr>
        <w:instrText xml:space="preserve"> PAGEREF _Toc21525515 \h </w:instrText>
      </w:r>
      <w:r>
        <w:rPr>
          <w:highlight w:val="none"/>
        </w:rPr>
        <w:fldChar w:fldCharType="separate"/>
      </w:r>
      <w:r>
        <w:rPr>
          <w:highlight w:val="none"/>
        </w:rPr>
        <w:t>69</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"_Toc21525516" </w:instrText>
      </w:r>
      <w:r>
        <w:rPr>
          <w:highlight w:val="none"/>
        </w:rPr>
        <w:fldChar w:fldCharType="separate"/>
      </w:r>
      <w:r>
        <w:rPr>
          <w:rStyle w:val="42"/>
          <w:color w:val="auto"/>
          <w:highlight w:val="none"/>
        </w:rPr>
        <w:t>第八章  最高投标限价</w:t>
      </w:r>
      <w:r>
        <w:rPr>
          <w:highlight w:val="none"/>
        </w:rPr>
        <w:tab/>
      </w:r>
      <w:r>
        <w:rPr>
          <w:highlight w:val="none"/>
        </w:rPr>
        <w:fldChar w:fldCharType="begin"/>
      </w:r>
      <w:r>
        <w:rPr>
          <w:highlight w:val="none"/>
        </w:rPr>
        <w:instrText xml:space="preserve"> PAGEREF _Toc21525516 \h </w:instrText>
      </w:r>
      <w:r>
        <w:rPr>
          <w:highlight w:val="none"/>
        </w:rPr>
        <w:fldChar w:fldCharType="separate"/>
      </w:r>
      <w:r>
        <w:rPr>
          <w:highlight w:val="none"/>
        </w:rPr>
        <w:t>70</w:t>
      </w:r>
      <w:r>
        <w:rPr>
          <w:highlight w:val="none"/>
        </w:rPr>
        <w:fldChar w:fldCharType="end"/>
      </w:r>
      <w:r>
        <w:rPr>
          <w:highlight w:val="none"/>
        </w:rPr>
        <w:fldChar w:fldCharType="end"/>
      </w:r>
    </w:p>
    <w:p>
      <w:pPr>
        <w:pStyle w:val="3"/>
        <w:rPr>
          <w:highlight w:val="none"/>
        </w:rPr>
      </w:pPr>
      <w:r>
        <w:rPr>
          <w:highlight w:val="none"/>
        </w:rPr>
        <w:fldChar w:fldCharType="end"/>
      </w:r>
      <w:bookmarkStart w:id="0" w:name="_Toc21525489"/>
      <w:bookmarkStart w:id="1" w:name="_Toc2272545"/>
    </w:p>
    <w:p>
      <w:pPr>
        <w:pStyle w:val="5"/>
        <w:rPr>
          <w:highlight w:val="none"/>
        </w:rPr>
      </w:pPr>
    </w:p>
    <w:p>
      <w:pPr>
        <w:pStyle w:val="5"/>
        <w:rPr>
          <w:highlight w:val="none"/>
        </w:rPr>
      </w:pPr>
    </w:p>
    <w:p>
      <w:pPr>
        <w:rPr>
          <w:highlight w:val="none"/>
        </w:rPr>
      </w:pPr>
      <w:r>
        <w:rPr>
          <w:rFonts w:hint="eastAsia"/>
          <w:highlight w:val="none"/>
        </w:rPr>
        <w:br w:type="page"/>
      </w:r>
    </w:p>
    <w:p>
      <w:pPr>
        <w:pStyle w:val="3"/>
        <w:rPr>
          <w:highlight w:val="none"/>
        </w:rPr>
      </w:pPr>
      <w:r>
        <w:rPr>
          <w:rFonts w:hint="eastAsia"/>
          <w:highlight w:val="none"/>
        </w:rPr>
        <w:t>第一章</w:t>
      </w:r>
      <w:r>
        <w:rPr>
          <w:highlight w:val="none"/>
        </w:rPr>
        <w:t xml:space="preserve">  </w:t>
      </w:r>
      <w:r>
        <w:rPr>
          <w:rFonts w:hint="eastAsia"/>
          <w:highlight w:val="none"/>
        </w:rPr>
        <w:t>投标须知</w:t>
      </w:r>
      <w:bookmarkEnd w:id="0"/>
      <w:bookmarkEnd w:id="1"/>
    </w:p>
    <w:p>
      <w:pPr>
        <w:pStyle w:val="6"/>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9"/>
        <w:spacing w:line="360" w:lineRule="auto"/>
        <w:ind w:firstLine="0"/>
        <w:rPr>
          <w:rFonts w:ascii="宋体" w:hAnsi="宋体"/>
          <w:b/>
          <w:sz w:val="24"/>
          <w:szCs w:val="24"/>
          <w:highlight w:val="none"/>
        </w:rPr>
      </w:pPr>
      <w:r>
        <w:rPr>
          <w:rFonts w:hint="eastAsia" w:ascii="宋体" w:hAnsi="宋体"/>
          <w:b/>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招标人（即发包人）：</w:t>
            </w:r>
            <w:r>
              <w:rPr>
                <w:rFonts w:hint="eastAsia" w:ascii="宋体" w:hAnsi="宋体"/>
                <w:szCs w:val="21"/>
                <w:highlight w:val="none"/>
                <w:u w:val="single"/>
              </w:rPr>
              <w:t>广州市增城区公共建设项目管理服务中心</w:t>
            </w:r>
            <w:r>
              <w:rPr>
                <w:rFonts w:hint="eastAsia" w:ascii="宋体" w:hAnsi="宋体"/>
                <w:szCs w:val="21"/>
                <w:highlight w:val="none"/>
              </w:rPr>
              <w:t>招标代理：</w:t>
            </w:r>
            <w:r>
              <w:rPr>
                <w:rFonts w:hint="eastAsia" w:ascii="宋体" w:hAnsi="宋体"/>
                <w:szCs w:val="21"/>
                <w:highlight w:val="none"/>
                <w:u w:val="single"/>
              </w:rPr>
              <w:t>广东省城规建设监理有限公司</w:t>
            </w:r>
          </w:p>
          <w:p>
            <w:pPr>
              <w:rPr>
                <w:rFonts w:ascii="宋体" w:hAnsi="宋体"/>
                <w:szCs w:val="21"/>
                <w:highlight w:val="none"/>
                <w:u w:val="single"/>
              </w:rPr>
            </w:pPr>
            <w:r>
              <w:rPr>
                <w:rFonts w:hint="eastAsia" w:ascii="宋体" w:hAnsi="宋体"/>
                <w:szCs w:val="21"/>
                <w:highlight w:val="none"/>
              </w:rPr>
              <w:t>设计单位：</w:t>
            </w:r>
            <w:r>
              <w:rPr>
                <w:rFonts w:hint="eastAsia" w:ascii="宋体" w:hAnsi="宋体"/>
                <w:szCs w:val="21"/>
                <w:highlight w:val="none"/>
                <w:u w:val="single"/>
              </w:rPr>
              <w:t>江苏省科佳工程设计有限公司</w:t>
            </w:r>
          </w:p>
          <w:p>
            <w:pPr>
              <w:rPr>
                <w:rFonts w:ascii="宋体" w:hAnsi="宋体"/>
                <w:szCs w:val="21"/>
                <w:highlight w:val="none"/>
                <w:u w:val="single"/>
              </w:rPr>
            </w:pPr>
            <w:r>
              <w:rPr>
                <w:rFonts w:hint="eastAsia" w:ascii="宋体" w:hAnsi="宋体"/>
                <w:szCs w:val="21"/>
                <w:highlight w:val="none"/>
              </w:rPr>
              <w:t>监理单位：</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检测机构：</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增城开发区新民路建设工程施工总承包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项目位于增城开发区西北侧,南起现状创优路，北至永宁大道，路线呈南北走向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路线全长约 530m，规划道路等级为城市次干路，红线宽度30m，双向四车道，设计速度40km/h。建设内容包括道路工程，配套建设照明、绿化、 给水、污水、雨水、交通及电力管沟等工程。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 xml:space="preserve">2023年8月1日计划开工，施工总期：365日历天。 </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szCs w:val="21"/>
                <w:highlight w:val="none"/>
                <w:u w:val="single"/>
              </w:rPr>
              <w:t>由区财政资金统筹安排。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bookmarkStart w:id="4" w:name="EBdfd7e3fe86a241738f1c1d356c309534"/>
            <w:r>
              <w:rPr>
                <w:rFonts w:hint="eastAsia" w:ascii="宋体" w:hAnsi="宋体" w:cs="宋体"/>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bookmarkStart w:id="5" w:name="EB638049d390fa45cfa3556d92c0ccd421"/>
            <w:r>
              <w:rPr>
                <w:rFonts w:hint="eastAsia" w:ascii="宋体" w:hAnsi="宋体" w:cs="宋体"/>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ind w:firstLine="420" w:firstLineChars="200"/>
              <w:rPr>
                <w:highlight w:val="none"/>
              </w:rPr>
            </w:pPr>
            <w:r>
              <w:rPr>
                <w:rFonts w:hint="eastAsia" w:ascii="宋体" w:hAnsi="宋体" w:cs="宋体"/>
                <w:szCs w:val="21"/>
                <w:highlight w:val="none"/>
              </w:rPr>
              <w:t>投标担保额度：</w:t>
            </w:r>
            <w:r>
              <w:rPr>
                <w:highlight w:val="none"/>
              </w:rPr>
              <w:t xml:space="preserve"> </w:t>
            </w:r>
            <w:r>
              <w:rPr>
                <w:rFonts w:hint="eastAsia" w:ascii="宋体" w:hAnsi="宋体" w:cs="宋体"/>
                <w:b/>
                <w:bCs/>
                <w:highlight w:val="none"/>
                <w:u w:val="single"/>
              </w:rPr>
              <w:t xml:space="preserve"> 10</w:t>
            </w:r>
            <w:r>
              <w:rPr>
                <w:b/>
                <w:bCs/>
                <w:highlight w:val="none"/>
                <w:u w:val="single"/>
              </w:rPr>
              <w:t xml:space="preserve"> </w:t>
            </w:r>
            <w:r>
              <w:rPr>
                <w:rFonts w:hint="eastAsia"/>
                <w:highlight w:val="none"/>
              </w:rPr>
              <w:t>万元人民币。</w:t>
            </w:r>
          </w:p>
          <w:p>
            <w:pPr>
              <w:ind w:firstLine="420" w:firstLineChars="200"/>
              <w:rPr>
                <w:highlight w:val="none"/>
              </w:rPr>
            </w:pPr>
            <w:r>
              <w:rPr>
                <w:rFonts w:hint="eastAsia" w:ascii="宋体" w:hAnsi="宋体" w:cs="宋体"/>
                <w:szCs w:val="21"/>
                <w:highlight w:val="none"/>
              </w:rPr>
              <w:t>投标保证金有效期：</w:t>
            </w:r>
            <w:r>
              <w:rPr>
                <w:rFonts w:hint="eastAsia" w:ascii="宋体" w:hAnsi="宋体" w:cs="宋体"/>
                <w:szCs w:val="21"/>
                <w:highlight w:val="none"/>
                <w:u w:val="single"/>
              </w:rPr>
              <w:t>长于或等于投标有效期。</w:t>
            </w:r>
          </w:p>
          <w:p>
            <w:pPr>
              <w:snapToGrid w:val="0"/>
              <w:rPr>
                <w:rFonts w:ascii="宋体" w:hAnsi="宋体"/>
                <w:highlight w:val="none"/>
                <w:u w:val="single"/>
              </w:rPr>
            </w:pPr>
            <w:r>
              <w:rPr>
                <w:rFonts w:hint="eastAsia" w:ascii="宋体" w:hAnsi="宋体"/>
                <w:highlight w:val="none"/>
                <w:u w:val="single"/>
              </w:rPr>
              <w:t>投标保证金可采用现金、支票、银行保函、保证保险、专业工程担保公司担保等形式，须在递交投标文件截止时间前完成缴纳。</w:t>
            </w:r>
            <w:r>
              <w:rPr>
                <w:rFonts w:hint="eastAsia" w:ascii="宋体" w:hAnsi="宋体" w:cs="宋体"/>
                <w:b/>
                <w:bCs/>
                <w:szCs w:val="21"/>
                <w:highlight w:val="none"/>
                <w:u w:val="single"/>
              </w:rPr>
              <w:t>根据穗发改函【2021】347精神，建议投标人优先采用电子保函形式递交投标保证金。</w:t>
            </w:r>
          </w:p>
          <w:p>
            <w:pPr>
              <w:snapToGrid w:val="0"/>
              <w:rPr>
                <w:rFonts w:ascii="宋体" w:hAnsi="宋体"/>
                <w:highlight w:val="none"/>
                <w:u w:val="single"/>
              </w:rPr>
            </w:pPr>
            <w:r>
              <w:rPr>
                <w:rFonts w:ascii="宋体" w:hAnsi="宋体"/>
                <w:highlight w:val="none"/>
                <w:u w:val="single"/>
              </w:rPr>
              <w:t>1、如采用现金或者支票形式提交的，投标保证金从投标人基本账户递交，由</w:t>
            </w:r>
            <w:r>
              <w:rPr>
                <w:rFonts w:hint="eastAsia" w:ascii="宋体" w:hAnsi="宋体"/>
                <w:highlight w:val="none"/>
                <w:u w:val="single"/>
              </w:rPr>
              <w:t>广州交易集团有限公司（广州公共资源交易中心）</w:t>
            </w:r>
            <w:r>
              <w:rPr>
                <w:rFonts w:ascii="宋体" w:hAnsi="宋体"/>
                <w:highlight w:val="none"/>
                <w:u w:val="single"/>
              </w:rPr>
              <w:t>代收。具体操作要求详见</w:t>
            </w:r>
            <w:r>
              <w:rPr>
                <w:rFonts w:hint="eastAsia" w:ascii="宋体" w:hAnsi="宋体"/>
                <w:highlight w:val="none"/>
                <w:u w:val="single"/>
              </w:rPr>
              <w:t>广州交易集团有限公司（广州公共资源交易中心）</w:t>
            </w:r>
            <w:r>
              <w:rPr>
                <w:rFonts w:ascii="宋体" w:hAnsi="宋体"/>
                <w:highlight w:val="none"/>
                <w:u w:val="single"/>
              </w:rPr>
              <w:t>有关指引，递交事宜请自行咨询交易中心；请各投标人在投标文件递交截止时间前按上述金额递交至</w:t>
            </w:r>
            <w:r>
              <w:rPr>
                <w:rFonts w:hint="eastAsia" w:ascii="宋体" w:hAnsi="宋体"/>
                <w:highlight w:val="none"/>
                <w:u w:val="single"/>
              </w:rPr>
              <w:t>广州交易集团有限公司（广州公共资源交易中心）</w:t>
            </w:r>
            <w:r>
              <w:rPr>
                <w:rFonts w:ascii="宋体" w:hAnsi="宋体"/>
                <w:highlight w:val="none"/>
                <w:u w:val="single"/>
              </w:rPr>
              <w:t>，到账情况以开标时</w:t>
            </w:r>
            <w:r>
              <w:rPr>
                <w:rFonts w:hint="eastAsia" w:ascii="宋体" w:hAnsi="宋体"/>
                <w:highlight w:val="none"/>
                <w:u w:val="single"/>
              </w:rPr>
              <w:t>广州交易集团有限公司（广州公共资源交易中心）</w:t>
            </w:r>
            <w:r>
              <w:rPr>
                <w:rFonts w:ascii="宋体" w:hAnsi="宋体"/>
                <w:highlight w:val="none"/>
                <w:u w:val="single"/>
              </w:rPr>
              <w:t>数据库查询的信息为准。</w:t>
            </w:r>
          </w:p>
          <w:p>
            <w:pPr>
              <w:snapToGrid w:val="0"/>
              <w:rPr>
                <w:rFonts w:ascii="宋体" w:hAnsi="宋体"/>
                <w:highlight w:val="none"/>
                <w:u w:val="single"/>
              </w:rPr>
            </w:pPr>
            <w:r>
              <w:rPr>
                <w:rFonts w:hint="eastAsia" w:ascii="宋体" w:hAnsi="宋体"/>
                <w:highlight w:val="none"/>
                <w:u w:val="single"/>
              </w:rPr>
              <w:t>投标人需在交易系统中将汇入投标保证金与投标项目进行绑定，绑定成功后才能被认定为完成缴交投标保证金义务。</w:t>
            </w:r>
          </w:p>
          <w:p>
            <w:pPr>
              <w:snapToGrid w:val="0"/>
              <w:rPr>
                <w:rFonts w:ascii="宋体" w:hAnsi="宋体"/>
                <w:highlight w:val="none"/>
                <w:u w:val="single"/>
              </w:rPr>
            </w:pPr>
            <w:r>
              <w:rPr>
                <w:rFonts w:ascii="宋体" w:hAnsi="宋体"/>
                <w:highlight w:val="none"/>
                <w:u w:val="single"/>
              </w:rPr>
              <w:t>2、如采用</w:t>
            </w:r>
            <w:r>
              <w:rPr>
                <w:rFonts w:hint="eastAsia" w:ascii="宋体" w:hAnsi="宋体"/>
                <w:highlight w:val="none"/>
                <w:u w:val="single"/>
              </w:rPr>
              <w:t>非电子形式的银行保函、专业工程担保公司担保或保证保险等形式提交投标保证金的</w:t>
            </w:r>
            <w:r>
              <w:rPr>
                <w:rFonts w:ascii="宋体" w:hAnsi="宋体"/>
                <w:highlight w:val="none"/>
                <w:u w:val="single"/>
              </w:rPr>
              <w:t>，银行保函需开具给招标人，银行保函有效期不少于投标有效期。专业</w:t>
            </w:r>
            <w:r>
              <w:rPr>
                <w:rFonts w:hint="eastAsia" w:ascii="宋体" w:hAnsi="宋体"/>
                <w:highlight w:val="none"/>
                <w:u w:val="single"/>
              </w:rPr>
              <w:t>工程</w:t>
            </w:r>
            <w:r>
              <w:rPr>
                <w:rFonts w:ascii="宋体" w:hAnsi="宋体"/>
                <w:highlight w:val="none"/>
                <w:u w:val="single"/>
              </w:rPr>
              <w:t>担保公司担保</w:t>
            </w:r>
            <w:r>
              <w:rPr>
                <w:rFonts w:hint="eastAsia" w:ascii="宋体" w:hAnsi="宋体"/>
                <w:highlight w:val="none"/>
                <w:u w:val="single"/>
              </w:rPr>
              <w:t>或</w:t>
            </w:r>
            <w:r>
              <w:rPr>
                <w:rFonts w:ascii="宋体" w:hAnsi="宋体"/>
                <w:highlight w:val="none"/>
                <w:u w:val="single"/>
              </w:rPr>
              <w:t>保证保险需开具给招标人（受益人也必须是招标人），有效期不少于投标有效期。在开标前不强制要求</w:t>
            </w:r>
            <w:r>
              <w:rPr>
                <w:rFonts w:hint="eastAsia" w:ascii="宋体" w:hAnsi="宋体"/>
                <w:highlight w:val="none"/>
                <w:u w:val="single"/>
              </w:rPr>
              <w:t>投标人</w:t>
            </w:r>
            <w:r>
              <w:rPr>
                <w:rFonts w:ascii="宋体" w:hAnsi="宋体"/>
                <w:highlight w:val="none"/>
                <w:u w:val="single"/>
              </w:rPr>
              <w:t>提交纸质原件，由中标候选人在中标候选人公示前提交并在网上公示，但</w:t>
            </w:r>
            <w:r>
              <w:rPr>
                <w:rFonts w:hint="eastAsia" w:ascii="宋体" w:hAnsi="宋体"/>
                <w:highlight w:val="none"/>
                <w:u w:val="single"/>
              </w:rPr>
              <w:t>投标人应在投标文件中提交保函、担保或保证保险扫描件并加盖投标人电子印章</w:t>
            </w:r>
            <w:r>
              <w:rPr>
                <w:rFonts w:ascii="宋体" w:hAnsi="宋体"/>
                <w:highlight w:val="none"/>
                <w:u w:val="single"/>
              </w:rPr>
              <w:t>。如投标人选择在开标前提交纸质原件的，可在投标截止时间前15分钟单独密封递交至开标室。</w:t>
            </w:r>
          </w:p>
          <w:p>
            <w:pPr>
              <w:snapToGrid w:val="0"/>
              <w:rPr>
                <w:rFonts w:ascii="宋体" w:hAnsi="宋体"/>
                <w:highlight w:val="none"/>
                <w:u w:val="single"/>
              </w:rPr>
            </w:pPr>
            <w:r>
              <w:rPr>
                <w:rFonts w:ascii="宋体" w:hAnsi="宋体"/>
                <w:highlight w:val="none"/>
                <w:u w:val="single"/>
              </w:rPr>
              <w:t>3、如</w:t>
            </w:r>
            <w:r>
              <w:rPr>
                <w:rFonts w:hint="eastAsia" w:ascii="宋体" w:hAnsi="宋体"/>
                <w:highlight w:val="none"/>
                <w:u w:val="single"/>
              </w:rPr>
              <w:t>采用电子形式的保函、担保或保证保险提交投标保证金的</w:t>
            </w:r>
            <w:r>
              <w:rPr>
                <w:rFonts w:ascii="宋体" w:hAnsi="宋体"/>
                <w:highlight w:val="none"/>
                <w:u w:val="single"/>
              </w:rPr>
              <w:t>，详见</w:t>
            </w:r>
            <w:r>
              <w:rPr>
                <w:rFonts w:hint="eastAsia" w:ascii="宋体" w:hAnsi="宋体"/>
                <w:highlight w:val="none"/>
                <w:u w:val="single"/>
              </w:rPr>
              <w:t>广州交易集团有限公司（广州公共资源交易中心）相关</w:t>
            </w:r>
            <w:r>
              <w:rPr>
                <w:rFonts w:ascii="宋体" w:hAnsi="宋体"/>
                <w:highlight w:val="none"/>
                <w:u w:val="single"/>
              </w:rPr>
              <w:t>操作指引。（本条适用于交易中心系统支持采用电子保函方式递交的情形）</w:t>
            </w:r>
          </w:p>
          <w:p>
            <w:pPr>
              <w:snapToGrid w:val="0"/>
              <w:rPr>
                <w:rFonts w:ascii="宋体" w:hAnsi="宋体"/>
                <w:b/>
                <w:highlight w:val="none"/>
                <w:u w:val="single"/>
              </w:rPr>
            </w:pPr>
            <w:r>
              <w:rPr>
                <w:rFonts w:hint="eastAsia" w:ascii="宋体" w:hAnsi="宋体"/>
                <w:b/>
                <w:highlight w:val="none"/>
                <w:u w:val="single"/>
              </w:rPr>
              <w:t>4、为降低投标人的交易成本，扩大信用承诺制的应用范围，信用良好企业或中小企业（联合体投标时，指联合体各成员）在提供相关资料后可无需缴纳投标保证金：</w:t>
            </w:r>
          </w:p>
          <w:p>
            <w:pPr>
              <w:snapToGrid w:val="0"/>
              <w:rPr>
                <w:rFonts w:ascii="宋体" w:hAnsi="宋体"/>
                <w:highlight w:val="none"/>
                <w:u w:val="single"/>
              </w:rPr>
            </w:pPr>
            <w:r>
              <w:rPr>
                <w:rFonts w:hint="eastAsia" w:ascii="宋体" w:hAnsi="宋体"/>
                <w:b/>
                <w:highlight w:val="none"/>
                <w:u w:val="single"/>
              </w:rPr>
              <w:t>（1）信用良好的投标人需提供信用状况良好的相关证明：</w:t>
            </w:r>
            <w:r>
              <w:rPr>
                <w:rFonts w:hint="eastAsia" w:ascii="宋体" w:hAnsi="宋体"/>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ascii="宋体" w:hAnsi="宋体"/>
                <w:highlight w:val="none"/>
                <w:u w:val="single"/>
              </w:rPr>
            </w:pPr>
            <w:r>
              <w:rPr>
                <w:rFonts w:hint="eastAsia" w:ascii="宋体" w:hAnsi="宋体"/>
                <w:b/>
                <w:highlight w:val="none"/>
                <w:u w:val="single"/>
              </w:rPr>
              <w:t>（2）属于中小企业（包括中型、小型和微型企业）的投标人需提供属于中小企业的资料：</w:t>
            </w:r>
            <w:r>
              <w:rPr>
                <w:rFonts w:hint="eastAsia" w:ascii="宋体" w:hAnsi="宋体"/>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rPr>
                <w:highlight w:val="none"/>
              </w:rPr>
            </w:pPr>
            <w:r>
              <w:rPr>
                <w:rFonts w:hint="eastAsia" w:ascii="宋体" w:hAnsi="宋体"/>
                <w:b/>
                <w:highlight w:val="none"/>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highlight w:val="none"/>
                <w:u w:val="single"/>
              </w:rPr>
            </w:pPr>
            <w:r>
              <w:rPr>
                <w:rFonts w:hint="eastAsia" w:ascii="宋体" w:hAnsi="宋体" w:cs="宋体"/>
                <w:szCs w:val="21"/>
                <w:highlight w:val="none"/>
                <w:u w:val="single"/>
              </w:rPr>
              <w:t>时间：自发布招标公告之日起具备现场踏勘条件；</w:t>
            </w:r>
          </w:p>
          <w:p>
            <w:pPr>
              <w:rPr>
                <w:rFonts w:ascii="宋体" w:hAnsi="宋体"/>
                <w:szCs w:val="21"/>
                <w:highlight w:val="none"/>
              </w:rPr>
            </w:pPr>
            <w:r>
              <w:rPr>
                <w:rFonts w:hint="eastAsia" w:ascii="宋体" w:hAnsi="宋体" w:cs="宋体"/>
                <w:szCs w:val="21"/>
                <w:highlight w:val="none"/>
                <w:u w:val="single"/>
              </w:rPr>
              <w:t>方式：招标人不集中组织，由投标人自行踏勘；</w:t>
            </w:r>
            <w:r>
              <w:rPr>
                <w:rFonts w:ascii="宋体" w:hAnsi="宋体"/>
                <w:szCs w:val="21"/>
                <w:highlight w:val="none"/>
              </w:rPr>
              <w:t xml:space="preserve"> </w:t>
            </w:r>
          </w:p>
          <w:p>
            <w:pPr>
              <w:rPr>
                <w:rFonts w:ascii="宋体" w:hAnsi="宋体"/>
                <w:szCs w:val="21"/>
                <w:highlight w:val="none"/>
              </w:rPr>
            </w:pPr>
            <w:r>
              <w:rPr>
                <w:rFonts w:hint="eastAsia" w:ascii="宋体" w:hAnsi="宋体" w:cs="宋体"/>
                <w:szCs w:val="21"/>
                <w:highlight w:val="none"/>
                <w:u w:val="single"/>
              </w:rPr>
              <w:t>现场详细地点：详见招标公告</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疑问提交时间：</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时前；</w:t>
            </w:r>
          </w:p>
          <w:p>
            <w:pPr>
              <w:rPr>
                <w:rFonts w:ascii="宋体" w:hAnsi="宋体" w:cs="宋体"/>
                <w:szCs w:val="21"/>
                <w:highlight w:val="none"/>
              </w:rPr>
            </w:pPr>
            <w:r>
              <w:rPr>
                <w:rFonts w:hint="eastAsia" w:ascii="宋体" w:hAnsi="宋体"/>
                <w:szCs w:val="21"/>
                <w:highlight w:val="none"/>
              </w:rPr>
              <w:t>形式：投标人的疑问通过</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交易平台提交。</w:t>
            </w:r>
          </w:p>
          <w:p>
            <w:pPr>
              <w:rPr>
                <w:rFonts w:ascii="宋体" w:hAnsi="宋体"/>
                <w:szCs w:val="21"/>
                <w:highlight w:val="none"/>
              </w:rPr>
            </w:pPr>
            <w:r>
              <w:rPr>
                <w:rFonts w:hint="eastAsia" w:ascii="宋体" w:hAnsi="宋体" w:cs="宋体"/>
                <w:szCs w:val="21"/>
                <w:highlight w:val="none"/>
              </w:rPr>
              <w:t>具体要求：按照交易平台关于全流程电子化项目的相关</w:t>
            </w:r>
            <w:r>
              <w:rPr>
                <w:rFonts w:hint="eastAsia" w:ascii="宋体" w:hAnsi="宋体"/>
                <w:szCs w:val="21"/>
                <w:highlight w:val="none"/>
              </w:rPr>
              <w:t>指南进行操作，详见：</w:t>
            </w:r>
            <w:r>
              <w:rPr>
                <w:rFonts w:hint="eastAsia" w:ascii="宋体" w:hAnsi="宋体" w:cs="宋体"/>
                <w:szCs w:val="21"/>
                <w:highlight w:val="none"/>
                <w:u w:val="single"/>
              </w:rPr>
              <w:t>广州交易集团有限公司（广州公共资源交易中心）网站</w:t>
            </w:r>
            <w:r>
              <w:rPr>
                <w:rFonts w:hint="eastAsia" w:ascii="宋体" w:hAnsi="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r>
              <w:rPr>
                <w:rFonts w:hint="eastAsia" w:ascii="宋体" w:hAnsi="宋体" w:cs="宋体"/>
                <w:b/>
                <w:bCs/>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（技术标和经济标同时开标）</w:t>
            </w:r>
          </w:p>
          <w:p>
            <w:pPr>
              <w:widowControl/>
              <w:jc w:val="left"/>
              <w:rPr>
                <w:rFonts w:ascii="仿宋" w:hAnsi="仿宋" w:eastAsia="仿宋" w:cs="宋体"/>
                <w:bCs/>
                <w:kern w:val="0"/>
                <w:sz w:val="22"/>
                <w:highlight w:val="none"/>
              </w:rPr>
            </w:pPr>
            <w:r>
              <w:rPr>
                <w:rFonts w:hint="eastAsia" w:ascii="宋体" w:hAnsi="宋体"/>
                <w:szCs w:val="21"/>
                <w:highlight w:val="none"/>
              </w:rPr>
              <w:t>1、开标开始时间：</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7</w:t>
            </w:r>
            <w:r>
              <w:rPr>
                <w:rFonts w:hint="eastAsia" w:ascii="宋体" w:hAnsi="宋体"/>
                <w:sz w:val="24"/>
                <w:highlight w:val="none"/>
              </w:rPr>
              <w:t>月</w:t>
            </w:r>
            <w:r>
              <w:rPr>
                <w:rFonts w:hint="eastAsia" w:ascii="宋体" w:hAnsi="宋体"/>
                <w:sz w:val="24"/>
                <w:highlight w:val="none"/>
                <w:u w:val="single"/>
              </w:rPr>
              <w:t>2</w:t>
            </w:r>
            <w:r>
              <w:rPr>
                <w:rFonts w:hint="eastAsia" w:ascii="宋体" w:hAnsi="宋体"/>
                <w:sz w:val="24"/>
                <w:highlight w:val="none"/>
                <w:u w:val="single"/>
                <w:lang w:val="en-US" w:eastAsia="zh-CN"/>
              </w:rPr>
              <w:t>5</w:t>
            </w:r>
            <w:r>
              <w:rPr>
                <w:rFonts w:hint="eastAsia" w:ascii="宋体" w:hAnsi="宋体"/>
                <w:sz w:val="24"/>
                <w:highlight w:val="none"/>
              </w:rPr>
              <w:t>日</w:t>
            </w:r>
            <w:r>
              <w:rPr>
                <w:rFonts w:hint="eastAsia" w:ascii="宋体" w:hAnsi="宋体"/>
                <w:sz w:val="24"/>
                <w:szCs w:val="24"/>
                <w:highlight w:val="none"/>
                <w:u w:val="single"/>
              </w:rPr>
              <w:t>10</w:t>
            </w:r>
            <w:r>
              <w:rPr>
                <w:rFonts w:hint="eastAsia" w:ascii="宋体" w:hAnsi="宋体"/>
                <w:sz w:val="24"/>
                <w:szCs w:val="24"/>
                <w:highlight w:val="none"/>
              </w:rPr>
              <w:t>时</w:t>
            </w:r>
            <w:r>
              <w:rPr>
                <w:rFonts w:hint="eastAsia" w:ascii="宋体" w:hAnsi="宋体"/>
                <w:sz w:val="24"/>
                <w:szCs w:val="24"/>
                <w:highlight w:val="none"/>
                <w:u w:val="single"/>
              </w:rPr>
              <w:t>00</w:t>
            </w:r>
            <w:r>
              <w:rPr>
                <w:rFonts w:hint="eastAsia" w:ascii="宋体" w:hAnsi="宋体"/>
                <w:sz w:val="24"/>
                <w:szCs w:val="24"/>
                <w:highlight w:val="none"/>
              </w:rPr>
              <w:t>分</w:t>
            </w:r>
            <w:r>
              <w:rPr>
                <w:rFonts w:hint="eastAsia" w:ascii="宋体" w:hAnsi="宋体"/>
                <w:szCs w:val="21"/>
                <w:highlight w:val="none"/>
              </w:rPr>
              <w:t>（与</w:t>
            </w:r>
            <w:r>
              <w:rPr>
                <w:rFonts w:ascii="宋体" w:hAnsi="宋体"/>
                <w:szCs w:val="21"/>
                <w:highlight w:val="none"/>
              </w:rPr>
              <w:t>投标截止时间</w:t>
            </w:r>
            <w:r>
              <w:rPr>
                <w:rFonts w:hint="eastAsia" w:ascii="宋体" w:hAnsi="宋体"/>
                <w:szCs w:val="21"/>
                <w:highlight w:val="none"/>
              </w:rPr>
              <w:t>为</w:t>
            </w:r>
            <w:r>
              <w:rPr>
                <w:rFonts w:ascii="宋体" w:hAnsi="宋体"/>
                <w:szCs w:val="21"/>
                <w:highlight w:val="none"/>
              </w:rPr>
              <w:t>同一时间</w:t>
            </w:r>
            <w:r>
              <w:rPr>
                <w:rFonts w:hint="eastAsia" w:ascii="宋体" w:hAnsi="宋体"/>
                <w:szCs w:val="21"/>
                <w:highlight w:val="none"/>
              </w:rPr>
              <w:t>），地点：</w:t>
            </w:r>
            <w:r>
              <w:rPr>
                <w:rFonts w:hint="eastAsia" w:ascii="宋体" w:hAnsi="宋体" w:cs="宋体"/>
                <w:szCs w:val="21"/>
                <w:highlight w:val="none"/>
                <w:u w:val="single"/>
              </w:rPr>
              <w:t>增城交易部开标  室</w:t>
            </w:r>
            <w:r>
              <w:rPr>
                <w:rFonts w:hint="eastAsia" w:ascii="宋体" w:hAnsi="宋体" w:cs="宋体"/>
                <w:szCs w:val="21"/>
                <w:highlight w:val="none"/>
              </w:rPr>
              <w:t xml:space="preserve"> 。</w:t>
            </w:r>
            <w:r>
              <w:rPr>
                <w:rFonts w:hint="eastAsia" w:ascii="仿宋" w:hAnsi="仿宋" w:eastAsia="仿宋" w:cs="宋体"/>
                <w:b/>
                <w:bCs/>
                <w:kern w:val="0"/>
                <w:sz w:val="22"/>
                <w:highlight w:val="none"/>
              </w:rPr>
              <w:t>投标人也可选择参加在线开标，具体按照交易平台相关指南进行操作。详见：</w:t>
            </w:r>
            <w:r>
              <w:rPr>
                <w:rFonts w:hint="eastAsia" w:ascii="仿宋" w:hAnsi="仿宋" w:eastAsia="仿宋" w:cs="宋体"/>
                <w:b/>
                <w:bCs/>
                <w:kern w:val="0"/>
                <w:sz w:val="22"/>
                <w:highlight w:val="none"/>
                <w:u w:val="single"/>
              </w:rPr>
              <w:t xml:space="preserve">        </w:t>
            </w:r>
            <w:r>
              <w:rPr>
                <w:rFonts w:hint="eastAsia" w:ascii="仿宋" w:hAnsi="仿宋" w:eastAsia="仿宋" w:cs="宋体"/>
                <w:b/>
                <w:bCs/>
                <w:kern w:val="0"/>
                <w:sz w:val="22"/>
                <w:highlight w:val="none"/>
              </w:rPr>
              <w:t>。</w:t>
            </w:r>
          </w:p>
          <w:p>
            <w:pPr>
              <w:rPr>
                <w:rFonts w:ascii="宋体" w:hAnsi="宋体"/>
                <w:highlight w:val="none"/>
              </w:rPr>
            </w:pPr>
            <w:r>
              <w:rPr>
                <w:rFonts w:hint="eastAsia" w:ascii="宋体" w:hAnsi="宋体"/>
                <w:szCs w:val="21"/>
                <w:highlight w:val="none"/>
              </w:rPr>
              <w:t>2、递交投标文件备用光盘时间：</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7</w:t>
            </w:r>
            <w:r>
              <w:rPr>
                <w:rFonts w:hint="eastAsia" w:ascii="宋体" w:hAnsi="宋体"/>
                <w:sz w:val="24"/>
                <w:highlight w:val="none"/>
              </w:rPr>
              <w:t>月</w:t>
            </w:r>
            <w:r>
              <w:rPr>
                <w:rFonts w:hint="eastAsia" w:ascii="宋体" w:hAnsi="宋体"/>
                <w:sz w:val="24"/>
                <w:highlight w:val="none"/>
                <w:u w:val="single"/>
              </w:rPr>
              <w:t>2</w:t>
            </w:r>
            <w:r>
              <w:rPr>
                <w:rFonts w:hint="eastAsia" w:ascii="宋体" w:hAnsi="宋体"/>
                <w:sz w:val="24"/>
                <w:highlight w:val="none"/>
                <w:u w:val="single"/>
                <w:lang w:val="en-US" w:eastAsia="zh-CN"/>
              </w:rPr>
              <w:t>5</w:t>
            </w:r>
            <w:r>
              <w:rPr>
                <w:rFonts w:hint="eastAsia" w:ascii="宋体" w:hAnsi="宋体"/>
                <w:sz w:val="24"/>
                <w:highlight w:val="none"/>
              </w:rPr>
              <w:t>日</w:t>
            </w:r>
            <w:r>
              <w:rPr>
                <w:rFonts w:hint="eastAsia" w:ascii="宋体" w:hAnsi="宋体"/>
                <w:sz w:val="24"/>
                <w:szCs w:val="24"/>
                <w:highlight w:val="none"/>
                <w:u w:val="single"/>
              </w:rPr>
              <w:t>9</w:t>
            </w:r>
            <w:r>
              <w:rPr>
                <w:rFonts w:hint="eastAsia" w:ascii="宋体" w:hAnsi="宋体"/>
                <w:sz w:val="24"/>
                <w:szCs w:val="24"/>
                <w:highlight w:val="none"/>
              </w:rPr>
              <w:t>时</w:t>
            </w:r>
            <w:r>
              <w:rPr>
                <w:rFonts w:hint="eastAsia" w:ascii="宋体" w:hAnsi="宋体"/>
                <w:sz w:val="24"/>
                <w:szCs w:val="24"/>
                <w:highlight w:val="none"/>
                <w:u w:val="single"/>
              </w:rPr>
              <w:t>45</w:t>
            </w:r>
            <w:r>
              <w:rPr>
                <w:rFonts w:hint="eastAsia" w:ascii="宋体" w:hAnsi="宋体"/>
                <w:sz w:val="24"/>
                <w:szCs w:val="24"/>
                <w:highlight w:val="none"/>
              </w:rPr>
              <w:t>分</w:t>
            </w:r>
            <w:r>
              <w:rPr>
                <w:rFonts w:hint="eastAsia" w:ascii="宋体" w:hAnsi="宋体"/>
                <w:szCs w:val="21"/>
                <w:highlight w:val="none"/>
              </w:rPr>
              <w:t>至</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7</w:t>
            </w:r>
            <w:r>
              <w:rPr>
                <w:rFonts w:hint="eastAsia" w:ascii="宋体" w:hAnsi="宋体"/>
                <w:sz w:val="24"/>
                <w:highlight w:val="none"/>
              </w:rPr>
              <w:t>月</w:t>
            </w:r>
            <w:r>
              <w:rPr>
                <w:rFonts w:hint="eastAsia" w:ascii="宋体" w:hAnsi="宋体"/>
                <w:sz w:val="24"/>
                <w:highlight w:val="none"/>
                <w:u w:val="single"/>
              </w:rPr>
              <w:t>2</w:t>
            </w:r>
            <w:r>
              <w:rPr>
                <w:rFonts w:hint="eastAsia" w:ascii="宋体" w:hAnsi="宋体"/>
                <w:sz w:val="24"/>
                <w:highlight w:val="none"/>
                <w:u w:val="single"/>
                <w:lang w:val="en-US" w:eastAsia="zh-CN"/>
              </w:rPr>
              <w:t>5</w:t>
            </w:r>
            <w:r>
              <w:rPr>
                <w:rFonts w:hint="eastAsia" w:ascii="宋体" w:hAnsi="宋体"/>
                <w:sz w:val="24"/>
                <w:highlight w:val="none"/>
              </w:rPr>
              <w:t>日</w:t>
            </w:r>
            <w:r>
              <w:rPr>
                <w:rFonts w:hint="eastAsia" w:ascii="宋体" w:hAnsi="宋体"/>
                <w:sz w:val="24"/>
                <w:szCs w:val="24"/>
                <w:highlight w:val="none"/>
                <w:u w:val="single"/>
              </w:rPr>
              <w:t>10</w:t>
            </w:r>
            <w:r>
              <w:rPr>
                <w:rFonts w:hint="eastAsia" w:ascii="宋体" w:hAnsi="宋体"/>
                <w:sz w:val="24"/>
                <w:szCs w:val="24"/>
                <w:highlight w:val="none"/>
              </w:rPr>
              <w:t>时</w:t>
            </w:r>
            <w:r>
              <w:rPr>
                <w:rFonts w:hint="eastAsia" w:ascii="宋体" w:hAnsi="宋体"/>
                <w:sz w:val="24"/>
                <w:szCs w:val="24"/>
                <w:highlight w:val="none"/>
                <w:u w:val="single"/>
              </w:rPr>
              <w:t>00</w:t>
            </w:r>
            <w:r>
              <w:rPr>
                <w:rFonts w:hint="eastAsia" w:ascii="宋体" w:hAnsi="宋体"/>
                <w:sz w:val="24"/>
                <w:szCs w:val="24"/>
                <w:highlight w:val="none"/>
              </w:rPr>
              <w:t>分</w:t>
            </w:r>
            <w:r>
              <w:rPr>
                <w:rFonts w:hint="eastAsia" w:ascii="宋体" w:hAnsi="宋体"/>
                <w:szCs w:val="21"/>
                <w:highlight w:val="none"/>
              </w:rPr>
              <w:t>；递交地点：</w:t>
            </w:r>
            <w:r>
              <w:rPr>
                <w:rFonts w:hint="eastAsia" w:ascii="宋体" w:hAnsi="宋体" w:cs="宋体"/>
                <w:szCs w:val="21"/>
                <w:highlight w:val="none"/>
                <w:u w:val="single"/>
              </w:rPr>
              <w:t>增城交易部开标   室</w:t>
            </w:r>
            <w:r>
              <w:rPr>
                <w:rFonts w:hint="eastAsia" w:ascii="宋体" w:hAnsi="宋体"/>
                <w:highlight w:val="none"/>
              </w:rPr>
              <w:t>。(建议安排在投标文件截止时间前15分钟至投标文件截止时间）</w:t>
            </w:r>
          </w:p>
          <w:p>
            <w:pPr>
              <w:rPr>
                <w:rFonts w:ascii="宋体" w:hAnsi="宋体"/>
                <w:szCs w:val="21"/>
                <w:highlight w:val="none"/>
              </w:rPr>
            </w:pPr>
            <w:r>
              <w:rPr>
                <w:rFonts w:hint="eastAsia" w:ascii="宋体" w:hAnsi="宋体"/>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highlight w:val="none"/>
                <w:u w:val="single"/>
              </w:rPr>
            </w:pPr>
            <w:r>
              <w:rPr>
                <w:rFonts w:hint="eastAsia" w:ascii="宋体" w:hAnsi="宋体"/>
                <w:szCs w:val="21"/>
                <w:highlight w:val="none"/>
              </w:rPr>
              <w:t>方式一：选取方法</w:t>
            </w:r>
            <w:r>
              <w:rPr>
                <w:rFonts w:hint="eastAsia" w:ascii="宋体" w:hAnsi="宋体" w:cs="宋体"/>
                <w:szCs w:val="21"/>
                <w:highlight w:val="none"/>
                <w:u w:val="single"/>
              </w:rPr>
              <w:t>办法七（适合综合评分法四，技术标与经济标同时开启）</w:t>
            </w:r>
          </w:p>
          <w:p>
            <w:pPr>
              <w:pStyle w:val="5"/>
              <w:ind w:firstLine="0"/>
              <w:rPr>
                <w:rFonts w:ascii="宋体" w:hAnsi="宋体" w:cs="宋体"/>
                <w:szCs w:val="21"/>
                <w:highlight w:val="none"/>
                <w:u w:val="single"/>
              </w:rPr>
            </w:pPr>
            <w:r>
              <w:rPr>
                <w:rFonts w:hint="eastAsia" w:ascii="宋体" w:hAnsi="宋体" w:cs="宋体"/>
                <w:szCs w:val="21"/>
                <w:highlight w:val="none"/>
                <w:u w:val="single"/>
              </w:rPr>
              <w:t>投标人总得分=技术得分（100分）×技术得分权重（20%）＋经济得分（满分100分）×经济得分权重（80%）。</w:t>
            </w:r>
          </w:p>
          <w:p>
            <w:pPr>
              <w:pStyle w:val="5"/>
              <w:ind w:firstLine="0"/>
              <w:rPr>
                <w:rFonts w:ascii="宋体" w:hAnsi="宋体"/>
                <w:szCs w:val="21"/>
                <w:highlight w:val="none"/>
              </w:rPr>
            </w:pPr>
            <w:r>
              <w:rPr>
                <w:rFonts w:hint="eastAsia" w:ascii="宋体" w:hAnsi="宋体" w:cs="宋体"/>
                <w:szCs w:val="21"/>
                <w:highlight w:val="none"/>
              </w:rPr>
              <w:t>总</w:t>
            </w:r>
            <w:r>
              <w:rPr>
                <w:rFonts w:hint="eastAsia" w:ascii="宋体" w:hAnsi="宋体" w:cs="宋体"/>
                <w:bCs/>
                <w:szCs w:val="21"/>
                <w:highlight w:val="none"/>
              </w:rPr>
              <w:t>得分四舍五入保留两位小数。</w:t>
            </w:r>
            <w:r>
              <w:rPr>
                <w:rFonts w:hint="eastAsia" w:ascii="宋体" w:hAnsi="宋体" w:cs="宋体"/>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highlight w:val="none"/>
              </w:rPr>
            </w:pPr>
            <w:r>
              <w:rPr>
                <w:rFonts w:hint="eastAsia" w:ascii="宋体" w:hAnsi="宋体"/>
                <w:highlight w:val="none"/>
              </w:rPr>
              <w:t>方式一：中标人提供的履约保证金为中标价款的10%。</w:t>
            </w:r>
          </w:p>
          <w:p>
            <w:pPr>
              <w:pStyle w:val="5"/>
              <w:spacing w:after="0"/>
              <w:ind w:firstLine="0"/>
              <w:rPr>
                <w:rFonts w:ascii="宋体" w:hAnsi="宋体"/>
                <w:highlight w:val="none"/>
              </w:rPr>
            </w:pPr>
            <w:r>
              <w:rPr>
                <w:rFonts w:hint="eastAsia" w:ascii="宋体" w:hAnsi="宋体" w:cs="宋体"/>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本项目最高投标限价人民币</w:t>
            </w:r>
            <w:r>
              <w:rPr>
                <w:rFonts w:hint="eastAsia" w:ascii="宋体" w:hAnsi="宋体"/>
                <w:szCs w:val="21"/>
                <w:highlight w:val="none"/>
                <w:u w:val="single"/>
              </w:rPr>
              <w:t>40151808.69</w:t>
            </w:r>
            <w:r>
              <w:rPr>
                <w:rFonts w:hint="eastAsia" w:ascii="宋体" w:hAnsi="宋体"/>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rPr>
              <w:t>3116548.06</w:t>
            </w:r>
            <w:r>
              <w:rPr>
                <w:rFonts w:hint="eastAsia" w:ascii="宋体" w:hAnsi="宋体"/>
                <w:szCs w:val="21"/>
                <w:highlight w:val="none"/>
              </w:rPr>
              <w:t>元，暂列金额为</w:t>
            </w:r>
          </w:p>
          <w:p>
            <w:pPr>
              <w:rPr>
                <w:rFonts w:ascii="宋体" w:hAnsi="宋体"/>
                <w:szCs w:val="21"/>
                <w:highlight w:val="none"/>
              </w:rPr>
            </w:pPr>
            <w:r>
              <w:rPr>
                <w:rFonts w:hint="eastAsia" w:ascii="宋体" w:hAnsi="宋体"/>
                <w:szCs w:val="21"/>
                <w:highlight w:val="none"/>
                <w:u w:val="single"/>
              </w:rPr>
              <w:t>0元</w:t>
            </w:r>
            <w:r>
              <w:rPr>
                <w:rFonts w:hint="eastAsia" w:ascii="宋体" w:hAnsi="宋体"/>
                <w:szCs w:val="21"/>
                <w:highlight w:val="none"/>
              </w:rPr>
              <w:t>，暂估价为</w:t>
            </w:r>
            <w:r>
              <w:rPr>
                <w:rFonts w:hint="eastAsia" w:ascii="宋体" w:hAnsi="宋体"/>
                <w:szCs w:val="21"/>
                <w:highlight w:val="none"/>
                <w:u w:val="single"/>
              </w:rPr>
              <w:t>1240000元</w:t>
            </w:r>
            <w:r>
              <w:rPr>
                <w:rFonts w:hint="eastAsia" w:ascii="宋体" w:hAnsi="宋体"/>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highlight w:val="none"/>
              </w:rPr>
            </w:pPr>
            <w:r>
              <w:rPr>
                <w:rFonts w:hint="eastAsia" w:ascii="宋体" w:hAnsi="宋体"/>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rPr>
              <w:t>38144218.26</w:t>
            </w:r>
            <w:r>
              <w:rPr>
                <w:rFonts w:hint="eastAsia" w:ascii="宋体" w:hAnsi="宋体"/>
                <w:szCs w:val="21"/>
                <w:highlight w:val="none"/>
              </w:rPr>
              <w:t>元</w:t>
            </w:r>
            <w:r>
              <w:rPr>
                <w:rFonts w:hint="eastAsia" w:ascii="宋体" w:hAnsi="宋体" w:cs="宋体"/>
                <w:szCs w:val="21"/>
                <w:highlight w:val="none"/>
                <w:u w:val="single"/>
              </w:rPr>
              <w:t>(最高投标限价的95%设置为工程成本警戒价)</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r>
              <w:rPr>
                <w:rFonts w:hint="eastAsia"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r>
              <w:rPr>
                <w:rFonts w:hint="eastAsia"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bCs/>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sym w:font="Wingdings 2" w:char="00A3"/>
            </w:r>
            <w:r>
              <w:rPr>
                <w:rFonts w:hint="eastAsia" w:ascii="宋体" w:hAnsi="宋体"/>
                <w:kern w:val="0"/>
                <w:szCs w:val="21"/>
                <w:highlight w:val="none"/>
                <w:lang w:val="zh-CN"/>
              </w:rPr>
              <w:t>不允许；</w:t>
            </w:r>
          </w:p>
          <w:p>
            <w:pPr>
              <w:rPr>
                <w:rFonts w:ascii="宋体" w:hAnsi="宋体" w:cs="宋体"/>
                <w:kern w:val="0"/>
                <w:szCs w:val="21"/>
                <w:highlight w:val="none"/>
                <w:lang w:val="zh-CN"/>
              </w:rPr>
            </w:pPr>
            <w:r>
              <w:rPr>
                <w:rFonts w:hint="eastAsia" w:ascii="宋体" w:hAnsi="宋体" w:cs="宋体"/>
                <w:kern w:val="0"/>
                <w:szCs w:val="21"/>
                <w:highlight w:val="none"/>
                <w:lang w:val="zh-CN"/>
              </w:rPr>
              <w:t>■</w:t>
            </w:r>
            <w:r>
              <w:rPr>
                <w:rFonts w:hint="eastAsia" w:ascii="宋体" w:hAnsi="宋体"/>
                <w:kern w:val="0"/>
                <w:szCs w:val="21"/>
                <w:highlight w:val="none"/>
                <w:lang w:val="zh-CN"/>
              </w:rPr>
              <w:t>允许：分包内容要要求：</w:t>
            </w:r>
            <w:r>
              <w:rPr>
                <w:rFonts w:hint="eastAsia" w:ascii="宋体" w:hAnsi="宋体" w:cs="宋体"/>
                <w:kern w:val="0"/>
                <w:szCs w:val="21"/>
                <w:highlight w:val="none"/>
                <w:u w:val="single"/>
                <w:lang w:val="zh-CN"/>
              </w:rPr>
              <w:t>中标人按照合同约定或者经招标人同意，可以将中标项目的部分非主体、非关键性工作分包给他人完成。</w:t>
            </w:r>
          </w:p>
          <w:p>
            <w:pPr>
              <w:rPr>
                <w:rFonts w:ascii="宋体" w:hAnsi="宋体" w:cs="宋体"/>
                <w:kern w:val="0"/>
                <w:szCs w:val="21"/>
                <w:highlight w:val="none"/>
                <w:lang w:val="zh-CN"/>
              </w:rPr>
            </w:pPr>
            <w:r>
              <w:rPr>
                <w:rFonts w:hint="eastAsia" w:ascii="宋体" w:hAnsi="宋体"/>
                <w:kern w:val="0"/>
                <w:szCs w:val="21"/>
                <w:highlight w:val="none"/>
                <w:lang w:val="zh-CN"/>
              </w:rPr>
              <w:t xml:space="preserve">      </w:t>
            </w:r>
            <w:r>
              <w:rPr>
                <w:rFonts w:hint="eastAsia" w:ascii="宋体" w:hAnsi="宋体" w:cs="宋体"/>
                <w:kern w:val="0"/>
                <w:szCs w:val="21"/>
                <w:highlight w:val="none"/>
                <w:lang w:val="zh-CN"/>
              </w:rPr>
              <w:t>分包金额要求：</w:t>
            </w:r>
            <w:r>
              <w:rPr>
                <w:rFonts w:hint="eastAsia" w:ascii="宋体" w:hAnsi="宋体" w:cs="宋体"/>
                <w:kern w:val="0"/>
                <w:szCs w:val="21"/>
                <w:highlight w:val="none"/>
                <w:u w:val="single"/>
                <w:lang w:val="zh-CN"/>
              </w:rPr>
              <w:t>根据实际情况确定。</w:t>
            </w:r>
          </w:p>
          <w:p>
            <w:pPr>
              <w:rPr>
                <w:rFonts w:ascii="宋体" w:hAnsi="宋体" w:cs="宋体"/>
                <w:kern w:val="0"/>
                <w:szCs w:val="21"/>
                <w:highlight w:val="none"/>
                <w:u w:val="single"/>
                <w:lang w:val="zh-CN"/>
              </w:rPr>
            </w:pPr>
            <w:r>
              <w:rPr>
                <w:rFonts w:hint="eastAsia" w:ascii="宋体" w:hAnsi="宋体" w:cs="宋体"/>
                <w:kern w:val="0"/>
                <w:szCs w:val="21"/>
                <w:highlight w:val="none"/>
                <w:lang w:val="zh-CN"/>
              </w:rPr>
              <w:t xml:space="preserve">      对分包人的资质要求：</w:t>
            </w:r>
            <w:r>
              <w:rPr>
                <w:rFonts w:hint="eastAsia" w:ascii="宋体" w:hAnsi="宋体" w:cs="宋体"/>
                <w:kern w:val="0"/>
                <w:szCs w:val="21"/>
                <w:highlight w:val="none"/>
                <w:u w:val="single"/>
                <w:lang w:val="zh-CN"/>
              </w:rPr>
              <w:t>按国家资质管理规定执行。</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对分包人的其他要求：</w:t>
            </w:r>
            <w:r>
              <w:rPr>
                <w:rFonts w:hint="eastAsia" w:ascii="宋体" w:hAnsi="宋体"/>
                <w:kern w:val="0"/>
                <w:szCs w:val="21"/>
                <w:highlight w:val="none"/>
                <w:u w:val="single"/>
              </w:rPr>
              <w:t xml:space="preserve">  </w:t>
            </w:r>
            <w:r>
              <w:rPr>
                <w:rFonts w:hint="eastAsia" w:ascii="宋体" w:hAnsi="宋体" w:cs="宋体"/>
                <w:kern w:val="0"/>
                <w:szCs w:val="21"/>
                <w:highlight w:val="none"/>
                <w:u w:val="single"/>
                <w:lang w:val="zh-CN"/>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cs="宋体"/>
                <w:kern w:val="0"/>
                <w:szCs w:val="21"/>
                <w:highlight w:val="none"/>
                <w:u w:val="single"/>
                <w:lang w:val="zh-CN"/>
              </w:rPr>
              <w:t>广州交易集团有限公司（广州公共资源交易中心）网站</w:t>
            </w:r>
            <w:r>
              <w:rPr>
                <w:rFonts w:hint="eastAsia" w:ascii="宋体" w:hAnsi="宋体" w:cs="Courier New"/>
                <w:szCs w:val="21"/>
                <w:highlight w:val="none"/>
              </w:rPr>
              <w:t xml:space="preserve">。  </w:t>
            </w:r>
          </w:p>
          <w:p>
            <w:pPr>
              <w:rPr>
                <w:rFonts w:ascii="宋体" w:hAnsi="宋体" w:cs="Courier New"/>
                <w:szCs w:val="21"/>
                <w:highlight w:val="none"/>
              </w:rPr>
            </w:pPr>
            <w:r>
              <w:rPr>
                <w:rFonts w:hint="eastAsia" w:ascii="宋体" w:hAnsi="宋体" w:cs="Courier New"/>
                <w:szCs w:val="21"/>
                <w:highlight w:val="none"/>
              </w:rPr>
              <w:t>2、提交投标文件光盘备用</w:t>
            </w:r>
          </w:p>
          <w:p>
            <w:pPr>
              <w:rPr>
                <w:rFonts w:ascii="宋体" w:hAnsi="宋体" w:cs="Courier New"/>
                <w:szCs w:val="21"/>
                <w:highlight w:val="none"/>
              </w:rPr>
            </w:pPr>
            <w:r>
              <w:rPr>
                <w:rFonts w:hint="eastAsia" w:ascii="宋体" w:hAnsi="宋体" w:cs="Courier New"/>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highlight w:val="none"/>
              </w:rPr>
            </w:pPr>
            <w:r>
              <w:rPr>
                <w:rFonts w:hint="eastAsia" w:ascii="宋体" w:hAnsi="宋体" w:cs="Courier New"/>
                <w:szCs w:val="21"/>
                <w:highlight w:val="none"/>
              </w:rPr>
              <w:t xml:space="preserve"> 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ascii="宋体" w:hAnsi="宋体" w:cs="宋体"/>
                <w:b/>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highlight w:val="none"/>
              </w:rPr>
            </w:pPr>
            <w:r>
              <w:rPr>
                <w:rFonts w:hint="eastAsia" w:ascii="宋体" w:hAnsi="宋体" w:cs="宋体"/>
                <w:b/>
                <w:szCs w:val="21"/>
                <w:highlight w:val="none"/>
                <w:u w:val="single"/>
              </w:rPr>
              <w:t>交易服务费：根据广州市政府相关文件的规定，向广州交易集团有限公司（广州公共资源交易中心）交纳交易服务费。</w:t>
            </w:r>
          </w:p>
        </w:tc>
      </w:tr>
    </w:tbl>
    <w:p>
      <w:pPr>
        <w:spacing w:line="480" w:lineRule="auto"/>
        <w:rPr>
          <w:rFonts w:ascii="宋体"/>
          <w:strike/>
          <w:sz w:val="24"/>
          <w:highlight w:val="none"/>
        </w:rPr>
      </w:pPr>
      <w:r>
        <w:rPr>
          <w:rFonts w:hint="eastAsia" w:ascii="宋体" w:hAnsi="宋体"/>
          <w:strike/>
          <w:sz w:val="24"/>
          <w:highlight w:val="none"/>
        </w:rPr>
        <w:t>注：企业</w:t>
      </w:r>
      <w:r>
        <w:rPr>
          <w:rFonts w:hint="eastAsia" w:ascii="宋体" w:hAnsi="宋体" w:cs="宋体"/>
          <w:strike/>
          <w:kern w:val="0"/>
          <w:sz w:val="24"/>
          <w:highlight w:val="none"/>
        </w:rPr>
        <w:t>综合诚信评价得分即</w:t>
      </w:r>
      <w:r>
        <w:rPr>
          <w:rFonts w:hint="eastAsia" w:ascii="宋体" w:hAnsi="宋体"/>
          <w:strike/>
          <w:sz w:val="24"/>
          <w:highlight w:val="none"/>
        </w:rPr>
        <w:t>企业</w:t>
      </w:r>
      <w:r>
        <w:rPr>
          <w:rFonts w:hint="eastAsia" w:ascii="宋体" w:hAnsi="宋体" w:cs="宋体"/>
          <w:strike/>
          <w:kern w:val="0"/>
          <w:sz w:val="24"/>
          <w:highlight w:val="none"/>
        </w:rPr>
        <w:t>综合诚信评价</w:t>
      </w:r>
      <w:r>
        <w:rPr>
          <w:rFonts w:ascii="宋体" w:hAnsi="宋体" w:cs="宋体"/>
          <w:strike/>
          <w:kern w:val="0"/>
          <w:sz w:val="24"/>
          <w:highlight w:val="none"/>
        </w:rPr>
        <w:t>60</w:t>
      </w:r>
      <w:r>
        <w:rPr>
          <w:rFonts w:hint="eastAsia" w:ascii="宋体" w:hAnsi="宋体" w:cs="宋体"/>
          <w:strike/>
          <w:kern w:val="0"/>
          <w:sz w:val="24"/>
          <w:highlight w:val="none"/>
        </w:rPr>
        <w:t>日诚信分，以下同。</w:t>
      </w:r>
    </w:p>
    <w:p>
      <w:pPr>
        <w:pStyle w:val="6"/>
        <w:rPr>
          <w:color w:val="auto"/>
          <w:highlight w:val="none"/>
        </w:rPr>
      </w:pPr>
      <w:bookmarkStart w:id="6" w:name="_Toc21525491"/>
      <w:bookmarkStart w:id="7" w:name="_Toc2272547"/>
    </w:p>
    <w:p>
      <w:pPr>
        <w:rPr>
          <w:highlight w:val="none"/>
        </w:rPr>
      </w:pPr>
    </w:p>
    <w:p>
      <w:pPr>
        <w:pStyle w:val="6"/>
        <w:rPr>
          <w:color w:val="auto"/>
          <w:highlight w:val="none"/>
        </w:rPr>
      </w:pPr>
      <w:r>
        <w:rPr>
          <w:rFonts w:hint="eastAsia"/>
          <w:color w:val="auto"/>
          <w:highlight w:val="none"/>
        </w:rPr>
        <w:t>二、投标须知修改表</w:t>
      </w:r>
      <w:bookmarkEnd w:id="6"/>
      <w:bookmarkEnd w:id="7"/>
    </w:p>
    <w:p>
      <w:pPr>
        <w:pStyle w:val="5"/>
        <w:spacing w:line="360" w:lineRule="auto"/>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b/>
          <w:szCs w:val="21"/>
          <w:highlight w:val="none"/>
        </w:rPr>
        <w:t>2.5</w:t>
      </w:r>
      <w:r>
        <w:rPr>
          <w:b/>
          <w:szCs w:val="21"/>
          <w:highlight w:val="none"/>
        </w:rPr>
        <w:t xml:space="preserve">             </w:t>
      </w:r>
      <w:r>
        <w:rPr>
          <w:rFonts w:hint="eastAsia"/>
          <w:b/>
          <w:szCs w:val="21"/>
          <w:highlight w:val="none"/>
        </w:rPr>
        <w:t>修改类型：增加</w:t>
      </w:r>
    </w:p>
    <w:p>
      <w:pPr>
        <w:pBdr>
          <w:bottom w:val="single" w:color="auto" w:sz="6" w:space="1"/>
        </w:pBdr>
        <w:spacing w:line="480" w:lineRule="auto"/>
        <w:ind w:firstLine="472" w:firstLineChars="224"/>
        <w:rPr>
          <w:b/>
          <w:szCs w:val="21"/>
          <w:highlight w:val="none"/>
        </w:rPr>
      </w:pPr>
      <w:r>
        <w:rPr>
          <w:rFonts w:hint="eastAsia"/>
          <w:b/>
          <w:szCs w:val="21"/>
          <w:highlight w:val="none"/>
        </w:rPr>
        <w:t>现文：</w:t>
      </w:r>
      <w:r>
        <w:rPr>
          <w:rFonts w:hint="eastAsia" w:ascii="宋体" w:hAnsi="宋体" w:cs="宋体"/>
          <w:b/>
          <w:szCs w:val="21"/>
          <w:highlight w:val="none"/>
          <w:u w:val="single"/>
        </w:rPr>
        <w:t>2.5</w:t>
      </w:r>
      <w:r>
        <w:rPr>
          <w:rFonts w:hint="eastAsia" w:ascii="宋体" w:hAnsi="宋体" w:cs="宋体"/>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
          <w:szCs w:val="21"/>
          <w:highlight w:val="none"/>
        </w:rPr>
        <w:t>5.1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bCs/>
          <w:sz w:val="24"/>
          <w:highlight w:val="none"/>
          <w:u w:val="single"/>
        </w:rPr>
      </w:pPr>
      <w:r>
        <w:rPr>
          <w:rFonts w:hint="eastAsia"/>
          <w:b/>
          <w:szCs w:val="21"/>
          <w:highlight w:val="none"/>
        </w:rPr>
        <w:t>原文：</w:t>
      </w:r>
      <w:r>
        <w:rPr>
          <w:rFonts w:hint="eastAsia" w:ascii="宋体" w:hAnsi="宋体" w:cs="宋体"/>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highlight w:val="none"/>
          <w:u w:val="single"/>
        </w:rPr>
        <w:t>投标人不进行踏勘的，视为已熟知现场条件，自行承担相关风险</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招标人不受理因投标人缺乏对现场条件的了解或掌握而提出的任何索赔。</w:t>
      </w:r>
      <w:r>
        <w:rPr>
          <w:rFonts w:hint="eastAsia" w:ascii="宋体" w:hAnsi="宋体" w:cs="宋体"/>
          <w:szCs w:val="21"/>
          <w:highlight w:val="none"/>
        </w:rPr>
        <w:t>考察现场的费用由投标人自己承担。</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7.1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第一章  投标须知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第二章  开标、评标及定标办法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第三章  合同条款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第四章  投标文件格式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第五章  技术条件（工程建设标准）（另册）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第六章  图纸及勘察资料（另册）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第七章  招标工程量清单（另册）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第八章  最高投标限价</w:t>
      </w:r>
    </w:p>
    <w:p>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bCs/>
          <w:szCs w:val="21"/>
          <w:highlight w:val="none"/>
        </w:rPr>
        <w:t>7.1</w:t>
      </w:r>
      <w:r>
        <w:rPr>
          <w:rFonts w:hint="eastAsia" w:ascii="宋体" w:hAnsi="宋体" w:cs="宋体"/>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szCs w:val="21"/>
          <w:highlight w:val="none"/>
        </w:rPr>
      </w:pPr>
      <w:r>
        <w:rPr>
          <w:rFonts w:hint="eastAsia" w:ascii="宋体" w:hAnsi="宋体" w:cs="宋体"/>
          <w:bCs/>
          <w:szCs w:val="21"/>
          <w:highlight w:val="none"/>
        </w:rPr>
        <w:t xml:space="preserve">第一章  </w:t>
      </w:r>
      <w:r>
        <w:rPr>
          <w:rFonts w:hint="eastAsia" w:ascii="宋体" w:hAnsi="宋体" w:cs="宋体"/>
          <w:szCs w:val="21"/>
          <w:highlight w:val="none"/>
        </w:rPr>
        <w:t>投标须知</w:t>
      </w:r>
    </w:p>
    <w:p>
      <w:pPr>
        <w:pStyle w:val="5"/>
        <w:spacing w:after="0" w:line="360" w:lineRule="auto"/>
        <w:ind w:left="-2" w:firstLineChars="200"/>
        <w:rPr>
          <w:rFonts w:ascii="宋体" w:hAnsi="宋体" w:cs="宋体"/>
          <w:szCs w:val="21"/>
          <w:highlight w:val="none"/>
        </w:rPr>
      </w:pPr>
      <w:r>
        <w:rPr>
          <w:rFonts w:hint="eastAsia" w:ascii="宋体" w:hAnsi="宋体" w:cs="宋体"/>
          <w:bCs/>
          <w:szCs w:val="21"/>
          <w:highlight w:val="none"/>
        </w:rPr>
        <w:t xml:space="preserve">第二章  </w:t>
      </w:r>
      <w:r>
        <w:rPr>
          <w:rFonts w:hint="eastAsia" w:ascii="宋体" w:hAnsi="宋体" w:cs="宋体"/>
          <w:szCs w:val="21"/>
          <w:highlight w:val="none"/>
        </w:rPr>
        <w:t>开标、评标及定标办法</w:t>
      </w:r>
    </w:p>
    <w:p>
      <w:pPr>
        <w:pStyle w:val="5"/>
        <w:spacing w:after="0" w:line="360" w:lineRule="auto"/>
        <w:ind w:left="-2" w:firstLineChars="200"/>
        <w:rPr>
          <w:rFonts w:ascii="宋体" w:hAnsi="宋体" w:cs="宋体"/>
          <w:szCs w:val="21"/>
          <w:highlight w:val="none"/>
        </w:rPr>
      </w:pPr>
      <w:r>
        <w:rPr>
          <w:rFonts w:hint="eastAsia" w:ascii="宋体" w:hAnsi="宋体" w:cs="宋体"/>
          <w:szCs w:val="21"/>
          <w:highlight w:val="none"/>
        </w:rPr>
        <w:t>第三章  合同条款</w:t>
      </w:r>
    </w:p>
    <w:p>
      <w:pPr>
        <w:pStyle w:val="5"/>
        <w:spacing w:after="0" w:line="360" w:lineRule="auto"/>
        <w:ind w:firstLineChars="200"/>
        <w:rPr>
          <w:rFonts w:ascii="宋体" w:hAnsi="宋体" w:cs="宋体"/>
          <w:szCs w:val="21"/>
          <w:highlight w:val="none"/>
        </w:rPr>
      </w:pPr>
      <w:r>
        <w:rPr>
          <w:rFonts w:hint="eastAsia" w:ascii="宋体" w:hAnsi="宋体" w:cs="宋体"/>
          <w:bCs/>
          <w:szCs w:val="21"/>
          <w:highlight w:val="none"/>
        </w:rPr>
        <w:t xml:space="preserve">第四章  </w:t>
      </w:r>
      <w:r>
        <w:rPr>
          <w:rFonts w:hint="eastAsia" w:ascii="宋体" w:hAnsi="宋体" w:cs="宋体"/>
          <w:szCs w:val="21"/>
          <w:highlight w:val="none"/>
        </w:rPr>
        <w:t>投标文件格式</w:t>
      </w:r>
    </w:p>
    <w:p>
      <w:pPr>
        <w:pStyle w:val="5"/>
        <w:spacing w:after="0" w:line="360" w:lineRule="auto"/>
        <w:ind w:left="-2" w:firstLineChars="200"/>
        <w:rPr>
          <w:rFonts w:ascii="宋体" w:hAnsi="宋体" w:cs="宋体"/>
          <w:szCs w:val="21"/>
          <w:highlight w:val="none"/>
          <w:u w:val="single"/>
        </w:rPr>
      </w:pPr>
      <w:r>
        <w:rPr>
          <w:rFonts w:hint="eastAsia" w:ascii="宋体" w:hAnsi="宋体" w:cs="宋体"/>
          <w:bCs/>
          <w:szCs w:val="21"/>
          <w:highlight w:val="none"/>
          <w:u w:val="single"/>
        </w:rPr>
        <w:t xml:space="preserve">第五章  </w:t>
      </w:r>
      <w:r>
        <w:rPr>
          <w:rFonts w:hint="eastAsia" w:ascii="宋体" w:hAnsi="宋体" w:cs="宋体"/>
          <w:szCs w:val="21"/>
          <w:highlight w:val="none"/>
          <w:u w:val="single"/>
        </w:rPr>
        <w:t>技术条件（工程建设标准）</w:t>
      </w:r>
    </w:p>
    <w:p>
      <w:pPr>
        <w:pStyle w:val="5"/>
        <w:spacing w:after="0" w:line="360" w:lineRule="auto"/>
        <w:ind w:left="-2" w:firstLineChars="200"/>
        <w:rPr>
          <w:rFonts w:ascii="宋体" w:hAnsi="宋体" w:cs="宋体"/>
          <w:szCs w:val="21"/>
          <w:highlight w:val="none"/>
        </w:rPr>
      </w:pPr>
      <w:r>
        <w:rPr>
          <w:rFonts w:hint="eastAsia" w:ascii="宋体" w:hAnsi="宋体" w:cs="宋体"/>
          <w:bCs/>
          <w:szCs w:val="21"/>
          <w:highlight w:val="none"/>
        </w:rPr>
        <w:t xml:space="preserve">第六章  </w:t>
      </w:r>
      <w:r>
        <w:rPr>
          <w:rFonts w:hint="eastAsia" w:ascii="宋体" w:hAnsi="宋体" w:cs="宋体"/>
          <w:szCs w:val="21"/>
          <w:highlight w:val="none"/>
        </w:rPr>
        <w:t>图纸及勘察资料（另册）</w:t>
      </w:r>
    </w:p>
    <w:p>
      <w:pPr>
        <w:pStyle w:val="5"/>
        <w:spacing w:after="0" w:line="360" w:lineRule="auto"/>
        <w:ind w:left="-2" w:firstLineChars="200"/>
        <w:rPr>
          <w:rFonts w:ascii="宋体" w:hAnsi="宋体" w:cs="宋体"/>
          <w:szCs w:val="21"/>
          <w:highlight w:val="none"/>
        </w:rPr>
      </w:pPr>
      <w:r>
        <w:rPr>
          <w:rFonts w:hint="eastAsia" w:ascii="宋体" w:hAnsi="宋体" w:cs="宋体"/>
          <w:bCs/>
          <w:szCs w:val="21"/>
          <w:highlight w:val="none"/>
        </w:rPr>
        <w:t>第七章  招标</w:t>
      </w:r>
      <w:r>
        <w:rPr>
          <w:rFonts w:hint="eastAsia" w:ascii="宋体" w:hAnsi="宋体" w:cs="宋体"/>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第八章  最高投标限价</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8.1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8.1 投标人若对招标文件（包括招标图纸）中有疑问，可以书面形式通过</w:t>
      </w:r>
      <w:r>
        <w:rPr>
          <w:rFonts w:hint="eastAsia" w:ascii="宋体" w:hAnsi="宋体" w:cs="宋体"/>
          <w:szCs w:val="21"/>
          <w:highlight w:val="none"/>
          <w:u w:val="single"/>
        </w:rPr>
        <w:t xml:space="preserve">       </w:t>
      </w:r>
      <w:r>
        <w:rPr>
          <w:rFonts w:hint="eastAsia" w:ascii="宋体" w:hAnsi="宋体" w:cs="宋体"/>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szCs w:val="21"/>
          <w:highlight w:val="none"/>
          <w:u w:val="single"/>
        </w:rPr>
      </w:pPr>
      <w:r>
        <w:rPr>
          <w:rFonts w:hint="eastAsia"/>
          <w:b/>
          <w:szCs w:val="21"/>
          <w:highlight w:val="none"/>
        </w:rPr>
        <w:t>现文：</w:t>
      </w:r>
      <w:r>
        <w:rPr>
          <w:rFonts w:hint="eastAsia" w:ascii="宋体" w:hAnsi="宋体" w:cs="宋体"/>
          <w:szCs w:val="21"/>
          <w:highlight w:val="none"/>
        </w:rPr>
        <w:t>8.1</w:t>
      </w:r>
      <w:r>
        <w:rPr>
          <w:rFonts w:hint="eastAsia" w:ascii="宋体" w:hAnsi="宋体" w:cs="宋体"/>
          <w:szCs w:val="21"/>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8.2</w:t>
      </w:r>
      <w:r>
        <w:rPr>
          <w:b/>
          <w:szCs w:val="21"/>
          <w:highlight w:val="none"/>
        </w:rPr>
        <w:t xml:space="preserve">             </w:t>
      </w:r>
      <w:r>
        <w:rPr>
          <w:rFonts w:hint="eastAsia"/>
          <w:b/>
          <w:szCs w:val="21"/>
          <w:highlight w:val="none"/>
        </w:rPr>
        <w:t>修改类型：修改</w:t>
      </w:r>
    </w:p>
    <w:p>
      <w:pPr>
        <w:pStyle w:val="5"/>
        <w:spacing w:after="0"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8.2招标答疑会会议纪要将在提交投标文件截止时间15日前在</w:t>
      </w:r>
      <w:r>
        <w:rPr>
          <w:rFonts w:hint="eastAsia" w:ascii="宋体" w:hAnsi="宋体" w:cs="宋体"/>
          <w:szCs w:val="21"/>
          <w:highlight w:val="none"/>
          <w:u w:val="single"/>
        </w:rPr>
        <w:t xml:space="preserve">       </w:t>
      </w:r>
      <w:r>
        <w:rPr>
          <w:rFonts w:hint="eastAsia" w:ascii="宋体" w:hAnsi="宋体" w:cs="宋体"/>
          <w:szCs w:val="21"/>
          <w:highlight w:val="none"/>
        </w:rPr>
        <w:t>交易平台 “项目答疑纪要”专区公开发布。答疑纪要一经在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8.2招标答疑会会议纪要将在提交投标文件截止时间15日前</w:t>
      </w:r>
      <w:r>
        <w:rPr>
          <w:rFonts w:hint="eastAsia" w:ascii="宋体" w:hAnsi="宋体" w:cs="宋体"/>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8.4</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8.4若</w:t>
      </w:r>
      <w:r>
        <w:rPr>
          <w:rFonts w:hint="eastAsia" w:ascii="宋体" w:hAnsi="宋体" w:cs="宋体"/>
          <w:szCs w:val="21"/>
          <w:highlight w:val="none"/>
          <w:u w:val="single"/>
        </w:rPr>
        <w:t>招标答疑纪要</w:t>
      </w:r>
      <w:r>
        <w:rPr>
          <w:rFonts w:hint="eastAsia" w:ascii="宋体" w:hAnsi="宋体" w:cs="宋体"/>
          <w:szCs w:val="21"/>
          <w:highlight w:val="none"/>
        </w:rPr>
        <w:t>与招标文件有矛盾时，以</w:t>
      </w:r>
      <w:r>
        <w:rPr>
          <w:rFonts w:hint="eastAsia" w:ascii="宋体" w:hAnsi="宋体" w:cs="宋体"/>
          <w:szCs w:val="21"/>
          <w:highlight w:val="none"/>
          <w:u w:val="single"/>
        </w:rPr>
        <w:t>广州交易集团有限公司（广州公共资源交易中心）交易平台</w:t>
      </w:r>
      <w:r>
        <w:rPr>
          <w:rFonts w:hint="eastAsia" w:ascii="宋体" w:hAnsi="宋体" w:cs="宋体"/>
          <w:szCs w:val="21"/>
          <w:highlight w:val="none"/>
        </w:rPr>
        <w:t>最后发布的答疑纪要为准。</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9.2</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9.2招标文件的澄清或修改将在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交易平台发布，视作已发放给所有投标人，以</w:t>
      </w:r>
      <w:r>
        <w:rPr>
          <w:rFonts w:hint="eastAsia" w:ascii="宋体" w:hAnsi="宋体" w:cs="宋体"/>
          <w:szCs w:val="21"/>
          <w:highlight w:val="none"/>
          <w:u w:val="single"/>
        </w:rPr>
        <w:t xml:space="preserve">       </w:t>
      </w:r>
      <w:r>
        <w:rPr>
          <w:rFonts w:hint="eastAsia" w:ascii="宋体" w:hAnsi="宋体" w:cs="宋体"/>
          <w:szCs w:val="21"/>
          <w:highlight w:val="none"/>
        </w:rPr>
        <w:t>交易平台上网发布时间作为送达时间。</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9.2招标文件的澄清或修改将在</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“项目答疑纪要”专区公开发布。答疑纪要一经在</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发布，视作已发放给所有投标人，以</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发布时间作为送达时间。</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9.4</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9.4招标文件的澄清或修改</w:t>
      </w:r>
      <w:r>
        <w:rPr>
          <w:rFonts w:hint="eastAsia" w:ascii="宋体" w:hAnsi="宋体" w:cs="宋体"/>
          <w:szCs w:val="21"/>
          <w:highlight w:val="none"/>
          <w:u w:val="single"/>
        </w:rPr>
        <w:t>在广州交易集团有限公司（广州公共资源交易中心）网站“项目答疑纪要”专区公开发布</w:t>
      </w:r>
      <w:r>
        <w:rPr>
          <w:rFonts w:hint="eastAsia" w:ascii="宋体" w:hAnsi="宋体" w:cs="宋体"/>
          <w:szCs w:val="21"/>
          <w:highlight w:val="none"/>
        </w:rPr>
        <w:t>。当招标文件的澄清、修改、补充等在同一内容的表述不一致时，以</w:t>
      </w:r>
      <w:r>
        <w:rPr>
          <w:rFonts w:hint="eastAsia" w:ascii="宋体" w:hAnsi="宋体" w:cs="宋体"/>
          <w:szCs w:val="21"/>
          <w:highlight w:val="none"/>
          <w:u w:val="single"/>
        </w:rPr>
        <w:t>广州交易集团有限公司（广州公共资源交易中心）交易平台</w:t>
      </w:r>
      <w:r>
        <w:rPr>
          <w:rFonts w:hint="eastAsia" w:ascii="宋体" w:hAnsi="宋体" w:cs="宋体"/>
          <w:szCs w:val="21"/>
          <w:highlight w:val="none"/>
        </w:rPr>
        <w:t>最后发布的内容为准。</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Cs/>
          <w:szCs w:val="21"/>
          <w:highlight w:val="none"/>
        </w:rPr>
        <w:t>11.2</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11.2投标文件技术标部分主要包括下列内容: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11.2.1 技术投标文件(按招标文件的要求填写)；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11.2.2 资格审查文件：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（1）投标人声明；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（2）法定代表人证明书、法定代表人签字或盖章的本投标文件授权委托证明书；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（3）企业营业执照（取自平台内上传件）；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（4）企业资质证书（取自平台内上传件）；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（5）建筑施工企业安全生产许可证（取自平台内上传件）；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（6）项目负责人（按网上投标登记时选择拟投标的项目负责人）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（7）专职安全员（按网上投标登记时选择拟投标的专职安全员）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（8）拟委托技术负责人的相关证书、资料（具体要求由招标人明确）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（9）拟委派项目负责人的建造师注册证书（取自平台内上传件）；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11.2.3项目管理机构配备。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（1）投标人应列出该项目工程的施工组织机构构成和画出机构框架图及其负责人；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（3）其他辅助说明资料。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11.2.5施工组织设计或施工方案。</w:t>
      </w:r>
      <w:r>
        <w:rPr>
          <w:rFonts w:hint="eastAsia" w:ascii="仿宋" w:hAnsi="仿宋" w:eastAsia="仿宋" w:cs="宋体"/>
          <w:bCs/>
          <w:color w:val="000000"/>
          <w:kern w:val="0"/>
          <w:sz w:val="22"/>
        </w:rPr>
        <w:t>（</w:t>
      </w:r>
      <w:r>
        <w:rPr>
          <w:rFonts w:hint="eastAsia" w:ascii="仿宋" w:hAnsi="仿宋" w:eastAsia="仿宋" w:cs="宋体"/>
          <w:b/>
          <w:bCs/>
          <w:color w:val="000000"/>
          <w:kern w:val="0"/>
          <w:sz w:val="22"/>
        </w:rPr>
        <w:t>投标人在编制</w:t>
      </w:r>
      <w:r>
        <w:rPr>
          <w:rFonts w:ascii="仿宋" w:hAnsi="仿宋" w:eastAsia="仿宋" w:cs="宋体"/>
          <w:b/>
          <w:bCs/>
          <w:color w:val="000000"/>
          <w:kern w:val="0"/>
          <w:sz w:val="22"/>
        </w:rPr>
        <w:t>施工组织设计或施工方案</w:t>
      </w:r>
      <w:r>
        <w:rPr>
          <w:rFonts w:hint="eastAsia" w:ascii="仿宋" w:hAnsi="仿宋" w:eastAsia="仿宋" w:cs="宋体"/>
          <w:b/>
          <w:bCs/>
          <w:color w:val="000000"/>
          <w:kern w:val="0"/>
          <w:sz w:val="22"/>
        </w:rPr>
        <w:t>时应按照招标人提出的施工现场建筑垃圾源头减量的具体要求以及建筑垃圾综合利用产品的使用要求提供相应措施。</w:t>
      </w:r>
      <w:r>
        <w:rPr>
          <w:rFonts w:hint="eastAsia" w:ascii="仿宋" w:hAnsi="仿宋" w:eastAsia="仿宋" w:cs="宋体"/>
          <w:bCs/>
          <w:color w:val="000000"/>
          <w:kern w:val="0"/>
          <w:sz w:val="22"/>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11.2.6按照招标文件要求填写的《参与编制技术标投标文件人员名单》。</w:t>
      </w:r>
    </w:p>
    <w:p>
      <w:pPr>
        <w:spacing w:line="360" w:lineRule="auto"/>
        <w:ind w:firstLine="422" w:firstLineChars="200"/>
        <w:rPr>
          <w:rFonts w:ascii="宋体" w:hAnsi="宋体" w:cs="宋体"/>
          <w:bCs/>
          <w:szCs w:val="21"/>
          <w:highlight w:val="none"/>
        </w:rPr>
      </w:pPr>
      <w:r>
        <w:rPr>
          <w:rFonts w:hint="eastAsia"/>
          <w:b/>
          <w:szCs w:val="21"/>
          <w:highlight w:val="none"/>
        </w:rPr>
        <w:t>现文：</w:t>
      </w:r>
      <w:r>
        <w:rPr>
          <w:rFonts w:hint="eastAsia" w:ascii="宋体" w:hAnsi="宋体" w:cs="宋体"/>
          <w:bCs/>
          <w:szCs w:val="21"/>
          <w:highlight w:val="none"/>
        </w:rPr>
        <w:t>11.2投标文件技术标部分主要包括下列内容:</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 xml:space="preserve">11.2.1 </w:t>
      </w:r>
      <w:r>
        <w:rPr>
          <w:rFonts w:hint="eastAsia" w:ascii="宋体" w:hAnsi="宋体" w:cs="宋体"/>
          <w:bCs/>
          <w:szCs w:val="21"/>
          <w:highlight w:val="none"/>
          <w:u w:val="single"/>
        </w:rPr>
        <w:t>技术标投标书</w:t>
      </w:r>
      <w:r>
        <w:rPr>
          <w:rFonts w:hint="eastAsia" w:ascii="宋体" w:hAnsi="宋体" w:cs="宋体"/>
          <w:bCs/>
          <w:szCs w:val="21"/>
          <w:highlight w:val="none"/>
        </w:rPr>
        <w:t>(按招标文件</w:t>
      </w:r>
      <w:r>
        <w:rPr>
          <w:rFonts w:hint="eastAsia" w:ascii="宋体" w:hAnsi="宋体" w:cs="宋体"/>
          <w:bCs/>
          <w:szCs w:val="21"/>
          <w:highlight w:val="none"/>
          <w:u w:val="single"/>
        </w:rPr>
        <w:t>第四章附件一</w:t>
      </w:r>
      <w:r>
        <w:rPr>
          <w:rFonts w:hint="eastAsia" w:ascii="宋体" w:hAnsi="宋体" w:cs="宋体"/>
          <w:bCs/>
          <w:szCs w:val="21"/>
          <w:highlight w:val="none"/>
        </w:rPr>
        <w:t>的要求填写)；</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（1）投标人声明</w:t>
      </w:r>
      <w:r>
        <w:rPr>
          <w:rFonts w:hint="eastAsia" w:ascii="宋体" w:hAnsi="宋体" w:cs="宋体"/>
          <w:bCs/>
          <w:szCs w:val="21"/>
          <w:highlight w:val="none"/>
          <w:u w:val="single"/>
        </w:rPr>
        <w:t>（须按本工程招标公告附件一格式）</w:t>
      </w:r>
      <w:r>
        <w:rPr>
          <w:rFonts w:hint="eastAsia" w:ascii="宋体" w:hAnsi="宋体" w:cs="宋体"/>
          <w:bCs/>
          <w:szCs w:val="21"/>
          <w:highlight w:val="none"/>
        </w:rPr>
        <w:t xml:space="preserve">；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（3）企业营业执照（提供证书扫描件）；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（4）企业资质证书（提供证书扫描件）；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（8）拟委托技术负责人的</w:t>
      </w:r>
      <w:r>
        <w:rPr>
          <w:rFonts w:hint="eastAsia" w:ascii="宋体" w:hAnsi="宋体" w:cs="宋体"/>
          <w:bCs/>
          <w:szCs w:val="21"/>
          <w:highlight w:val="none"/>
          <w:u w:val="single"/>
        </w:rPr>
        <w:t>职称证书；</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（9）拟委派项目负责人的</w:t>
      </w:r>
      <w:r>
        <w:rPr>
          <w:rFonts w:hint="eastAsia" w:ascii="宋体" w:hAnsi="宋体" w:cs="宋体"/>
          <w:bCs/>
          <w:szCs w:val="21"/>
          <w:highlight w:val="none"/>
          <w:u w:val="single"/>
        </w:rPr>
        <w:t>建造师注册证书</w:t>
      </w:r>
      <w:r>
        <w:rPr>
          <w:rFonts w:hint="eastAsia" w:ascii="宋体" w:hAnsi="宋体" w:cs="宋体"/>
          <w:bCs/>
          <w:szCs w:val="21"/>
          <w:highlight w:val="none"/>
        </w:rPr>
        <w:t xml:space="preserve">（提供证书扫描件）；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（10）项目负责人安全生产考核合格证明或在有效期内的安全考核合格证书（B类）或建筑施工企业项目负责人安全生产考核合格证书（提供证书扫描件）；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szCs w:val="21"/>
          <w:highlight w:val="none"/>
          <w:u w:val="single"/>
        </w:rPr>
      </w:pPr>
      <w:r>
        <w:rPr>
          <w:rFonts w:hint="eastAsia" w:ascii="宋体" w:hAnsi="宋体" w:cs="宋体"/>
          <w:bCs/>
          <w:szCs w:val="21"/>
          <w:highlight w:val="none"/>
          <w:u w:val="single"/>
        </w:rPr>
        <w:t>11.2.3《施工</w:t>
      </w:r>
      <w:r>
        <w:rPr>
          <w:rFonts w:hint="eastAsia" w:ascii="宋体" w:hAnsi="宋体" w:cs="宋体"/>
          <w:bCs/>
          <w:szCs w:val="21"/>
          <w:highlight w:val="none"/>
          <w:u w:val="single"/>
          <w:lang w:val="zh-CN"/>
        </w:rPr>
        <w:t>项目管理团队人员信息表</w:t>
      </w:r>
      <w:r>
        <w:rPr>
          <w:rFonts w:hint="eastAsia" w:ascii="宋体" w:hAnsi="宋体" w:cs="宋体"/>
          <w:bCs/>
          <w:szCs w:val="21"/>
          <w:highlight w:val="none"/>
          <w:u w:val="single"/>
        </w:rPr>
        <w:t>》（格式见第四章）</w:t>
      </w:r>
      <w:r>
        <w:rPr>
          <w:rFonts w:hint="eastAsia" w:ascii="宋体" w:hAnsi="宋体" w:cs="宋体"/>
          <w:bCs/>
          <w:szCs w:val="21"/>
          <w:highlight w:val="none"/>
          <w:u w:val="single"/>
          <w:lang w:val="zh-CN"/>
        </w:rPr>
        <w:t>。</w:t>
      </w:r>
    </w:p>
    <w:p>
      <w:pPr>
        <w:pBdr>
          <w:bottom w:val="single" w:color="auto" w:sz="6" w:space="1"/>
        </w:pBdr>
        <w:spacing w:line="360" w:lineRule="auto"/>
        <w:ind w:firstLine="420" w:firstLineChars="200"/>
        <w:rPr>
          <w:rFonts w:ascii="宋体" w:hAnsi="宋体" w:cs="宋体"/>
          <w:bCs/>
          <w:szCs w:val="21"/>
          <w:highlight w:val="none"/>
          <w:u w:val="single"/>
        </w:rPr>
      </w:pPr>
      <w:r>
        <w:rPr>
          <w:rFonts w:hint="eastAsia" w:ascii="宋体" w:hAnsi="宋体" w:cs="宋体"/>
          <w:bCs/>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szCs w:val="21"/>
          <w:highlight w:val="none"/>
          <w:u w:val="single"/>
        </w:rPr>
        <w:t>。</w:t>
      </w:r>
    </w:p>
    <w:p>
      <w:pPr>
        <w:pBdr>
          <w:bottom w:val="single" w:color="auto" w:sz="6" w:space="1"/>
        </w:pBdr>
        <w:spacing w:line="360" w:lineRule="auto"/>
        <w:ind w:firstLine="420" w:firstLineChars="200"/>
        <w:rPr>
          <w:rFonts w:ascii="宋体" w:hAnsi="宋体" w:cs="宋体"/>
          <w:bCs/>
          <w:szCs w:val="21"/>
          <w:highlight w:val="none"/>
          <w:u w:val="single"/>
        </w:rPr>
      </w:pPr>
      <w:r>
        <w:rPr>
          <w:rFonts w:ascii="宋体" w:hAnsi="宋体" w:cs="宋体"/>
          <w:bCs/>
          <w:szCs w:val="21"/>
          <w:highlight w:val="none"/>
          <w:u w:val="single"/>
        </w:rPr>
        <w:t>11.2.</w:t>
      </w:r>
      <w:r>
        <w:rPr>
          <w:rFonts w:hint="eastAsia" w:ascii="宋体" w:hAnsi="宋体" w:cs="宋体"/>
          <w:bCs/>
          <w:szCs w:val="21"/>
          <w:highlight w:val="none"/>
          <w:u w:val="single"/>
        </w:rPr>
        <w:t>5按照招标文件要求填写的《参与编制技术标投标文件人员名单》（格式见第四章）。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szCs w:val="21"/>
          <w:highlight w:val="none"/>
          <w:u w:val="single"/>
        </w:rPr>
      </w:pPr>
      <w:r>
        <w:rPr>
          <w:rFonts w:ascii="宋体" w:hAnsi="宋体" w:cs="宋体"/>
          <w:bCs/>
          <w:szCs w:val="21"/>
          <w:highlight w:val="none"/>
          <w:u w:val="single"/>
        </w:rPr>
        <w:t>11.2.</w:t>
      </w:r>
      <w:r>
        <w:rPr>
          <w:rFonts w:hint="eastAsia" w:ascii="宋体" w:hAnsi="宋体" w:cs="宋体"/>
          <w:bCs/>
          <w:szCs w:val="21"/>
          <w:highlight w:val="none"/>
          <w:u w:val="single"/>
        </w:rPr>
        <w:t>6</w:t>
      </w:r>
      <w:r>
        <w:rPr>
          <w:rFonts w:ascii="宋体" w:hAnsi="宋体" w:cs="宋体"/>
          <w:bCs/>
          <w:szCs w:val="21"/>
          <w:highlight w:val="none"/>
          <w:u w:val="single"/>
        </w:rPr>
        <w:t>投标保证金缴纳证明资料</w:t>
      </w:r>
      <w:r>
        <w:rPr>
          <w:rFonts w:hint="eastAsia" w:ascii="宋体" w:hAnsi="宋体" w:cs="宋体"/>
          <w:bCs/>
          <w:szCs w:val="21"/>
          <w:highlight w:val="none"/>
          <w:u w:val="single"/>
        </w:rPr>
        <w:t>（递交至广州交易集团有限公司（广州公共资源交易中心）的，到账情况以开标时广州交易集团有限公司（广州公共资源交易中心）数据库查询的信息为准，可不需提供相关</w:t>
      </w:r>
      <w:r>
        <w:rPr>
          <w:rFonts w:ascii="宋体" w:hAnsi="宋体" w:cs="宋体"/>
          <w:bCs/>
          <w:szCs w:val="21"/>
          <w:highlight w:val="none"/>
          <w:u w:val="single"/>
        </w:rPr>
        <w:t>缴纳证明资料</w:t>
      </w:r>
      <w:r>
        <w:rPr>
          <w:rFonts w:hint="eastAsia" w:ascii="宋体" w:hAnsi="宋体" w:cs="宋体"/>
          <w:bCs/>
          <w:szCs w:val="21"/>
          <w:highlight w:val="none"/>
          <w:u w:val="single"/>
        </w:rPr>
        <w:t>）；或按招标文件要求提交符合免予提供投标保证金的相关证明材料</w:t>
      </w:r>
      <w:r>
        <w:rPr>
          <w:rFonts w:ascii="宋体" w:hAnsi="宋体" w:cs="宋体"/>
          <w:bCs/>
          <w:szCs w:val="21"/>
          <w:highlight w:val="none"/>
          <w:u w:val="single"/>
        </w:rPr>
        <w:t>。</w:t>
      </w:r>
    </w:p>
    <w:p>
      <w:pPr>
        <w:pBdr>
          <w:bottom w:val="single" w:color="auto" w:sz="6" w:space="1"/>
        </w:pBdr>
        <w:spacing w:line="360" w:lineRule="auto"/>
        <w:ind w:firstLine="420" w:firstLineChars="200"/>
        <w:rPr>
          <w:rFonts w:ascii="宋体" w:hAnsi="宋体" w:cs="宋体"/>
          <w:bCs/>
          <w:szCs w:val="21"/>
          <w:highlight w:val="none"/>
        </w:rPr>
      </w:pPr>
      <w:r>
        <w:rPr>
          <w:rFonts w:ascii="宋体" w:hAnsi="宋体" w:cs="宋体"/>
          <w:bCs/>
          <w:szCs w:val="21"/>
          <w:highlight w:val="none"/>
          <w:u w:val="single"/>
        </w:rPr>
        <w:t>11.2.</w:t>
      </w:r>
      <w:r>
        <w:rPr>
          <w:rFonts w:hint="eastAsia" w:ascii="宋体" w:hAnsi="宋体" w:cs="宋体"/>
          <w:bCs/>
          <w:szCs w:val="21"/>
          <w:highlight w:val="none"/>
          <w:u w:val="single"/>
        </w:rPr>
        <w:t>7</w:t>
      </w:r>
      <w:r>
        <w:rPr>
          <w:rFonts w:ascii="宋体" w:hAnsi="宋体" w:cs="宋体"/>
          <w:bCs/>
          <w:szCs w:val="21"/>
          <w:highlight w:val="none"/>
          <w:u w:val="single"/>
        </w:rPr>
        <w:t>投标人认为应提供的其他资料。</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11.3.1</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bCs/>
          <w:szCs w:val="21"/>
          <w:highlight w:val="none"/>
        </w:rPr>
      </w:pPr>
      <w:r>
        <w:rPr>
          <w:rFonts w:hint="eastAsia"/>
          <w:b/>
          <w:szCs w:val="21"/>
          <w:highlight w:val="none"/>
        </w:rPr>
        <w:t>原文：</w:t>
      </w:r>
      <w:r>
        <w:rPr>
          <w:rFonts w:hint="eastAsia" w:ascii="宋体" w:hAnsi="宋体" w:cs="宋体"/>
          <w:bCs/>
          <w:szCs w:val="21"/>
          <w:highlight w:val="none"/>
        </w:rPr>
        <w:t>11.3.1 经济投标文件(按招标文件的要求填写)。</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 xml:space="preserve">11.3.1 </w:t>
      </w:r>
      <w:r>
        <w:rPr>
          <w:rFonts w:hint="eastAsia" w:ascii="宋体" w:hAnsi="宋体" w:cs="宋体"/>
          <w:szCs w:val="21"/>
          <w:highlight w:val="none"/>
          <w:u w:val="single"/>
        </w:rPr>
        <w:t>经济标投标书</w:t>
      </w:r>
      <w:r>
        <w:rPr>
          <w:rFonts w:hint="eastAsia" w:ascii="宋体" w:hAnsi="宋体" w:cs="宋体"/>
          <w:szCs w:val="21"/>
          <w:highlight w:val="none"/>
        </w:rPr>
        <w:t>(按招标文件</w:t>
      </w:r>
      <w:r>
        <w:rPr>
          <w:rFonts w:hint="eastAsia" w:ascii="宋体" w:hAnsi="宋体" w:cs="宋体"/>
          <w:bCs/>
          <w:szCs w:val="21"/>
          <w:highlight w:val="none"/>
          <w:u w:val="single"/>
        </w:rPr>
        <w:t>第四章附件一</w:t>
      </w:r>
      <w:r>
        <w:rPr>
          <w:rFonts w:hint="eastAsia" w:ascii="宋体" w:hAnsi="宋体" w:cs="宋体"/>
          <w:szCs w:val="21"/>
          <w:highlight w:val="none"/>
        </w:rPr>
        <w:t>的要求填写)。</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
          <w:highlight w:val="none"/>
        </w:rPr>
        <w:t>11.3.2</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bCs/>
          <w:szCs w:val="21"/>
          <w:highlight w:val="none"/>
        </w:rPr>
      </w:pPr>
      <w:r>
        <w:rPr>
          <w:rFonts w:hint="eastAsia"/>
          <w:b/>
          <w:szCs w:val="21"/>
          <w:highlight w:val="none"/>
        </w:rPr>
        <w:t>原文：</w:t>
      </w:r>
      <w:r>
        <w:rPr>
          <w:rFonts w:hint="eastAsia" w:ascii="宋体" w:hAnsi="宋体" w:cs="宋体"/>
          <w:bCs/>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（1）投标总价封面、扉页；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（2）总说明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（3）工程项目投标报价汇总表；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（4）单项工程投标报价汇总表；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（5）单位工程投标报价汇总表；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（6）分部分项工程清单与计价表；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（7）单价措施项目清单与计价表；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（8）总价措施项目清单与计价表；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（9）综合单价分析表；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（10）其他项目清单与计价汇总表；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（11）暂列金额明细表；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（12）材料（工程设备）暂估价明细表；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（13）专业工程暂估价明细表；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（14）计日工表；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（15）总承包服务计价表；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（16）规费和税金项目计价表；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（17）人工、主要材料和设备一览表</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bCs/>
          <w:szCs w:val="21"/>
          <w:highlight w:val="none"/>
        </w:rPr>
        <w:t>11.3.2</w:t>
      </w:r>
      <w:r>
        <w:rPr>
          <w:rFonts w:hint="eastAsia" w:ascii="宋体" w:hAnsi="宋体" w:cs="宋体"/>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（1）投标总价封面、扉页；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（2）总说明</w:t>
      </w:r>
    </w:p>
    <w:p>
      <w:pPr>
        <w:pBdr>
          <w:bottom w:val="single" w:color="auto" w:sz="6" w:space="1"/>
        </w:pBdr>
        <w:spacing w:line="360" w:lineRule="auto"/>
        <w:ind w:firstLine="470" w:firstLineChars="224"/>
        <w:rPr>
          <w:highlight w:val="none"/>
        </w:rPr>
      </w:pPr>
      <w:r>
        <w:rPr>
          <w:rFonts w:hint="eastAsia" w:ascii="宋体" w:hAnsi="宋体" w:cs="宋体"/>
          <w:szCs w:val="21"/>
          <w:highlight w:val="none"/>
          <w:u w:val="single"/>
        </w:rPr>
        <w:t>（3）</w:t>
      </w:r>
      <w:r>
        <w:rPr>
          <w:highlight w:val="none"/>
          <w:u w:val="single"/>
        </w:rPr>
        <w:t>工程量</w:t>
      </w:r>
      <w:r>
        <w:rPr>
          <w:rFonts w:hint="eastAsia" w:ascii="宋体" w:hAnsi="宋体"/>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szCs w:val="21"/>
          <w:highlight w:val="none"/>
          <w:u w:val="single"/>
        </w:rPr>
        <w:t>。</w:t>
      </w:r>
    </w:p>
    <w:p>
      <w:pPr>
        <w:spacing w:line="480" w:lineRule="auto"/>
        <w:ind w:firstLine="472" w:firstLineChars="224"/>
        <w:rPr>
          <w:b/>
          <w:szCs w:val="21"/>
          <w:highlight w:val="none"/>
        </w:rPr>
      </w:pPr>
      <w:r>
        <w:rPr>
          <w:rFonts w:hint="eastAsia"/>
          <w:b/>
          <w:szCs w:val="21"/>
          <w:highlight w:val="none"/>
        </w:rPr>
        <w:t>条款号：</w:t>
      </w:r>
      <w:r>
        <w:rPr>
          <w:rFonts w:ascii="宋体" w:hAnsi="宋体" w:cs="宋体"/>
          <w:b/>
          <w:szCs w:val="21"/>
          <w:highlight w:val="none"/>
        </w:rPr>
        <w:t>11.3.5</w:t>
      </w:r>
      <w:r>
        <w:rPr>
          <w:b/>
          <w:szCs w:val="21"/>
          <w:highlight w:val="none"/>
        </w:rPr>
        <w:t xml:space="preserve">             </w:t>
      </w:r>
      <w:r>
        <w:rPr>
          <w:rFonts w:hint="eastAsia"/>
          <w:b/>
          <w:szCs w:val="21"/>
          <w:highlight w:val="none"/>
        </w:rPr>
        <w:t>修改类型：增加</w:t>
      </w:r>
    </w:p>
    <w:p>
      <w:pPr>
        <w:pBdr>
          <w:bottom w:val="single" w:color="auto" w:sz="6" w:space="1"/>
        </w:pBdr>
        <w:spacing w:line="480" w:lineRule="auto"/>
        <w:ind w:firstLine="472" w:firstLineChars="224"/>
        <w:rPr>
          <w:b/>
          <w:szCs w:val="21"/>
          <w:highlight w:val="none"/>
        </w:rPr>
      </w:pPr>
      <w:r>
        <w:rPr>
          <w:rFonts w:hint="eastAsia"/>
          <w:b/>
          <w:szCs w:val="21"/>
          <w:highlight w:val="none"/>
        </w:rPr>
        <w:t>现文：</w:t>
      </w:r>
      <w:r>
        <w:rPr>
          <w:rFonts w:ascii="宋体" w:hAnsi="宋体" w:cs="宋体"/>
          <w:szCs w:val="21"/>
          <w:highlight w:val="none"/>
        </w:rPr>
        <w:t>11.3.5</w:t>
      </w:r>
      <w:r>
        <w:rPr>
          <w:rFonts w:hint="eastAsia" w:ascii="宋体" w:hAnsi="宋体" w:cs="宋体"/>
          <w:szCs w:val="21"/>
          <w:highlight w:val="none"/>
          <w:u w:val="single"/>
        </w:rPr>
        <w:t>《对投标文件编制的承诺》及《投标文件编制情况》（格式见第四章）。</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kern w:val="0"/>
          <w:szCs w:val="21"/>
          <w:highlight w:val="none"/>
        </w:rPr>
        <w:t>12.2、12.3</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u w:val="single"/>
        </w:rPr>
        <w:t>1</w:t>
      </w:r>
      <w:r>
        <w:rPr>
          <w:rFonts w:hint="eastAsia" w:ascii="宋体" w:hAnsi="宋体" w:cs="宋体"/>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b/>
          <w:szCs w:val="21"/>
          <w:highlight w:val="none"/>
        </w:rPr>
      </w:pPr>
      <w:r>
        <w:rPr>
          <w:rFonts w:hint="eastAsia" w:ascii="宋体" w:hAnsi="宋体" w:cs="宋体"/>
          <w:szCs w:val="21"/>
          <w:highlight w:val="none"/>
        </w:rPr>
        <w:t>12.3 投标文件应按照交易平台关于全流程电子化项目的相关指南进行编制，详见：</w:t>
      </w:r>
      <w:r>
        <w:rPr>
          <w:rFonts w:hint="eastAsia" w:ascii="宋体" w:hAnsi="宋体" w:cs="宋体"/>
          <w:szCs w:val="21"/>
          <w:highlight w:val="none"/>
          <w:u w:val="single"/>
        </w:rPr>
        <w:t xml:space="preserve">            </w:t>
      </w:r>
      <w:r>
        <w:rPr>
          <w:rFonts w:hint="eastAsia"/>
          <w:b/>
          <w:szCs w:val="21"/>
          <w:highlight w:val="none"/>
        </w:rPr>
        <w:t xml:space="preserve">。    </w:t>
      </w:r>
    </w:p>
    <w:p>
      <w:pPr>
        <w:pStyle w:val="5"/>
        <w:spacing w:after="0" w:line="360" w:lineRule="auto"/>
        <w:ind w:firstLine="422" w:firstLineChars="200"/>
        <w:jc w:val="left"/>
        <w:rPr>
          <w:rFonts w:ascii="宋体" w:hAnsi="宋体" w:cs="宋体"/>
          <w:szCs w:val="21"/>
          <w:highlight w:val="none"/>
        </w:rPr>
      </w:pPr>
      <w:r>
        <w:rPr>
          <w:rFonts w:hint="eastAsia"/>
          <w:b/>
          <w:szCs w:val="21"/>
          <w:highlight w:val="none"/>
        </w:rPr>
        <w:t>现文：</w:t>
      </w:r>
      <w:r>
        <w:rPr>
          <w:rFonts w:hint="eastAsia" w:ascii="宋体" w:hAnsi="宋体" w:cs="宋体"/>
          <w:szCs w:val="21"/>
          <w:highlight w:val="none"/>
          <w:u w:val="single"/>
        </w:rPr>
        <w:t>1</w:t>
      </w:r>
      <w:r>
        <w:rPr>
          <w:rFonts w:hint="eastAsia" w:ascii="宋体" w:hAnsi="宋体" w:cs="宋体"/>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highlight w:val="none"/>
          <w:u w:val="single"/>
        </w:rPr>
        <w:t>详见：广州交易集团有限公司（广州公共资源交易中心）网站。</w:t>
      </w:r>
    </w:p>
    <w:p>
      <w:pPr>
        <w:pBdr>
          <w:bottom w:val="single" w:color="auto" w:sz="6" w:space="1"/>
        </w:pBdr>
        <w:spacing w:line="360" w:lineRule="auto"/>
        <w:ind w:firstLine="525" w:firstLineChars="250"/>
        <w:rPr>
          <w:highlight w:val="none"/>
        </w:rPr>
      </w:pPr>
      <w:r>
        <w:rPr>
          <w:rFonts w:hint="eastAsia" w:ascii="宋体" w:hAnsi="宋体" w:cs="宋体"/>
          <w:szCs w:val="21"/>
          <w:highlight w:val="none"/>
        </w:rPr>
        <w:t xml:space="preserve">12.3 </w:t>
      </w:r>
      <w:r>
        <w:rPr>
          <w:rFonts w:hint="eastAsia" w:ascii="宋体" w:hAnsi="宋体" w:cs="宋体"/>
          <w:bCs/>
          <w:szCs w:val="21"/>
          <w:highlight w:val="none"/>
        </w:rPr>
        <w:t>投标文件应按</w:t>
      </w:r>
      <w:r>
        <w:rPr>
          <w:rFonts w:hint="eastAsia" w:ascii="宋体" w:hAnsi="宋体" w:cs="宋体"/>
          <w:szCs w:val="21"/>
          <w:highlight w:val="none"/>
        </w:rPr>
        <w:t>照交易平台关于全流程电子化项目的相关指南进行编制，详见：</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13.1</w:t>
      </w:r>
      <w:r>
        <w:rPr>
          <w:b/>
          <w:szCs w:val="21"/>
          <w:highlight w:val="none"/>
        </w:rPr>
        <w:t xml:space="preserve">             </w:t>
      </w:r>
      <w:r>
        <w:rPr>
          <w:rFonts w:hint="eastAsia"/>
          <w:b/>
          <w:szCs w:val="21"/>
          <w:highlight w:val="none"/>
        </w:rPr>
        <w:t>修改类型：修改</w:t>
      </w:r>
    </w:p>
    <w:p>
      <w:pPr>
        <w:pStyle w:val="5"/>
        <w:spacing w:after="0"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13.1本工程的投标报价采用投标须知前附表第12项所规定的方式。投标报价（含单价及总价）精确到“分”。</w:t>
      </w:r>
      <w:r>
        <w:rPr>
          <w:rFonts w:hint="eastAsia" w:ascii="宋体" w:hAnsi="宋体" w:cs="宋体"/>
          <w:szCs w:val="21"/>
          <w:highlight w:val="none"/>
          <w:u w:val="single"/>
        </w:rPr>
        <w:t>投标文件中的大写金额和小写金额不一致的，以大写金额为准。</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
          <w:szCs w:val="21"/>
          <w:highlight w:val="none"/>
        </w:rPr>
        <w:t xml:space="preserve">13.4 </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13.4</w:t>
      </w:r>
      <w:r>
        <w:rPr>
          <w:rFonts w:hint="eastAsia" w:ascii="宋体" w:hAnsi="宋体" w:cs="宋体"/>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szCs w:val="21"/>
          <w:highlight w:val="none"/>
          <w:u w:val="single"/>
        </w:rPr>
        <w:t>城乡</w:t>
      </w:r>
      <w:r>
        <w:rPr>
          <w:rFonts w:hint="eastAsia" w:ascii="宋体" w:hAnsi="宋体" w:cs="宋体"/>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13.5.1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bCs/>
          <w:szCs w:val="21"/>
          <w:highlight w:val="none"/>
        </w:rPr>
        <w:t>13.5.1中标的投标文件工程量清单中已有相同项目的适用综合单价，则沿用</w:t>
      </w:r>
      <w:r>
        <w:rPr>
          <w:rFonts w:hint="eastAsia" w:ascii="宋体" w:hAnsi="宋体"/>
          <w:sz w:val="24"/>
          <w:highlight w:val="none"/>
        </w:rPr>
        <w:t>；</w:t>
      </w:r>
    </w:p>
    <w:p>
      <w:pPr>
        <w:pBdr>
          <w:bottom w:val="single" w:color="auto" w:sz="6" w:space="1"/>
        </w:pBdr>
        <w:spacing w:line="360" w:lineRule="auto"/>
        <w:ind w:firstLine="417" w:firstLineChars="198"/>
        <w:rPr>
          <w:highlight w:val="none"/>
        </w:rPr>
      </w:pPr>
      <w:r>
        <w:rPr>
          <w:rFonts w:hint="eastAsia"/>
          <w:b/>
          <w:szCs w:val="21"/>
          <w:highlight w:val="none"/>
        </w:rPr>
        <w:t>现文：</w:t>
      </w:r>
      <w:r>
        <w:rPr>
          <w:rFonts w:hint="eastAsia" w:ascii="宋体" w:hAnsi="宋体" w:cs="宋体"/>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13.5.2</w:t>
      </w:r>
      <w:r>
        <w:rPr>
          <w:b/>
          <w:szCs w:val="21"/>
          <w:highlight w:val="none"/>
        </w:rPr>
        <w:t xml:space="preserve">             </w:t>
      </w:r>
      <w:r>
        <w:rPr>
          <w:rFonts w:hint="eastAsia"/>
          <w:b/>
          <w:szCs w:val="21"/>
          <w:highlight w:val="none"/>
        </w:rPr>
        <w:t>修改类型：修改</w:t>
      </w:r>
    </w:p>
    <w:p>
      <w:pPr>
        <w:pStyle w:val="5"/>
        <w:spacing w:after="0" w:line="360" w:lineRule="auto"/>
        <w:ind w:firstLine="422" w:firstLineChars="200"/>
        <w:rPr>
          <w:b/>
          <w:szCs w:val="21"/>
          <w:highlight w:val="none"/>
        </w:rPr>
      </w:pPr>
      <w:r>
        <w:rPr>
          <w:rFonts w:hint="eastAsia"/>
          <w:b/>
          <w:szCs w:val="21"/>
          <w:highlight w:val="none"/>
        </w:rPr>
        <w:t>原文：</w:t>
      </w:r>
      <w:r>
        <w:rPr>
          <w:rFonts w:hint="eastAsia" w:ascii="宋体" w:hAnsi="宋体" w:cs="宋体"/>
          <w:bCs/>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highlight w:val="none"/>
        </w:rPr>
      </w:pPr>
      <w:r>
        <w:rPr>
          <w:rFonts w:hint="eastAsia"/>
          <w:b/>
          <w:szCs w:val="21"/>
          <w:highlight w:val="none"/>
        </w:rPr>
        <w:t>现文：</w:t>
      </w:r>
      <w:r>
        <w:rPr>
          <w:rFonts w:hint="eastAsia" w:ascii="宋体" w:hAnsi="宋体" w:cs="宋体"/>
          <w:szCs w:val="21"/>
          <w:highlight w:val="none"/>
        </w:rPr>
        <w:t>13.5.2</w:t>
      </w:r>
      <w:r>
        <w:rPr>
          <w:rFonts w:hint="eastAsia" w:ascii="宋体" w:hAnsi="宋体" w:cs="宋体"/>
          <w:bCs/>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条款号：16.4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16.4如有下列情况之一的，招标人可以不予退还投标保证金</w:t>
      </w:r>
      <w:r>
        <w:rPr>
          <w:rFonts w:hint="eastAsia" w:ascii="宋体" w:hAnsi="宋体" w:cs="宋体"/>
          <w:strike/>
          <w:szCs w:val="21"/>
          <w:highlight w:val="none"/>
        </w:rPr>
        <w:t>（是否退还投标保证金由招标人在招标文件中规定）</w:t>
      </w:r>
      <w:r>
        <w:rPr>
          <w:rFonts w:hint="eastAsia" w:ascii="宋体" w:hAnsi="宋体" w:cs="宋体"/>
          <w:szCs w:val="21"/>
          <w:highlight w:val="none"/>
        </w:rPr>
        <w:t>：</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条款号：16.5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hint="eastAsia" w:ascii="宋体" w:hAnsi="宋体" w:cs="宋体"/>
          <w:b/>
          <w:bCs/>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16.5投标人如存在下列情况之一的，将被拒绝在半年内参与招标人后续工程投标（</w:t>
      </w:r>
      <w:r>
        <w:rPr>
          <w:rFonts w:hint="eastAsia" w:ascii="宋体" w:hAnsi="宋体" w:cs="宋体"/>
          <w:szCs w:val="21"/>
          <w:highlight w:val="none"/>
          <w:u w:val="single"/>
        </w:rPr>
        <w:t>注：拒绝投标时限由招标人视严重程度确定，最低三个月起，自招标人发出通知之日起计</w:t>
      </w:r>
      <w:r>
        <w:rPr>
          <w:rFonts w:hint="eastAsia" w:ascii="宋体" w:hAnsi="宋体" w:cs="宋体"/>
          <w:szCs w:val="21"/>
          <w:highlight w:val="none"/>
        </w:rPr>
        <w:t>）：</w:t>
      </w:r>
      <w:r>
        <w:rPr>
          <w:rFonts w:hint="eastAsia" w:ascii="宋体" w:hAnsi="宋体" w:cs="宋体"/>
          <w:b/>
          <w:bCs/>
          <w:szCs w:val="21"/>
          <w:highlight w:val="none"/>
          <w:u w:val="single"/>
          <w:lang w:val="en-US" w:eastAsia="zh-CN"/>
        </w:rPr>
        <w:t>详见招标公告。</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条款号：16.5.3             修改类型：删除</w:t>
      </w:r>
    </w:p>
    <w:p>
      <w:pPr>
        <w:pBdr>
          <w:bottom w:val="single" w:color="auto" w:sz="6" w:space="1"/>
        </w:pBdr>
        <w:spacing w:line="360" w:lineRule="auto"/>
        <w:ind w:firstLine="527" w:firstLineChars="25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16.5.3按招标文件要求免于提供投标保证金的投标人存在16.4条款所列情形的。</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17.1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bCs/>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 xml:space="preserve">            </w:t>
      </w:r>
      <w:r>
        <w:rPr>
          <w:rFonts w:hint="eastAsia" w:ascii="宋体" w:hAnsi="宋体"/>
          <w:sz w:val="24"/>
          <w:highlight w:val="none"/>
        </w:rPr>
        <w:t>。</w:t>
      </w:r>
    </w:p>
    <w:p>
      <w:pPr>
        <w:pBdr>
          <w:bottom w:val="single" w:color="auto" w:sz="6" w:space="1"/>
        </w:pBdr>
        <w:spacing w:line="360" w:lineRule="auto"/>
        <w:ind w:firstLine="417" w:firstLineChars="198"/>
        <w:rPr>
          <w:highlight w:val="none"/>
        </w:rPr>
      </w:pPr>
      <w:r>
        <w:rPr>
          <w:rFonts w:hint="eastAsia"/>
          <w:b/>
          <w:szCs w:val="21"/>
          <w:highlight w:val="none"/>
        </w:rPr>
        <w:t>现文：</w:t>
      </w:r>
      <w:r>
        <w:rPr>
          <w:rFonts w:hint="eastAsia" w:ascii="宋体" w:hAnsi="宋体" w:cs="宋体"/>
          <w:bCs/>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highlight w:val="none"/>
        </w:rPr>
        <w:t>详见：</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18、19</w:t>
      </w:r>
      <w:r>
        <w:rPr>
          <w:b/>
          <w:szCs w:val="21"/>
          <w:highlight w:val="none"/>
        </w:rPr>
        <w:t xml:space="preserve">             </w:t>
      </w:r>
      <w:r>
        <w:rPr>
          <w:rFonts w:hint="eastAsia"/>
          <w:b/>
          <w:szCs w:val="21"/>
          <w:highlight w:val="none"/>
        </w:rPr>
        <w:t>修改类型：修改</w:t>
      </w:r>
    </w:p>
    <w:p>
      <w:pPr>
        <w:pStyle w:val="5"/>
        <w:spacing w:after="0" w:line="360" w:lineRule="auto"/>
        <w:ind w:firstLine="422" w:firstLineChars="200"/>
        <w:rPr>
          <w:rFonts w:ascii="宋体"/>
          <w:b/>
          <w:bCs/>
          <w:sz w:val="24"/>
          <w:highlight w:val="none"/>
        </w:rPr>
      </w:pPr>
      <w:r>
        <w:rPr>
          <w:rFonts w:hint="eastAsia"/>
          <w:b/>
          <w:szCs w:val="21"/>
          <w:highlight w:val="none"/>
        </w:rPr>
        <w:t>原文：</w:t>
      </w:r>
      <w:r>
        <w:rPr>
          <w:rFonts w:hint="eastAsia" w:ascii="宋体" w:hAnsi="宋体" w:cs="宋体"/>
          <w:b/>
          <w:szCs w:val="21"/>
          <w:highlight w:val="none"/>
        </w:rPr>
        <w:t>18．投标文件的密封和标记</w:t>
      </w:r>
    </w:p>
    <w:p>
      <w:pPr>
        <w:spacing w:line="360" w:lineRule="auto"/>
        <w:ind w:firstLine="420" w:firstLineChars="200"/>
        <w:rPr>
          <w:rFonts w:ascii="宋体"/>
          <w:bCs/>
          <w:sz w:val="24"/>
          <w:highlight w:val="none"/>
        </w:rPr>
      </w:pPr>
      <w:r>
        <w:rPr>
          <w:rFonts w:hint="eastAsia" w:ascii="宋体" w:hAnsi="宋体" w:cs="宋体"/>
          <w:bCs/>
          <w:szCs w:val="21"/>
          <w:highlight w:val="none"/>
        </w:rPr>
        <w:t>18.1递交的电子投标文件（不含备用光盘）必须进行加密。按照交易平台关于全流程电子化项目的相关指南进行操作。详见：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pPr>
        <w:spacing w:line="360" w:lineRule="auto"/>
        <w:ind w:firstLine="420" w:firstLineChars="200"/>
        <w:rPr>
          <w:rFonts w:ascii="宋体"/>
          <w:bCs/>
          <w:sz w:val="24"/>
          <w:highlight w:val="none"/>
        </w:rPr>
      </w:pPr>
      <w:r>
        <w:rPr>
          <w:rFonts w:hint="eastAsia" w:ascii="宋体" w:hAnsi="宋体" w:cs="宋体"/>
          <w:bCs/>
          <w:szCs w:val="21"/>
          <w:highlight w:val="none"/>
        </w:rPr>
        <w:t>18.2 未按要求加密的投标文件，</w:t>
      </w:r>
      <w:r>
        <w:rPr>
          <w:sz w:val="24"/>
          <w:szCs w:val="24"/>
          <w:highlight w:val="none"/>
          <w:u w:val="single"/>
        </w:rPr>
        <w:t xml:space="preserve">        </w:t>
      </w:r>
      <w:r>
        <w:rPr>
          <w:rFonts w:hint="eastAsia" w:ascii="宋体" w:hAnsi="宋体" w:cs="宋体"/>
          <w:bCs/>
          <w:szCs w:val="21"/>
          <w:highlight w:val="none"/>
        </w:rPr>
        <w:t>交易平台将予以拒收。</w:t>
      </w:r>
    </w:p>
    <w:p>
      <w:pPr>
        <w:pStyle w:val="5"/>
        <w:spacing w:after="0" w:line="360" w:lineRule="auto"/>
        <w:ind w:firstLine="422" w:firstLineChars="200"/>
        <w:rPr>
          <w:rFonts w:ascii="宋体" w:hAnsi="宋体" w:cs="宋体"/>
          <w:b/>
          <w:szCs w:val="21"/>
          <w:highlight w:val="none"/>
        </w:rPr>
      </w:pPr>
      <w:r>
        <w:rPr>
          <w:rFonts w:hint="eastAsia" w:ascii="宋体" w:hAnsi="宋体" w:cs="宋体"/>
          <w:b/>
          <w:szCs w:val="21"/>
          <w:highlight w:val="none"/>
        </w:rPr>
        <w:t>19．投标文件的递交和接收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19.1投标人通过</w:t>
      </w:r>
      <w:r>
        <w:rPr>
          <w:sz w:val="24"/>
          <w:szCs w:val="24"/>
          <w:highlight w:val="none"/>
          <w:u w:val="single"/>
        </w:rPr>
        <w:t xml:space="preserve">        </w:t>
      </w:r>
      <w:r>
        <w:rPr>
          <w:rFonts w:hint="eastAsia" w:ascii="宋体" w:hAnsi="宋体" w:cs="宋体"/>
          <w:bCs/>
          <w:szCs w:val="21"/>
          <w:highlight w:val="none"/>
        </w:rPr>
        <w:t>交易平台递交电子投标文件。</w:t>
      </w:r>
    </w:p>
    <w:p>
      <w:pPr>
        <w:spacing w:line="360" w:lineRule="auto"/>
        <w:ind w:firstLine="420" w:firstLineChars="200"/>
        <w:rPr>
          <w:rFonts w:ascii="宋体"/>
          <w:bCs/>
          <w:sz w:val="24"/>
          <w:highlight w:val="none"/>
        </w:rPr>
      </w:pPr>
      <w:r>
        <w:rPr>
          <w:rFonts w:hint="eastAsia" w:ascii="宋体" w:hAnsi="宋体" w:cs="宋体"/>
          <w:bCs/>
          <w:szCs w:val="21"/>
          <w:highlight w:val="none"/>
        </w:rPr>
        <w:t>19.2投标人完成电子投标文件上传后，</w:t>
      </w:r>
      <w:r>
        <w:rPr>
          <w:sz w:val="24"/>
          <w:szCs w:val="24"/>
          <w:highlight w:val="none"/>
          <w:u w:val="single"/>
        </w:rPr>
        <w:t xml:space="preserve">        </w:t>
      </w:r>
      <w:r>
        <w:rPr>
          <w:rFonts w:hint="eastAsia" w:ascii="宋体" w:hAnsi="宋体" w:cs="宋体"/>
          <w:bCs/>
          <w:szCs w:val="21"/>
          <w:highlight w:val="none"/>
        </w:rPr>
        <w:t>交易平台即时向投标人发出递交回执通知。递交时间以递交回执通知载明的传输完成时间为准</w:t>
      </w:r>
      <w:r>
        <w:rPr>
          <w:rFonts w:hint="eastAsia" w:ascii="宋体" w:hAnsi="宋体"/>
          <w:sz w:val="24"/>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19.3逾期送达的电子投标文件</w:t>
      </w:r>
      <w:r>
        <w:rPr>
          <w:rFonts w:hint="eastAsia" w:ascii="宋体" w:hAnsi="宋体"/>
          <w:bCs/>
          <w:sz w:val="24"/>
          <w:highlight w:val="none"/>
        </w:rPr>
        <w:t>，</w:t>
      </w:r>
      <w:r>
        <w:rPr>
          <w:sz w:val="24"/>
          <w:szCs w:val="24"/>
          <w:highlight w:val="none"/>
          <w:u w:val="single"/>
        </w:rPr>
        <w:t xml:space="preserve">        </w:t>
      </w:r>
      <w:r>
        <w:rPr>
          <w:rFonts w:hint="eastAsia" w:ascii="宋体" w:hAnsi="宋体" w:cs="宋体"/>
          <w:bCs/>
          <w:szCs w:val="21"/>
          <w:highlight w:val="none"/>
        </w:rPr>
        <w:t>交易平台将予以拒收。</w:t>
      </w:r>
    </w:p>
    <w:p>
      <w:pPr>
        <w:spacing w:line="360" w:lineRule="auto"/>
        <w:ind w:firstLine="420" w:firstLineChars="200"/>
        <w:rPr>
          <w:rFonts w:ascii="宋体"/>
          <w:sz w:val="24"/>
          <w:highlight w:val="none"/>
        </w:rPr>
      </w:pPr>
      <w:r>
        <w:rPr>
          <w:rFonts w:hint="eastAsia" w:ascii="宋体" w:hAnsi="宋体" w:cs="宋体"/>
          <w:bCs/>
          <w:szCs w:val="21"/>
          <w:highlight w:val="none"/>
        </w:rPr>
        <w:t>19.4 投标截止前，招标人拒绝接收符合条件的投标文件，投标人可向招标投标监督机构投诉</w:t>
      </w:r>
      <w:r>
        <w:rPr>
          <w:rFonts w:hint="eastAsia"/>
          <w:sz w:val="24"/>
          <w:szCs w:val="24"/>
          <w:highlight w:val="none"/>
        </w:rPr>
        <w:t>。</w:t>
      </w:r>
    </w:p>
    <w:p>
      <w:pPr>
        <w:spacing w:line="360" w:lineRule="auto"/>
        <w:ind w:firstLine="420" w:firstLineChars="200"/>
        <w:rPr>
          <w:rFonts w:ascii="宋体" w:hAnsi="宋体"/>
          <w:sz w:val="24"/>
          <w:highlight w:val="none"/>
        </w:rPr>
      </w:pPr>
      <w:r>
        <w:rPr>
          <w:rFonts w:hint="eastAsia" w:ascii="宋体" w:hAnsi="宋体" w:cs="宋体"/>
          <w:bCs/>
          <w:szCs w:val="21"/>
          <w:highlight w:val="none"/>
        </w:rPr>
        <w:t>19.5如技术标和经济标先后分别开启，</w:t>
      </w:r>
      <w:r>
        <w:rPr>
          <w:sz w:val="24"/>
          <w:szCs w:val="24"/>
          <w:highlight w:val="none"/>
          <w:u w:val="single"/>
        </w:rPr>
        <w:t xml:space="preserve">        </w:t>
      </w:r>
      <w:r>
        <w:rPr>
          <w:rFonts w:hint="eastAsia" w:ascii="宋体" w:hAnsi="宋体" w:cs="宋体"/>
          <w:bCs/>
          <w:szCs w:val="21"/>
          <w:highlight w:val="none"/>
        </w:rPr>
        <w:t>交易平台将按招标文件规定的时间分别开启技术标和经济标。</w:t>
      </w:r>
    </w:p>
    <w:p>
      <w:pPr>
        <w:pStyle w:val="5"/>
        <w:spacing w:after="0" w:line="360" w:lineRule="auto"/>
        <w:ind w:firstLine="422" w:firstLineChars="200"/>
        <w:rPr>
          <w:rFonts w:ascii="宋体" w:hAnsi="宋体" w:cs="宋体"/>
          <w:b/>
          <w:bCs/>
          <w:szCs w:val="21"/>
          <w:highlight w:val="none"/>
        </w:rPr>
      </w:pPr>
      <w:r>
        <w:rPr>
          <w:rFonts w:hint="eastAsia"/>
          <w:b/>
          <w:szCs w:val="21"/>
          <w:highlight w:val="none"/>
        </w:rPr>
        <w:t>现文：</w:t>
      </w:r>
      <w:r>
        <w:rPr>
          <w:rFonts w:hint="eastAsia" w:ascii="宋体" w:hAnsi="宋体" w:cs="宋体"/>
          <w:b/>
          <w:bCs/>
          <w:szCs w:val="21"/>
          <w:highlight w:val="none"/>
        </w:rPr>
        <w:t>18．</w:t>
      </w:r>
      <w:r>
        <w:rPr>
          <w:rFonts w:hint="eastAsia" w:ascii="宋体" w:hAnsi="宋体" w:cs="宋体"/>
          <w:b/>
          <w:szCs w:val="21"/>
          <w:highlight w:val="none"/>
        </w:rPr>
        <w:t>投标文件的密封和标记</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 xml:space="preserve">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18.2 未按要求加密的投标文件，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w:t>
      </w:r>
      <w:r>
        <w:rPr>
          <w:rFonts w:hint="eastAsia" w:ascii="宋体" w:hAnsi="宋体" w:cs="宋体"/>
          <w:bCs/>
          <w:szCs w:val="21"/>
          <w:highlight w:val="none"/>
        </w:rPr>
        <w:t>将予以拒收。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19．投标文件的递交和接收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19.1投标人通过</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交易平台递交电子投标文件。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19.2投标人完成电子</w:t>
      </w:r>
      <w:r>
        <w:rPr>
          <w:rFonts w:hint="eastAsia" w:ascii="宋体" w:hAnsi="宋体" w:cs="宋体"/>
          <w:szCs w:val="21"/>
          <w:highlight w:val="none"/>
        </w:rPr>
        <w:t>投标文件</w:t>
      </w:r>
      <w:r>
        <w:rPr>
          <w:rFonts w:hint="eastAsia" w:ascii="宋体" w:hAnsi="宋体" w:cs="宋体"/>
          <w:bCs/>
          <w:szCs w:val="21"/>
          <w:highlight w:val="none"/>
        </w:rPr>
        <w:t>上传后，</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rPr>
        <w:t>19.3逾期送达的电子投标文件，</w:t>
      </w:r>
      <w:r>
        <w:rPr>
          <w:rFonts w:hint="eastAsia" w:ascii="宋体" w:hAnsi="宋体" w:cs="宋体"/>
          <w:szCs w:val="21"/>
          <w:highlight w:val="none"/>
          <w:u w:val="single"/>
        </w:rPr>
        <w:t xml:space="preserve">广州交易集团有限公司（广州公共资源交易中心） </w:t>
      </w:r>
      <w:r>
        <w:rPr>
          <w:rFonts w:hint="eastAsia" w:ascii="宋体" w:hAnsi="宋体" w:cs="宋体"/>
          <w:szCs w:val="21"/>
          <w:highlight w:val="none"/>
        </w:rPr>
        <w:t>交易平台将予以拒收。</w:t>
      </w:r>
    </w:p>
    <w:p>
      <w:pPr>
        <w:pBdr>
          <w:bottom w:val="single" w:color="auto" w:sz="6" w:space="1"/>
        </w:pBdr>
        <w:spacing w:line="360" w:lineRule="auto"/>
        <w:ind w:firstLine="415" w:firstLineChars="198"/>
        <w:rPr>
          <w:highlight w:val="none"/>
        </w:rPr>
      </w:pPr>
      <w:r>
        <w:rPr>
          <w:rFonts w:hint="eastAsia" w:ascii="宋体" w:hAnsi="宋体" w:cs="宋体"/>
          <w:szCs w:val="21"/>
          <w:highlight w:val="none"/>
        </w:rPr>
        <w:t>19.4 投标截止前，招标人拒绝接收符合条件的投标文件，投标人可向招标投标监督机构投诉。</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21.1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21.1 本须知前附表第17项规定的投标截止时间后送达的电子投标文件，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p>
    <w:p>
      <w:pPr>
        <w:pBdr>
          <w:bottom w:val="single" w:color="auto" w:sz="6" w:space="1"/>
        </w:pBdr>
        <w:spacing w:line="360" w:lineRule="auto"/>
        <w:ind w:firstLine="417" w:firstLineChars="198"/>
        <w:rPr>
          <w:highlight w:val="none"/>
        </w:rPr>
      </w:pPr>
      <w:r>
        <w:rPr>
          <w:rFonts w:hint="eastAsia"/>
          <w:b/>
          <w:szCs w:val="21"/>
          <w:highlight w:val="none"/>
        </w:rPr>
        <w:t>现文：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27.1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27.1招标人将在</w:t>
      </w:r>
      <w:r>
        <w:rPr>
          <w:sz w:val="24"/>
          <w:szCs w:val="24"/>
          <w:highlight w:val="none"/>
          <w:u w:val="single"/>
        </w:rPr>
        <w:t xml:space="preserve">        </w:t>
      </w:r>
      <w:r>
        <w:rPr>
          <w:rFonts w:hint="eastAsia" w:ascii="宋体" w:hAnsi="宋体" w:cs="宋体"/>
          <w:szCs w:val="21"/>
          <w:highlight w:val="none"/>
        </w:rPr>
        <w:t>交易平台、广东省招标投标监管网和中国招标投标公共服务平台公示中标候选人，公示期为三天。</w:t>
      </w:r>
    </w:p>
    <w:p>
      <w:pPr>
        <w:spacing w:line="360" w:lineRule="auto"/>
        <w:ind w:firstLine="422" w:firstLineChars="200"/>
        <w:rPr>
          <w:rFonts w:ascii="宋体" w:hAnsi="宋体"/>
          <w:b/>
          <w:bCs/>
          <w:szCs w:val="21"/>
          <w:highlight w:val="none"/>
          <w:u w:val="single"/>
        </w:rPr>
      </w:pPr>
      <w:r>
        <w:rPr>
          <w:rFonts w:hint="eastAsia"/>
          <w:b/>
          <w:szCs w:val="21"/>
          <w:highlight w:val="none"/>
        </w:rPr>
        <w:t>现文：</w:t>
      </w:r>
      <w:r>
        <w:rPr>
          <w:rFonts w:hint="eastAsia" w:ascii="宋体" w:hAnsi="宋体" w:cs="宋体"/>
          <w:szCs w:val="21"/>
          <w:highlight w:val="none"/>
        </w:rPr>
        <w:t>27.1招标人将在</w:t>
      </w:r>
      <w:r>
        <w:rPr>
          <w:rFonts w:hint="eastAsia" w:ascii="宋体" w:hAnsi="宋体" w:cs="宋体"/>
          <w:kern w:val="0"/>
          <w:szCs w:val="21"/>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szCs w:val="21"/>
          <w:highlight w:val="none"/>
        </w:rPr>
        <w:t>公示中标候选人，公示期为三天。</w:t>
      </w:r>
      <w:r>
        <w:rPr>
          <w:rFonts w:hint="eastAsia" w:ascii="宋体" w:hAnsi="宋体"/>
          <w:b/>
          <w:bCs/>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Fonts w:ascii="宋体" w:hAnsi="宋体"/>
          <w:b/>
          <w:bCs/>
          <w:szCs w:val="21"/>
          <w:highlight w:val="none"/>
          <w:u w:val="single"/>
        </w:rPr>
      </w:pPr>
      <w:r>
        <w:rPr>
          <w:rFonts w:hint="eastAsia" w:ascii="宋体" w:hAnsi="宋体"/>
          <w:b/>
          <w:bCs/>
          <w:szCs w:val="21"/>
          <w:highlight w:val="none"/>
          <w:u w:val="single"/>
        </w:rPr>
        <w:t>1.具体操作详见“广州交易集团有限公司（广州公共资源交易中心）门户网站首页-&gt;服务指南-&gt;系统帮助-&gt;操作手册-&gt;发起及受理异议操作指引”。</w:t>
      </w:r>
    </w:p>
    <w:p>
      <w:pPr>
        <w:pBdr>
          <w:bottom w:val="single" w:color="auto" w:sz="6" w:space="1"/>
        </w:pBdr>
        <w:spacing w:line="360" w:lineRule="auto"/>
        <w:ind w:firstLine="422" w:firstLineChars="200"/>
        <w:rPr>
          <w:szCs w:val="21"/>
          <w:highlight w:val="none"/>
        </w:rPr>
      </w:pPr>
      <w:r>
        <w:rPr>
          <w:rFonts w:hint="eastAsia" w:ascii="宋体" w:hAnsi="宋体"/>
          <w:b/>
          <w:bCs/>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27.4</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27.4在产生中标候选人后，招标人将中标候选人的投标文件商务部分文件的所有内容（包括报价清单、人员、业绩、奖项等资料）在</w:t>
      </w:r>
      <w:r>
        <w:rPr>
          <w:sz w:val="24"/>
          <w:szCs w:val="24"/>
          <w:highlight w:val="none"/>
          <w:u w:val="single"/>
        </w:rPr>
        <w:t xml:space="preserve">        </w:t>
      </w:r>
      <w:r>
        <w:rPr>
          <w:rFonts w:hint="eastAsia" w:ascii="宋体" w:hAnsi="宋体" w:cs="宋体"/>
          <w:szCs w:val="21"/>
          <w:highlight w:val="none"/>
        </w:rPr>
        <w:t>交易平台和广东省招标投标监管网公开。</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27.4在产生中标候选人后，招标人将中标候选人的投标文件商务部分文件的所有内容（包括人员、业绩、奖项等资料）在</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rPr>
        <w:t>交易平台。</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29.1</w:t>
      </w:r>
      <w:r>
        <w:rPr>
          <w:b/>
          <w:szCs w:val="21"/>
          <w:highlight w:val="none"/>
        </w:rPr>
        <w:t xml:space="preserve">             </w:t>
      </w:r>
      <w:r>
        <w:rPr>
          <w:rFonts w:hint="eastAsia"/>
          <w:b/>
          <w:szCs w:val="21"/>
          <w:highlight w:val="none"/>
        </w:rPr>
        <w:t>修改类型：修改</w:t>
      </w:r>
    </w:p>
    <w:p>
      <w:pPr>
        <w:snapToGrid w:val="0"/>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u w:val="single"/>
        </w:rPr>
        <w:t>29.1 在申请支付预付款前，中标人应按本须知前附表第20项的规定向招标人提交履约担保。</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29.2</w:t>
      </w:r>
      <w:r>
        <w:rPr>
          <w:rFonts w:hint="eastAsia" w:ascii="宋体" w:hAnsi="宋体" w:cs="宋体"/>
          <w:b/>
          <w:szCs w:val="21"/>
          <w:highlight w:val="none"/>
        </w:rPr>
        <w:t xml:space="preserve"> </w:t>
      </w:r>
      <w:r>
        <w:rPr>
          <w:b/>
          <w:szCs w:val="21"/>
          <w:highlight w:val="none"/>
        </w:rPr>
        <w:t xml:space="preserve">             </w:t>
      </w:r>
      <w:r>
        <w:rPr>
          <w:rFonts w:hint="eastAsia"/>
          <w:b/>
          <w:szCs w:val="21"/>
          <w:highlight w:val="none"/>
        </w:rPr>
        <w:t>修改类型：修改</w:t>
      </w:r>
    </w:p>
    <w:p>
      <w:pPr>
        <w:snapToGrid w:val="0"/>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29.2</w:t>
      </w:r>
      <w:r>
        <w:rPr>
          <w:rFonts w:hint="eastAsia" w:ascii="宋体" w:hAnsi="宋体" w:cs="宋体"/>
          <w:szCs w:val="21"/>
          <w:highlight w:val="none"/>
          <w:u w:val="single"/>
        </w:rPr>
        <w:t>在申请支付预付款前，中标人未按上款的规定提交履约担保，招标人将不予支付预付款</w:t>
      </w:r>
      <w:r>
        <w:rPr>
          <w:rFonts w:hint="eastAsia" w:ascii="宋体" w:hAnsi="宋体" w:cs="宋体"/>
          <w:szCs w:val="21"/>
          <w:highlight w:val="none"/>
        </w:rPr>
        <w:t>。</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30.1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30.1</w:t>
      </w:r>
      <w:r>
        <w:rPr>
          <w:b/>
          <w:szCs w:val="21"/>
          <w:highlight w:val="none"/>
        </w:rPr>
        <w:t xml:space="preserve"> </w:t>
      </w:r>
      <w:r>
        <w:rPr>
          <w:rFonts w:hint="eastAsia" w:ascii="宋体" w:hAnsi="宋体" w:cs="宋体"/>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条款号：31.1           修改类型：增加</w:t>
      </w:r>
    </w:p>
    <w:p>
      <w:pPr>
        <w:pBdr>
          <w:bottom w:val="single" w:color="auto" w:sz="6" w:space="1"/>
        </w:pBdr>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31.1根据广州市政府相关文件的规定，向广州交易集团有限公司（广州公共资源交易中心）交纳交易服务费。</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 xml:space="preserve">32.3 </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kern w:val="0"/>
          <w:szCs w:val="21"/>
          <w:highlight w:val="none"/>
        </w:rPr>
      </w:pPr>
      <w:r>
        <w:rPr>
          <w:rFonts w:hint="eastAsia"/>
          <w:b/>
          <w:szCs w:val="21"/>
          <w:highlight w:val="none"/>
        </w:rPr>
        <w:t>现文：</w:t>
      </w:r>
      <w:r>
        <w:rPr>
          <w:rFonts w:hint="eastAsia" w:ascii="宋体" w:hAnsi="宋体" w:cs="宋体"/>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 xml:space="preserve">33 </w:t>
      </w:r>
      <w:r>
        <w:rPr>
          <w:b/>
          <w:szCs w:val="21"/>
          <w:highlight w:val="none"/>
        </w:rPr>
        <w:t xml:space="preserve">            </w:t>
      </w:r>
      <w:r>
        <w:rPr>
          <w:rFonts w:hint="eastAsia"/>
          <w:b/>
          <w:szCs w:val="21"/>
          <w:highlight w:val="none"/>
        </w:rPr>
        <w:t>修改类型：删除</w:t>
      </w:r>
    </w:p>
    <w:p>
      <w:pPr>
        <w:spacing w:line="360" w:lineRule="auto"/>
        <w:ind w:firstLine="422" w:firstLineChars="200"/>
        <w:rPr>
          <w:rFonts w:ascii="宋体" w:hAnsi="宋体" w:cs="宋体"/>
          <w:kern w:val="0"/>
          <w:szCs w:val="21"/>
          <w:highlight w:val="none"/>
        </w:rPr>
      </w:pPr>
      <w:r>
        <w:rPr>
          <w:rFonts w:hint="eastAsia"/>
          <w:b/>
          <w:szCs w:val="21"/>
          <w:highlight w:val="none"/>
        </w:rPr>
        <w:t>原文：</w:t>
      </w:r>
      <w:r>
        <w:rPr>
          <w:rFonts w:hint="eastAsia" w:ascii="宋体" w:hAnsi="宋体" w:cs="宋体"/>
          <w:kern w:val="0"/>
          <w:szCs w:val="21"/>
          <w:highlight w:val="none"/>
        </w:rPr>
        <w:t>33. 投标人信誉的要求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存在下列情形之一的，招标人可以限制其投标（需在招标文件中明确评定方法）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（2）被发改委、人力资源社会保障、质检总局等有关部门、单位在“信用中国”网站中列入联合惩戒失信黑名单。</w:t>
      </w:r>
    </w:p>
    <w:p>
      <w:pPr>
        <w:spacing w:line="360" w:lineRule="auto"/>
        <w:ind w:firstLine="211" w:firstLineChars="100"/>
        <w:rPr>
          <w:b/>
          <w:szCs w:val="21"/>
          <w:highlight w:val="none"/>
        </w:rPr>
      </w:pPr>
      <w:r>
        <w:rPr>
          <w:rFonts w:hint="eastAsia"/>
          <w:b/>
          <w:szCs w:val="21"/>
          <w:highlight w:val="none"/>
        </w:rPr>
        <w:t>注：以上修改，仅限于本范本中有可供选择条款的情形。</w:t>
      </w:r>
    </w:p>
    <w:p>
      <w:pPr>
        <w:spacing w:line="360" w:lineRule="auto"/>
        <w:rPr>
          <w:highlight w:val="none"/>
        </w:rPr>
      </w:pPr>
      <w:r>
        <w:rPr>
          <w:rFonts w:hint="eastAsia"/>
          <w:b/>
          <w:szCs w:val="21"/>
          <w:highlight w:val="none"/>
        </w:rPr>
        <w:t>（以下无正文）</w:t>
      </w:r>
    </w:p>
    <w:p>
      <w:pPr>
        <w:pStyle w:val="6"/>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7"/>
        <w:spacing w:before="156" w:after="156"/>
        <w:rPr>
          <w:highlight w:val="none"/>
        </w:rPr>
      </w:pPr>
      <w:bookmarkStart w:id="10" w:name="_Toc21525493"/>
      <w:bookmarkStart w:id="11" w:name="_Toc2272549"/>
      <w:r>
        <w:rPr>
          <w:rFonts w:hint="eastAsia"/>
          <w:highlight w:val="none"/>
        </w:rPr>
        <w:t>（一）总则</w:t>
      </w:r>
      <w:bookmarkEnd w:id="10"/>
      <w:bookmarkEnd w:id="11"/>
    </w:p>
    <w:p>
      <w:pPr>
        <w:pStyle w:val="5"/>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5"/>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5"/>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5"/>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pPr>
        <w:pStyle w:val="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5"/>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hAns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spacing w:line="360" w:lineRule="auto"/>
        <w:ind w:firstLine="480" w:firstLineChars="200"/>
        <w:rPr>
          <w:rFonts w:ascii="宋体" w:hAnsi="宋体"/>
          <w:bCs/>
          <w:sz w:val="24"/>
          <w:highlight w:val="none"/>
        </w:rPr>
      </w:pPr>
      <w:r>
        <w:rPr>
          <w:rFonts w:hint="eastAsia" w:ascii="宋体" w:hAnsi="宋体"/>
          <w:bCs/>
          <w:sz w:val="24"/>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bCs/>
          <w:sz w:val="24"/>
          <w:szCs w:val="24"/>
          <w:highlight w:val="none"/>
          <w:u w:val="single"/>
        </w:rPr>
      </w:pPr>
      <w:r>
        <w:rPr>
          <w:rFonts w:hint="eastAsia" w:ascii="宋体" w:hAnsi="宋体" w:cs="宋体"/>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 w:val="24"/>
          <w:szCs w:val="24"/>
          <w:highlight w:val="none"/>
          <w:u w:val="single"/>
        </w:rPr>
        <w:t>投标人不进行踏勘的，视为已熟知现场条件，自行承担相关风险</w:t>
      </w:r>
      <w:r>
        <w:rPr>
          <w:rFonts w:hint="eastAsia" w:ascii="宋体" w:hAnsi="宋体" w:cs="宋体"/>
          <w:sz w:val="24"/>
          <w:szCs w:val="24"/>
          <w:highlight w:val="none"/>
        </w:rPr>
        <w:t>。一旦中标，这种考察即被认为其结果已在中标文件中得到充分反映。</w:t>
      </w:r>
      <w:r>
        <w:rPr>
          <w:rFonts w:hint="eastAsia" w:ascii="宋体" w:hAnsi="宋体" w:cs="宋体"/>
          <w:sz w:val="24"/>
          <w:szCs w:val="24"/>
          <w:highlight w:val="none"/>
          <w:u w:val="single"/>
        </w:rPr>
        <w:t>招标人不受理因投标人缺乏对现场条件的了解或掌握而提出的任何索赔。</w:t>
      </w:r>
      <w:r>
        <w:rPr>
          <w:rFonts w:hint="eastAsia" w:ascii="宋体" w:hAnsi="宋体" w:cs="宋体"/>
          <w:sz w:val="24"/>
          <w:szCs w:val="24"/>
          <w:highlight w:val="none"/>
        </w:rPr>
        <w:t>考察现场的费用由投标人自己承担。</w:t>
      </w:r>
    </w:p>
    <w:p>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7"/>
        <w:spacing w:before="156" w:after="156"/>
        <w:rPr>
          <w:highlight w:val="none"/>
        </w:rPr>
      </w:pPr>
      <w:bookmarkStart w:id="12" w:name="_Toc21525494"/>
      <w:bookmarkStart w:id="13" w:name="_Toc2272550"/>
      <w:r>
        <w:rPr>
          <w:rFonts w:hint="eastAsia"/>
          <w:highlight w:val="none"/>
        </w:rPr>
        <w:t>（二）招标文件</w:t>
      </w:r>
      <w:bookmarkEnd w:id="12"/>
      <w:bookmarkEnd w:id="13"/>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7.1</w:t>
      </w:r>
      <w:r>
        <w:rPr>
          <w:rFonts w:hint="eastAsia" w:ascii="宋体" w:hAnsi="宋体" w:cs="宋体"/>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 xml:space="preserve">第一章  </w:t>
      </w:r>
      <w:r>
        <w:rPr>
          <w:rFonts w:hint="eastAsia" w:ascii="宋体" w:hAnsi="宋体" w:cs="宋体"/>
          <w:sz w:val="24"/>
          <w:szCs w:val="24"/>
          <w:highlight w:val="none"/>
        </w:rPr>
        <w:t>投标须知</w:t>
      </w:r>
    </w:p>
    <w:p>
      <w:pPr>
        <w:pStyle w:val="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 xml:space="preserve">第二章  </w:t>
      </w:r>
      <w:r>
        <w:rPr>
          <w:rFonts w:hint="eastAsia" w:ascii="宋体" w:hAnsi="宋体" w:cs="宋体"/>
          <w:sz w:val="24"/>
          <w:szCs w:val="24"/>
          <w:highlight w:val="none"/>
        </w:rPr>
        <w:t>开标、评标及定标办法</w:t>
      </w:r>
    </w:p>
    <w:p>
      <w:pPr>
        <w:pStyle w:val="5"/>
        <w:spacing w:after="0" w:line="360" w:lineRule="auto"/>
        <w:ind w:left="-2" w:firstLine="480" w:firstLineChars="200"/>
        <w:rPr>
          <w:rFonts w:ascii="宋体" w:hAnsi="宋体" w:cs="宋体"/>
          <w:sz w:val="24"/>
          <w:szCs w:val="24"/>
          <w:highlight w:val="none"/>
        </w:rPr>
      </w:pPr>
      <w:r>
        <w:rPr>
          <w:rFonts w:hint="eastAsia" w:ascii="宋体" w:hAnsi="宋体" w:cs="宋体"/>
          <w:sz w:val="24"/>
          <w:szCs w:val="24"/>
          <w:highlight w:val="none"/>
        </w:rPr>
        <w:t>第三章  合同条款</w:t>
      </w:r>
    </w:p>
    <w:p>
      <w:pPr>
        <w:pStyle w:val="5"/>
        <w:spacing w:after="0"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 xml:space="preserve">第四章  </w:t>
      </w:r>
      <w:r>
        <w:rPr>
          <w:rFonts w:hint="eastAsia" w:ascii="宋体" w:hAnsi="宋体" w:cs="宋体"/>
          <w:sz w:val="24"/>
          <w:szCs w:val="24"/>
          <w:highlight w:val="none"/>
        </w:rPr>
        <w:t>投标文件格式</w:t>
      </w:r>
    </w:p>
    <w:p>
      <w:pPr>
        <w:pStyle w:val="5"/>
        <w:spacing w:after="0" w:line="360" w:lineRule="auto"/>
        <w:ind w:left="-2" w:firstLine="480" w:firstLineChars="200"/>
        <w:rPr>
          <w:rFonts w:ascii="宋体" w:hAnsi="宋体" w:cs="宋体"/>
          <w:sz w:val="24"/>
          <w:szCs w:val="24"/>
          <w:highlight w:val="none"/>
          <w:u w:val="single"/>
        </w:rPr>
      </w:pPr>
      <w:r>
        <w:rPr>
          <w:rFonts w:hint="eastAsia" w:ascii="宋体" w:hAnsi="宋体" w:cs="宋体"/>
          <w:bCs/>
          <w:sz w:val="24"/>
          <w:szCs w:val="24"/>
          <w:highlight w:val="none"/>
          <w:u w:val="single"/>
        </w:rPr>
        <w:t xml:space="preserve">第五章  </w:t>
      </w:r>
      <w:r>
        <w:rPr>
          <w:rFonts w:hint="eastAsia" w:ascii="宋体" w:hAnsi="宋体" w:cs="宋体"/>
          <w:sz w:val="24"/>
          <w:szCs w:val="24"/>
          <w:highlight w:val="none"/>
          <w:u w:val="single"/>
        </w:rPr>
        <w:t>技术条件（工程建设标准）</w:t>
      </w:r>
    </w:p>
    <w:p>
      <w:pPr>
        <w:pStyle w:val="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 xml:space="preserve">第六章  </w:t>
      </w:r>
      <w:r>
        <w:rPr>
          <w:rFonts w:hint="eastAsia" w:ascii="宋体" w:hAnsi="宋体" w:cs="宋体"/>
          <w:sz w:val="24"/>
          <w:szCs w:val="24"/>
          <w:highlight w:val="none"/>
        </w:rPr>
        <w:t>图纸及勘察资料（另册）</w:t>
      </w:r>
    </w:p>
    <w:p>
      <w:pPr>
        <w:pStyle w:val="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第七章  招标</w:t>
      </w:r>
      <w:r>
        <w:rPr>
          <w:rFonts w:hint="eastAsia" w:ascii="宋体" w:hAnsi="宋体" w:cs="宋体"/>
          <w:sz w:val="24"/>
          <w:szCs w:val="24"/>
          <w:highlight w:val="none"/>
        </w:rPr>
        <w:t xml:space="preserve">工程量清单（另册） </w:t>
      </w:r>
    </w:p>
    <w:p>
      <w:pPr>
        <w:pStyle w:val="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第八章  最高投标限价</w:t>
      </w:r>
    </w:p>
    <w:p>
      <w:pPr>
        <w:pStyle w:val="5"/>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5"/>
        <w:spacing w:after="0"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5"/>
        <w:spacing w:after="0" w:line="360" w:lineRule="auto"/>
        <w:ind w:firstLine="480" w:firstLineChars="200"/>
        <w:rPr>
          <w:rFonts w:ascii="宋体"/>
          <w:sz w:val="24"/>
          <w:highlight w:val="none"/>
          <w:u w:val="single"/>
        </w:rPr>
      </w:pPr>
      <w:r>
        <w:rPr>
          <w:rFonts w:hint="eastAsia" w:ascii="宋体"/>
          <w:sz w:val="24"/>
          <w:highlight w:val="none"/>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sz w:val="24"/>
          <w:highlight w:val="none"/>
          <w:u w:val="single"/>
        </w:rPr>
      </w:pPr>
      <w:r>
        <w:rPr>
          <w:rFonts w:hint="eastAsia" w:ascii="宋体"/>
          <w:sz w:val="24"/>
          <w:highlight w:val="none"/>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pPr>
        <w:pStyle w:val="5"/>
        <w:spacing w:after="0"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pPr>
        <w:pStyle w:val="5"/>
        <w:spacing w:after="0" w:line="360" w:lineRule="auto"/>
        <w:ind w:firstLine="480" w:firstLineChars="200"/>
        <w:rPr>
          <w:rFonts w:ascii="宋体" w:hAnsi="宋体" w:cs="宋体"/>
          <w:szCs w:val="21"/>
          <w:highlight w:val="none"/>
        </w:rPr>
      </w:pPr>
      <w:r>
        <w:rPr>
          <w:rFonts w:hint="eastAsia" w:ascii="宋体"/>
          <w:sz w:val="24"/>
          <w:highlight w:val="none"/>
          <w:u w:val="single"/>
        </w:rPr>
        <w:t>8.4若招标答疑纪要与招标文件有矛盾时，以广州交易集团有限公司（广州公共资源交易中心）交易平台最后发布的答疑纪要为准。</w:t>
      </w:r>
    </w:p>
    <w:p>
      <w:pPr>
        <w:pStyle w:val="5"/>
        <w:spacing w:after="0"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5"/>
        <w:spacing w:after="0"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5"/>
        <w:spacing w:after="0" w:line="360" w:lineRule="auto"/>
        <w:ind w:firstLine="480" w:firstLineChars="200"/>
        <w:rPr>
          <w:rFonts w:ascii="宋体"/>
          <w:sz w:val="24"/>
          <w:highlight w:val="none"/>
          <w:u w:val="single"/>
        </w:rPr>
      </w:pPr>
      <w:r>
        <w:rPr>
          <w:rFonts w:hint="eastAsia" w:ascii="宋体"/>
          <w:sz w:val="24"/>
          <w:highlight w:val="none"/>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pPr>
        <w:pStyle w:val="5"/>
        <w:spacing w:after="0"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pPr>
        <w:pStyle w:val="5"/>
        <w:spacing w:after="0" w:line="360" w:lineRule="auto"/>
        <w:ind w:firstLine="480" w:firstLineChars="200"/>
        <w:rPr>
          <w:rFonts w:ascii="宋体"/>
          <w:sz w:val="24"/>
          <w:highlight w:val="none"/>
          <w:u w:val="single"/>
        </w:rPr>
      </w:pPr>
      <w:r>
        <w:rPr>
          <w:rFonts w:hint="eastAsia" w:ascii="宋体"/>
          <w:sz w:val="24"/>
          <w:highlight w:val="none"/>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pPr>
        <w:pStyle w:val="5"/>
        <w:spacing w:after="0"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highlight w:val="none"/>
        </w:rPr>
      </w:pPr>
      <w:bookmarkStart w:id="14" w:name="_Toc21525495"/>
      <w:bookmarkStart w:id="15" w:name="_Toc2272551"/>
      <w:r>
        <w:rPr>
          <w:rFonts w:hint="eastAsia"/>
          <w:highlight w:val="none"/>
        </w:rPr>
        <w:t>（三）投标文件的编制</w:t>
      </w:r>
      <w:bookmarkEnd w:id="14"/>
      <w:bookmarkEnd w:id="15"/>
    </w:p>
    <w:p>
      <w:pPr>
        <w:pStyle w:val="5"/>
        <w:spacing w:after="0"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5"/>
        <w:spacing w:after="0"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5"/>
        <w:spacing w:after="0"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5"/>
        <w:spacing w:after="0"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投标文件由技术部分（含资格审查文件）和经济部分二部分投标文件组成</w:t>
      </w:r>
      <w:r>
        <w:rPr>
          <w:rFonts w:hint="eastAsia" w:ascii="宋体" w:hAnsi="宋体"/>
          <w:b/>
          <w:sz w:val="24"/>
          <w:highlight w:val="none"/>
        </w:rPr>
        <w:t>。</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11.2投标文件技术标部分主要包括下列内容:</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11.2.1 技术标投标书(按招标文件第四章附件一的要求填写)；</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11.2.2 资格审查文件：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 xml:space="preserve">（1）投标人声明（须按本工程招标公告附件一格式）； </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（2）法定代表人证明书、法定代表人签字或盖章的本投标文件授权委托证明书；</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（3）企业营业执照（提供证书扫描件）；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（4）企业资质证书（提供证书扫描件）；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（5）建筑施工企业安全生产许可证（提供证书扫描件）；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（6）项目负责人（按网上投标登记时选择拟投标的项目负责人）；</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（7）专职安全员（按网上投标登记时选择拟投标的专职安全员）；</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（8）拟委托技术负责人的职称证书；</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 xml:space="preserve">（9）拟委派项目负责人的建造师注册证书（提供证书扫描件）； </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（10）项目负责人安全生产考核合格证明或在有效期内的安全考核合格证书（B类）或建筑施工企业项目负责人安全生产考核合格证书（提供证书扫描件）；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（11）专职安全员须具有在有效期内的安全生产考核合格证（C类）或建筑施工企业专职安全生产管理人员安全生产考核合格证书（C3）（提供证书扫描件）；</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11.2.3《施工</w:t>
      </w:r>
      <w:r>
        <w:rPr>
          <w:rFonts w:hint="eastAsia" w:ascii="宋体" w:hAnsi="宋体" w:cs="宋体"/>
          <w:sz w:val="24"/>
          <w:szCs w:val="24"/>
          <w:highlight w:val="none"/>
          <w:u w:val="single"/>
          <w:lang w:val="zh-CN"/>
        </w:rPr>
        <w:t>项目管理团队人员信息表</w:t>
      </w:r>
      <w:r>
        <w:rPr>
          <w:rFonts w:hint="eastAsia" w:ascii="宋体" w:hAnsi="宋体" w:cs="宋体"/>
          <w:sz w:val="24"/>
          <w:szCs w:val="24"/>
          <w:highlight w:val="none"/>
          <w:u w:val="single"/>
        </w:rPr>
        <w:t>》（格式见第四章）</w:t>
      </w:r>
      <w:r>
        <w:rPr>
          <w:rFonts w:hint="eastAsia" w:ascii="宋体" w:hAnsi="宋体" w:cs="宋体"/>
          <w:sz w:val="24"/>
          <w:szCs w:val="24"/>
          <w:highlight w:val="none"/>
          <w:u w:val="single"/>
          <w:lang w:val="zh-CN"/>
        </w:rPr>
        <w:t>。</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lang w:val="zh-CN"/>
        </w:rPr>
        <w:t>11.2.4企业技术标得分证明材料（按《技术标详细审查评分表》要求提交，格式见第四章，无规定格式要求的，格式自拟）</w:t>
      </w:r>
      <w:r>
        <w:rPr>
          <w:rFonts w:hint="eastAsia" w:ascii="宋体" w:hAnsi="宋体" w:cs="宋体"/>
          <w:sz w:val="24"/>
          <w:szCs w:val="24"/>
          <w:highlight w:val="none"/>
          <w:u w:val="single"/>
        </w:rPr>
        <w:t>。</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11.2.5按照招标文件要求填写的《参与编制技术标投标文件人员名单》（格式见第四章）。</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11.2.6投标保证金缴纳证明资料（递交至广州交易集团有限公司（广州公共资源交易中心）的，到账情况以开标时广州交易集团有限公司（广州公共资源交易中心）数据库查询的信息为准，可不需提供相关缴纳证明资料）；或按招标文件要求提交符合免予提供投标保证金的相关证明材料。</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11.2.7投标人认为应提供的其他资料。</w:t>
      </w:r>
    </w:p>
    <w:p>
      <w:pPr>
        <w:spacing w:line="360" w:lineRule="auto"/>
        <w:ind w:firstLine="480" w:firstLineChars="200"/>
        <w:rPr>
          <w:rFonts w:ascii="宋体"/>
          <w:bCs/>
          <w:sz w:val="24"/>
          <w:highlight w:val="none"/>
        </w:rPr>
      </w:pPr>
      <w:r>
        <w:rPr>
          <w:rFonts w:ascii="宋体" w:hAnsi="宋体"/>
          <w:bCs/>
          <w:sz w:val="24"/>
          <w:highlight w:val="none"/>
        </w:rPr>
        <w:t xml:space="preserve">11.3 </w:t>
      </w:r>
      <w:r>
        <w:rPr>
          <w:rFonts w:hint="eastAsia" w:ascii="宋体" w:hAnsi="宋体"/>
          <w:bCs/>
          <w:sz w:val="24"/>
          <w:highlight w:val="none"/>
        </w:rPr>
        <w:t>经济部分投标文件主要包括下列内容：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11.3.1 </w:t>
      </w:r>
      <w:r>
        <w:rPr>
          <w:rFonts w:hint="eastAsia" w:ascii="宋体" w:hAnsi="宋体" w:cs="宋体"/>
          <w:sz w:val="24"/>
          <w:szCs w:val="24"/>
          <w:highlight w:val="none"/>
          <w:u w:val="single"/>
        </w:rPr>
        <w:t>经济标投标书</w:t>
      </w:r>
      <w:r>
        <w:rPr>
          <w:rFonts w:hint="eastAsia" w:ascii="宋体" w:hAnsi="宋体" w:cs="宋体"/>
          <w:sz w:val="24"/>
          <w:szCs w:val="24"/>
          <w:highlight w:val="none"/>
        </w:rPr>
        <w:t>(按招标文件</w:t>
      </w:r>
      <w:r>
        <w:rPr>
          <w:rFonts w:hint="eastAsia" w:ascii="宋体" w:hAnsi="宋体" w:cs="宋体"/>
          <w:bCs/>
          <w:sz w:val="24"/>
          <w:szCs w:val="24"/>
          <w:highlight w:val="none"/>
          <w:u w:val="single"/>
        </w:rPr>
        <w:t>第四章附件一</w:t>
      </w:r>
      <w:r>
        <w:rPr>
          <w:rFonts w:hint="eastAsia" w:ascii="宋体" w:hAnsi="宋体" w:cs="宋体"/>
          <w:sz w:val="24"/>
          <w:szCs w:val="24"/>
          <w:highlight w:val="none"/>
        </w:rPr>
        <w:t>的要求填写)。</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11.3.2</w:t>
      </w:r>
      <w:r>
        <w:rPr>
          <w:rFonts w:hint="eastAsia" w:ascii="宋体" w:hAnsi="宋体"/>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（1）投标总价封面、扉页；</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（2）总说明</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w:t>
      </w:r>
      <w:r>
        <w:rPr>
          <w:rFonts w:hint="eastAsia" w:ascii="宋体" w:hAnsi="宋体"/>
          <w:sz w:val="24"/>
          <w:highlight w:val="none"/>
        </w:rPr>
        <w:t>3按照</w:t>
      </w:r>
      <w:r>
        <w:rPr>
          <w:rFonts w:hint="eastAsia" w:ascii="宋体" w:hAnsi="宋体"/>
          <w:bCs/>
          <w:sz w:val="24"/>
          <w:highlight w:val="none"/>
        </w:rPr>
        <w:t>招标文件要求</w:t>
      </w:r>
      <w:r>
        <w:rPr>
          <w:rFonts w:hint="eastAsia" w:ascii="宋体" w:hAnsi="宋体"/>
          <w:sz w:val="24"/>
          <w:highlight w:val="none"/>
        </w:rPr>
        <w:t>填写的《参与编制经济标投标文件人员名单》。</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80"/>
        <w:rPr>
          <w:highlight w:val="none"/>
          <w:u w:val="single"/>
        </w:rPr>
      </w:pPr>
      <w:r>
        <w:rPr>
          <w:rFonts w:hint="eastAsia" w:ascii="宋体" w:hAnsi="宋体"/>
          <w:sz w:val="24"/>
          <w:szCs w:val="22"/>
          <w:highlight w:val="none"/>
          <w:u w:val="single"/>
        </w:rPr>
        <w:t>11.3.5</w:t>
      </w:r>
      <w:r>
        <w:rPr>
          <w:rFonts w:hint="eastAsia" w:ascii="宋体" w:hAnsi="宋体" w:cs="宋体"/>
          <w:sz w:val="24"/>
          <w:highlight w:val="none"/>
          <w:u w:val="single"/>
        </w:rPr>
        <w:t>《对投标文件编制的承诺》及《投标文件编制情况》（格式见第四章）</w:t>
      </w:r>
      <w:r>
        <w:rPr>
          <w:rFonts w:hint="eastAsia" w:ascii="宋体" w:hAnsi="宋体" w:cs="宋体"/>
          <w:szCs w:val="21"/>
          <w:highlight w:val="none"/>
          <w:u w:val="single"/>
        </w:rPr>
        <w:t>。</w:t>
      </w:r>
    </w:p>
    <w:p>
      <w:pPr>
        <w:pStyle w:val="5"/>
        <w:spacing w:after="0"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5"/>
        <w:spacing w:after="0"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pPr>
        <w:pStyle w:val="5"/>
        <w:spacing w:after="0" w:line="360" w:lineRule="auto"/>
        <w:ind w:firstLine="480" w:firstLineChars="200"/>
        <w:rPr>
          <w:rFonts w:ascii="宋体" w:hAnsi="宋体"/>
          <w:sz w:val="24"/>
          <w:highlight w:val="none"/>
        </w:rPr>
      </w:pP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广州交易集团有限公司（广州公共资源交易中心）网站</w:t>
      </w:r>
      <w:r>
        <w:rPr>
          <w:rFonts w:hint="eastAsia" w:ascii="宋体" w:hAnsi="宋体" w:cs="宋体"/>
          <w:sz w:val="24"/>
          <w:szCs w:val="24"/>
          <w:highlight w:val="none"/>
        </w:rPr>
        <w:t xml:space="preserve">。 </w:t>
      </w:r>
      <w:r>
        <w:rPr>
          <w:rFonts w:hint="eastAsia" w:ascii="宋体" w:hAnsi="宋体"/>
          <w:sz w:val="24"/>
          <w:highlight w:val="none"/>
        </w:rPr>
        <w:t xml:space="preserve">             </w:t>
      </w:r>
    </w:p>
    <w:p>
      <w:pPr>
        <w:pStyle w:val="5"/>
        <w:spacing w:after="0" w:line="360" w:lineRule="auto"/>
        <w:ind w:firstLine="480" w:firstLineChars="20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5"/>
        <w:spacing w:after="0" w:line="360" w:lineRule="auto"/>
        <w:ind w:firstLine="480" w:firstLineChars="200"/>
        <w:rPr>
          <w:rFonts w:ascii="宋体" w:hAnsi="宋体"/>
          <w:sz w:val="24"/>
          <w:highlight w:val="none"/>
          <w:u w:val="single"/>
        </w:rPr>
      </w:pPr>
      <w:r>
        <w:rPr>
          <w:rFonts w:hint="eastAsia" w:ascii="宋体" w:hAnsi="宋体"/>
          <w:sz w:val="24"/>
          <w:highlight w:val="none"/>
        </w:rPr>
        <w:t>13.1本工程的投标报价采用投标须知前附表第12项所规定的方式。投标报价（含单价及总价）精确到“分”。</w:t>
      </w:r>
      <w:r>
        <w:rPr>
          <w:rFonts w:hint="eastAsia" w:ascii="宋体" w:hAnsi="宋体"/>
          <w:sz w:val="24"/>
          <w:highlight w:val="none"/>
          <w:u w:val="single"/>
        </w:rPr>
        <w:t>投标文件中的大写金额和小写金额不一致的，以大写金额为准。</w:t>
      </w:r>
    </w:p>
    <w:p>
      <w:pPr>
        <w:pStyle w:val="5"/>
        <w:spacing w:after="0"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sz w:val="24"/>
          <w:highlight w:val="none"/>
          <w:u w:val="single"/>
        </w:rPr>
      </w:pPr>
      <w:r>
        <w:rPr>
          <w:rFonts w:hint="eastAsia" w:ascii="宋体" w:hAnsi="宋体"/>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pPr>
        <w:pStyle w:val="5"/>
        <w:spacing w:after="0"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5"/>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pPr>
        <w:pStyle w:val="5"/>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5"/>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5"/>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5"/>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pPr>
        <w:pStyle w:val="5"/>
        <w:spacing w:after="0"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5"/>
        <w:spacing w:after="0"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pPr>
        <w:spacing w:line="360" w:lineRule="auto"/>
        <w:ind w:firstLine="480" w:firstLineChars="200"/>
        <w:rPr>
          <w:rFonts w:ascii="宋体" w:hAnsi="宋体"/>
          <w:sz w:val="24"/>
          <w:highlight w:val="none"/>
        </w:rPr>
      </w:pPr>
      <w:r>
        <w:rPr>
          <w:rFonts w:ascii="宋体" w:hAnsi="宋体"/>
          <w:sz w:val="24"/>
          <w:highlight w:val="none"/>
        </w:rPr>
        <w:t>16.1</w:t>
      </w:r>
      <w:r>
        <w:rPr>
          <w:rFonts w:hint="eastAsia" w:ascii="宋体" w:hAnsi="宋体"/>
          <w:sz w:val="24"/>
          <w:highlight w:val="none"/>
        </w:rPr>
        <w:t>投标人应按投标须知前附表第</w:t>
      </w:r>
      <w:r>
        <w:rPr>
          <w:rFonts w:ascii="宋体" w:hAnsi="宋体"/>
          <w:sz w:val="24"/>
          <w:highlight w:val="none"/>
        </w:rPr>
        <w:t>14</w:t>
      </w:r>
      <w:r>
        <w:rPr>
          <w:rFonts w:hint="eastAsia" w:ascii="宋体" w:hAnsi="宋体"/>
          <w:sz w:val="24"/>
          <w:highlight w:val="none"/>
        </w:rPr>
        <w:t>项所述金额和时间递交</w:t>
      </w:r>
      <w:r>
        <w:rPr>
          <w:rFonts w:hint="eastAsia" w:ascii="宋体" w:hAnsi="宋体"/>
          <w:bCs/>
          <w:sz w:val="24"/>
          <w:highlight w:val="none"/>
        </w:rPr>
        <w:t>投标保证金</w:t>
      </w:r>
      <w:r>
        <w:rPr>
          <w:rFonts w:hint="eastAsia" w:ascii="宋体" w:hAnsi="宋体"/>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z w:val="24"/>
          <w:highlight w:val="none"/>
        </w:rPr>
      </w:pPr>
      <w:r>
        <w:rPr>
          <w:rFonts w:hint="eastAsia" w:ascii="宋体" w:hAnsi="宋体"/>
          <w:sz w:val="24"/>
          <w:highlight w:val="none"/>
        </w:rPr>
        <w:t>16.1.1 采用现金或者支票形式提交的，投标保证金须从投标人的银行基本账户转出。</w:t>
      </w:r>
    </w:p>
    <w:p>
      <w:pPr>
        <w:spacing w:line="360" w:lineRule="auto"/>
        <w:ind w:firstLine="480" w:firstLineChars="200"/>
        <w:rPr>
          <w:rFonts w:ascii="宋体" w:hAnsi="宋体"/>
          <w:sz w:val="24"/>
          <w:highlight w:val="none"/>
        </w:rPr>
      </w:pPr>
      <w:r>
        <w:rPr>
          <w:rFonts w:hint="eastAsia" w:ascii="宋体" w:hAnsi="宋体"/>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highlight w:val="none"/>
        </w:rPr>
      </w:pPr>
      <w:r>
        <w:rPr>
          <w:rFonts w:hint="eastAsia" w:ascii="宋体" w:hAnsi="宋体"/>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z w:val="24"/>
          <w:highlight w:val="none"/>
        </w:rPr>
      </w:pPr>
      <w:r>
        <w:rPr>
          <w:rFonts w:hint="eastAsia" w:ascii="宋体" w:hAnsi="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highlight w:val="none"/>
        </w:rPr>
      </w:pPr>
      <w:r>
        <w:rPr>
          <w:rFonts w:hint="eastAsia" w:ascii="宋体" w:hAnsi="宋体"/>
          <w:sz w:val="24"/>
          <w:highlight w:val="none"/>
        </w:rPr>
        <w:t>16.3投标保证金应依据法律法规的相关规定退还。</w:t>
      </w:r>
    </w:p>
    <w:p>
      <w:pPr>
        <w:spacing w:line="360" w:lineRule="auto"/>
        <w:ind w:firstLine="480" w:firstLineChars="200"/>
        <w:rPr>
          <w:rFonts w:ascii="宋体" w:hAnsi="宋体"/>
          <w:sz w:val="24"/>
          <w:highlight w:val="none"/>
        </w:rPr>
      </w:pPr>
      <w:r>
        <w:rPr>
          <w:rFonts w:hint="eastAsia" w:ascii="宋体" w:hAnsi="宋体"/>
          <w:sz w:val="24"/>
          <w:highlight w:val="none"/>
        </w:rPr>
        <w:t>16.4如有下列情况之一的，招标人可以不予退还投标保证金</w:t>
      </w:r>
      <w:r>
        <w:rPr>
          <w:rFonts w:hint="eastAsia" w:ascii="宋体" w:hAnsi="宋体"/>
          <w:strike/>
          <w:sz w:val="24"/>
          <w:highlight w:val="none"/>
        </w:rPr>
        <w:t>（是否退还投标保证金由招标人在招标文件中规定）</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16.4.1因投标人原因造成投标文件未解密的；</w:t>
      </w:r>
    </w:p>
    <w:p>
      <w:pPr>
        <w:spacing w:line="360" w:lineRule="auto"/>
        <w:ind w:firstLine="480" w:firstLineChars="200"/>
        <w:rPr>
          <w:rFonts w:ascii="宋体" w:hAnsi="宋体"/>
          <w:sz w:val="24"/>
          <w:highlight w:val="none"/>
        </w:rPr>
      </w:pPr>
      <w:r>
        <w:rPr>
          <w:rFonts w:hint="eastAsia" w:ascii="宋体" w:hAnsi="宋体"/>
          <w:sz w:val="24"/>
          <w:highlight w:val="none"/>
        </w:rPr>
        <w:t>16.4.2投标人在投标有效期内撤销投标文件；</w:t>
      </w:r>
    </w:p>
    <w:p>
      <w:pPr>
        <w:spacing w:line="360" w:lineRule="auto"/>
        <w:ind w:firstLine="480" w:firstLineChars="200"/>
        <w:rPr>
          <w:rFonts w:ascii="宋体" w:hAnsi="宋体"/>
          <w:sz w:val="24"/>
          <w:highlight w:val="none"/>
        </w:rPr>
      </w:pPr>
      <w:r>
        <w:rPr>
          <w:rFonts w:hint="eastAsia" w:ascii="宋体" w:hAnsi="宋体"/>
          <w:sz w:val="24"/>
          <w:highlight w:val="none"/>
        </w:rPr>
        <w:t>16.4.3中标人未能在规定期限内按要求提交履约担保；</w:t>
      </w:r>
    </w:p>
    <w:p>
      <w:pPr>
        <w:spacing w:line="360" w:lineRule="auto"/>
        <w:ind w:firstLine="480" w:firstLineChars="200"/>
        <w:rPr>
          <w:rFonts w:ascii="宋体" w:hAnsi="宋体"/>
          <w:sz w:val="24"/>
          <w:highlight w:val="none"/>
        </w:rPr>
      </w:pPr>
      <w:r>
        <w:rPr>
          <w:rFonts w:hint="eastAsia" w:ascii="宋体" w:hAnsi="宋体"/>
          <w:sz w:val="24"/>
          <w:highlight w:val="none"/>
        </w:rPr>
        <w:t>16.4.4中标人未能在规定期限内签署合同协议。</w:t>
      </w:r>
    </w:p>
    <w:p>
      <w:pPr>
        <w:spacing w:line="360" w:lineRule="auto"/>
        <w:ind w:firstLine="480" w:firstLineChars="200"/>
        <w:rPr>
          <w:rFonts w:hint="default" w:ascii="宋体" w:hAnsi="宋体" w:eastAsia="宋体"/>
          <w:b/>
          <w:bCs/>
          <w:sz w:val="24"/>
          <w:highlight w:val="none"/>
          <w:u w:val="single"/>
          <w:lang w:val="en-US" w:eastAsia="zh-CN"/>
        </w:rPr>
      </w:pPr>
      <w:r>
        <w:rPr>
          <w:rFonts w:hint="eastAsia" w:ascii="宋体" w:hAnsi="宋体"/>
          <w:sz w:val="24"/>
          <w:highlight w:val="none"/>
        </w:rPr>
        <w:t>16.5投标人如存在下列情况之一的，将被拒绝在半年内参与招标人后续工程投标</w:t>
      </w:r>
      <w:r>
        <w:rPr>
          <w:rFonts w:hint="eastAsia" w:ascii="宋体" w:hAnsi="宋体" w:cs="宋体"/>
          <w:sz w:val="24"/>
          <w:highlight w:val="none"/>
        </w:rPr>
        <w:t>（</w:t>
      </w:r>
      <w:r>
        <w:rPr>
          <w:rFonts w:hint="eastAsia" w:ascii="宋体" w:hAnsi="宋体" w:cs="宋体"/>
          <w:sz w:val="24"/>
          <w:highlight w:val="none"/>
          <w:u w:val="single"/>
        </w:rPr>
        <w:t>注：拒绝投标时限由招标人视严重程度确定，最低三个月起，自招标人发出通知之日起计</w:t>
      </w:r>
      <w:r>
        <w:rPr>
          <w:rFonts w:hint="eastAsia" w:ascii="宋体" w:hAnsi="宋体" w:cs="宋体"/>
          <w:sz w:val="24"/>
          <w:highlight w:val="none"/>
        </w:rPr>
        <w:t>）</w:t>
      </w:r>
      <w:r>
        <w:rPr>
          <w:rFonts w:hint="eastAsia" w:ascii="宋体" w:hAnsi="宋体"/>
          <w:sz w:val="24"/>
          <w:highlight w:val="none"/>
        </w:rPr>
        <w:t>：</w:t>
      </w:r>
      <w:r>
        <w:rPr>
          <w:rFonts w:hint="eastAsia" w:ascii="宋体" w:hAnsi="宋体"/>
          <w:b/>
          <w:bCs/>
          <w:sz w:val="24"/>
          <w:highlight w:val="none"/>
          <w:u w:val="single"/>
          <w:lang w:val="en-US" w:eastAsia="zh-CN"/>
        </w:rPr>
        <w:t>详见招标公告。</w:t>
      </w:r>
    </w:p>
    <w:p>
      <w:pPr>
        <w:spacing w:line="360" w:lineRule="auto"/>
        <w:ind w:firstLine="480" w:firstLineChars="200"/>
        <w:rPr>
          <w:rFonts w:ascii="宋体" w:hAnsi="宋体"/>
          <w:sz w:val="24"/>
          <w:highlight w:val="none"/>
        </w:rPr>
      </w:pPr>
      <w:r>
        <w:rPr>
          <w:rFonts w:hint="eastAsia" w:ascii="宋体" w:hAnsi="宋体"/>
          <w:sz w:val="24"/>
          <w:highlight w:val="none"/>
        </w:rPr>
        <w:t>16.5.1投标人存在16.4条款所列情形且投标人提交的保函、担保或保证保险无法兑付的；</w:t>
      </w:r>
    </w:p>
    <w:p>
      <w:pPr>
        <w:spacing w:line="360" w:lineRule="auto"/>
        <w:ind w:firstLine="480" w:firstLineChars="200"/>
        <w:rPr>
          <w:rFonts w:ascii="宋体" w:hAnsi="宋体"/>
          <w:sz w:val="24"/>
          <w:highlight w:val="none"/>
        </w:rPr>
      </w:pPr>
      <w:r>
        <w:rPr>
          <w:rFonts w:hint="eastAsia" w:ascii="宋体" w:hAnsi="宋体"/>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sz w:val="24"/>
          <w:highlight w:val="none"/>
        </w:rPr>
      </w:pPr>
      <w:r>
        <w:rPr>
          <w:rFonts w:hint="eastAsia" w:ascii="宋体" w:hAnsi="宋体"/>
          <w:strike/>
          <w:sz w:val="24"/>
          <w:highlight w:val="none"/>
        </w:rPr>
        <w:t>16.5.3按招标文件要求免于提供投标保证金的投标人存在16.4条款所列情形的。</w:t>
      </w:r>
    </w:p>
    <w:p>
      <w:pPr>
        <w:spacing w:line="360" w:lineRule="auto"/>
        <w:ind w:firstLine="480" w:firstLineChars="200"/>
        <w:rPr>
          <w:rFonts w:ascii="宋体"/>
          <w:sz w:val="24"/>
          <w:highlight w:val="none"/>
        </w:rPr>
      </w:pPr>
      <w:r>
        <w:rPr>
          <w:rFonts w:hint="eastAsia" w:ascii="宋体" w:hAnsi="宋体"/>
          <w:sz w:val="24"/>
          <w:highlight w:val="none"/>
        </w:rPr>
        <w:t>注：16.5.3款由招标人二选一，需在招标文件中明确。</w:t>
      </w:r>
    </w:p>
    <w:p>
      <w:pPr>
        <w:pStyle w:val="5"/>
        <w:spacing w:after="0"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hint="eastAsia" w:ascii="宋体" w:hAnsi="宋体"/>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广州交易集团有限公司（广州公共资源交易中心）网站</w:t>
      </w:r>
      <w:r>
        <w:rPr>
          <w:rFonts w:hint="eastAsia" w:ascii="宋体" w:hAnsi="宋体"/>
          <w:sz w:val="24"/>
          <w:highlight w:val="none"/>
        </w:rPr>
        <w:t>。</w:t>
      </w:r>
    </w:p>
    <w:p>
      <w:pPr>
        <w:pStyle w:val="7"/>
        <w:spacing w:before="156" w:after="156"/>
        <w:rPr>
          <w:highlight w:val="none"/>
        </w:rPr>
      </w:pPr>
      <w:bookmarkStart w:id="16" w:name="_Toc21525496"/>
      <w:bookmarkStart w:id="17" w:name="_Toc2272552"/>
      <w:r>
        <w:rPr>
          <w:rFonts w:hint="eastAsia"/>
          <w:highlight w:val="none"/>
        </w:rPr>
        <w:t>（四）投标文件的提交</w:t>
      </w:r>
      <w:bookmarkEnd w:id="16"/>
      <w:bookmarkEnd w:id="17"/>
    </w:p>
    <w:p>
      <w:pPr>
        <w:pStyle w:val="5"/>
        <w:spacing w:after="0" w:line="360" w:lineRule="auto"/>
        <w:ind w:firstLine="422" w:firstLineChars="200"/>
        <w:rPr>
          <w:rFonts w:ascii="宋体" w:hAnsi="宋体" w:cs="宋体"/>
          <w:b/>
          <w:bCs/>
          <w:szCs w:val="21"/>
          <w:highlight w:val="none"/>
        </w:rPr>
      </w:pPr>
      <w:r>
        <w:rPr>
          <w:rFonts w:hint="eastAsia" w:ascii="宋体" w:hAnsi="宋体" w:cs="宋体"/>
          <w:b/>
          <w:bCs/>
          <w:szCs w:val="21"/>
          <w:highlight w:val="none"/>
        </w:rPr>
        <w:t>18．</w:t>
      </w:r>
      <w:r>
        <w:rPr>
          <w:rFonts w:hint="eastAsia" w:ascii="宋体" w:hAnsi="宋体" w:cs="宋体"/>
          <w:b/>
          <w:szCs w:val="21"/>
          <w:highlight w:val="none"/>
        </w:rPr>
        <w:t>投标文件的密封和标记</w:t>
      </w:r>
    </w:p>
    <w:p>
      <w:pPr>
        <w:spacing w:line="360" w:lineRule="auto"/>
        <w:ind w:firstLine="480" w:firstLineChars="200"/>
        <w:rPr>
          <w:rFonts w:ascii="宋体" w:hAnsi="宋体" w:cs="宋体"/>
          <w:bCs/>
          <w:szCs w:val="21"/>
          <w:highlight w:val="none"/>
        </w:rPr>
      </w:pPr>
      <w:r>
        <w:rPr>
          <w:rFonts w:hint="eastAsia" w:ascii="宋体" w:hAnsi="宋体"/>
          <w:sz w:val="24"/>
          <w:highlight w:val="none"/>
        </w:rPr>
        <w:t>18.1递交的电子投标文件（不含备用光盘）必须进行加密。按照交易平台关于全流程电子化项目的相关指南进行操作。详见：</w:t>
      </w:r>
      <w:r>
        <w:rPr>
          <w:rFonts w:hint="eastAsia" w:ascii="宋体" w:hAnsi="宋体"/>
          <w:sz w:val="24"/>
          <w:highlight w:val="none"/>
          <w:u w:val="single"/>
        </w:rPr>
        <w:t>广州交易集团有限公司（广州公共资源交易中心）网站</w:t>
      </w:r>
      <w:r>
        <w:rPr>
          <w:rFonts w:hint="eastAsia" w:ascii="宋体" w:hAnsi="宋体" w:cs="宋体"/>
          <w:szCs w:val="21"/>
          <w:highlight w:val="none"/>
        </w:rPr>
        <w:t>。</w:t>
      </w:r>
    </w:p>
    <w:p>
      <w:pPr>
        <w:spacing w:line="360" w:lineRule="auto"/>
        <w:ind w:firstLine="480" w:firstLineChars="200"/>
        <w:rPr>
          <w:rFonts w:ascii="宋体" w:hAnsi="宋体" w:cs="宋体"/>
          <w:bCs/>
          <w:szCs w:val="21"/>
          <w:highlight w:val="none"/>
        </w:rPr>
      </w:pPr>
      <w:r>
        <w:rPr>
          <w:rFonts w:hint="eastAsia" w:ascii="宋体" w:hAnsi="宋体"/>
          <w:sz w:val="24"/>
          <w:highlight w:val="none"/>
        </w:rPr>
        <w:t>18.2 未按要求加密的投标文件，</w:t>
      </w:r>
      <w:r>
        <w:rPr>
          <w:rFonts w:hint="eastAsia" w:ascii="宋体" w:hAnsi="宋体"/>
          <w:sz w:val="24"/>
          <w:highlight w:val="none"/>
          <w:u w:val="single"/>
        </w:rPr>
        <w:t>广州交易集团有限公司（广州公共资源交易中心）</w:t>
      </w:r>
      <w:r>
        <w:rPr>
          <w:rFonts w:hint="eastAsia" w:ascii="宋体" w:hAnsi="宋体"/>
          <w:sz w:val="24"/>
          <w:highlight w:val="none"/>
        </w:rPr>
        <w:t>交易平台将予以拒收。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19．投标文件的递交和接收</w:t>
      </w:r>
    </w:p>
    <w:p>
      <w:pPr>
        <w:spacing w:line="360" w:lineRule="auto"/>
        <w:ind w:firstLine="480" w:firstLineChars="200"/>
        <w:rPr>
          <w:rFonts w:ascii="宋体" w:hAnsi="宋体"/>
          <w:sz w:val="24"/>
          <w:highlight w:val="none"/>
        </w:rPr>
      </w:pPr>
      <w:r>
        <w:rPr>
          <w:rFonts w:hint="eastAsia" w:ascii="宋体" w:hAnsi="宋体"/>
          <w:sz w:val="24"/>
          <w:highlight w:val="none"/>
        </w:rPr>
        <w:t>19.1投标人通过</w:t>
      </w:r>
      <w:r>
        <w:rPr>
          <w:rFonts w:hint="eastAsia" w:ascii="宋体" w:hAnsi="宋体"/>
          <w:sz w:val="24"/>
          <w:highlight w:val="none"/>
          <w:u w:val="single"/>
        </w:rPr>
        <w:t>广州交易集团有限公司（广州公共资源交易中心）</w:t>
      </w:r>
      <w:r>
        <w:rPr>
          <w:rFonts w:hint="eastAsia" w:ascii="宋体" w:hAnsi="宋体"/>
          <w:sz w:val="24"/>
          <w:highlight w:val="none"/>
        </w:rPr>
        <w:t>交易平台递交电子投标文件。</w:t>
      </w:r>
    </w:p>
    <w:p>
      <w:pPr>
        <w:spacing w:line="360" w:lineRule="auto"/>
        <w:ind w:firstLine="480" w:firstLineChars="200"/>
        <w:rPr>
          <w:rFonts w:ascii="宋体" w:hAnsi="宋体"/>
          <w:sz w:val="24"/>
          <w:highlight w:val="none"/>
        </w:rPr>
      </w:pPr>
      <w:r>
        <w:rPr>
          <w:rFonts w:hint="eastAsia" w:ascii="宋体" w:hAnsi="宋体"/>
          <w:sz w:val="24"/>
          <w:highlight w:val="none"/>
        </w:rPr>
        <w:t>19.2投标人完成电子投标文件上传后</w:t>
      </w:r>
      <w:r>
        <w:rPr>
          <w:rFonts w:hint="eastAsia" w:ascii="宋体" w:hAnsi="宋体" w:cs="宋体"/>
          <w:bCs/>
          <w:szCs w:val="21"/>
          <w:highlight w:val="none"/>
        </w:rPr>
        <w:t>，</w:t>
      </w:r>
      <w:r>
        <w:rPr>
          <w:rFonts w:hint="eastAsia" w:ascii="宋体" w:hAnsi="宋体"/>
          <w:sz w:val="24"/>
          <w:highlight w:val="none"/>
          <w:u w:val="single"/>
        </w:rPr>
        <w:t>广州交易集团有限公司（广州公共资源交易中心）</w:t>
      </w:r>
      <w:r>
        <w:rPr>
          <w:rFonts w:hint="eastAsia" w:ascii="宋体" w:hAnsi="宋体"/>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sz w:val="24"/>
          <w:highlight w:val="none"/>
        </w:rPr>
      </w:pPr>
      <w:r>
        <w:rPr>
          <w:rFonts w:hint="eastAsia" w:ascii="宋体" w:hAnsi="宋体"/>
          <w:sz w:val="24"/>
          <w:highlight w:val="none"/>
        </w:rPr>
        <w:t>19.3逾期送达的电子投标文件</w:t>
      </w:r>
      <w:r>
        <w:rPr>
          <w:rFonts w:hint="eastAsia" w:ascii="宋体" w:hAnsi="宋体" w:cs="宋体"/>
          <w:bCs/>
          <w:szCs w:val="21"/>
          <w:highlight w:val="none"/>
        </w:rPr>
        <w:t>，</w:t>
      </w:r>
      <w:r>
        <w:rPr>
          <w:rFonts w:hint="eastAsia" w:ascii="宋体" w:hAnsi="宋体"/>
          <w:sz w:val="24"/>
          <w:highlight w:val="none"/>
          <w:u w:val="single"/>
        </w:rPr>
        <w:t xml:space="preserve">广州交易集团有限公司（广州公共资源交易中心） </w:t>
      </w:r>
      <w:r>
        <w:rPr>
          <w:rFonts w:hint="eastAsia" w:ascii="宋体" w:hAnsi="宋体"/>
          <w:sz w:val="24"/>
          <w:highlight w:val="none"/>
        </w:rPr>
        <w:t>交易平台将予以拒收。</w:t>
      </w:r>
    </w:p>
    <w:p>
      <w:pPr>
        <w:spacing w:line="360" w:lineRule="auto"/>
        <w:ind w:firstLine="480" w:firstLineChars="200"/>
        <w:rPr>
          <w:rFonts w:ascii="宋体" w:hAnsi="宋体"/>
          <w:sz w:val="24"/>
          <w:highlight w:val="none"/>
        </w:rPr>
      </w:pPr>
      <w:r>
        <w:rPr>
          <w:rFonts w:hint="eastAsia" w:ascii="宋体" w:hAnsi="宋体"/>
          <w:sz w:val="24"/>
          <w:highlight w:val="none"/>
        </w:rPr>
        <w:t>19.4 投标截止前，招标人拒绝接收符合条件的投标文件，投标人可向招标投标监督机构投诉。</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21.1 本须知前附表第17项规定的投标截止时间后送达的电子投标文件，</w:t>
      </w:r>
      <w:r>
        <w:rPr>
          <w:rFonts w:hint="eastAsia" w:ascii="宋体" w:hAnsi="宋体"/>
          <w:sz w:val="24"/>
          <w:szCs w:val="24"/>
          <w:highlight w:val="none"/>
          <w:u w:val="single"/>
        </w:rPr>
        <w:t>广州交易集团有限公司（广州公共资源交易中心）</w:t>
      </w:r>
      <w:r>
        <w:rPr>
          <w:rFonts w:hint="eastAsia" w:ascii="宋体" w:hAnsi="宋体"/>
          <w:sz w:val="24"/>
          <w:szCs w:val="24"/>
          <w:highlight w:val="none"/>
        </w:rPr>
        <w:t>交易平台将予以拒收。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在投标截止时间之后，投标人不得补充、修改和更换投标文件。</w:t>
      </w:r>
    </w:p>
    <w:p>
      <w:pPr>
        <w:pStyle w:val="7"/>
        <w:spacing w:before="156" w:after="156"/>
        <w:rPr>
          <w:highlight w:val="none"/>
        </w:rPr>
      </w:pPr>
      <w:bookmarkStart w:id="18" w:name="_Toc21525497"/>
      <w:bookmarkStart w:id="19" w:name="_Toc2272553"/>
      <w:r>
        <w:rPr>
          <w:rFonts w:hint="eastAsia"/>
          <w:highlight w:val="none"/>
        </w:rPr>
        <w:t>（五）开标、评标、定标及合同签定</w:t>
      </w:r>
      <w:bookmarkEnd w:id="18"/>
      <w:bookmarkEnd w:id="19"/>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27</w:t>
      </w:r>
      <w:r>
        <w:rPr>
          <w:rFonts w:hint="eastAsia" w:ascii="宋体" w:hAnsi="宋体"/>
          <w:b/>
          <w:bCs/>
          <w:sz w:val="24"/>
          <w:highlight w:val="none"/>
        </w:rPr>
        <w:t>．中标通知书</w:t>
      </w:r>
    </w:p>
    <w:p>
      <w:pPr>
        <w:spacing w:line="360" w:lineRule="auto"/>
        <w:ind w:firstLine="480" w:firstLineChars="200"/>
        <w:rPr>
          <w:rFonts w:ascii="宋体" w:hAnsi="宋体"/>
          <w:b/>
          <w:bCs/>
          <w:sz w:val="24"/>
          <w:highlight w:val="none"/>
          <w:u w:val="single"/>
        </w:rPr>
      </w:pPr>
      <w:r>
        <w:rPr>
          <w:rFonts w:hint="eastAsia" w:ascii="宋体" w:hAnsi="宋体"/>
          <w:sz w:val="24"/>
          <w:highlight w:val="none"/>
          <w:u w:val="single"/>
        </w:rPr>
        <w:t>27.1招标人将在广州交易集团有限公司（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sz w:val="24"/>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2" w:firstLineChars="200"/>
        <w:rPr>
          <w:rFonts w:ascii="宋体" w:hAnsi="宋体"/>
          <w:b/>
          <w:bCs/>
          <w:sz w:val="24"/>
          <w:highlight w:val="none"/>
          <w:u w:val="single"/>
        </w:rPr>
      </w:pPr>
      <w:r>
        <w:rPr>
          <w:rFonts w:hint="eastAsia" w:ascii="宋体" w:hAnsi="宋体"/>
          <w:b/>
          <w:bCs/>
          <w:sz w:val="24"/>
          <w:highlight w:val="none"/>
          <w:u w:val="single"/>
        </w:rPr>
        <w:t>1.具体操作详见“广州交易集团有限公司（广州公共资源交易中心）门户网站首页-&gt;服务指南-&gt;系统帮助-&gt;操作手册-&gt;发起及受理异议操作指引”。</w:t>
      </w:r>
    </w:p>
    <w:p>
      <w:pPr>
        <w:spacing w:line="360" w:lineRule="auto"/>
        <w:ind w:firstLine="482" w:firstLineChars="200"/>
        <w:rPr>
          <w:rFonts w:ascii="宋体" w:hAnsi="宋体"/>
          <w:b/>
          <w:bCs/>
          <w:sz w:val="24"/>
          <w:highlight w:val="none"/>
          <w:u w:val="single"/>
        </w:rPr>
      </w:pPr>
      <w:r>
        <w:rPr>
          <w:rFonts w:hint="eastAsia" w:ascii="宋体" w:hAnsi="宋体"/>
          <w:b/>
          <w:bCs/>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sz w:val="24"/>
          <w:highlight w:val="none"/>
        </w:rPr>
      </w:pPr>
      <w:r>
        <w:rPr>
          <w:rFonts w:ascii="宋体" w:hAnsi="宋体"/>
          <w:sz w:val="24"/>
          <w:highlight w:val="none"/>
        </w:rPr>
        <w:t>27.2</w:t>
      </w:r>
      <w:r>
        <w:rPr>
          <w:rFonts w:hint="eastAsia" w:ascii="宋体" w:hAnsi="宋体"/>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highlight w:val="none"/>
        </w:rPr>
      </w:pPr>
      <w:r>
        <w:rPr>
          <w:rFonts w:ascii="宋体" w:hAnsi="宋体"/>
          <w:sz w:val="24"/>
          <w:highlight w:val="none"/>
        </w:rPr>
        <w:t>27.3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27.4在产生中标候选人后，招标人将中标候选人的投标文件商务部分文件的所有内容（包括人员、业绩、奖项等资料）在广州交易集团有限公司（广州公共资源交易中心）交易平台。</w:t>
      </w:r>
    </w:p>
    <w:p>
      <w:pPr>
        <w:spacing w:line="360" w:lineRule="auto"/>
        <w:ind w:firstLine="482" w:firstLineChars="200"/>
        <w:rPr>
          <w:rFonts w:ascii="宋体"/>
          <w:b/>
          <w:bCs/>
          <w:sz w:val="24"/>
          <w:highlight w:val="none"/>
        </w:rPr>
      </w:pPr>
      <w:r>
        <w:rPr>
          <w:rFonts w:ascii="宋体" w:hAnsi="宋体"/>
          <w:b/>
          <w:bCs/>
          <w:sz w:val="24"/>
          <w:highlight w:val="none"/>
        </w:rPr>
        <w:t>28</w:t>
      </w:r>
      <w:r>
        <w:rPr>
          <w:rFonts w:hint="eastAsia" w:ascii="宋体" w:hAnsi="宋体"/>
          <w:b/>
          <w:bCs/>
          <w:sz w:val="24"/>
          <w:highlight w:val="none"/>
        </w:rPr>
        <w:t>．合同协议书的签订</w:t>
      </w:r>
    </w:p>
    <w:p>
      <w:pPr>
        <w:spacing w:line="360" w:lineRule="auto"/>
        <w:ind w:firstLine="480" w:firstLineChars="200"/>
        <w:rPr>
          <w:rFonts w:ascii="宋体"/>
          <w:sz w:val="24"/>
          <w:highlight w:val="none"/>
        </w:rPr>
      </w:pPr>
      <w:r>
        <w:rPr>
          <w:rFonts w:ascii="宋体" w:hAnsi="宋体"/>
          <w:sz w:val="24"/>
          <w:highlight w:val="none"/>
        </w:rPr>
        <w:t xml:space="preserve">28.1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28.2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28.3</w:t>
      </w:r>
      <w:r>
        <w:rPr>
          <w:rFonts w:hint="eastAsia" w:ascii="宋体" w:hAnsi="宋体"/>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28.4</w:t>
      </w:r>
      <w:r>
        <w:rPr>
          <w:rFonts w:hint="eastAsia" w:ascii="宋体" w:hAnsi="宋体"/>
          <w:sz w:val="24"/>
          <w:highlight w:val="none"/>
        </w:rPr>
        <w:t>招标人支付工程款时，中标人应按规定开具发票。</w:t>
      </w:r>
    </w:p>
    <w:p>
      <w:pPr>
        <w:spacing w:line="360" w:lineRule="auto"/>
        <w:ind w:firstLine="482" w:firstLineChars="200"/>
        <w:rPr>
          <w:rFonts w:ascii="宋体"/>
          <w:b/>
          <w:bCs/>
          <w:sz w:val="24"/>
          <w:highlight w:val="none"/>
        </w:rPr>
      </w:pPr>
      <w:r>
        <w:rPr>
          <w:rFonts w:ascii="宋体" w:hAnsi="宋体"/>
          <w:b/>
          <w:bCs/>
          <w:sz w:val="24"/>
          <w:highlight w:val="none"/>
        </w:rPr>
        <w:t>29</w:t>
      </w:r>
      <w:r>
        <w:rPr>
          <w:rFonts w:hint="eastAsia" w:ascii="宋体" w:hAnsi="宋体"/>
          <w:b/>
          <w:bCs/>
          <w:sz w:val="24"/>
          <w:highlight w:val="none"/>
        </w:rPr>
        <w:t>．履约担保</w:t>
      </w:r>
    </w:p>
    <w:p>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sz w:val="24"/>
          <w:highlight w:val="none"/>
        </w:rPr>
      </w:pPr>
      <w:r>
        <w:rPr>
          <w:rFonts w:ascii="宋体" w:hAnsi="宋体"/>
          <w:b/>
          <w:bCs/>
          <w:sz w:val="24"/>
          <w:highlight w:val="none"/>
        </w:rPr>
        <w:t>30</w:t>
      </w:r>
      <w:r>
        <w:rPr>
          <w:rFonts w:hint="eastAsia" w:ascii="宋体" w:hAnsi="宋体"/>
          <w:b/>
          <w:bCs/>
          <w:sz w:val="24"/>
          <w:highlight w:val="none"/>
        </w:rPr>
        <w:t>．合同生效</w:t>
      </w:r>
    </w:p>
    <w:p>
      <w:pPr>
        <w:spacing w:line="360" w:lineRule="auto"/>
        <w:ind w:firstLine="480" w:firstLineChars="200"/>
        <w:rPr>
          <w:rFonts w:ascii="宋体"/>
          <w:sz w:val="24"/>
          <w:highlight w:val="none"/>
          <w:u w:val="single"/>
        </w:rPr>
      </w:pPr>
      <w:r>
        <w:rPr>
          <w:rFonts w:ascii="宋体" w:hAnsi="宋体"/>
          <w:sz w:val="24"/>
          <w:highlight w:val="none"/>
          <w:u w:val="single"/>
        </w:rPr>
        <w:t>30.1</w:t>
      </w:r>
      <w:r>
        <w:rPr>
          <w:rFonts w:hint="eastAsia" w:ascii="宋体" w:hAnsi="宋体"/>
          <w:sz w:val="24"/>
          <w:highlight w:val="none"/>
          <w:u w:val="single"/>
        </w:rPr>
        <w:t>合同自发包人、承包人双方法定代表人或委托代理人签字并加盖公章之日起生效。</w:t>
      </w:r>
    </w:p>
    <w:p>
      <w:pPr>
        <w:spacing w:line="360" w:lineRule="auto"/>
        <w:ind w:firstLine="482" w:firstLineChars="200"/>
        <w:rPr>
          <w:rFonts w:ascii="宋体"/>
          <w:b/>
          <w:bCs/>
          <w:sz w:val="24"/>
          <w:highlight w:val="none"/>
        </w:rPr>
      </w:pPr>
      <w:r>
        <w:rPr>
          <w:rFonts w:ascii="宋体" w:hAnsi="宋体"/>
          <w:b/>
          <w:bCs/>
          <w:sz w:val="24"/>
          <w:highlight w:val="none"/>
        </w:rPr>
        <w:t>31</w:t>
      </w:r>
      <w:r>
        <w:rPr>
          <w:rFonts w:hint="eastAsia" w:ascii="宋体" w:hAnsi="宋体"/>
          <w:b/>
          <w:bCs/>
          <w:sz w:val="24"/>
          <w:highlight w:val="none"/>
        </w:rPr>
        <w:t>．其它费用</w:t>
      </w:r>
    </w:p>
    <w:p>
      <w:pPr>
        <w:pStyle w:val="5"/>
        <w:spacing w:after="0" w:line="360" w:lineRule="auto"/>
        <w:ind w:firstLine="480" w:firstLineChars="200"/>
        <w:rPr>
          <w:rFonts w:ascii="宋体" w:hAnsi="宋体" w:cs="宋体"/>
          <w:bCs/>
          <w:sz w:val="24"/>
          <w:highlight w:val="none"/>
          <w:u w:val="single"/>
        </w:rPr>
      </w:pPr>
      <w:r>
        <w:rPr>
          <w:rFonts w:hint="eastAsia" w:ascii="宋体" w:hAnsi="宋体" w:cs="宋体"/>
          <w:bCs/>
          <w:sz w:val="24"/>
          <w:highlight w:val="none"/>
          <w:u w:val="single"/>
        </w:rPr>
        <w:t>31.1根据广州市政府相关文件的规定，向广州交易集团有限公司（广州公共资源交易中心）交纳交易服务费。</w:t>
      </w:r>
    </w:p>
    <w:p>
      <w:pPr>
        <w:pStyle w:val="5"/>
        <w:spacing w:after="0"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pPr>
        <w:pStyle w:val="5"/>
        <w:spacing w:after="0"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5"/>
        <w:spacing w:after="0"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pPr>
        <w:pStyle w:val="5"/>
        <w:spacing w:after="0"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pPr>
        <w:pStyle w:val="5"/>
        <w:spacing w:after="0" w:line="360" w:lineRule="auto"/>
        <w:ind w:firstLine="480" w:firstLineChars="200"/>
        <w:rPr>
          <w:rFonts w:ascii="宋体"/>
          <w:sz w:val="24"/>
          <w:highlight w:val="none"/>
        </w:rPr>
      </w:pPr>
      <w:r>
        <w:rPr>
          <w:rFonts w:hint="eastAsia" w:ascii="宋体"/>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spacing w:after="0" w:line="360" w:lineRule="auto"/>
        <w:ind w:firstLineChars="200"/>
        <w:rPr>
          <w:highlight w:val="none"/>
        </w:rPr>
      </w:pPr>
      <w:bookmarkStart w:id="20" w:name="_Toc2272554"/>
      <w:bookmarkStart w:id="21" w:name="_Toc21525498"/>
    </w:p>
    <w:p>
      <w:pPr>
        <w:pStyle w:val="5"/>
        <w:spacing w:after="0" w:line="360" w:lineRule="auto"/>
        <w:ind w:firstLineChars="200"/>
        <w:rPr>
          <w:highlight w:val="none"/>
        </w:rPr>
      </w:pPr>
    </w:p>
    <w:p>
      <w:pPr>
        <w:rPr>
          <w:highlight w:val="none"/>
        </w:rPr>
      </w:pPr>
      <w:r>
        <w:rPr>
          <w:highlight w:val="none"/>
        </w:rPr>
        <w:br w:type="page"/>
      </w:r>
    </w:p>
    <w:p>
      <w:pPr>
        <w:pStyle w:val="3"/>
        <w:rPr>
          <w:highlight w:val="none"/>
        </w:rPr>
      </w:pPr>
      <w:r>
        <w:rPr>
          <w:rFonts w:hint="eastAsia"/>
          <w:highlight w:val="none"/>
        </w:rPr>
        <w:t>第二章</w:t>
      </w:r>
      <w:r>
        <w:rPr>
          <w:highlight w:val="none"/>
        </w:rPr>
        <w:t xml:space="preserve">  </w:t>
      </w:r>
      <w:r>
        <w:rPr>
          <w:rFonts w:hint="eastAsia"/>
          <w:highlight w:val="none"/>
        </w:rPr>
        <w:t>开标、评标及定标办法</w:t>
      </w:r>
      <w:bookmarkEnd w:id="20"/>
      <w:bookmarkEnd w:id="21"/>
    </w:p>
    <w:p>
      <w:pPr>
        <w:pStyle w:val="6"/>
        <w:rPr>
          <w:color w:val="auto"/>
          <w:highlight w:val="none"/>
        </w:rPr>
      </w:pPr>
      <w:bookmarkStart w:id="22" w:name="_Toc21525499"/>
      <w:bookmarkStart w:id="23" w:name="_Toc2272555"/>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szCs w:val="21"/>
          <w:highlight w:val="none"/>
        </w:rPr>
      </w:pPr>
      <w:r>
        <w:rPr>
          <w:rFonts w:hint="eastAsia"/>
          <w:b/>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szCs w:val="21"/>
          <w:highlight w:val="none"/>
        </w:rPr>
        <w:t>http://zfcj.gz.gov.cn/</w:t>
      </w:r>
      <w:r>
        <w:rPr>
          <w:rFonts w:hint="eastAsia"/>
          <w:b/>
          <w:szCs w:val="21"/>
          <w:highlight w:val="none"/>
        </w:rPr>
        <w:t>）下载GZZB2018-3范本查阅。</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36.1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36.3</w:t>
      </w:r>
      <w:r>
        <w:rPr>
          <w:b/>
          <w:szCs w:val="21"/>
          <w:highlight w:val="none"/>
        </w:rPr>
        <w:t xml:space="preserve">             </w:t>
      </w:r>
      <w:r>
        <w:rPr>
          <w:rFonts w:hint="eastAsia"/>
          <w:b/>
          <w:szCs w:val="21"/>
          <w:highlight w:val="none"/>
        </w:rPr>
        <w:t>修改类型：删除</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highlight w:val="none"/>
        </w:rPr>
      </w:pPr>
      <w:r>
        <w:rPr>
          <w:rFonts w:hint="eastAsia" w:ascii="宋体" w:hAnsi="宋体" w:cs="宋体"/>
          <w:szCs w:val="21"/>
          <w:highlight w:val="none"/>
        </w:rPr>
        <w:t>应的评标办法供评标时使用。</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36.5.1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sz w:val="24"/>
          <w:highlight w:val="none"/>
        </w:rPr>
      </w:pPr>
      <w:r>
        <w:rPr>
          <w:rFonts w:hint="eastAsia"/>
          <w:b/>
          <w:szCs w:val="21"/>
          <w:highlight w:val="none"/>
        </w:rPr>
        <w:t>原文：</w:t>
      </w:r>
      <w:r>
        <w:rPr>
          <w:rFonts w:hint="eastAsia" w:ascii="宋体" w:hAnsi="宋体" w:cs="宋体"/>
          <w:szCs w:val="21"/>
          <w:highlight w:val="none"/>
        </w:rPr>
        <w:t>36.5.1在投标截止时间后半小时内，投标人通过</w:t>
      </w:r>
      <w:r>
        <w:rPr>
          <w:rFonts w:hint="eastAsia" w:ascii="宋体" w:hAnsi="宋体" w:cs="宋体"/>
          <w:szCs w:val="21"/>
          <w:highlight w:val="none"/>
          <w:u w:val="single"/>
        </w:rPr>
        <w:t xml:space="preserve">        </w:t>
      </w:r>
      <w:r>
        <w:rPr>
          <w:rFonts w:hint="eastAsia" w:ascii="宋体" w:hAnsi="宋体" w:cs="宋体"/>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rPr>
        <w:t>36.5.1在投标截止时间后一小时内，投标人通过交易平台对已递交的电子投标文件进行解密。投标人完成解密后，再由</w:t>
      </w:r>
      <w:r>
        <w:rPr>
          <w:rFonts w:hint="eastAsia" w:ascii="宋体" w:hAnsi="宋体" w:cs="宋体"/>
          <w:szCs w:val="21"/>
          <w:highlight w:val="none"/>
          <w:u w:val="single"/>
        </w:rPr>
        <w:t>招标人或招标代理机构</w:t>
      </w:r>
      <w:r>
        <w:rPr>
          <w:rFonts w:hint="eastAsia" w:ascii="宋体" w:hAnsi="宋体" w:cs="宋体"/>
          <w:szCs w:val="21"/>
          <w:highlight w:val="none"/>
        </w:rPr>
        <w:t>进行解密。解密完成后，公布招标项目名称、投标人名称、投标保证金的递交情况、投标报价、工期及其他内容；</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38.1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38.1为有助于投标文件的审查、评价和比较，评标期间，经</w:t>
      </w:r>
      <w:r>
        <w:rPr>
          <w:rFonts w:hint="eastAsia" w:ascii="宋体" w:hAnsi="宋体" w:cs="宋体"/>
          <w:szCs w:val="21"/>
          <w:highlight w:val="none"/>
          <w:u w:val="single"/>
        </w:rPr>
        <w:t>综合评标委员会</w:t>
      </w:r>
      <w:r>
        <w:rPr>
          <w:rFonts w:hint="eastAsia" w:ascii="宋体" w:hAnsi="宋体" w:cs="宋体"/>
          <w:szCs w:val="21"/>
          <w:highlight w:val="none"/>
        </w:rPr>
        <w:t>中两人以上（含两人）的成员以书面形式提出动议，</w:t>
      </w:r>
      <w:r>
        <w:rPr>
          <w:rFonts w:hint="eastAsia" w:ascii="宋体" w:hAnsi="宋体" w:cs="宋体"/>
          <w:szCs w:val="21"/>
          <w:highlight w:val="none"/>
          <w:u w:val="single"/>
        </w:rPr>
        <w:t>综合评标委员会</w:t>
      </w:r>
      <w:r>
        <w:rPr>
          <w:rFonts w:hint="eastAsia" w:ascii="宋体" w:hAnsi="宋体" w:cs="宋体"/>
          <w:szCs w:val="21"/>
          <w:highlight w:val="none"/>
        </w:rPr>
        <w:t>应当书面发出澄清通知，要求投标人</w:t>
      </w:r>
      <w:r>
        <w:rPr>
          <w:rFonts w:hint="eastAsia" w:ascii="宋体" w:hAnsi="宋体" w:cs="宋体"/>
          <w:szCs w:val="21"/>
          <w:highlight w:val="none"/>
          <w:u w:val="single"/>
        </w:rPr>
        <w:t>对投标文件含义不明确、对同类问题表述不一致、有明显文字和计算错误的内容以及细微偏差的内容</w:t>
      </w:r>
      <w:r>
        <w:rPr>
          <w:rFonts w:hint="eastAsia" w:ascii="宋体" w:hAnsi="宋体" w:cs="宋体"/>
          <w:szCs w:val="21"/>
          <w:highlight w:val="none"/>
        </w:rPr>
        <w:t>作出澄清。</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39.3 </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527" w:firstLineChars="250"/>
        <w:rPr>
          <w:rFonts w:ascii="宋体" w:hAnsi="宋体"/>
          <w:sz w:val="24"/>
          <w:szCs w:val="24"/>
          <w:highlight w:val="none"/>
        </w:rPr>
      </w:pPr>
      <w:r>
        <w:rPr>
          <w:rFonts w:hint="eastAsia"/>
          <w:b/>
          <w:szCs w:val="21"/>
          <w:highlight w:val="none"/>
        </w:rPr>
        <w:t>原文：</w:t>
      </w:r>
      <w:r>
        <w:rPr>
          <w:rFonts w:hint="eastAsia" w:ascii="宋体" w:hAnsi="宋体" w:cs="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highlight w:val="none"/>
        </w:rPr>
      </w:pPr>
      <w:r>
        <w:rPr>
          <w:rFonts w:hint="eastAsia"/>
          <w:b/>
          <w:szCs w:val="21"/>
          <w:highlight w:val="none"/>
        </w:rPr>
        <w:t>现文：</w:t>
      </w:r>
      <w:r>
        <w:rPr>
          <w:szCs w:val="21"/>
          <w:highlight w:val="none"/>
          <w:u w:val="single"/>
        </w:rPr>
        <w:t>39.3</w:t>
      </w:r>
      <w:r>
        <w:rPr>
          <w:rFonts w:hint="eastAsia"/>
          <w:bCs/>
          <w:szCs w:val="21"/>
          <w:highlight w:val="none"/>
          <w:u w:val="single"/>
        </w:rPr>
        <w:t>排名第一的中标候选人放弃中标、或因不可抗力提出不能履行合同，或者招标文件规定应当提交履约担保而在规定的期限内未能提交的，</w:t>
      </w:r>
      <w:r>
        <w:rPr>
          <w:rFonts w:hint="eastAsia"/>
          <w:b/>
          <w:bCs/>
          <w:szCs w:val="21"/>
          <w:highlight w:val="none"/>
          <w:u w:val="single"/>
        </w:rPr>
        <w:t>或经核查发现委派的项目负责人已在其他在建项目中任职的，</w:t>
      </w:r>
      <w:r>
        <w:rPr>
          <w:rFonts w:hint="eastAsia"/>
          <w:bCs/>
          <w:szCs w:val="21"/>
          <w:highlight w:val="none"/>
          <w:u w:val="single"/>
        </w:rPr>
        <w:t>招标人可以确定排名第二的中标候选人为中标人。</w:t>
      </w:r>
    </w:p>
    <w:p>
      <w:pPr>
        <w:pStyle w:val="5"/>
        <w:spacing w:after="0" w:line="460" w:lineRule="exact"/>
        <w:ind w:firstLine="422" w:firstLineChars="200"/>
        <w:rPr>
          <w:rFonts w:ascii="宋体" w:hAnsi="宋体" w:cs="宋体"/>
          <w:szCs w:val="21"/>
          <w:highlight w:val="none"/>
        </w:rPr>
      </w:pPr>
      <w:r>
        <w:rPr>
          <w:rFonts w:hint="eastAsia" w:ascii="宋体" w:hAnsi="宋体" w:cs="宋体"/>
          <w:b/>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highlight w:val="none"/>
          <w:u w:val="single"/>
        </w:rPr>
      </w:pPr>
      <w:r>
        <w:rPr>
          <w:rFonts w:hint="eastAsia" w:ascii="宋体" w:hAnsi="宋体" w:cs="宋体"/>
          <w:b/>
          <w:szCs w:val="21"/>
          <w:highlight w:val="none"/>
        </w:rPr>
        <w:t>原文：</w:t>
      </w:r>
      <w:r>
        <w:rPr>
          <w:rFonts w:hint="eastAsia" w:ascii="宋体" w:hAnsi="宋体" w:cs="宋体"/>
          <w:bCs/>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 （二）开标评标办法程序和细则        修改类型：删除</w:t>
      </w:r>
    </w:p>
    <w:p>
      <w:pPr>
        <w:pBdr>
          <w:bottom w:val="single" w:color="auto" w:sz="6" w:space="1"/>
        </w:pBdr>
        <w:spacing w:line="360" w:lineRule="auto"/>
        <w:ind w:firstLine="527" w:firstLineChars="250"/>
        <w:rPr>
          <w:rStyle w:val="42"/>
          <w:rFonts w:ascii="宋体" w:hAnsi="宋体" w:cs="宋体"/>
          <w:color w:val="auto"/>
          <w:highlight w:val="none"/>
        </w:rPr>
      </w:pPr>
      <w:r>
        <w:rPr>
          <w:rFonts w:hint="eastAsia" w:ascii="宋体" w:hAnsi="宋体" w:cs="宋体"/>
          <w:b/>
          <w:szCs w:val="21"/>
          <w:highlight w:val="none"/>
        </w:rPr>
        <w:t>原文：</w:t>
      </w:r>
      <w:r>
        <w:rPr>
          <w:rStyle w:val="42"/>
          <w:rFonts w:hint="eastAsia" w:ascii="宋体" w:hAnsi="宋体" w:cs="宋体"/>
          <w:color w:val="auto"/>
          <w:highlight w:val="none"/>
        </w:rPr>
        <w:t>可选</w:t>
      </w:r>
      <w:r>
        <w:rPr>
          <w:rFonts w:hint="eastAsia" w:ascii="宋体" w:hAnsi="宋体" w:cs="宋体"/>
          <w:szCs w:val="21"/>
          <w:highlight w:val="none"/>
        </w:rPr>
        <w:t>办法</w:t>
      </w:r>
      <w:r>
        <w:rPr>
          <w:rStyle w:val="42"/>
          <w:rFonts w:hint="eastAsia" w:ascii="宋体" w:hAnsi="宋体" w:cs="宋体"/>
          <w:color w:val="auto"/>
          <w:highlight w:val="none"/>
        </w:rPr>
        <w:t>一（适合</w:t>
      </w:r>
      <w:r>
        <w:rPr>
          <w:rStyle w:val="42"/>
          <w:rFonts w:hint="eastAsia" w:ascii="宋体" w:hAnsi="宋体" w:cs="宋体"/>
          <w:color w:val="auto"/>
          <w:kern w:val="0"/>
          <w:highlight w:val="none"/>
        </w:rPr>
        <w:t>综合评分法一</w:t>
      </w:r>
      <w:r>
        <w:rPr>
          <w:rStyle w:val="42"/>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w:t>
      </w:r>
      <w:r>
        <w:rPr>
          <w:rFonts w:hint="eastAsia" w:ascii="宋体" w:hAnsi="宋体" w:cs="宋体"/>
          <w:szCs w:val="21"/>
          <w:highlight w:val="none"/>
        </w:rPr>
        <w:t>办法</w:t>
      </w:r>
      <w:r>
        <w:rPr>
          <w:rStyle w:val="42"/>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highlight w:val="none"/>
        </w:rPr>
      </w:pPr>
      <w:r>
        <w:rPr>
          <w:rStyle w:val="42"/>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41.1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41.1开标由招标人主持；</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41.1开标由招标人</w:t>
      </w:r>
      <w:r>
        <w:rPr>
          <w:rFonts w:hint="eastAsia" w:ascii="宋体" w:hAnsi="宋体" w:cs="宋体"/>
          <w:szCs w:val="21"/>
          <w:highlight w:val="none"/>
          <w:u w:val="single"/>
        </w:rPr>
        <w:t>或招标代理</w:t>
      </w:r>
      <w:r>
        <w:rPr>
          <w:rFonts w:hint="eastAsia" w:ascii="宋体" w:hAnsi="宋体" w:cs="宋体"/>
          <w:szCs w:val="21"/>
          <w:highlight w:val="none"/>
        </w:rPr>
        <w:t>主持</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41.2.1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41.2.1投标截止期前，各投标人递交投标文件（包括技术标投标文件、经济标投标文件）至</w:t>
      </w:r>
      <w:r>
        <w:rPr>
          <w:sz w:val="24"/>
          <w:szCs w:val="24"/>
          <w:highlight w:val="none"/>
          <w:u w:val="single"/>
        </w:rPr>
        <w:t xml:space="preserve">        </w:t>
      </w:r>
      <w:r>
        <w:rPr>
          <w:rFonts w:hint="eastAsia" w:ascii="宋体" w:hAnsi="宋体" w:cs="宋体"/>
          <w:szCs w:val="21"/>
          <w:highlight w:val="none"/>
        </w:rPr>
        <w:t>交易平台。有关投标文件提交的事项详见第一章投标须知。</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41.2.1投标截止期前，各投标人递交投标文件（包括技术标投标文件、经济标投标文件）至</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交易平台。有关投标文件提交的事项详见第一章投标须知。</w:t>
      </w:r>
    </w:p>
    <w:p>
      <w:pPr>
        <w:spacing w:line="480" w:lineRule="auto"/>
        <w:ind w:firstLine="472" w:firstLineChars="224"/>
        <w:rPr>
          <w:b/>
          <w:szCs w:val="21"/>
          <w:highlight w:val="none"/>
        </w:rPr>
      </w:pPr>
      <w:r>
        <w:rPr>
          <w:rFonts w:hint="eastAsia"/>
          <w:b/>
          <w:szCs w:val="21"/>
          <w:highlight w:val="none"/>
        </w:rPr>
        <w:t>条款号：</w:t>
      </w:r>
      <w:r>
        <w:rPr>
          <w:rFonts w:hint="eastAsia" w:ascii="宋体"/>
          <w:b/>
          <w:bCs/>
          <w:szCs w:val="21"/>
          <w:highlight w:val="none"/>
        </w:rPr>
        <w:t>41.2.2</w:t>
      </w:r>
      <w:r>
        <w:rPr>
          <w:b/>
          <w:szCs w:val="21"/>
          <w:highlight w:val="none"/>
        </w:rPr>
        <w:t xml:space="preserve">            </w:t>
      </w:r>
      <w:r>
        <w:rPr>
          <w:rFonts w:hint="eastAsia"/>
          <w:b/>
          <w:szCs w:val="21"/>
          <w:highlight w:val="none"/>
        </w:rPr>
        <w:t>修改类型：删除</w:t>
      </w:r>
    </w:p>
    <w:p>
      <w:pPr>
        <w:pBdr>
          <w:bottom w:val="single" w:color="auto" w:sz="6" w:space="1"/>
        </w:pBdr>
        <w:spacing w:line="480" w:lineRule="auto"/>
        <w:ind w:firstLine="422" w:firstLineChars="200"/>
        <w:rPr>
          <w:b/>
          <w:szCs w:val="21"/>
          <w:highlight w:val="none"/>
        </w:rPr>
      </w:pPr>
      <w:r>
        <w:rPr>
          <w:rFonts w:hint="eastAsia"/>
          <w:b/>
          <w:szCs w:val="21"/>
          <w:highlight w:val="none"/>
        </w:rPr>
        <w:t>原文：</w:t>
      </w:r>
      <w:r>
        <w:rPr>
          <w:rFonts w:hint="eastAsia" w:ascii="宋体"/>
          <w:szCs w:val="21"/>
          <w:highlight w:val="none"/>
        </w:rPr>
        <w:t>4</w:t>
      </w:r>
      <w:r>
        <w:rPr>
          <w:rFonts w:hint="eastAsia" w:ascii="宋体" w:hAnsi="宋体" w:cs="宋体"/>
          <w:szCs w:val="21"/>
          <w:highlight w:val="none"/>
        </w:rPr>
        <w:t>1.2.2开标前，首先由招标人随机抽取确定该工程计算评标参考价的等分点值X。</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b/>
          <w:bCs/>
          <w:szCs w:val="21"/>
          <w:highlight w:val="none"/>
        </w:rPr>
        <w:t>41.2.3</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w:t>
      </w:r>
    </w:p>
    <w:p>
      <w:pPr>
        <w:pBdr>
          <w:bottom w:val="single" w:color="auto" w:sz="6" w:space="1"/>
        </w:pBdr>
        <w:spacing w:line="480" w:lineRule="auto"/>
        <w:ind w:firstLine="470" w:firstLineChars="224"/>
        <w:rPr>
          <w:rFonts w:ascii="宋体" w:hAnsi="宋体" w:cs="宋体"/>
          <w:szCs w:val="21"/>
          <w:highlight w:val="none"/>
          <w:u w:val="single"/>
        </w:rPr>
      </w:pPr>
      <w:r>
        <w:rPr>
          <w:rFonts w:hint="eastAsia" w:ascii="宋体" w:hAnsi="宋体" w:cs="宋体"/>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条款号：41.3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41.3招标人</w:t>
      </w:r>
      <w:r>
        <w:rPr>
          <w:rFonts w:hint="eastAsia" w:ascii="宋体" w:hAnsi="宋体" w:cs="宋体"/>
          <w:szCs w:val="21"/>
          <w:highlight w:val="none"/>
          <w:u w:val="single"/>
        </w:rPr>
        <w:t>或招标代理机构</w:t>
      </w:r>
      <w:r>
        <w:rPr>
          <w:rFonts w:hint="eastAsia" w:ascii="宋体" w:hAnsi="宋体" w:cs="宋体"/>
          <w:szCs w:val="21"/>
          <w:highlight w:val="none"/>
        </w:rPr>
        <w:t>对开标过程进行记录，并存档备查，投标人在</w:t>
      </w:r>
      <w:r>
        <w:rPr>
          <w:rFonts w:hint="eastAsia" w:ascii="宋体" w:hAnsi="宋体" w:cs="宋体"/>
          <w:szCs w:val="21"/>
          <w:highlight w:val="none"/>
          <w:u w:val="single"/>
        </w:rPr>
        <w:t>开标记录上</w:t>
      </w:r>
      <w:r>
        <w:rPr>
          <w:rFonts w:hint="eastAsia" w:ascii="宋体" w:hAnsi="宋体" w:cs="宋体"/>
          <w:szCs w:val="21"/>
          <w:highlight w:val="none"/>
        </w:rPr>
        <w:t>签字。</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42.2</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42.1评标委员会的组成：方式</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80" w:lineRule="auto"/>
        <w:ind w:firstLine="470" w:firstLineChars="224"/>
        <w:rPr>
          <w:rFonts w:ascii="宋体" w:hAnsi="宋体" w:cs="宋体"/>
          <w:szCs w:val="21"/>
          <w:highlight w:val="none"/>
        </w:rPr>
      </w:pPr>
      <w:r>
        <w:rPr>
          <w:rFonts w:hint="eastAsia" w:ascii="宋体" w:hAnsi="宋体" w:cs="宋体"/>
          <w:szCs w:val="21"/>
          <w:highlight w:val="none"/>
        </w:rPr>
        <w:t>方式一：评标委员会为综合评标委员会，负责评标工作。</w:t>
      </w:r>
    </w:p>
    <w:p>
      <w:pPr>
        <w:spacing w:line="480" w:lineRule="auto"/>
        <w:ind w:firstLine="470" w:firstLineChars="224"/>
        <w:rPr>
          <w:rFonts w:ascii="宋体" w:hAnsi="宋体" w:cs="宋体"/>
          <w:szCs w:val="21"/>
          <w:highlight w:val="none"/>
        </w:rPr>
      </w:pPr>
      <w:r>
        <w:rPr>
          <w:rFonts w:hint="eastAsia" w:ascii="宋体" w:hAnsi="宋体" w:cs="宋体"/>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rPr>
        <w:t>42.2评标委员会的组成：方式</w:t>
      </w:r>
      <w:r>
        <w:rPr>
          <w:rFonts w:hint="eastAsia" w:ascii="宋体" w:hAnsi="宋体" w:cs="宋体"/>
          <w:szCs w:val="21"/>
          <w:highlight w:val="none"/>
          <w:u w:val="single"/>
        </w:rPr>
        <w:t xml:space="preserve"> 一 </w:t>
      </w:r>
      <w:r>
        <w:rPr>
          <w:rFonts w:hint="eastAsia" w:ascii="宋体" w:hAnsi="宋体" w:cs="宋体"/>
          <w:szCs w:val="21"/>
          <w:highlight w:val="none"/>
        </w:rPr>
        <w:t>。</w:t>
      </w:r>
    </w:p>
    <w:p>
      <w:pPr>
        <w:pBdr>
          <w:bottom w:val="single" w:color="auto" w:sz="6" w:space="1"/>
        </w:pBdr>
        <w:spacing w:line="480" w:lineRule="auto"/>
        <w:ind w:firstLine="470" w:firstLineChars="224"/>
        <w:rPr>
          <w:highlight w:val="none"/>
        </w:rPr>
      </w:pPr>
      <w:r>
        <w:rPr>
          <w:rFonts w:hint="eastAsia" w:ascii="宋体" w:hAnsi="宋体" w:cs="宋体"/>
          <w:szCs w:val="21"/>
          <w:highlight w:val="none"/>
        </w:rPr>
        <w:t>方式一：评标委员会为综合评标委员会，负责评标工作。</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43.1</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szCs w:val="21"/>
          <w:highlight w:val="none"/>
          <w:u w:val="single"/>
        </w:rPr>
      </w:pPr>
      <w:r>
        <w:rPr>
          <w:rFonts w:hint="eastAsia"/>
          <w:b/>
          <w:szCs w:val="21"/>
          <w:highlight w:val="none"/>
        </w:rPr>
        <w:t>现文：</w:t>
      </w:r>
      <w:r>
        <w:rPr>
          <w:rFonts w:hint="eastAsia" w:ascii="宋体" w:hAnsi="宋体" w:cs="宋体"/>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44.1  </w:t>
      </w:r>
      <w:r>
        <w:rPr>
          <w:b/>
          <w:szCs w:val="21"/>
          <w:highlight w:val="none"/>
        </w:rPr>
        <w:t xml:space="preserve">           </w:t>
      </w:r>
      <w:r>
        <w:rPr>
          <w:rFonts w:hint="eastAsia"/>
          <w:b/>
          <w:szCs w:val="21"/>
          <w:highlight w:val="none"/>
        </w:rPr>
        <w:t>修改类型：修改</w:t>
      </w:r>
    </w:p>
    <w:p>
      <w:pPr>
        <w:spacing w:line="480" w:lineRule="auto"/>
        <w:ind w:firstLine="472" w:firstLineChars="224"/>
        <w:jc w:val="left"/>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highlight w:val="none"/>
        </w:rPr>
        <w:t>。</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45.1  </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szCs w:val="21"/>
          <w:highlight w:val="none"/>
          <w:u w:val="single"/>
        </w:rPr>
        <w:t xml:space="preserve">      </w:t>
      </w:r>
      <w:r>
        <w:rPr>
          <w:rFonts w:hint="eastAsia" w:ascii="宋体" w:hAnsi="宋体" w:cs="宋体"/>
          <w:szCs w:val="21"/>
          <w:highlight w:val="none"/>
        </w:rPr>
        <w:t>元），则本项目招标失败，由招标人依法重新招标。</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45.1</w:t>
      </w:r>
      <w:r>
        <w:rPr>
          <w:rFonts w:hint="eastAsia" w:ascii="宋体" w:hAnsi="宋体" w:cs="宋体"/>
          <w:szCs w:val="21"/>
          <w:highlight w:val="none"/>
          <w:u w:val="single"/>
        </w:rPr>
        <w:t>若所有通过技术标有效性审查的投标人的投标价均大于等于最高投标限价*D%（D的取值为100）的（具体金额为：40151808.69元），则本项目招标失败，由招标人依法重新招标。</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45.2  </w:t>
      </w:r>
      <w:r>
        <w:rPr>
          <w:b/>
          <w:szCs w:val="21"/>
          <w:highlight w:val="none"/>
        </w:rPr>
        <w:t xml:space="preserve">           </w:t>
      </w:r>
      <w:r>
        <w:rPr>
          <w:rFonts w:hint="eastAsia"/>
          <w:b/>
          <w:szCs w:val="21"/>
          <w:highlight w:val="none"/>
        </w:rPr>
        <w:t>修改类型：修改</w:t>
      </w:r>
    </w:p>
    <w:p>
      <w:pPr>
        <w:pStyle w:val="5"/>
        <w:tabs>
          <w:tab w:val="left" w:pos="7380"/>
        </w:tabs>
        <w:snapToGrid w:val="0"/>
        <w:spacing w:after="0" w:line="360" w:lineRule="auto"/>
        <w:ind w:firstLine="422" w:firstLineChars="200"/>
        <w:rPr>
          <w:rFonts w:ascii="宋体" w:hAnsi="宋体"/>
          <w:sz w:val="24"/>
          <w:szCs w:val="24"/>
          <w:highlight w:val="none"/>
        </w:rPr>
      </w:pPr>
      <w:r>
        <w:rPr>
          <w:rFonts w:hint="eastAsia"/>
          <w:b/>
          <w:szCs w:val="21"/>
          <w:highlight w:val="none"/>
        </w:rPr>
        <w:t>原文：</w:t>
      </w:r>
      <w:r>
        <w:rPr>
          <w:rFonts w:hint="eastAsia" w:ascii="宋体" w:hAnsi="宋体"/>
          <w:sz w:val="24"/>
          <w:szCs w:val="24"/>
          <w:highlight w:val="none"/>
        </w:rPr>
        <w:t xml:space="preserve"> </w:t>
      </w:r>
      <w:r>
        <w:rPr>
          <w:rFonts w:hint="eastAsia" w:ascii="宋体" w:hAnsi="宋体" w:cs="宋体"/>
          <w:szCs w:val="21"/>
          <w:highlight w:val="none"/>
        </w:rPr>
        <w:t>45.2按方法    计算评标参考价：</w:t>
      </w:r>
    </w:p>
    <w:p>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方法一：加权平均法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评标参考价=Σ（投标人的投标报价*报价权重）。</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其中：报价权重的计算方法为：将N名投标人按技术分由高至低进行排序，第一名投标人的权重为（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），第二名投标人的权重为（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），以此类推，最后一名投标人的权重为（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w:t>
      </w:r>
    </w:p>
    <w:p>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方法二：区间抽取法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评标参考价=（Q高-Q低）/100*Ｘ+Q低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Q高：为（最高投标限价*D%）（D的取值范围为[94,100],由招标人自定）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X:为等分点值，在开标前从[0,100]整数中随机抽取</w:t>
      </w:r>
    </w:p>
    <w:p>
      <w:pPr>
        <w:widowControl/>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rPr>
        <w:t>45.2按方法</w:t>
      </w:r>
      <w:r>
        <w:rPr>
          <w:rFonts w:hint="eastAsia" w:ascii="宋体" w:hAnsi="宋体" w:cs="宋体"/>
          <w:szCs w:val="21"/>
          <w:highlight w:val="none"/>
          <w:u w:val="single"/>
        </w:rPr>
        <w:t>一</w:t>
      </w:r>
      <w:r>
        <w:rPr>
          <w:rFonts w:hint="eastAsia" w:ascii="宋体" w:hAnsi="宋体" w:cs="宋体"/>
          <w:szCs w:val="21"/>
          <w:highlight w:val="none"/>
        </w:rPr>
        <w:t>计算评标参考价：</w:t>
      </w:r>
    </w:p>
    <w:p>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方法一：加权平均法</w:t>
      </w:r>
    </w:p>
    <w:p>
      <w:pPr>
        <w:spacing w:line="360" w:lineRule="auto"/>
        <w:ind w:firstLine="420" w:firstLineChars="200"/>
        <w:rPr>
          <w:rFonts w:ascii="宋体" w:hAnsi="宋体" w:cs="宋体"/>
          <w:szCs w:val="21"/>
          <w:highlight w:val="none"/>
        </w:rPr>
      </w:pPr>
      <w:r>
        <w:rPr>
          <w:rFonts w:hint="eastAsia" w:ascii="宋体" w:hAnsi="宋体" w:cs="仿宋"/>
          <w:szCs w:val="21"/>
          <w:highlight w:val="none"/>
          <w:u w:val="single"/>
        </w:rPr>
        <w:t>通过技术标有效性审查且经济报价在[工程成本警戒价, 招标控制价]区间的投标人的技术标得分</w:t>
      </w:r>
      <w:r>
        <w:rPr>
          <w:rFonts w:hint="eastAsia" w:ascii="宋体" w:hAnsi="宋体" w:cs="仿宋"/>
          <w:szCs w:val="21"/>
          <w:highlight w:val="none"/>
        </w:rPr>
        <w:t>前</w:t>
      </w:r>
      <w:r>
        <w:rPr>
          <w:rFonts w:ascii="宋体" w:hAnsi="宋体" w:cs="仿宋"/>
          <w:szCs w:val="21"/>
          <w:highlight w:val="none"/>
        </w:rPr>
        <w:t>N</w:t>
      </w:r>
      <w:r>
        <w:rPr>
          <w:rFonts w:hint="eastAsia" w:ascii="宋体" w:hAnsi="宋体" w:cs="仿宋"/>
          <w:szCs w:val="21"/>
          <w:highlight w:val="none"/>
        </w:rPr>
        <w:t>名（N＝5；当N不足5名时，取满足前述条件的投标人个数）</w:t>
      </w:r>
      <w:r>
        <w:rPr>
          <w:rFonts w:hint="eastAsia" w:ascii="宋体" w:hAnsi="宋体" w:cs="宋体"/>
          <w:szCs w:val="21"/>
          <w:highlight w:val="none"/>
        </w:rPr>
        <w:t>的经济报价加权平均，计算评标参考价。公式如下：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评标参考价=Σ（投标人的投标报价*报价权重）。</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其中：报价权重的计算方法为：将N名投标人按技术分由高至低进行排序，第一名投标人的权重为（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highlight w:val="none"/>
        </w:rPr>
        <w:instrText xml:space="preserve"> \* MERGEFORMAT </w:instrText>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），第二名投标人的权重为（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highlight w:val="none"/>
        </w:rPr>
        <w:instrText xml:space="preserve"> \* MERGEFORMAT </w:instrText>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），以此类推，最后一名投标人的权重为（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highlight w:val="none"/>
        </w:rPr>
        <w:instrText xml:space="preserve"> \* MERGEFORMAT </w:instrText>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w:t>
      </w:r>
    </w:p>
    <w:p>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cs="宋体"/>
          <w:bCs/>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highlight w:val="none"/>
        </w:rPr>
      </w:pPr>
      <w:r>
        <w:rPr>
          <w:rFonts w:hint="eastAsia" w:ascii="宋体" w:hAnsi="宋体" w:cs="宋体"/>
          <w:bCs/>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45.3</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527" w:firstLineChars="250"/>
        <w:rPr>
          <w:b/>
          <w:szCs w:val="21"/>
          <w:highlight w:val="none"/>
        </w:rPr>
      </w:pPr>
      <w:r>
        <w:rPr>
          <w:rFonts w:hint="eastAsia"/>
          <w:b/>
          <w:szCs w:val="21"/>
          <w:highlight w:val="none"/>
        </w:rPr>
        <w:t>原文：</w:t>
      </w:r>
      <w:r>
        <w:rPr>
          <w:rFonts w:hint="eastAsia" w:ascii="宋体" w:hAnsi="宋体" w:cs="宋体"/>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kern w:val="0"/>
          <w:szCs w:val="21"/>
          <w:highlight w:val="none"/>
        </w:rPr>
        <w:t>45.3</w:t>
      </w:r>
      <w:r>
        <w:rPr>
          <w:rFonts w:hint="eastAsia" w:ascii="宋体" w:hAnsi="宋体" w:cs="宋体"/>
          <w:szCs w:val="21"/>
          <w:highlight w:val="none"/>
        </w:rPr>
        <w:t>当标价等于评标参考价时得100分，标价每高于评标参考价1%，扣</w:t>
      </w:r>
      <w:r>
        <w:rPr>
          <w:rFonts w:hint="eastAsia" w:ascii="宋体" w:hAnsi="宋体" w:cs="宋体"/>
          <w:szCs w:val="21"/>
          <w:highlight w:val="none"/>
          <w:u w:val="single"/>
        </w:rPr>
        <w:t>0.2</w:t>
      </w:r>
      <w:r>
        <w:rPr>
          <w:rFonts w:hint="eastAsia" w:ascii="宋体" w:hAnsi="宋体" w:cs="宋体"/>
          <w:szCs w:val="21"/>
          <w:highlight w:val="none"/>
        </w:rPr>
        <w:t>分，每低于评标参考价1%，扣</w:t>
      </w:r>
      <w:r>
        <w:rPr>
          <w:rFonts w:hint="eastAsia" w:ascii="宋体" w:hAnsi="宋体" w:cs="宋体"/>
          <w:szCs w:val="21"/>
          <w:highlight w:val="none"/>
          <w:u w:val="single"/>
        </w:rPr>
        <w:t>0.1</w:t>
      </w:r>
      <w:r>
        <w:rPr>
          <w:rFonts w:hint="eastAsia" w:ascii="宋体" w:hAnsi="宋体" w:cs="宋体"/>
          <w:szCs w:val="21"/>
          <w:highlight w:val="none"/>
        </w:rPr>
        <w:t>分，扣至0分为止，得出经济分，精确到小数点后两位。</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45.4</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527" w:firstLineChars="250"/>
        <w:rPr>
          <w:b/>
          <w:szCs w:val="21"/>
          <w:highlight w:val="none"/>
        </w:rPr>
      </w:pPr>
      <w:r>
        <w:rPr>
          <w:rFonts w:hint="eastAsia"/>
          <w:b/>
          <w:szCs w:val="21"/>
          <w:highlight w:val="none"/>
        </w:rPr>
        <w:t>原文：</w:t>
      </w:r>
      <w:r>
        <w:rPr>
          <w:rFonts w:hint="eastAsia" w:ascii="宋体" w:hAnsi="宋体" w:cs="宋体"/>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u w:val="single"/>
        </w:rPr>
        <w:t>4</w:t>
      </w:r>
      <w:r>
        <w:rPr>
          <w:rFonts w:hint="eastAsia" w:ascii="宋体" w:hAnsi="宋体" w:cs="宋体"/>
          <w:highlight w:val="none"/>
          <w:u w:val="single"/>
        </w:rPr>
        <w:t>5.4计算通过技术标有效性审查的投标人总得分。投标人总得分=技术得分（100分）×技术得分权重（20%）＋经济得分（满分100分）×经济得分权重（80%）。技术、经济得分权重按投标须知前附表</w:t>
      </w:r>
      <w:r>
        <w:rPr>
          <w:rFonts w:hint="eastAsia" w:ascii="宋体" w:hAnsi="宋体" w:cs="宋体"/>
          <w:szCs w:val="21"/>
          <w:highlight w:val="none"/>
        </w:rPr>
        <w:t>的规定执行。总</w:t>
      </w:r>
      <w:r>
        <w:rPr>
          <w:rFonts w:hint="eastAsia" w:ascii="宋体" w:hAnsi="宋体" w:cs="宋体"/>
          <w:bCs/>
          <w:szCs w:val="21"/>
          <w:highlight w:val="none"/>
        </w:rPr>
        <w:t>得分四舍五入保留两位小数。</w:t>
      </w:r>
      <w:r>
        <w:rPr>
          <w:rFonts w:hint="eastAsia" w:ascii="宋体" w:hAnsi="宋体" w:cs="宋体"/>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条款号：46.1</w:t>
      </w:r>
      <w:r>
        <w:rPr>
          <w:rFonts w:hint="eastAsia" w:ascii="宋体" w:hAnsi="宋体" w:cs="宋体"/>
          <w:szCs w:val="21"/>
          <w:highlight w:val="none"/>
        </w:rPr>
        <w:t xml:space="preserve"> </w:t>
      </w:r>
      <w:r>
        <w:rPr>
          <w:rFonts w:hint="eastAsia" w:ascii="宋体" w:hAnsi="宋体" w:cs="宋体"/>
          <w:b/>
          <w:szCs w:val="21"/>
          <w:highlight w:val="none"/>
        </w:rPr>
        <w:t xml:space="preserve">            修改类型：修改</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原文：</w:t>
      </w:r>
      <w:r>
        <w:rPr>
          <w:rFonts w:ascii="宋体" w:hAnsi="宋体" w:cs="宋体"/>
          <w:szCs w:val="21"/>
          <w:highlight w:val="none"/>
        </w:rPr>
        <w:t>4</w:t>
      </w:r>
      <w:r>
        <w:rPr>
          <w:rFonts w:hint="eastAsia" w:ascii="宋体" w:hAnsi="宋体" w:cs="宋体"/>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条款号：48</w:t>
      </w:r>
      <w:r>
        <w:rPr>
          <w:rFonts w:hint="eastAsia" w:ascii="宋体" w:hAnsi="宋体" w:cs="宋体"/>
          <w:szCs w:val="21"/>
          <w:highlight w:val="none"/>
        </w:rPr>
        <w:t xml:space="preserve"> </w:t>
      </w:r>
      <w:r>
        <w:rPr>
          <w:rFonts w:hint="eastAsia" w:ascii="宋体" w:hAnsi="宋体" w:cs="宋体"/>
          <w:b/>
          <w:szCs w:val="21"/>
          <w:highlight w:val="none"/>
        </w:rPr>
        <w:t xml:space="preserve">            修改类型：修改</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原文：</w:t>
      </w:r>
      <w:r>
        <w:rPr>
          <w:rFonts w:ascii="宋体" w:hAnsi="宋体" w:cs="宋体"/>
          <w:szCs w:val="21"/>
          <w:highlight w:val="none"/>
        </w:rPr>
        <w:t>4</w:t>
      </w:r>
      <w:r>
        <w:rPr>
          <w:rFonts w:hint="eastAsia" w:ascii="宋体" w:hAnsi="宋体" w:cs="宋体"/>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现文：</w:t>
      </w:r>
      <w:r>
        <w:rPr>
          <w:rFonts w:ascii="宋体" w:hAnsi="宋体" w:cs="宋体"/>
          <w:szCs w:val="21"/>
          <w:highlight w:val="none"/>
        </w:rPr>
        <w:t>4</w:t>
      </w:r>
      <w:r>
        <w:rPr>
          <w:rFonts w:hint="eastAsia" w:ascii="宋体" w:hAnsi="宋体" w:cs="宋体"/>
          <w:szCs w:val="21"/>
          <w:highlight w:val="none"/>
        </w:rPr>
        <w:t>8.评标委员会应在通过投标文件经济标有效性审查的投标人中，</w:t>
      </w:r>
      <w:r>
        <w:rPr>
          <w:rFonts w:hint="eastAsia" w:ascii="宋体" w:hAnsi="宋体" w:cs="宋体"/>
          <w:szCs w:val="21"/>
          <w:highlight w:val="none"/>
          <w:u w:val="single"/>
        </w:rPr>
        <w:t>按步骤45.4确定的投标人排序</w:t>
      </w:r>
      <w:r>
        <w:rPr>
          <w:rFonts w:hint="eastAsia" w:ascii="宋体" w:hAnsi="宋体" w:cs="宋体"/>
          <w:szCs w:val="21"/>
          <w:highlight w:val="none"/>
        </w:rPr>
        <w:t>，推荐前3名依次为第一中标候选人至第三中标候选人,并编制评标报告。</w:t>
      </w:r>
    </w:p>
    <w:p>
      <w:pPr>
        <w:spacing w:line="360" w:lineRule="auto"/>
        <w:ind w:firstLine="472" w:firstLineChars="224"/>
        <w:rPr>
          <w:b/>
          <w:szCs w:val="21"/>
          <w:highlight w:val="none"/>
        </w:rPr>
      </w:pPr>
      <w:r>
        <w:rPr>
          <w:rFonts w:hint="eastAsia"/>
          <w:b/>
          <w:szCs w:val="21"/>
          <w:highlight w:val="none"/>
        </w:rPr>
        <w:t>条款号：</w:t>
      </w:r>
      <w:r>
        <w:rPr>
          <w:rFonts w:hint="eastAsia" w:ascii="宋体" w:hAnsi="宋体" w:cs="宋体"/>
          <w:b/>
          <w:szCs w:val="21"/>
          <w:highlight w:val="none"/>
        </w:rPr>
        <w:t>附表一：《资格审查表》   附表二：《技术标有效性审查表》  附表三：《经济标有效性审查表》  附表四：《技术标详细审查评分表》  附表五《经济标评分表》</w:t>
      </w:r>
      <w:r>
        <w:rPr>
          <w:b/>
          <w:szCs w:val="21"/>
          <w:highlight w:val="none"/>
        </w:rPr>
        <w:t xml:space="preserve">  </w:t>
      </w:r>
      <w:r>
        <w:rPr>
          <w:rFonts w:hint="eastAsia"/>
          <w:b/>
          <w:szCs w:val="21"/>
          <w:highlight w:val="none"/>
        </w:rPr>
        <w:t>修改类型：修改</w:t>
      </w:r>
    </w:p>
    <w:p>
      <w:pPr>
        <w:spacing w:line="36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详见本招标文件</w:t>
      </w:r>
      <w:r>
        <w:rPr>
          <w:rFonts w:hint="eastAsia" w:ascii="宋体" w:hAnsi="宋体" w:cs="宋体"/>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highlight w:val="none"/>
        </w:rPr>
      </w:pPr>
      <w:r>
        <w:rPr>
          <w:rFonts w:hint="eastAsia"/>
          <w:b/>
          <w:szCs w:val="21"/>
          <w:highlight w:val="none"/>
        </w:rPr>
        <w:t>注：以上修改，仅限于本范本中有可供选择条款的情形。</w:t>
      </w:r>
    </w:p>
    <w:p>
      <w:pPr>
        <w:spacing w:line="360" w:lineRule="auto"/>
        <w:rPr>
          <w:highlight w:val="none"/>
        </w:rPr>
      </w:pPr>
      <w:r>
        <w:rPr>
          <w:rFonts w:hint="eastAsia"/>
          <w:b/>
          <w:szCs w:val="21"/>
          <w:highlight w:val="none"/>
        </w:rPr>
        <w:t>（以下无正文）</w:t>
      </w:r>
    </w:p>
    <w:p>
      <w:pPr>
        <w:pStyle w:val="9"/>
        <w:spacing w:line="360" w:lineRule="auto"/>
        <w:rPr>
          <w:highlight w:val="none"/>
        </w:rPr>
      </w:pPr>
      <w:r>
        <w:rPr>
          <w:highlight w:val="none"/>
        </w:rPr>
        <w:br w:type="page"/>
      </w:r>
    </w:p>
    <w:p>
      <w:pPr>
        <w:pStyle w:val="6"/>
        <w:ind w:firstLine="525"/>
        <w:rPr>
          <w:color w:val="auto"/>
          <w:highlight w:val="none"/>
        </w:rPr>
      </w:pPr>
      <w:bookmarkStart w:id="24" w:name="_Toc21525500"/>
      <w:bookmarkStart w:id="25" w:name="_Toc2272556"/>
      <w:r>
        <w:rPr>
          <w:rFonts w:hint="eastAsia"/>
          <w:color w:val="auto"/>
          <w:highlight w:val="none"/>
        </w:rPr>
        <w:t>二、开标、评标及定标办法</w:t>
      </w:r>
      <w:r>
        <w:rPr>
          <w:rFonts w:hint="eastAsia"/>
          <w:color w:val="auto"/>
          <w:szCs w:val="30"/>
          <w:highlight w:val="none"/>
        </w:rPr>
        <w:t>通用条款</w:t>
      </w:r>
      <w:bookmarkEnd w:id="24"/>
      <w:bookmarkEnd w:id="25"/>
    </w:p>
    <w:p>
      <w:pPr>
        <w:pStyle w:val="7"/>
        <w:spacing w:before="156" w:after="156"/>
        <w:ind w:firstLine="540" w:firstLineChars="200"/>
        <w:rPr>
          <w:highlight w:val="none"/>
        </w:rPr>
      </w:pPr>
      <w:bookmarkStart w:id="26" w:name="_Toc2272557"/>
      <w:bookmarkStart w:id="27" w:name="_Toc21525501"/>
      <w:r>
        <w:rPr>
          <w:rFonts w:hint="eastAsia"/>
          <w:highlight w:val="none"/>
        </w:rPr>
        <w:t>（一）总则</w:t>
      </w:r>
      <w:bookmarkEnd w:id="26"/>
      <w:bookmarkEnd w:id="27"/>
    </w:p>
    <w:p>
      <w:pPr>
        <w:spacing w:line="360" w:lineRule="auto"/>
        <w:ind w:firstLine="480" w:firstLineChars="200"/>
        <w:rPr>
          <w:rFonts w:ascii="宋体" w:hAnsi="宋体"/>
          <w:b/>
          <w:sz w:val="24"/>
          <w:szCs w:val="24"/>
          <w:highlight w:val="none"/>
        </w:rPr>
      </w:pPr>
      <w:r>
        <w:rPr>
          <w:rFonts w:ascii="宋体" w:hAnsi="宋体"/>
          <w:sz w:val="24"/>
          <w:szCs w:val="24"/>
          <w:highlight w:val="none"/>
        </w:rPr>
        <w:t xml:space="preserve">35 </w:t>
      </w:r>
      <w:r>
        <w:rPr>
          <w:rFonts w:hint="eastAsia" w:ascii="宋体" w:hAnsi="宋体"/>
          <w:sz w:val="24"/>
          <w:szCs w:val="24"/>
          <w:highlight w:val="none"/>
        </w:rPr>
        <w:t>开标、评标及定标所依据的规则</w:t>
      </w:r>
    </w:p>
    <w:p>
      <w:pPr>
        <w:spacing w:line="360" w:lineRule="auto"/>
        <w:ind w:firstLine="480" w:firstLineChars="200"/>
        <w:rPr>
          <w:rFonts w:ascii="宋体" w:hAnsi="宋体"/>
          <w:sz w:val="24"/>
          <w:szCs w:val="24"/>
          <w:highlight w:val="none"/>
        </w:rPr>
      </w:pPr>
      <w:r>
        <w:rPr>
          <w:rFonts w:ascii="宋体" w:hAnsi="宋体"/>
          <w:sz w:val="24"/>
          <w:szCs w:val="24"/>
          <w:highlight w:val="none"/>
        </w:rPr>
        <w:t>35.1</w:t>
      </w:r>
      <w:r>
        <w:rPr>
          <w:rFonts w:hint="eastAsia" w:ascii="宋体" w:hAnsi="宋体"/>
          <w:sz w:val="24"/>
          <w:szCs w:val="24"/>
          <w:highlight w:val="none"/>
        </w:rPr>
        <w:t>《中华人民共和国招标投标法》；</w:t>
      </w:r>
    </w:p>
    <w:p>
      <w:pPr>
        <w:spacing w:line="360" w:lineRule="auto"/>
        <w:ind w:firstLine="480" w:firstLineChars="200"/>
        <w:rPr>
          <w:rFonts w:ascii="宋体" w:hAnsi="宋体"/>
          <w:sz w:val="24"/>
          <w:szCs w:val="24"/>
          <w:highlight w:val="none"/>
        </w:rPr>
      </w:pPr>
      <w:r>
        <w:rPr>
          <w:rFonts w:ascii="宋体" w:hAnsi="宋体"/>
          <w:sz w:val="24"/>
          <w:szCs w:val="24"/>
          <w:highlight w:val="none"/>
        </w:rPr>
        <w:t>35.2</w:t>
      </w:r>
      <w:r>
        <w:rPr>
          <w:rFonts w:hint="eastAsia" w:ascii="宋体" w:hAnsi="宋体"/>
          <w:sz w:val="24"/>
          <w:szCs w:val="24"/>
          <w:highlight w:val="none"/>
        </w:rPr>
        <w:t>《中华人民共和国招标投标法实施条例》；</w:t>
      </w:r>
    </w:p>
    <w:p>
      <w:pPr>
        <w:spacing w:line="360" w:lineRule="auto"/>
        <w:ind w:firstLine="480" w:firstLineChars="200"/>
        <w:rPr>
          <w:rFonts w:ascii="宋体" w:hAnsi="宋体"/>
          <w:sz w:val="24"/>
          <w:szCs w:val="24"/>
          <w:highlight w:val="none"/>
        </w:rPr>
      </w:pPr>
      <w:r>
        <w:rPr>
          <w:rFonts w:ascii="宋体" w:hAnsi="宋体"/>
          <w:sz w:val="24"/>
          <w:szCs w:val="24"/>
          <w:highlight w:val="none"/>
        </w:rPr>
        <w:t>35.3</w:t>
      </w:r>
      <w:r>
        <w:rPr>
          <w:rFonts w:hint="eastAsia" w:ascii="宋体" w:hAnsi="宋体"/>
          <w:sz w:val="24"/>
          <w:szCs w:val="24"/>
          <w:highlight w:val="none"/>
        </w:rPr>
        <w:t>《评标委员会和评标方法暂行规定》（七部委第</w:t>
      </w:r>
      <w:r>
        <w:rPr>
          <w:rFonts w:ascii="宋体" w:hAnsi="宋体"/>
          <w:sz w:val="24"/>
          <w:szCs w:val="24"/>
          <w:highlight w:val="none"/>
        </w:rPr>
        <w:t>12</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35.4</w:t>
      </w:r>
      <w:r>
        <w:rPr>
          <w:rFonts w:hint="eastAsia" w:ascii="宋体" w:hAnsi="宋体"/>
          <w:sz w:val="24"/>
          <w:szCs w:val="24"/>
          <w:highlight w:val="none"/>
        </w:rPr>
        <w:t>《工程建设项目施工招标投标办法》（七部委</w:t>
      </w:r>
      <w:r>
        <w:rPr>
          <w:rFonts w:ascii="宋体" w:hAnsi="宋体"/>
          <w:sz w:val="24"/>
          <w:szCs w:val="24"/>
          <w:highlight w:val="none"/>
        </w:rPr>
        <w:t>2003</w:t>
      </w:r>
      <w:r>
        <w:rPr>
          <w:rFonts w:hint="eastAsia" w:ascii="宋体" w:hAnsi="宋体"/>
          <w:sz w:val="24"/>
          <w:szCs w:val="24"/>
          <w:highlight w:val="none"/>
        </w:rPr>
        <w:t>年第</w:t>
      </w:r>
      <w:r>
        <w:rPr>
          <w:rFonts w:ascii="宋体" w:hAnsi="宋体"/>
          <w:sz w:val="24"/>
          <w:szCs w:val="24"/>
          <w:highlight w:val="none"/>
        </w:rPr>
        <w:t>30</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35.5</w:t>
      </w:r>
      <w:r>
        <w:rPr>
          <w:rFonts w:hint="eastAsia" w:ascii="宋体" w:hAnsi="宋体"/>
          <w:sz w:val="24"/>
          <w:szCs w:val="24"/>
          <w:highlight w:val="none"/>
        </w:rPr>
        <w:t>《广东省实施〈中华人民共和国招标投标法〉办法》；</w:t>
      </w:r>
    </w:p>
    <w:p>
      <w:pPr>
        <w:spacing w:line="360" w:lineRule="auto"/>
        <w:ind w:firstLine="480" w:firstLineChars="200"/>
        <w:rPr>
          <w:rFonts w:ascii="宋体" w:hAnsi="宋体"/>
          <w:sz w:val="24"/>
          <w:szCs w:val="24"/>
          <w:highlight w:val="none"/>
        </w:rPr>
      </w:pPr>
      <w:r>
        <w:rPr>
          <w:rFonts w:ascii="宋体" w:hAnsi="宋体"/>
          <w:sz w:val="24"/>
          <w:szCs w:val="24"/>
          <w:highlight w:val="none"/>
        </w:rPr>
        <w:t>35.6</w:t>
      </w:r>
      <w:r>
        <w:rPr>
          <w:rFonts w:hint="eastAsia" w:ascii="宋体" w:hAnsi="宋体"/>
          <w:sz w:val="24"/>
          <w:szCs w:val="24"/>
          <w:highlight w:val="none"/>
        </w:rPr>
        <w:t>《房屋建筑和市政基础设施工程施工招标投标管理办法》（建设部令第</w:t>
      </w:r>
      <w:r>
        <w:rPr>
          <w:rFonts w:ascii="宋体" w:hAnsi="宋体"/>
          <w:sz w:val="24"/>
          <w:szCs w:val="24"/>
          <w:highlight w:val="none"/>
        </w:rPr>
        <w:t>89</w:t>
      </w:r>
      <w:r>
        <w:rPr>
          <w:rFonts w:hint="eastAsia" w:ascii="宋体" w:hAnsi="宋体"/>
          <w:sz w:val="24"/>
          <w:szCs w:val="24"/>
          <w:highlight w:val="none"/>
        </w:rPr>
        <w:t>号）</w:t>
      </w:r>
    </w:p>
    <w:p>
      <w:pPr>
        <w:spacing w:line="360" w:lineRule="auto"/>
        <w:ind w:firstLine="480" w:firstLineChars="200"/>
        <w:rPr>
          <w:rFonts w:ascii="宋体" w:hAnsi="宋体"/>
          <w:sz w:val="24"/>
          <w:szCs w:val="24"/>
          <w:highlight w:val="none"/>
        </w:rPr>
      </w:pPr>
      <w:r>
        <w:rPr>
          <w:rFonts w:ascii="宋体" w:hAnsi="宋体"/>
          <w:sz w:val="24"/>
          <w:szCs w:val="24"/>
          <w:highlight w:val="none"/>
        </w:rPr>
        <w:t>35.7</w:t>
      </w:r>
      <w:r>
        <w:rPr>
          <w:rFonts w:hint="eastAsia" w:ascii="宋体" w:hAnsi="宋体"/>
          <w:sz w:val="24"/>
          <w:szCs w:val="24"/>
          <w:highlight w:val="none"/>
        </w:rPr>
        <w:t>《广东省加强建设工程招标投标监督管理的若干规定》（粤发[2004]4号）；</w:t>
      </w:r>
    </w:p>
    <w:p>
      <w:pPr>
        <w:spacing w:line="360" w:lineRule="auto"/>
        <w:ind w:firstLine="480" w:firstLineChars="200"/>
        <w:rPr>
          <w:rFonts w:ascii="宋体" w:hAnsi="宋体"/>
          <w:sz w:val="24"/>
          <w:szCs w:val="24"/>
          <w:highlight w:val="none"/>
        </w:rPr>
      </w:pPr>
      <w:r>
        <w:rPr>
          <w:rFonts w:ascii="宋体" w:hAnsi="宋体"/>
          <w:sz w:val="24"/>
          <w:szCs w:val="24"/>
          <w:highlight w:val="none"/>
        </w:rPr>
        <w:t>35.</w:t>
      </w:r>
      <w:r>
        <w:rPr>
          <w:rFonts w:hint="eastAsia" w:ascii="宋体" w:hAnsi="宋体"/>
          <w:sz w:val="24"/>
          <w:szCs w:val="24"/>
          <w:highlight w:val="none"/>
        </w:rPr>
        <w:t>8《广州市工程建设项目招标投标管理办法》（穗府办规〔2017〕5号）。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35.9本项目招标文件。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36</w:t>
      </w:r>
      <w:r>
        <w:rPr>
          <w:rFonts w:hint="eastAsia" w:ascii="宋体" w:hAnsi="宋体"/>
          <w:sz w:val="24"/>
          <w:szCs w:val="24"/>
          <w:highlight w:val="none"/>
        </w:rPr>
        <w:t>．开标</w:t>
      </w:r>
    </w:p>
    <w:p>
      <w:pPr>
        <w:spacing w:line="360" w:lineRule="auto"/>
        <w:ind w:firstLine="480" w:firstLineChars="200"/>
        <w:rPr>
          <w:rFonts w:ascii="宋体" w:hAnsi="宋体"/>
          <w:sz w:val="24"/>
          <w:szCs w:val="24"/>
          <w:highlight w:val="none"/>
          <w:u w:val="single"/>
        </w:rPr>
      </w:pPr>
      <w:r>
        <w:rPr>
          <w:rFonts w:ascii="宋体" w:hAnsi="宋体"/>
          <w:sz w:val="24"/>
          <w:szCs w:val="24"/>
          <w:highlight w:val="none"/>
          <w:u w:val="single"/>
        </w:rPr>
        <w:t>36.</w:t>
      </w:r>
      <w:r>
        <w:rPr>
          <w:rFonts w:hint="eastAsia" w:ascii="宋体" w:hAnsi="宋体"/>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sz w:val="24"/>
          <w:szCs w:val="24"/>
          <w:highlight w:val="none"/>
        </w:rPr>
      </w:pPr>
      <w:r>
        <w:rPr>
          <w:rFonts w:ascii="宋体" w:hAnsi="宋体"/>
          <w:sz w:val="24"/>
          <w:szCs w:val="24"/>
          <w:highlight w:val="none"/>
        </w:rPr>
        <w:t>36.2</w:t>
      </w:r>
      <w:r>
        <w:rPr>
          <w:rFonts w:hint="eastAsia" w:ascii="宋体" w:hAnsi="宋体"/>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36.4若递交投标文件的投标人不足3家，则重新组织招标。（当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p>
    <w:p>
      <w:pPr>
        <w:spacing w:line="360" w:lineRule="auto"/>
        <w:ind w:firstLine="480" w:firstLineChars="200"/>
        <w:rPr>
          <w:rFonts w:ascii="宋体" w:hAnsi="宋体"/>
          <w:sz w:val="24"/>
          <w:highlight w:val="none"/>
        </w:rPr>
      </w:pPr>
      <w:r>
        <w:rPr>
          <w:rFonts w:hint="eastAsia" w:ascii="宋体" w:hAnsi="宋体"/>
          <w:sz w:val="24"/>
          <w:highlight w:val="none"/>
        </w:rPr>
        <w:t>36.5按下列程序进行开标：</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36.5.1在投标截止时间后一小时内，投标人通过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sz w:val="24"/>
          <w:highlight w:val="none"/>
        </w:rPr>
      </w:pPr>
      <w:r>
        <w:rPr>
          <w:rFonts w:hint="eastAsia" w:ascii="宋体" w:hAnsi="宋体"/>
          <w:sz w:val="24"/>
          <w:highlight w:val="none"/>
        </w:rPr>
        <w:t>36.5.2备用光盘的读取按投标须知前附表第36项的规定执行；</w:t>
      </w:r>
    </w:p>
    <w:p>
      <w:pPr>
        <w:spacing w:line="360" w:lineRule="auto"/>
        <w:ind w:firstLine="480" w:firstLineChars="200"/>
        <w:rPr>
          <w:rFonts w:ascii="宋体" w:hAnsi="宋体"/>
          <w:sz w:val="24"/>
          <w:highlight w:val="none"/>
        </w:rPr>
      </w:pPr>
      <w:r>
        <w:rPr>
          <w:rFonts w:hint="eastAsia" w:ascii="宋体" w:hAnsi="宋体"/>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highlight w:val="none"/>
        </w:rPr>
      </w:pPr>
      <w:r>
        <w:rPr>
          <w:rFonts w:hint="eastAsia" w:ascii="宋体" w:hAnsi="宋体"/>
          <w:sz w:val="24"/>
          <w:highlight w:val="none"/>
        </w:rPr>
        <w:t>36.5.4开标结束。</w:t>
      </w:r>
    </w:p>
    <w:p>
      <w:pPr>
        <w:spacing w:line="360" w:lineRule="auto"/>
        <w:ind w:firstLine="480" w:firstLineChars="200"/>
        <w:rPr>
          <w:rFonts w:ascii="宋体" w:hAnsi="宋体"/>
          <w:sz w:val="24"/>
          <w:highlight w:val="none"/>
        </w:rPr>
      </w:pPr>
      <w:r>
        <w:rPr>
          <w:rFonts w:hint="eastAsia" w:ascii="宋体" w:hAnsi="宋体"/>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highlight w:val="none"/>
        </w:rPr>
      </w:pPr>
      <w:r>
        <w:rPr>
          <w:rFonts w:hint="eastAsia" w:ascii="宋体" w:hAnsi="宋体"/>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highlight w:val="none"/>
        </w:rPr>
      </w:pPr>
      <w:r>
        <w:rPr>
          <w:rFonts w:ascii="宋体" w:hAnsi="宋体"/>
          <w:sz w:val="24"/>
          <w:szCs w:val="24"/>
          <w:highlight w:val="none"/>
        </w:rPr>
        <w:t>37</w:t>
      </w:r>
      <w:r>
        <w:rPr>
          <w:rFonts w:hint="eastAsia" w:ascii="宋体" w:hAnsi="宋体"/>
          <w:sz w:val="24"/>
          <w:szCs w:val="24"/>
          <w:highlight w:val="none"/>
        </w:rPr>
        <w:t>．评标</w:t>
      </w:r>
    </w:p>
    <w:p>
      <w:pPr>
        <w:spacing w:line="360" w:lineRule="auto"/>
        <w:ind w:firstLine="480" w:firstLineChars="200"/>
        <w:rPr>
          <w:rFonts w:ascii="宋体" w:hAnsi="宋体"/>
          <w:sz w:val="24"/>
          <w:szCs w:val="24"/>
          <w:highlight w:val="none"/>
        </w:rPr>
      </w:pPr>
      <w:r>
        <w:rPr>
          <w:rFonts w:ascii="宋体" w:hAnsi="宋体"/>
          <w:sz w:val="24"/>
          <w:szCs w:val="24"/>
          <w:highlight w:val="none"/>
        </w:rPr>
        <w:t>37.1</w:t>
      </w:r>
      <w:r>
        <w:rPr>
          <w:rFonts w:hint="eastAsia" w:ascii="宋体" w:hAnsi="宋体"/>
          <w:sz w:val="24"/>
          <w:szCs w:val="24"/>
          <w:highlight w:val="none"/>
        </w:rPr>
        <w:t>评标委员会由招标人依法组建。</w:t>
      </w:r>
    </w:p>
    <w:p>
      <w:pPr>
        <w:spacing w:line="360" w:lineRule="auto"/>
        <w:ind w:firstLine="480" w:firstLineChars="200"/>
        <w:rPr>
          <w:rFonts w:ascii="宋体" w:hAnsi="宋体"/>
          <w:sz w:val="24"/>
          <w:szCs w:val="24"/>
          <w:highlight w:val="none"/>
        </w:rPr>
      </w:pPr>
      <w:r>
        <w:rPr>
          <w:rFonts w:ascii="宋体" w:hAnsi="宋体"/>
          <w:sz w:val="24"/>
          <w:szCs w:val="24"/>
          <w:highlight w:val="none"/>
        </w:rPr>
        <w:t>37.2</w:t>
      </w:r>
      <w:r>
        <w:rPr>
          <w:rFonts w:hint="eastAsia" w:ascii="宋体" w:hAnsi="宋体"/>
          <w:sz w:val="24"/>
          <w:szCs w:val="24"/>
          <w:highlight w:val="none"/>
        </w:rPr>
        <w:t>评标委员会的职责及守则：</w:t>
      </w:r>
    </w:p>
    <w:p>
      <w:pPr>
        <w:spacing w:line="360" w:lineRule="auto"/>
        <w:ind w:firstLine="480" w:firstLineChars="200"/>
        <w:rPr>
          <w:rFonts w:ascii="宋体" w:hAnsi="宋体"/>
          <w:sz w:val="24"/>
          <w:szCs w:val="24"/>
          <w:highlight w:val="none"/>
        </w:rPr>
      </w:pPr>
      <w:r>
        <w:rPr>
          <w:rFonts w:ascii="宋体" w:hAnsi="宋体"/>
          <w:sz w:val="24"/>
          <w:szCs w:val="24"/>
          <w:highlight w:val="none"/>
        </w:rPr>
        <w:t>37.2.1</w:t>
      </w:r>
      <w:r>
        <w:rPr>
          <w:rFonts w:hint="eastAsia" w:ascii="宋体" w:hAnsi="宋体"/>
          <w:sz w:val="24"/>
          <w:szCs w:val="24"/>
          <w:highlight w:val="none"/>
        </w:rPr>
        <w:t>根据评标细则，对</w:t>
      </w:r>
      <w:r>
        <w:rPr>
          <w:rFonts w:hint="eastAsia" w:ascii="宋体" w:hAnsi="宋体"/>
          <w:sz w:val="24"/>
          <w:highlight w:val="none"/>
        </w:rPr>
        <w:t>投标文件</w:t>
      </w:r>
      <w:r>
        <w:rPr>
          <w:rFonts w:hint="eastAsia" w:ascii="宋体" w:hAnsi="宋体"/>
          <w:sz w:val="24"/>
          <w:szCs w:val="24"/>
          <w:highlight w:val="none"/>
        </w:rPr>
        <w:t>进行认真评审，完成评审报告；</w:t>
      </w:r>
    </w:p>
    <w:p>
      <w:pPr>
        <w:spacing w:line="360" w:lineRule="auto"/>
        <w:ind w:firstLine="480" w:firstLineChars="200"/>
        <w:rPr>
          <w:rFonts w:ascii="宋体" w:hAnsi="宋体"/>
          <w:sz w:val="24"/>
          <w:szCs w:val="24"/>
          <w:highlight w:val="none"/>
        </w:rPr>
      </w:pPr>
      <w:r>
        <w:rPr>
          <w:rFonts w:ascii="宋体" w:hAnsi="宋体"/>
          <w:sz w:val="24"/>
          <w:szCs w:val="24"/>
          <w:highlight w:val="none"/>
        </w:rPr>
        <w:t>37.2.2</w:t>
      </w:r>
      <w:r>
        <w:rPr>
          <w:rFonts w:hint="eastAsia" w:ascii="宋体" w:hAnsi="宋体"/>
          <w:sz w:val="24"/>
          <w:szCs w:val="24"/>
          <w:highlight w:val="none"/>
        </w:rPr>
        <w:t>向招标人报告评审意见，推荐合格的中标候选人。</w:t>
      </w:r>
    </w:p>
    <w:p>
      <w:pPr>
        <w:spacing w:line="360" w:lineRule="auto"/>
        <w:ind w:firstLine="480" w:firstLineChars="200"/>
        <w:rPr>
          <w:rFonts w:ascii="宋体" w:hAnsi="宋体"/>
          <w:sz w:val="24"/>
          <w:szCs w:val="24"/>
          <w:highlight w:val="none"/>
        </w:rPr>
      </w:pPr>
      <w:r>
        <w:rPr>
          <w:rFonts w:ascii="宋体" w:hAnsi="宋体"/>
          <w:bCs/>
          <w:sz w:val="24"/>
          <w:szCs w:val="24"/>
          <w:highlight w:val="none"/>
        </w:rPr>
        <w:t>37.2.3</w:t>
      </w:r>
      <w:r>
        <w:rPr>
          <w:rFonts w:ascii="宋体" w:hAnsi="宋体"/>
          <w:b/>
          <w:bCs/>
          <w:sz w:val="24"/>
          <w:szCs w:val="24"/>
          <w:highlight w:val="none"/>
        </w:rPr>
        <w:t xml:space="preserve"> </w:t>
      </w:r>
      <w:r>
        <w:rPr>
          <w:rFonts w:hint="eastAsia" w:ascii="宋体" w:hAnsi="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highlight w:val="none"/>
        </w:rPr>
      </w:pPr>
      <w:r>
        <w:rPr>
          <w:rFonts w:ascii="宋体" w:hAnsi="宋体"/>
          <w:sz w:val="24"/>
          <w:szCs w:val="24"/>
          <w:highlight w:val="none"/>
        </w:rPr>
        <w:t>37.2.4</w:t>
      </w:r>
      <w:r>
        <w:rPr>
          <w:rFonts w:hint="eastAsia" w:ascii="宋体" w:hAnsi="宋体"/>
          <w:sz w:val="24"/>
          <w:szCs w:val="24"/>
          <w:highlight w:val="none"/>
        </w:rPr>
        <w:t>全体参与评标人员：</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37.2.4.1 </w:t>
      </w:r>
      <w:r>
        <w:rPr>
          <w:rFonts w:hint="eastAsia" w:ascii="宋体" w:hAnsi="宋体"/>
          <w:sz w:val="24"/>
          <w:szCs w:val="24"/>
          <w:highlight w:val="none"/>
        </w:rPr>
        <w:t>必须遵守评标纪律、不得泄密；</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37.2.4.2 </w:t>
      </w:r>
      <w:r>
        <w:rPr>
          <w:rFonts w:hint="eastAsia" w:ascii="宋体" w:hAnsi="宋体"/>
          <w:sz w:val="24"/>
          <w:szCs w:val="24"/>
          <w:highlight w:val="none"/>
        </w:rPr>
        <w:t>必须公正、不得循私；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37.2.4.3 </w:t>
      </w:r>
      <w:r>
        <w:rPr>
          <w:rFonts w:hint="eastAsia" w:ascii="宋体" w:hAnsi="宋体"/>
          <w:sz w:val="24"/>
          <w:szCs w:val="24"/>
          <w:highlight w:val="none"/>
        </w:rPr>
        <w:t>必须科学、不得草率；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37.2.4.4 </w:t>
      </w:r>
      <w:r>
        <w:rPr>
          <w:rFonts w:hint="eastAsia" w:ascii="宋体" w:hAnsi="宋体"/>
          <w:sz w:val="24"/>
          <w:szCs w:val="24"/>
          <w:highlight w:val="none"/>
        </w:rPr>
        <w:t>必须客观、不得带有成见；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37.2.4.5 </w:t>
      </w:r>
      <w:r>
        <w:rPr>
          <w:rFonts w:hint="eastAsia" w:ascii="宋体" w:hAnsi="宋体"/>
          <w:sz w:val="24"/>
          <w:szCs w:val="24"/>
          <w:highlight w:val="none"/>
        </w:rPr>
        <w:t>必须平等、不得强加于人；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37.2.4.6 </w:t>
      </w:r>
      <w:r>
        <w:rPr>
          <w:rFonts w:hint="eastAsia" w:ascii="宋体" w:hAnsi="宋体"/>
          <w:sz w:val="24"/>
          <w:szCs w:val="24"/>
          <w:highlight w:val="none"/>
        </w:rPr>
        <w:t>必须严谨、不得随意马虎。</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37.3 </w:t>
      </w:r>
      <w:r>
        <w:rPr>
          <w:rFonts w:hint="eastAsia" w:ascii="宋体" w:hAnsi="宋体"/>
          <w:sz w:val="24"/>
          <w:szCs w:val="24"/>
          <w:highlight w:val="none"/>
        </w:rPr>
        <w:t>评标结束后，评标委员会递交评标报告并依法推荐中标候选人。</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38</w:t>
      </w:r>
      <w:r>
        <w:rPr>
          <w:rFonts w:hint="eastAsia" w:ascii="宋体" w:hAnsi="宋体"/>
          <w:sz w:val="24"/>
          <w:szCs w:val="24"/>
          <w:highlight w:val="none"/>
        </w:rPr>
        <w:t>．投标文件的澄清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38.1为有助于投标文件的审查、评价和比较，评标期间，经</w:t>
      </w:r>
      <w:r>
        <w:rPr>
          <w:rFonts w:hint="eastAsia" w:ascii="宋体" w:hAnsi="宋体" w:cs="宋体"/>
          <w:sz w:val="24"/>
          <w:szCs w:val="24"/>
          <w:highlight w:val="none"/>
          <w:u w:val="single"/>
        </w:rPr>
        <w:t>综合评标委员会</w:t>
      </w:r>
      <w:r>
        <w:rPr>
          <w:rFonts w:hint="eastAsia" w:ascii="宋体" w:hAnsi="宋体" w:cs="宋体"/>
          <w:sz w:val="24"/>
          <w:szCs w:val="24"/>
          <w:highlight w:val="none"/>
        </w:rPr>
        <w:t>中两人以上（含两人）的成员以书面形式提出动议，</w:t>
      </w:r>
      <w:r>
        <w:rPr>
          <w:rFonts w:hint="eastAsia" w:ascii="宋体" w:hAnsi="宋体" w:cs="宋体"/>
          <w:sz w:val="24"/>
          <w:szCs w:val="24"/>
          <w:highlight w:val="none"/>
          <w:u w:val="single"/>
        </w:rPr>
        <w:t>综合评标委员会</w:t>
      </w:r>
      <w:r>
        <w:rPr>
          <w:rFonts w:hint="eastAsia" w:ascii="宋体" w:hAnsi="宋体" w:cs="宋体"/>
          <w:sz w:val="24"/>
          <w:szCs w:val="24"/>
          <w:highlight w:val="none"/>
        </w:rPr>
        <w:t>应当书面发出澄清通知，要求投标人</w:t>
      </w:r>
      <w:r>
        <w:rPr>
          <w:rFonts w:hint="eastAsia" w:ascii="宋体" w:hAnsi="宋体" w:cs="宋体"/>
          <w:sz w:val="24"/>
          <w:szCs w:val="24"/>
          <w:highlight w:val="none"/>
          <w:u w:val="single"/>
        </w:rPr>
        <w:t>对投标文件含义不明确、对同类问题表述不一致、有明显文字和计算错误的内容以及细微偏差的内容</w:t>
      </w:r>
      <w:r>
        <w:rPr>
          <w:rFonts w:hint="eastAsia" w:ascii="宋体" w:hAnsi="宋体" w:cs="宋体"/>
          <w:sz w:val="24"/>
          <w:szCs w:val="24"/>
          <w:highlight w:val="none"/>
        </w:rPr>
        <w:t>作出澄清。</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38.2 </w:t>
      </w:r>
      <w:r>
        <w:rPr>
          <w:rFonts w:hint="eastAsia" w:ascii="宋体" w:hAnsi="宋体"/>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38.3 </w:t>
      </w:r>
      <w:r>
        <w:rPr>
          <w:rFonts w:hint="eastAsia" w:ascii="宋体" w:hAnsi="宋体"/>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38.4</w:t>
      </w:r>
      <w:r>
        <w:rPr>
          <w:rFonts w:hint="eastAsia" w:ascii="宋体" w:hAnsi="宋体"/>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highlight w:val="none"/>
        </w:rPr>
      </w:pPr>
      <w:r>
        <w:rPr>
          <w:rFonts w:ascii="宋体" w:hAnsi="宋体"/>
          <w:sz w:val="24"/>
          <w:szCs w:val="24"/>
          <w:highlight w:val="none"/>
        </w:rPr>
        <w:t>39</w:t>
      </w:r>
      <w:r>
        <w:rPr>
          <w:rFonts w:hint="eastAsia" w:ascii="宋体" w:hAnsi="宋体"/>
          <w:sz w:val="24"/>
          <w:szCs w:val="24"/>
          <w:highlight w:val="none"/>
        </w:rPr>
        <w:t>．定标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39.1 </w:t>
      </w:r>
      <w:r>
        <w:rPr>
          <w:rFonts w:hint="eastAsia" w:ascii="宋体" w:hAnsi="宋体"/>
          <w:sz w:val="24"/>
          <w:szCs w:val="24"/>
          <w:highlight w:val="none"/>
        </w:rPr>
        <w:t>招标人根据评标委员会递交的评标报告，最终审定中标人。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39.2 </w:t>
      </w:r>
      <w:r>
        <w:rPr>
          <w:rFonts w:hint="eastAsia" w:ascii="宋体" w:hAnsi="宋体"/>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 w:val="24"/>
          <w:szCs w:val="24"/>
          <w:highlight w:val="none"/>
        </w:rPr>
        <w:t>。</w:t>
      </w:r>
    </w:p>
    <w:p>
      <w:pPr>
        <w:spacing w:line="360" w:lineRule="auto"/>
        <w:ind w:firstLine="480" w:firstLineChars="200"/>
        <w:rPr>
          <w:rFonts w:ascii="宋体" w:hAnsi="宋体"/>
          <w:sz w:val="24"/>
          <w:szCs w:val="24"/>
          <w:highlight w:val="none"/>
        </w:rPr>
      </w:pPr>
      <w:r>
        <w:rPr>
          <w:rFonts w:ascii="宋体" w:hAnsi="宋体"/>
          <w:sz w:val="24"/>
          <w:szCs w:val="24"/>
          <w:highlight w:val="none"/>
        </w:rPr>
        <w:t>39.4</w:t>
      </w:r>
      <w:r>
        <w:rPr>
          <w:rFonts w:hint="eastAsia" w:ascii="宋体" w:hAnsi="宋体"/>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highlight w:val="none"/>
        </w:rPr>
      </w:pPr>
      <w:bookmarkStart w:id="28" w:name="_Toc2272558"/>
      <w:bookmarkStart w:id="29" w:name="_Toc21525502"/>
      <w:r>
        <w:rPr>
          <w:rFonts w:hint="eastAsia"/>
          <w:highlight w:val="none"/>
        </w:rPr>
        <w:t>（二）开标评标办法程序和细则</w:t>
      </w:r>
      <w:bookmarkEnd w:id="28"/>
      <w:bookmarkEnd w:id="29"/>
    </w:p>
    <w:p>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注：以下八种评标办法所述企业综合诚信评价分数即投标截止当日广州市工程招标代理行业协会网站上公布的企业综合诚信评价</w:t>
      </w:r>
      <w:r>
        <w:rPr>
          <w:rFonts w:ascii="宋体" w:hAnsi="宋体"/>
          <w:strike/>
          <w:sz w:val="24"/>
          <w:szCs w:val="24"/>
          <w:highlight w:val="none"/>
        </w:rPr>
        <w:t>60</w:t>
      </w:r>
      <w:r>
        <w:rPr>
          <w:rFonts w:hint="eastAsia" w:ascii="宋体" w:hAnsi="宋体"/>
          <w:strike/>
          <w:sz w:val="24"/>
          <w:szCs w:val="24"/>
          <w:highlight w:val="none"/>
        </w:rPr>
        <w:t>日诚信分。</w:t>
      </w:r>
    </w:p>
    <w:p>
      <w:pPr>
        <w:pStyle w:val="7"/>
        <w:spacing w:before="156" w:after="156"/>
        <w:ind w:firstLine="540" w:firstLineChars="200"/>
        <w:rPr>
          <w:highlight w:val="none"/>
        </w:rPr>
      </w:pPr>
      <w:bookmarkStart w:id="30" w:name="_Toc21525509"/>
      <w:bookmarkStart w:id="31" w:name="_Toc2272564"/>
      <w:r>
        <w:rPr>
          <w:rFonts w:hint="eastAsia"/>
          <w:highlight w:val="none"/>
        </w:rPr>
        <w:t>可选办法七（适合综合评分法四，技术标与经济标同时开启）</w:t>
      </w:r>
      <w:bookmarkEnd w:id="30"/>
      <w:bookmarkEnd w:id="31"/>
    </w:p>
    <w:p>
      <w:pPr>
        <w:snapToGrid w:val="0"/>
        <w:spacing w:line="360" w:lineRule="auto"/>
        <w:ind w:firstLine="480" w:firstLineChars="200"/>
        <w:rPr>
          <w:rFonts w:ascii="宋体"/>
          <w:sz w:val="24"/>
          <w:szCs w:val="24"/>
          <w:highlight w:val="none"/>
        </w:rPr>
      </w:pPr>
      <w:r>
        <w:rPr>
          <w:rFonts w:hint="eastAsia" w:ascii="宋体"/>
          <w:sz w:val="24"/>
          <w:szCs w:val="24"/>
          <w:highlight w:val="none"/>
        </w:rPr>
        <w:t>40．开标和评标程序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40.4技术标详细审查评分；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40.5经济标详细审查评分；</w:t>
      </w:r>
      <w:r>
        <w:rPr>
          <w:rFonts w:ascii="宋体"/>
          <w:sz w:val="24"/>
          <w:szCs w:val="24"/>
          <w:highlight w:val="none"/>
        </w:rPr>
        <w:t xml:space="preserve">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40.6评标委员会按照投标人总得分由高至低排序；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40.7经济标投标文件有效性审查；</w:t>
      </w:r>
    </w:p>
    <w:p>
      <w:pPr>
        <w:snapToGrid w:val="0"/>
        <w:spacing w:line="360" w:lineRule="auto"/>
        <w:ind w:firstLine="480" w:firstLineChars="200"/>
        <w:rPr>
          <w:rFonts w:ascii="宋体"/>
          <w:szCs w:val="21"/>
          <w:highlight w:val="none"/>
        </w:rPr>
      </w:pPr>
      <w:r>
        <w:rPr>
          <w:rFonts w:hint="eastAsia" w:ascii="宋体"/>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41．开标细则</w:t>
      </w:r>
    </w:p>
    <w:p>
      <w:pPr>
        <w:snapToGrid w:val="0"/>
        <w:spacing w:line="360" w:lineRule="auto"/>
        <w:ind w:firstLine="480" w:firstLineChars="200"/>
        <w:rPr>
          <w:rFonts w:ascii="宋体"/>
          <w:sz w:val="24"/>
          <w:szCs w:val="24"/>
          <w:highlight w:val="none"/>
          <w:u w:val="single"/>
        </w:rPr>
      </w:pPr>
      <w:r>
        <w:rPr>
          <w:rFonts w:hint="eastAsia" w:ascii="宋体"/>
          <w:sz w:val="24"/>
          <w:szCs w:val="24"/>
          <w:highlight w:val="none"/>
          <w:u w:val="single"/>
        </w:rPr>
        <w:t>41.1开标由招标人或招标代理主持</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 细则</w:t>
      </w:r>
    </w:p>
    <w:p>
      <w:pPr>
        <w:snapToGrid w:val="0"/>
        <w:spacing w:line="360" w:lineRule="auto"/>
        <w:ind w:firstLine="480" w:firstLineChars="200"/>
        <w:rPr>
          <w:rFonts w:ascii="宋体"/>
          <w:sz w:val="24"/>
          <w:szCs w:val="24"/>
          <w:highlight w:val="none"/>
          <w:u w:val="single"/>
        </w:rPr>
      </w:pPr>
      <w:r>
        <w:rPr>
          <w:rFonts w:hint="eastAsia" w:ascii="宋体"/>
          <w:sz w:val="24"/>
          <w:szCs w:val="24"/>
          <w:highlight w:val="none"/>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pPr>
        <w:snapToGrid w:val="0"/>
        <w:spacing w:line="360" w:lineRule="auto"/>
        <w:ind w:firstLine="480" w:firstLineChars="200"/>
        <w:rPr>
          <w:rFonts w:ascii="宋体"/>
          <w:strike/>
          <w:sz w:val="24"/>
          <w:szCs w:val="24"/>
          <w:highlight w:val="none"/>
        </w:rPr>
      </w:pPr>
      <w:r>
        <w:rPr>
          <w:rFonts w:hint="eastAsia" w:ascii="宋体"/>
          <w:strike/>
          <w:sz w:val="24"/>
          <w:szCs w:val="24"/>
          <w:highlight w:val="none"/>
        </w:rPr>
        <w:t>41.2.2开标前，首先由招标人随机抽取确定该工程计算评标参考价的等分点值X。</w:t>
      </w:r>
    </w:p>
    <w:p>
      <w:pPr>
        <w:snapToGrid w:val="0"/>
        <w:spacing w:line="360" w:lineRule="auto"/>
        <w:ind w:firstLine="480" w:firstLineChars="200"/>
        <w:rPr>
          <w:rFonts w:ascii="宋体"/>
          <w:sz w:val="24"/>
          <w:szCs w:val="24"/>
          <w:highlight w:val="none"/>
          <w:u w:val="single"/>
        </w:rPr>
      </w:pPr>
      <w:r>
        <w:rPr>
          <w:rFonts w:hint="eastAsia" w:ascii="宋体"/>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sz w:val="24"/>
          <w:szCs w:val="24"/>
          <w:highlight w:val="none"/>
        </w:rPr>
      </w:pPr>
      <w:r>
        <w:rPr>
          <w:rFonts w:hint="eastAsia" w:ascii="宋体"/>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41.2.4.1开标时，公布：a、投标人名称；b、</w:t>
      </w:r>
      <w:r>
        <w:rPr>
          <w:rFonts w:hint="eastAsia" w:ascii="宋体" w:hAnsi="宋体"/>
          <w:sz w:val="24"/>
          <w:highlight w:val="none"/>
        </w:rPr>
        <w:t>投标文件</w:t>
      </w:r>
      <w:r>
        <w:rPr>
          <w:rFonts w:hint="eastAsia" w:asci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w:t>
      </w:r>
      <w:r>
        <w:rPr>
          <w:rFonts w:hint="eastAsia" w:ascii="宋体"/>
          <w:sz w:val="24"/>
          <w:szCs w:val="24"/>
          <w:highlight w:val="none"/>
          <w:u w:val="single"/>
        </w:rPr>
        <w:t>或招标代理机构</w:t>
      </w:r>
      <w:r>
        <w:rPr>
          <w:rFonts w:hint="eastAsia" w:ascii="宋体"/>
          <w:sz w:val="24"/>
          <w:szCs w:val="24"/>
          <w:highlight w:val="none"/>
        </w:rPr>
        <w:t>对开标过程进行记录，并存档备查，投标人在</w:t>
      </w:r>
      <w:r>
        <w:rPr>
          <w:rFonts w:hint="eastAsia" w:ascii="宋体"/>
          <w:sz w:val="24"/>
          <w:szCs w:val="24"/>
          <w:highlight w:val="none"/>
          <w:u w:val="single"/>
        </w:rPr>
        <w:t>开标记录上</w:t>
      </w:r>
      <w:r>
        <w:rPr>
          <w:rFonts w:hint="eastAsia" w:ascii="宋体"/>
          <w:sz w:val="24"/>
          <w:szCs w:val="24"/>
          <w:highlight w:val="none"/>
        </w:rPr>
        <w:t>签字。</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 资格审查及评标细则</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43．投标人资格审查</w:t>
      </w:r>
    </w:p>
    <w:p>
      <w:pPr>
        <w:pStyle w:val="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44．技术标评审</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44.1</w:t>
      </w:r>
      <w:r>
        <w:rPr>
          <w:rFonts w:hint="eastAsia" w:ascii="宋体"/>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45．经济标评审和得分汇总</w:t>
      </w:r>
    </w:p>
    <w:p>
      <w:pPr>
        <w:pStyle w:val="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45.1若所有通过技术标有效性审查的投标人的投标价均大于等于最高投标限价*D%（D的取值为100）的（具体金额为：40151808.69元），则本项目招标失败，由招标人依法重新招标。</w:t>
      </w:r>
    </w:p>
    <w:p>
      <w:pPr>
        <w:pStyle w:val="5"/>
        <w:tabs>
          <w:tab w:val="left" w:pos="7380"/>
        </w:tabs>
        <w:snapToGrid w:val="0"/>
        <w:spacing w:after="0" w:line="360" w:lineRule="auto"/>
        <w:ind w:firstLine="480" w:firstLineChars="200"/>
        <w:rPr>
          <w:rFonts w:ascii="宋体" w:hAnsi="宋体" w:cs="宋体"/>
          <w:sz w:val="24"/>
          <w:szCs w:val="24"/>
          <w:highlight w:val="none"/>
          <w:u w:val="single"/>
        </w:rPr>
      </w:pPr>
      <w:r>
        <w:rPr>
          <w:rFonts w:hint="eastAsia" w:ascii="宋体" w:hAnsi="宋体"/>
          <w:sz w:val="24"/>
          <w:szCs w:val="24"/>
          <w:highlight w:val="none"/>
        </w:rPr>
        <w:t xml:space="preserve"> </w:t>
      </w:r>
      <w:r>
        <w:rPr>
          <w:rFonts w:hint="eastAsia" w:ascii="宋体" w:hAnsi="宋体" w:cs="宋体"/>
          <w:sz w:val="24"/>
          <w:szCs w:val="24"/>
          <w:highlight w:val="none"/>
          <w:u w:val="single"/>
        </w:rPr>
        <w:t>45.2按方法</w:t>
      </w:r>
      <w:r>
        <w:rPr>
          <w:rFonts w:hint="eastAsia" w:ascii="宋体" w:hAnsi="宋体" w:cs="宋体"/>
          <w:b/>
          <w:bCs/>
          <w:sz w:val="24"/>
          <w:szCs w:val="24"/>
          <w:highlight w:val="none"/>
          <w:u w:val="single"/>
        </w:rPr>
        <w:t>一</w:t>
      </w:r>
      <w:r>
        <w:rPr>
          <w:rFonts w:hint="eastAsia" w:ascii="宋体" w:hAnsi="宋体" w:cs="宋体"/>
          <w:sz w:val="24"/>
          <w:szCs w:val="24"/>
          <w:highlight w:val="none"/>
          <w:u w:val="single"/>
        </w:rPr>
        <w:t>计算评标参考价：</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评标参考价=Σ（投标人的投标报价*报价权重）。</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其中：报价权重的计算方法为：将N名投标人按技术分由高至低进行排序，第一名投标人的权重为（</w:t>
      </w:r>
      <w:r>
        <w:rPr>
          <w:rFonts w:hint="eastAsia" w:ascii="宋体" w:hAnsi="宋体" w:cs="宋体"/>
          <w:kern w:val="0"/>
          <w:sz w:val="24"/>
          <w:szCs w:val="24"/>
          <w:highlight w:val="none"/>
          <w:u w:val="single"/>
        </w:rPr>
        <w:fldChar w:fldCharType="begin"/>
      </w:r>
      <w:r>
        <w:rPr>
          <w:rFonts w:hint="eastAsia" w:ascii="宋体" w:hAnsi="宋体" w:cs="宋体"/>
          <w:kern w:val="0"/>
          <w:sz w:val="24"/>
          <w:szCs w:val="24"/>
          <w:highlight w:val="none"/>
          <w:u w:val="single"/>
        </w:rPr>
        <w:instrText xml:space="preserve"> QUOTE </w:instrText>
      </w:r>
      <w:r>
        <w:rPr>
          <w:rFonts w:hint="eastAsia" w:ascii="宋体" w:hAnsi="宋体" w:cs="宋体"/>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kern w:val="0"/>
          <w:sz w:val="24"/>
          <w:szCs w:val="24"/>
          <w:highlight w:val="none"/>
          <w:u w:val="single"/>
        </w:rPr>
        <w:instrText xml:space="preserve"> \* MERGEFORMAT </w:instrText>
      </w:r>
      <w:r>
        <w:rPr>
          <w:rFonts w:hint="eastAsia" w:ascii="宋体" w:hAnsi="宋体" w:cs="宋体"/>
          <w:kern w:val="0"/>
          <w:sz w:val="24"/>
          <w:szCs w:val="24"/>
          <w:highlight w:val="none"/>
          <w:u w:val="single"/>
        </w:rPr>
        <w:fldChar w:fldCharType="separate"/>
      </w:r>
      <w:r>
        <w:rPr>
          <w:rFonts w:hint="eastAsia" w:ascii="宋体" w:hAnsi="宋体" w:cs="宋体"/>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 w:val="24"/>
          <w:szCs w:val="24"/>
          <w:highlight w:val="none"/>
          <w:u w:val="single"/>
        </w:rPr>
        <w:fldChar w:fldCharType="end"/>
      </w:r>
      <w:r>
        <w:rPr>
          <w:rFonts w:hint="eastAsia" w:ascii="宋体" w:hAnsi="宋体" w:cs="宋体"/>
          <w:kern w:val="0"/>
          <w:sz w:val="24"/>
          <w:szCs w:val="24"/>
          <w:highlight w:val="none"/>
          <w:u w:val="single"/>
        </w:rPr>
        <w:t>），第二名投标人的权重为（</w:t>
      </w:r>
      <w:r>
        <w:rPr>
          <w:rFonts w:hint="eastAsia" w:ascii="宋体" w:hAnsi="宋体" w:cs="宋体"/>
          <w:kern w:val="0"/>
          <w:sz w:val="24"/>
          <w:szCs w:val="24"/>
          <w:highlight w:val="none"/>
          <w:u w:val="single"/>
        </w:rPr>
        <w:fldChar w:fldCharType="begin"/>
      </w:r>
      <w:r>
        <w:rPr>
          <w:rFonts w:hint="eastAsia" w:ascii="宋体" w:hAnsi="宋体" w:cs="宋体"/>
          <w:kern w:val="0"/>
          <w:sz w:val="24"/>
          <w:szCs w:val="24"/>
          <w:highlight w:val="none"/>
          <w:u w:val="single"/>
        </w:rPr>
        <w:instrText xml:space="preserve"> QUOTE </w:instrText>
      </w:r>
      <w:r>
        <w:rPr>
          <w:rFonts w:hint="eastAsia" w:ascii="宋体" w:hAnsi="宋体" w:cs="宋体"/>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highlight w:val="none"/>
          <w:u w:val="single"/>
        </w:rPr>
        <w:instrText xml:space="preserve"> \* MERGEFORMAT </w:instrText>
      </w:r>
      <w:r>
        <w:rPr>
          <w:rFonts w:hint="eastAsia" w:ascii="宋体" w:hAnsi="宋体" w:cs="宋体"/>
          <w:kern w:val="0"/>
          <w:sz w:val="24"/>
          <w:szCs w:val="24"/>
          <w:highlight w:val="none"/>
          <w:u w:val="single"/>
        </w:rPr>
        <w:fldChar w:fldCharType="separate"/>
      </w:r>
      <w:r>
        <w:rPr>
          <w:rFonts w:hint="eastAsia" w:ascii="宋体" w:hAnsi="宋体" w:cs="宋体"/>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highlight w:val="none"/>
          <w:u w:val="single"/>
        </w:rPr>
        <w:fldChar w:fldCharType="end"/>
      </w:r>
      <w:r>
        <w:rPr>
          <w:rFonts w:hint="eastAsia" w:ascii="宋体" w:hAnsi="宋体" w:cs="宋体"/>
          <w:kern w:val="0"/>
          <w:sz w:val="24"/>
          <w:szCs w:val="24"/>
          <w:highlight w:val="none"/>
          <w:u w:val="single"/>
        </w:rPr>
        <w:t>），以此类推，最后一名投标人的权重为（</w:t>
      </w:r>
      <w:r>
        <w:rPr>
          <w:rFonts w:hint="eastAsia" w:ascii="宋体" w:hAnsi="宋体" w:cs="宋体"/>
          <w:kern w:val="0"/>
          <w:sz w:val="24"/>
          <w:szCs w:val="24"/>
          <w:highlight w:val="none"/>
          <w:u w:val="single"/>
        </w:rPr>
        <w:fldChar w:fldCharType="begin"/>
      </w:r>
      <w:r>
        <w:rPr>
          <w:rFonts w:hint="eastAsia" w:ascii="宋体" w:hAnsi="宋体" w:cs="宋体"/>
          <w:kern w:val="0"/>
          <w:sz w:val="24"/>
          <w:szCs w:val="24"/>
          <w:highlight w:val="none"/>
          <w:u w:val="single"/>
        </w:rPr>
        <w:instrText xml:space="preserve"> QUOTE </w:instrText>
      </w:r>
      <w:r>
        <w:rPr>
          <w:rFonts w:hint="eastAsia" w:ascii="宋体" w:hAnsi="宋体" w:cs="宋体"/>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highlight w:val="none"/>
          <w:u w:val="single"/>
        </w:rPr>
        <w:instrText xml:space="preserve"> \* MERGEFORMAT </w:instrText>
      </w:r>
      <w:r>
        <w:rPr>
          <w:rFonts w:hint="eastAsia" w:ascii="宋体" w:hAnsi="宋体" w:cs="宋体"/>
          <w:kern w:val="0"/>
          <w:sz w:val="24"/>
          <w:szCs w:val="24"/>
          <w:highlight w:val="none"/>
          <w:u w:val="single"/>
        </w:rPr>
        <w:fldChar w:fldCharType="separate"/>
      </w:r>
      <w:r>
        <w:rPr>
          <w:rFonts w:hint="eastAsia" w:ascii="宋体" w:hAnsi="宋体" w:cs="宋体"/>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highlight w:val="none"/>
          <w:u w:val="single"/>
        </w:rPr>
        <w:fldChar w:fldCharType="end"/>
      </w:r>
      <w:r>
        <w:rPr>
          <w:rFonts w:hint="eastAsia" w:ascii="宋体" w:hAnsi="宋体" w:cs="宋体"/>
          <w:kern w:val="0"/>
          <w:sz w:val="24"/>
          <w:szCs w:val="24"/>
          <w:highlight w:val="none"/>
          <w:u w:val="single"/>
        </w:rPr>
        <w:t>）。</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45.4计算通过技术标有效性审查的投标人总得分。投标人总得分=技术得分（100分）×技术得分权重（20%）＋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46.经济标的有效性审查</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8.评标委员会应在通过投标文件经济标有效性审查的投标人中，按步骤45.4确定的</w:t>
      </w:r>
      <w:r>
        <w:rPr>
          <w:rFonts w:hint="eastAsia" w:ascii="宋体" w:hAnsi="宋体"/>
          <w:sz w:val="24"/>
          <w:szCs w:val="24"/>
          <w:highlight w:val="none"/>
          <w:u w:val="single"/>
        </w:rPr>
        <w:t>投标人排序</w:t>
      </w:r>
      <w:r>
        <w:rPr>
          <w:rFonts w:hint="eastAsia" w:ascii="宋体" w:hAnsi="宋体"/>
          <w:sz w:val="24"/>
          <w:szCs w:val="24"/>
          <w:highlight w:val="none"/>
        </w:rPr>
        <w:t>，推荐前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widowControl/>
        <w:jc w:val="left"/>
        <w:rPr>
          <w:rFonts w:ascii="宋体" w:hAnsi="宋体"/>
          <w:szCs w:val="21"/>
          <w:highlight w:val="none"/>
        </w:rPr>
      </w:pPr>
      <w:r>
        <w:rPr>
          <w:rFonts w:ascii="宋体" w:hAnsi="宋体"/>
          <w:szCs w:val="21"/>
          <w:highlight w:val="none"/>
        </w:rPr>
        <w:br w:type="page"/>
      </w:r>
    </w:p>
    <w:p>
      <w:pPr>
        <w:rPr>
          <w:rFonts w:ascii="宋体"/>
          <w:szCs w:val="21"/>
          <w:highlight w:val="none"/>
        </w:rPr>
      </w:pPr>
      <w:r>
        <w:rPr>
          <w:rFonts w:hint="eastAsia" w:ascii="宋体" w:hAnsi="宋体"/>
          <w:szCs w:val="21"/>
          <w:highlight w:val="none"/>
        </w:rPr>
        <w:t>附表一：</w:t>
      </w:r>
    </w:p>
    <w:p>
      <w:pPr>
        <w:jc w:val="center"/>
        <w:rPr>
          <w:b/>
          <w:sz w:val="32"/>
          <w:szCs w:val="32"/>
          <w:highlight w:val="none"/>
        </w:rPr>
      </w:pPr>
      <w:r>
        <w:rPr>
          <w:rFonts w:hint="eastAsia"/>
          <w:b/>
          <w:sz w:val="32"/>
          <w:szCs w:val="32"/>
          <w:highlight w:val="none"/>
        </w:rPr>
        <w:t>资格审查表</w:t>
      </w:r>
    </w:p>
    <w:p>
      <w:pPr>
        <w:spacing w:line="480" w:lineRule="auto"/>
        <w:rPr>
          <w:sz w:val="24"/>
          <w:szCs w:val="24"/>
          <w:highlight w:val="none"/>
        </w:rPr>
      </w:pPr>
      <w:r>
        <w:rPr>
          <w:rFonts w:hint="eastAsia"/>
          <w:sz w:val="24"/>
          <w:szCs w:val="24"/>
          <w:highlight w:val="none"/>
        </w:rPr>
        <w:t>工程名称：</w:t>
      </w:r>
    </w:p>
    <w:p>
      <w:pPr>
        <w:spacing w:line="480" w:lineRule="auto"/>
        <w:rPr>
          <w:sz w:val="24"/>
          <w:szCs w:val="24"/>
          <w:highlight w:val="none"/>
        </w:rPr>
      </w:pPr>
      <w:r>
        <w:rPr>
          <w:rFonts w:hint="eastAsia"/>
          <w:sz w:val="24"/>
          <w:szCs w:val="24"/>
          <w:highlight w:val="none"/>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营业执照</w:t>
            </w:r>
            <w:r>
              <w:rPr>
                <w:rFonts w:hint="eastAsia" w:ascii="宋体" w:hAnsi="宋体"/>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资质证书及安全生产许可证</w:t>
            </w:r>
            <w:r>
              <w:rPr>
                <w:rFonts w:hint="eastAsia" w:ascii="宋体" w:hAnsi="宋体"/>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处于有效期内的注册建造师注册证书扫描件。</w:t>
            </w:r>
          </w:p>
          <w:p>
            <w:pPr>
              <w:spacing w:before="120" w:after="60"/>
              <w:jc w:val="center"/>
              <w:rPr>
                <w:rFonts w:ascii="宋体" w:hAnsi="宋体"/>
                <w:szCs w:val="21"/>
                <w:highlight w:val="none"/>
              </w:rPr>
            </w:pPr>
            <w:r>
              <w:rPr>
                <w:rFonts w:hint="eastAsia" w:ascii="宋体" w:hAnsi="宋体"/>
                <w:szCs w:val="21"/>
                <w:highlight w:val="none"/>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拟委托技术负责人的</w:t>
            </w:r>
            <w:r>
              <w:rPr>
                <w:rStyle w:val="116"/>
                <w:rFonts w:hint="eastAsia"/>
                <w:color w:val="auto"/>
                <w:sz w:val="21"/>
                <w:szCs w:val="21"/>
                <w:highlight w:val="none"/>
                <w:lang w:val="en-US"/>
              </w:rPr>
              <w:t>市政类专业高级</w:t>
            </w:r>
            <w:r>
              <w:rPr>
                <w:rFonts w:hint="eastAsia" w:ascii="宋体" w:hAnsi="宋体" w:cs="宋体"/>
                <w:szCs w:val="21"/>
                <w:highlight w:val="none"/>
              </w:rPr>
              <w:t>工程师或以上职称证书扫描件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专职安全员须具有安全生产考核合格证（C类）或建筑施工企业专职安全生产管理人员安全生产考核合格证书（C3）扫描件。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投标登记前，投标人须在广州交易集团有限公司（广州公共资源交易中心）办理企业信息登记及拟担任本工程项目负责人、专职安全员须是本企业信息登记信息中的在册人员。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投标人在</w:t>
            </w:r>
            <w:r>
              <w:rPr>
                <w:rFonts w:hint="eastAsia"/>
                <w:highlight w:val="none"/>
                <w:u w:val="single"/>
              </w:rPr>
              <w:t>广州交易集团有限公司（广州公共资源交易中心）企业</w:t>
            </w:r>
            <w:r>
              <w:rPr>
                <w:rFonts w:hint="eastAsia" w:ascii="宋体" w:hAnsi="宋体"/>
                <w:szCs w:val="21"/>
                <w:highlight w:val="none"/>
              </w:rPr>
              <w:t>库内</w:t>
            </w:r>
            <w:r>
              <w:rPr>
                <w:rFonts w:hint="eastAsia" w:ascii="宋体" w:hAnsi="宋体"/>
                <w:szCs w:val="21"/>
                <w:highlight w:val="none"/>
                <w:u w:val="single"/>
              </w:rPr>
              <w:t>信息</w:t>
            </w:r>
            <w:r>
              <w:rPr>
                <w:rFonts w:hint="eastAsia"/>
                <w:highlight w:val="none"/>
                <w:u w:val="single"/>
              </w:rPr>
              <w:t>登记</w:t>
            </w:r>
            <w:r>
              <w:rPr>
                <w:rFonts w:hint="eastAsia" w:ascii="宋体" w:hAnsi="宋体"/>
                <w:szCs w:val="21"/>
                <w:highlight w:val="none"/>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w:t>
            </w:r>
            <w:r>
              <w:rPr>
                <w:rFonts w:hint="eastAsia" w:ascii="宋体" w:hAnsi="宋体"/>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1</w:t>
            </w:r>
            <w:r>
              <w:rPr>
                <w:rFonts w:hint="eastAsia" w:ascii="宋体" w:hAnsi="宋体"/>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u w:val="singl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bl>
    <w:p>
      <w:pPr>
        <w:spacing w:line="480" w:lineRule="auto"/>
        <w:ind w:firstLine="470" w:firstLineChars="224"/>
        <w:rPr>
          <w:rFonts w:ascii="宋体"/>
          <w:szCs w:val="21"/>
          <w:highlight w:val="none"/>
        </w:rPr>
      </w:pPr>
      <w:r>
        <w:rPr>
          <w:rFonts w:hint="eastAsia" w:ascii="宋体" w:hAnsi="宋体"/>
          <w:szCs w:val="21"/>
          <w:highlight w:val="none"/>
        </w:rPr>
        <w:t>备注：</w:t>
      </w:r>
    </w:p>
    <w:p>
      <w:pPr>
        <w:spacing w:line="480" w:lineRule="auto"/>
        <w:ind w:firstLine="470" w:firstLineChars="224"/>
        <w:rPr>
          <w:rFonts w:ascii="宋体" w:hAnsi="宋体"/>
          <w:szCs w:val="21"/>
          <w:highlight w:val="none"/>
        </w:rPr>
      </w:pPr>
      <w:r>
        <w:rPr>
          <w:rFonts w:hint="eastAsia" w:ascii="宋体" w:hAnsi="宋体"/>
          <w:szCs w:val="21"/>
          <w:highlight w:val="none"/>
        </w:rPr>
        <w:t xml:space="preserve">1、每一项目符合的打“○”，不符合的打“×”； </w:t>
      </w:r>
    </w:p>
    <w:p>
      <w:pPr>
        <w:spacing w:line="480" w:lineRule="auto"/>
        <w:ind w:firstLine="470" w:firstLineChars="224"/>
        <w:rPr>
          <w:rFonts w:ascii="宋体" w:hAnsi="宋体"/>
          <w:szCs w:val="21"/>
          <w:highlight w:val="none"/>
        </w:rPr>
      </w:pPr>
      <w:r>
        <w:rPr>
          <w:rFonts w:hint="eastAsia" w:ascii="宋体" w:hAnsi="宋体"/>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szCs w:val="21"/>
          <w:highlight w:val="none"/>
        </w:rPr>
      </w:pPr>
      <w:r>
        <w:rPr>
          <w:rFonts w:hint="eastAsia" w:ascii="宋体" w:hAnsi="宋体"/>
          <w:szCs w:val="21"/>
          <w:highlight w:val="none"/>
        </w:rPr>
        <w:t>3.</w:t>
      </w:r>
      <w:r>
        <w:rPr>
          <w:rFonts w:ascii="宋体" w:hAnsi="宋体"/>
          <w:szCs w:val="21"/>
          <w:highlight w:val="none"/>
        </w:rPr>
        <w:t>不得将</w:t>
      </w:r>
      <w:r>
        <w:rPr>
          <w:rFonts w:hint="eastAsia" w:ascii="宋体" w:hAnsi="宋体"/>
          <w:szCs w:val="21"/>
          <w:highlight w:val="none"/>
        </w:rPr>
        <w:t>文件顺序、</w:t>
      </w:r>
      <w:r>
        <w:rPr>
          <w:rFonts w:ascii="宋体" w:hAnsi="宋体"/>
          <w:szCs w:val="21"/>
          <w:highlight w:val="none"/>
        </w:rPr>
        <w:t>明显的文字错误等列为否</w:t>
      </w:r>
      <w:r>
        <w:rPr>
          <w:rFonts w:hint="eastAsia" w:ascii="宋体" w:hAnsi="宋体"/>
          <w:szCs w:val="21"/>
          <w:highlight w:val="none"/>
        </w:rPr>
        <w:t>决</w:t>
      </w:r>
      <w:r>
        <w:rPr>
          <w:rFonts w:ascii="宋体" w:hAnsi="宋体"/>
          <w:szCs w:val="21"/>
          <w:highlight w:val="none"/>
        </w:rPr>
        <w:t>投标的</w:t>
      </w:r>
      <w:r>
        <w:rPr>
          <w:rFonts w:hint="eastAsia" w:ascii="宋体" w:hAnsi="宋体"/>
          <w:szCs w:val="21"/>
          <w:highlight w:val="none"/>
        </w:rPr>
        <w:t>情形。评委</w:t>
      </w:r>
      <w:r>
        <w:rPr>
          <w:rFonts w:ascii="宋体" w:hAnsi="宋体"/>
          <w:szCs w:val="21"/>
          <w:highlight w:val="none"/>
        </w:rPr>
        <w:t>发现</w:t>
      </w:r>
      <w:r>
        <w:rPr>
          <w:rFonts w:hint="eastAsia" w:ascii="宋体" w:hAnsi="宋体"/>
          <w:szCs w:val="21"/>
          <w:highlight w:val="none"/>
        </w:rPr>
        <w:t>资格审查文件</w:t>
      </w:r>
      <w:r>
        <w:rPr>
          <w:rFonts w:ascii="宋体" w:hAnsi="宋体"/>
          <w:szCs w:val="21"/>
          <w:highlight w:val="none"/>
        </w:rPr>
        <w:t>中</w:t>
      </w:r>
      <w:r>
        <w:rPr>
          <w:rFonts w:hint="eastAsia" w:ascii="宋体" w:hAnsi="宋体"/>
          <w:szCs w:val="21"/>
          <w:highlight w:val="none"/>
        </w:rPr>
        <w:t>含义不明确</w:t>
      </w:r>
      <w:r>
        <w:rPr>
          <w:rFonts w:ascii="宋体" w:hAnsi="宋体"/>
          <w:szCs w:val="21"/>
          <w:highlight w:val="none"/>
        </w:rPr>
        <w:t>、对同类问题表述不一致、有明显</w:t>
      </w:r>
      <w:r>
        <w:rPr>
          <w:rFonts w:hint="eastAsia" w:ascii="宋体" w:hAnsi="宋体"/>
          <w:szCs w:val="21"/>
          <w:highlight w:val="none"/>
        </w:rPr>
        <w:t>文字</w:t>
      </w:r>
      <w:r>
        <w:rPr>
          <w:rFonts w:ascii="宋体" w:hAnsi="宋体"/>
          <w:szCs w:val="21"/>
          <w:highlight w:val="none"/>
        </w:rPr>
        <w:t>和计算错误的，应当</w:t>
      </w:r>
      <w:r>
        <w:rPr>
          <w:rFonts w:hint="eastAsia" w:ascii="宋体" w:hAnsi="宋体"/>
          <w:szCs w:val="21"/>
          <w:highlight w:val="none"/>
        </w:rPr>
        <w:t>要求</w:t>
      </w:r>
      <w:r>
        <w:rPr>
          <w:rFonts w:ascii="宋体" w:hAnsi="宋体"/>
          <w:szCs w:val="21"/>
          <w:highlight w:val="none"/>
        </w:rPr>
        <w:t>投标人作必要的澄清、说明</w:t>
      </w:r>
      <w:r>
        <w:rPr>
          <w:rFonts w:hint="eastAsia" w:ascii="宋体" w:hAnsi="宋体"/>
          <w:szCs w:val="21"/>
          <w:highlight w:val="none"/>
        </w:rPr>
        <w:t>后再判定投标人是否通过资格审查</w:t>
      </w:r>
      <w:r>
        <w:rPr>
          <w:rFonts w:ascii="宋体" w:hAnsi="宋体"/>
          <w:szCs w:val="21"/>
          <w:highlight w:val="none"/>
        </w:rPr>
        <w:t>，不得直接</w:t>
      </w:r>
      <w:r>
        <w:rPr>
          <w:rFonts w:hint="eastAsia" w:ascii="宋体" w:hAnsi="宋体"/>
          <w:szCs w:val="21"/>
          <w:highlight w:val="none"/>
        </w:rPr>
        <w:t>认定其不通过资格审查。</w:t>
      </w:r>
    </w:p>
    <w:p>
      <w:pPr>
        <w:rPr>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sz w:val="36"/>
          <w:szCs w:val="36"/>
          <w:highlight w:val="none"/>
        </w:rPr>
      </w:pPr>
      <w:r>
        <w:rPr>
          <w:rFonts w:hint="eastAsia"/>
          <w:szCs w:val="21"/>
          <w:highlight w:val="none"/>
        </w:rPr>
        <w:t>附表二</w:t>
      </w:r>
      <w:r>
        <w:rPr>
          <w:rFonts w:hint="eastAsia"/>
          <w:b/>
          <w:sz w:val="36"/>
          <w:szCs w:val="36"/>
          <w:highlight w:val="none"/>
        </w:rPr>
        <w:t xml:space="preserve">                             技术标有效性审查表</w:t>
      </w:r>
    </w:p>
    <w:p>
      <w:pPr>
        <w:rPr>
          <w:szCs w:val="21"/>
          <w:highlight w:val="none"/>
        </w:rPr>
      </w:pPr>
      <w:r>
        <w:rPr>
          <w:rFonts w:hint="eastAsia"/>
          <w:szCs w:val="21"/>
          <w:highlight w:val="none"/>
        </w:rPr>
        <w:t>工程名称：</w:t>
      </w:r>
    </w:p>
    <w:tbl>
      <w:tblPr>
        <w:tblStyle w:val="35"/>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w:t>
            </w:r>
          </w:p>
          <w:p>
            <w:pPr>
              <w:adjustRightInd w:val="0"/>
              <w:rPr>
                <w:rFonts w:ascii="宋体" w:hAnsi="宋体"/>
                <w:szCs w:val="21"/>
                <w:highlight w:val="none"/>
              </w:rPr>
            </w:pPr>
            <w:r>
              <w:rPr>
                <w:rFonts w:hint="eastAsia" w:ascii="宋体" w:hAnsi="宋体"/>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rPr>
              <w:t>投标文件中没有有效的法定代表人证明书，或由委托代理人</w:t>
            </w:r>
            <w:r>
              <w:rPr>
                <w:rFonts w:hint="eastAsia" w:ascii="宋体" w:hAnsi="宋体" w:cs="宋体"/>
                <w:szCs w:val="21"/>
                <w:highlight w:val="none"/>
                <w:u w:val="single"/>
              </w:rPr>
              <w:t>签字或盖章</w:t>
            </w:r>
            <w:r>
              <w:rPr>
                <w:rFonts w:hint="eastAsia" w:ascii="宋体" w:hAnsi="宋体" w:cs="宋体"/>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rPr>
              <w:t>投标文件未按规定的格式</w:t>
            </w:r>
            <w:r>
              <w:rPr>
                <w:rFonts w:hint="eastAsia" w:ascii="宋体" w:hAnsi="宋体" w:cs="宋体"/>
                <w:szCs w:val="21"/>
                <w:highlight w:val="none"/>
                <w:u w:val="single"/>
              </w:rPr>
              <w:t>（指附件一：广州建设工程施工招标投标书）</w:t>
            </w:r>
            <w:r>
              <w:rPr>
                <w:rFonts w:hint="eastAsia" w:ascii="宋体" w:hAnsi="宋体" w:cs="宋体"/>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ascii="宋体" w:hAnsi="宋体"/>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ascii="宋体" w:hAnsi="宋体"/>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ascii="宋体" w:hAnsi="宋体"/>
                <w:szCs w:val="21"/>
                <w:highlight w:val="none"/>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投标人未按要求提交投标保证金的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ascii="宋体" w:hAnsi="宋体"/>
                <w:szCs w:val="21"/>
                <w:highlight w:val="none"/>
              </w:rPr>
              <w:t>8</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bl>
    <w:p>
      <w:pPr>
        <w:rPr>
          <w:rFonts w:ascii="宋体" w:hAnsi="宋体"/>
          <w:szCs w:val="21"/>
          <w:highlight w:val="none"/>
        </w:rPr>
      </w:pPr>
      <w:r>
        <w:rPr>
          <w:rFonts w:hint="eastAsia" w:ascii="宋体" w:hAnsi="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highlight w:val="none"/>
        </w:rPr>
      </w:pPr>
      <w:r>
        <w:rPr>
          <w:rFonts w:hint="eastAsia" w:ascii="宋体" w:hAnsi="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highlight w:val="none"/>
        </w:rPr>
      </w:pPr>
      <w:r>
        <w:rPr>
          <w:rFonts w:hint="eastAsia" w:ascii="宋体" w:hAnsi="宋体"/>
          <w:szCs w:val="21"/>
          <w:highlight w:val="none"/>
        </w:rPr>
        <w:t>3.凡出现以上任何一项情形，结论均为无效，否则就为有效。</w:t>
      </w:r>
    </w:p>
    <w:p>
      <w:pPr>
        <w:rPr>
          <w:rFonts w:ascii="宋体" w:hAnsi="宋体"/>
          <w:szCs w:val="21"/>
          <w:highlight w:val="none"/>
        </w:rPr>
      </w:pPr>
      <w:r>
        <w:rPr>
          <w:rFonts w:hint="eastAsia" w:ascii="宋体" w:hAnsi="宋体"/>
          <w:szCs w:val="21"/>
          <w:highlight w:val="none"/>
        </w:rPr>
        <w:t>4.如对本表中某种情形的评审意见不一致时，以评标委员会过半数成员的意见作为评标委员会对该情形的认定结论。</w:t>
      </w:r>
    </w:p>
    <w:p>
      <w:pPr>
        <w:rPr>
          <w:rFonts w:ascii="宋体" w:hAnsi="宋体"/>
          <w:szCs w:val="21"/>
          <w:highlight w:val="none"/>
        </w:rPr>
      </w:pPr>
      <w:r>
        <w:rPr>
          <w:rFonts w:hint="eastAsia" w:ascii="宋体" w:hAnsi="宋体"/>
          <w:szCs w:val="21"/>
          <w:highlight w:val="none"/>
        </w:rPr>
        <w:t>评委签名：</w:t>
      </w:r>
    </w:p>
    <w:p>
      <w:pPr>
        <w:rPr>
          <w:szCs w:val="21"/>
          <w:highlight w:val="none"/>
        </w:rPr>
      </w:pPr>
      <w:r>
        <w:rPr>
          <w:highlight w:val="none"/>
        </w:rPr>
        <w:br w:type="page"/>
      </w:r>
      <w:r>
        <w:rPr>
          <w:rFonts w:hint="eastAsia"/>
          <w:szCs w:val="21"/>
          <w:highlight w:val="none"/>
        </w:rPr>
        <w:t>附表三</w:t>
      </w:r>
    </w:p>
    <w:p>
      <w:pPr>
        <w:jc w:val="center"/>
        <w:rPr>
          <w:b/>
          <w:sz w:val="36"/>
          <w:szCs w:val="36"/>
          <w:highlight w:val="none"/>
        </w:rPr>
      </w:pPr>
      <w:r>
        <w:rPr>
          <w:rFonts w:hint="eastAsia"/>
          <w:b/>
          <w:sz w:val="36"/>
          <w:szCs w:val="36"/>
          <w:highlight w:val="none"/>
        </w:rPr>
        <w:t>经济标有效性审查表</w:t>
      </w:r>
    </w:p>
    <w:p>
      <w:pPr>
        <w:rPr>
          <w:szCs w:val="21"/>
          <w:highlight w:val="none"/>
        </w:rPr>
      </w:pPr>
      <w:r>
        <w:rPr>
          <w:rFonts w:hint="eastAsia"/>
          <w:szCs w:val="21"/>
          <w:highlight w:val="none"/>
        </w:rPr>
        <w:t>工程名称：</w:t>
      </w:r>
    </w:p>
    <w:tbl>
      <w:tblPr>
        <w:tblStyle w:val="35"/>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投标文件未按规定的格式</w:t>
            </w:r>
            <w:r>
              <w:rPr>
                <w:rFonts w:hint="eastAsia" w:ascii="宋体" w:hAnsi="宋体" w:cs="宋体"/>
                <w:szCs w:val="21"/>
                <w:highlight w:val="none"/>
                <w:u w:val="single"/>
              </w:rPr>
              <w:t>（指附件一：广州建设工程施工招标投标书）</w:t>
            </w:r>
            <w:r>
              <w:rPr>
                <w:rFonts w:hint="eastAsia" w:ascii="宋体" w:hAnsi="宋体"/>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cs="宋体"/>
                <w:szCs w:val="21"/>
                <w:highlight w:val="none"/>
                <w:u w:val="single"/>
              </w:rPr>
              <w:t>广州交易集团有限公司（广州公共资源交易中心）</w:t>
            </w:r>
            <w:r>
              <w:rPr>
                <w:rFonts w:hint="eastAsia" w:ascii="宋体" w:hAnsi="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bl>
    <w:p>
      <w:pPr>
        <w:pStyle w:val="5"/>
        <w:spacing w:after="0"/>
        <w:ind w:firstLine="459"/>
        <w:rPr>
          <w:rFonts w:ascii="宋体" w:hAnsi="宋体"/>
          <w:szCs w:val="21"/>
          <w:highlight w:val="none"/>
        </w:rPr>
      </w:pPr>
      <w:r>
        <w:rPr>
          <w:rFonts w:hint="eastAsia" w:ascii="宋体" w:hAnsi="宋体"/>
          <w:szCs w:val="21"/>
          <w:highlight w:val="none"/>
        </w:rPr>
        <w:t>注：1.本表使用GZZB2018-3招标文件范本，与范本内容不同之处均以下划线标明。</w:t>
      </w:r>
    </w:p>
    <w:p>
      <w:pPr>
        <w:pStyle w:val="5"/>
        <w:spacing w:after="0"/>
        <w:ind w:firstLine="459"/>
        <w:rPr>
          <w:rFonts w:ascii="宋体" w:hAnsi="宋体"/>
          <w:szCs w:val="21"/>
          <w:highlight w:val="none"/>
        </w:rPr>
      </w:pPr>
      <w:r>
        <w:rPr>
          <w:rFonts w:hint="eastAsia" w:ascii="宋体" w:hAnsi="宋体"/>
          <w:szCs w:val="21"/>
          <w:highlight w:val="none"/>
        </w:rPr>
        <w:t>2.凡出现以上任何一项情形，结论均为无效，否则就为有效。</w:t>
      </w:r>
    </w:p>
    <w:p>
      <w:pPr>
        <w:pStyle w:val="5"/>
        <w:spacing w:after="0"/>
        <w:ind w:firstLine="459"/>
        <w:rPr>
          <w:rFonts w:ascii="宋体" w:hAnsi="宋体"/>
          <w:szCs w:val="21"/>
          <w:highlight w:val="none"/>
        </w:rPr>
      </w:pPr>
      <w:r>
        <w:rPr>
          <w:rFonts w:hint="eastAsia" w:ascii="宋体" w:hAnsi="宋体"/>
          <w:szCs w:val="21"/>
          <w:highlight w:val="none"/>
        </w:rPr>
        <w:t>3.如对本表中某种情形的评审意见不一致时，以评标委员会过半数成员的意见作为评标委员会对该情形的认定结论。</w:t>
      </w:r>
    </w:p>
    <w:p>
      <w:pPr>
        <w:pStyle w:val="5"/>
        <w:spacing w:after="0"/>
        <w:ind w:firstLine="459"/>
        <w:rPr>
          <w:rFonts w:ascii="宋体" w:hAnsi="宋体"/>
          <w:szCs w:val="21"/>
          <w:highlight w:val="none"/>
        </w:rPr>
      </w:pPr>
      <w:r>
        <w:rPr>
          <w:rFonts w:hint="eastAsia" w:ascii="宋体" w:hAnsi="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highlight w:val="none"/>
        </w:rPr>
        <w:t>评委签名：</w:t>
      </w:r>
    </w:p>
    <w:p>
      <w:pPr>
        <w:rPr>
          <w:szCs w:val="21"/>
          <w:highlight w:val="none"/>
        </w:rPr>
      </w:pPr>
      <w:r>
        <w:rPr>
          <w:rFonts w:hint="eastAsia"/>
          <w:szCs w:val="21"/>
          <w:highlight w:val="none"/>
        </w:rPr>
        <w:t>附表四</w:t>
      </w:r>
    </w:p>
    <w:p>
      <w:pPr>
        <w:tabs>
          <w:tab w:val="center" w:pos="7288"/>
          <w:tab w:val="left" w:pos="9931"/>
        </w:tabs>
        <w:jc w:val="center"/>
        <w:rPr>
          <w:rFonts w:ascii="宋体" w:hAnsi="宋体" w:cs="宋体"/>
          <w:b/>
          <w:sz w:val="32"/>
          <w:szCs w:val="32"/>
          <w:highlight w:val="none"/>
        </w:rPr>
      </w:pPr>
      <w:r>
        <w:rPr>
          <w:rFonts w:hint="eastAsia" w:ascii="宋体" w:hAnsi="宋体" w:cs="宋体"/>
          <w:b/>
          <w:sz w:val="32"/>
          <w:szCs w:val="32"/>
          <w:highlight w:val="none"/>
        </w:rPr>
        <w:t>技术标详细审查评分表</w:t>
      </w:r>
    </w:p>
    <w:p>
      <w:pPr>
        <w:rPr>
          <w:rFonts w:ascii="宋体" w:hAnsi="宋体"/>
          <w:highlight w:val="none"/>
        </w:rPr>
      </w:pPr>
      <w:r>
        <w:rPr>
          <w:rFonts w:hint="eastAsia" w:ascii="宋体" w:hAnsi="宋体"/>
          <w:highlight w:val="none"/>
        </w:rPr>
        <w:t>工程名称：</w:t>
      </w:r>
    </w:p>
    <w:tbl>
      <w:tblPr>
        <w:tblStyle w:val="35"/>
        <w:tblW w:w="4995"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419"/>
        <w:gridCol w:w="865"/>
        <w:gridCol w:w="1106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447" w:type="pct"/>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szCs w:val="21"/>
                <w:highlight w:val="none"/>
              </w:rPr>
            </w:pPr>
            <w:r>
              <w:rPr>
                <w:rFonts w:hint="eastAsia" w:ascii="宋体" w:hAnsi="宋体"/>
                <w:szCs w:val="21"/>
                <w:highlight w:val="none"/>
              </w:rPr>
              <w:t>评分项目</w:t>
            </w:r>
          </w:p>
        </w:tc>
        <w:tc>
          <w:tcPr>
            <w:tcW w:w="484"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Cs w:val="21"/>
                <w:highlight w:val="none"/>
              </w:rPr>
            </w:pPr>
            <w:r>
              <w:rPr>
                <w:rFonts w:hint="eastAsia" w:ascii="宋体" w:hAnsi="宋体"/>
                <w:szCs w:val="21"/>
                <w:highlight w:val="none"/>
              </w:rPr>
              <w:t>评分内容</w:t>
            </w:r>
          </w:p>
        </w:tc>
        <w:tc>
          <w:tcPr>
            <w:tcW w:w="295"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Cs w:val="21"/>
                <w:highlight w:val="none"/>
              </w:rPr>
            </w:pPr>
            <w:r>
              <w:rPr>
                <w:rFonts w:hint="eastAsia" w:ascii="宋体" w:hAnsi="宋体"/>
                <w:szCs w:val="21"/>
                <w:highlight w:val="none"/>
              </w:rPr>
              <w:t>分值</w:t>
            </w:r>
          </w:p>
        </w:tc>
        <w:tc>
          <w:tcPr>
            <w:tcW w:w="3772"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Cs w:val="21"/>
                <w:highlight w:val="none"/>
              </w:rPr>
            </w:pPr>
            <w:r>
              <w:rPr>
                <w:rFonts w:hint="eastAsia" w:ascii="宋体" w:hAnsi="宋体"/>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447" w:type="pct"/>
            <w:vMerge w:val="restart"/>
            <w:tcBorders>
              <w:left w:val="single" w:color="auto" w:sz="8" w:space="0"/>
              <w:right w:val="single" w:color="auto" w:sz="4" w:space="0"/>
            </w:tcBorders>
            <w:vAlign w:val="center"/>
          </w:tcPr>
          <w:p>
            <w:pPr>
              <w:tabs>
                <w:tab w:val="left" w:pos="360"/>
              </w:tabs>
              <w:snapToGrid w:val="0"/>
              <w:jc w:val="center"/>
              <w:rPr>
                <w:rFonts w:ascii="宋体" w:hAnsi="宋体" w:cs="宋体"/>
                <w:szCs w:val="21"/>
                <w:highlight w:val="none"/>
              </w:rPr>
            </w:pPr>
            <w:r>
              <w:rPr>
                <w:rFonts w:hint="eastAsia" w:ascii="宋体" w:hAnsi="宋体" w:cs="宋体"/>
                <w:szCs w:val="21"/>
                <w:highlight w:val="none"/>
              </w:rPr>
              <w:t>项目管理机构能力（70分）</w:t>
            </w: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szCs w:val="21"/>
                <w:highlight w:val="none"/>
              </w:rPr>
            </w:pPr>
            <w:r>
              <w:rPr>
                <w:rFonts w:hint="eastAsia" w:ascii="宋体" w:hAnsi="宋体"/>
                <w:szCs w:val="21"/>
                <w:highlight w:val="none"/>
              </w:rPr>
              <w:t>道路工程师</w:t>
            </w:r>
          </w:p>
        </w:tc>
        <w:tc>
          <w:tcPr>
            <w:tcW w:w="295"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hint="eastAsia" w:ascii="宋体" w:hAnsi="宋体" w:cs="宋体"/>
                <w:kern w:val="0"/>
                <w:szCs w:val="21"/>
                <w:highlight w:val="none"/>
              </w:rPr>
              <w:t>20</w:t>
            </w:r>
            <w:r>
              <w:rPr>
                <w:rFonts w:hint="eastAsia" w:ascii="宋体" w:hAnsi="宋体" w:cs="宋体"/>
                <w:szCs w:val="21"/>
                <w:highlight w:val="none"/>
              </w:rPr>
              <w:t>分</w:t>
            </w:r>
          </w:p>
        </w:tc>
        <w:tc>
          <w:tcPr>
            <w:tcW w:w="3772" w:type="pct"/>
            <w:tcBorders>
              <w:top w:val="single" w:color="auto" w:sz="4" w:space="0"/>
              <w:left w:val="single" w:color="auto" w:sz="4" w:space="0"/>
              <w:bottom w:val="single" w:color="auto" w:sz="4" w:space="0"/>
              <w:right w:val="single" w:color="auto" w:sz="4" w:space="0"/>
            </w:tcBorders>
            <w:vAlign w:val="center"/>
          </w:tcPr>
          <w:p>
            <w:pPr>
              <w:pStyle w:val="115"/>
              <w:rPr>
                <w:rFonts w:ascii="宋体" w:hAnsi="宋体" w:cs="宋体"/>
                <w:sz w:val="21"/>
                <w:szCs w:val="21"/>
                <w:highlight w:val="none"/>
              </w:rPr>
            </w:pPr>
            <w:r>
              <w:rPr>
                <w:rFonts w:ascii="宋体" w:hAnsi="宋体" w:eastAsia="宋体"/>
                <w:sz w:val="21"/>
                <w:szCs w:val="21"/>
                <w:highlight w:val="none"/>
              </w:rPr>
              <w:t>从业能力：</w:t>
            </w:r>
            <w:r>
              <w:rPr>
                <w:rFonts w:hint="eastAsia" w:ascii="宋体" w:hAnsi="宋体" w:eastAsia="宋体"/>
                <w:kern w:val="2"/>
                <w:sz w:val="21"/>
                <w:szCs w:val="21"/>
                <w:highlight w:val="none"/>
              </w:rPr>
              <w:t>具有市政类专业高级或以上技术职称，得20分；具有市政类专业中级技术职称，得10分。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7" w:type="pct"/>
            <w:vMerge w:val="continue"/>
            <w:tcBorders>
              <w:left w:val="single" w:color="auto" w:sz="8" w:space="0"/>
              <w:right w:val="single" w:color="auto" w:sz="4" w:space="0"/>
            </w:tcBorders>
            <w:vAlign w:val="center"/>
          </w:tcPr>
          <w:p>
            <w:pPr>
              <w:tabs>
                <w:tab w:val="left" w:pos="360"/>
              </w:tabs>
              <w:snapToGrid w:val="0"/>
              <w:jc w:val="center"/>
              <w:rPr>
                <w:rFonts w:ascii="宋体" w:hAnsi="宋体" w:cs="宋体"/>
                <w:szCs w:val="21"/>
                <w:highlight w:val="none"/>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szCs w:val="21"/>
                <w:highlight w:val="none"/>
              </w:rPr>
            </w:pPr>
            <w:r>
              <w:rPr>
                <w:rFonts w:ascii="宋体" w:hAnsi="宋体"/>
                <w:szCs w:val="21"/>
                <w:highlight w:val="none"/>
              </w:rPr>
              <w:t>质量负责人</w:t>
            </w:r>
          </w:p>
        </w:tc>
        <w:tc>
          <w:tcPr>
            <w:tcW w:w="295"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szCs w:val="21"/>
                <w:highlight w:val="none"/>
              </w:rPr>
            </w:pPr>
            <w:r>
              <w:rPr>
                <w:rFonts w:hint="eastAsia" w:ascii="宋体" w:hAnsi="宋体" w:cs="宋体"/>
                <w:kern w:val="0"/>
                <w:szCs w:val="21"/>
                <w:highlight w:val="none"/>
              </w:rPr>
              <w:t>20</w:t>
            </w:r>
            <w:r>
              <w:rPr>
                <w:rFonts w:hint="eastAsia" w:ascii="宋体" w:hAnsi="宋体" w:cs="宋体"/>
                <w:szCs w:val="21"/>
                <w:highlight w:val="none"/>
              </w:rPr>
              <w:t>分</w:t>
            </w:r>
          </w:p>
        </w:tc>
        <w:tc>
          <w:tcPr>
            <w:tcW w:w="3772" w:type="pct"/>
            <w:tcBorders>
              <w:top w:val="single" w:color="auto" w:sz="4" w:space="0"/>
              <w:left w:val="single" w:color="auto" w:sz="4" w:space="0"/>
              <w:bottom w:val="single" w:color="auto" w:sz="4" w:space="0"/>
              <w:right w:val="single" w:color="auto" w:sz="4" w:space="0"/>
            </w:tcBorders>
            <w:vAlign w:val="center"/>
          </w:tcPr>
          <w:p>
            <w:pPr>
              <w:pStyle w:val="115"/>
              <w:rPr>
                <w:rFonts w:ascii="宋体" w:hAnsi="宋体" w:cs="宋体"/>
                <w:sz w:val="21"/>
                <w:szCs w:val="21"/>
                <w:highlight w:val="none"/>
              </w:rPr>
            </w:pPr>
            <w:r>
              <w:rPr>
                <w:rFonts w:hint="eastAsia" w:ascii="宋体" w:hAnsi="宋体" w:eastAsia="宋体" w:cs="宋体"/>
                <w:sz w:val="21"/>
                <w:szCs w:val="21"/>
                <w:highlight w:val="none"/>
              </w:rPr>
              <w:t>从业能力：</w:t>
            </w:r>
            <w:r>
              <w:rPr>
                <w:rFonts w:hint="eastAsia" w:ascii="宋体" w:hAnsi="宋体" w:eastAsia="宋体"/>
                <w:kern w:val="2"/>
                <w:sz w:val="21"/>
                <w:szCs w:val="21"/>
                <w:highlight w:val="none"/>
              </w:rPr>
              <w:t>具有市政类专业高级或以上技术职称，得20分；具有市政类专业中级技术职称，得10分。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7" w:type="pct"/>
            <w:vMerge w:val="continue"/>
            <w:tcBorders>
              <w:left w:val="single" w:color="auto" w:sz="8" w:space="0"/>
              <w:right w:val="single" w:color="auto" w:sz="4" w:space="0"/>
            </w:tcBorders>
            <w:vAlign w:val="center"/>
          </w:tcPr>
          <w:p>
            <w:pPr>
              <w:tabs>
                <w:tab w:val="left" w:pos="360"/>
              </w:tabs>
              <w:snapToGrid w:val="0"/>
              <w:jc w:val="center"/>
              <w:rPr>
                <w:rFonts w:ascii="宋体" w:hAnsi="宋体" w:cs="宋体"/>
                <w:szCs w:val="21"/>
                <w:highlight w:val="none"/>
              </w:rPr>
            </w:pPr>
          </w:p>
        </w:tc>
        <w:tc>
          <w:tcPr>
            <w:tcW w:w="484" w:type="pc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s="宋体"/>
                <w:kern w:val="0"/>
                <w:szCs w:val="21"/>
                <w:highlight w:val="none"/>
              </w:rPr>
            </w:pPr>
            <w:r>
              <w:rPr>
                <w:rFonts w:ascii="宋体" w:hAnsi="宋体"/>
                <w:szCs w:val="21"/>
                <w:highlight w:val="none"/>
              </w:rPr>
              <w:t>安全负责人</w:t>
            </w:r>
          </w:p>
        </w:tc>
        <w:tc>
          <w:tcPr>
            <w:tcW w:w="295" w:type="pct"/>
            <w:tcBorders>
              <w:top w:val="single" w:color="auto" w:sz="4" w:space="0"/>
              <w:left w:val="single" w:color="auto" w:sz="4" w:space="0"/>
              <w:right w:val="single" w:color="auto" w:sz="4" w:space="0"/>
            </w:tcBorders>
            <w:vAlign w:val="center"/>
          </w:tcPr>
          <w:p>
            <w:pPr>
              <w:tabs>
                <w:tab w:val="left" w:pos="360"/>
              </w:tabs>
              <w:snapToGrid w:val="0"/>
              <w:jc w:val="center"/>
              <w:rPr>
                <w:rFonts w:ascii="宋体" w:hAnsi="宋体" w:cs="宋体"/>
                <w:kern w:val="0"/>
                <w:szCs w:val="21"/>
                <w:highlight w:val="none"/>
              </w:rPr>
            </w:pPr>
            <w:r>
              <w:rPr>
                <w:rFonts w:hint="eastAsia" w:ascii="宋体" w:hAnsi="宋体" w:cs="宋体"/>
                <w:kern w:val="0"/>
                <w:szCs w:val="21"/>
                <w:highlight w:val="none"/>
              </w:rPr>
              <w:t>15</w:t>
            </w:r>
            <w:r>
              <w:rPr>
                <w:rFonts w:hint="eastAsia" w:ascii="宋体" w:hAnsi="宋体" w:cs="宋体"/>
                <w:szCs w:val="21"/>
                <w:highlight w:val="none"/>
              </w:rPr>
              <w:t>分</w:t>
            </w:r>
          </w:p>
        </w:tc>
        <w:tc>
          <w:tcPr>
            <w:tcW w:w="377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highlight w:val="none"/>
              </w:rPr>
            </w:pPr>
            <w:r>
              <w:rPr>
                <w:rFonts w:hint="eastAsia" w:ascii="宋体" w:hAnsi="宋体" w:cs="宋体"/>
                <w:szCs w:val="21"/>
                <w:highlight w:val="none"/>
              </w:rPr>
              <w:t>从业能力：具有</w:t>
            </w:r>
            <w:r>
              <w:rPr>
                <w:rFonts w:ascii="宋体" w:hAnsi="宋体"/>
                <w:szCs w:val="21"/>
                <w:highlight w:val="none"/>
              </w:rPr>
              <w:t>安全工程专业高级</w:t>
            </w:r>
            <w:r>
              <w:rPr>
                <w:rFonts w:hint="eastAsia" w:ascii="宋体" w:hAnsi="宋体"/>
                <w:szCs w:val="21"/>
                <w:highlight w:val="none"/>
              </w:rPr>
              <w:t>或以上</w:t>
            </w:r>
            <w:r>
              <w:rPr>
                <w:rFonts w:ascii="宋体" w:hAnsi="宋体"/>
                <w:szCs w:val="21"/>
                <w:highlight w:val="none"/>
              </w:rPr>
              <w:t>技术职称或</w:t>
            </w:r>
            <w:r>
              <w:rPr>
                <w:rFonts w:hint="eastAsia" w:ascii="宋体" w:hAnsi="宋体"/>
                <w:szCs w:val="21"/>
                <w:highlight w:val="none"/>
              </w:rPr>
              <w:t>市政</w:t>
            </w:r>
            <w:r>
              <w:rPr>
                <w:rFonts w:ascii="宋体" w:hAnsi="宋体"/>
                <w:szCs w:val="21"/>
                <w:highlight w:val="none"/>
              </w:rPr>
              <w:t>类</w:t>
            </w:r>
            <w:r>
              <w:rPr>
                <w:rFonts w:hint="eastAsia" w:ascii="宋体" w:hAnsi="宋体"/>
                <w:szCs w:val="21"/>
                <w:highlight w:val="none"/>
              </w:rPr>
              <w:t>专</w:t>
            </w:r>
            <w:r>
              <w:rPr>
                <w:rFonts w:hint="eastAsia" w:ascii="宋体" w:hAnsi="宋体" w:cs="宋体"/>
                <w:szCs w:val="21"/>
                <w:highlight w:val="none"/>
              </w:rPr>
              <w:t>业</w:t>
            </w:r>
            <w:r>
              <w:rPr>
                <w:rFonts w:ascii="宋体" w:hAnsi="宋体"/>
                <w:szCs w:val="21"/>
                <w:highlight w:val="none"/>
              </w:rPr>
              <w:t>高级</w:t>
            </w:r>
            <w:r>
              <w:rPr>
                <w:rFonts w:hint="eastAsia" w:ascii="宋体" w:hAnsi="宋体"/>
                <w:szCs w:val="21"/>
                <w:highlight w:val="none"/>
              </w:rPr>
              <w:t>或以上</w:t>
            </w:r>
            <w:r>
              <w:rPr>
                <w:rFonts w:ascii="宋体" w:hAnsi="宋体"/>
                <w:szCs w:val="21"/>
                <w:highlight w:val="none"/>
              </w:rPr>
              <w:t>技术职称</w:t>
            </w:r>
            <w:r>
              <w:rPr>
                <w:rFonts w:hint="eastAsia" w:ascii="宋体" w:hAnsi="宋体"/>
                <w:szCs w:val="21"/>
                <w:highlight w:val="none"/>
              </w:rPr>
              <w:t>，得8分；</w:t>
            </w:r>
            <w:r>
              <w:rPr>
                <w:rFonts w:hint="eastAsia" w:ascii="宋体" w:hAnsi="宋体" w:cs="宋体"/>
                <w:szCs w:val="21"/>
                <w:highlight w:val="none"/>
              </w:rPr>
              <w:t>具有</w:t>
            </w:r>
            <w:r>
              <w:rPr>
                <w:rFonts w:ascii="宋体" w:hAnsi="宋体"/>
                <w:szCs w:val="21"/>
                <w:highlight w:val="none"/>
              </w:rPr>
              <w:t>安全工程专业</w:t>
            </w:r>
            <w:r>
              <w:rPr>
                <w:rFonts w:hint="eastAsia" w:ascii="宋体" w:hAnsi="宋体"/>
                <w:szCs w:val="21"/>
                <w:highlight w:val="none"/>
              </w:rPr>
              <w:t>中</w:t>
            </w:r>
            <w:r>
              <w:rPr>
                <w:rFonts w:ascii="宋体" w:hAnsi="宋体"/>
                <w:szCs w:val="21"/>
                <w:highlight w:val="none"/>
              </w:rPr>
              <w:t>级技术职称或</w:t>
            </w:r>
            <w:r>
              <w:rPr>
                <w:rFonts w:hint="eastAsia" w:ascii="宋体" w:hAnsi="宋体"/>
                <w:szCs w:val="21"/>
                <w:highlight w:val="none"/>
              </w:rPr>
              <w:t>市政</w:t>
            </w:r>
            <w:r>
              <w:rPr>
                <w:rFonts w:ascii="宋体" w:hAnsi="宋体"/>
                <w:szCs w:val="21"/>
                <w:highlight w:val="none"/>
              </w:rPr>
              <w:t>类</w:t>
            </w:r>
            <w:r>
              <w:rPr>
                <w:rFonts w:hint="eastAsia" w:ascii="宋体" w:hAnsi="宋体"/>
                <w:szCs w:val="21"/>
                <w:highlight w:val="none"/>
              </w:rPr>
              <w:t>专</w:t>
            </w:r>
            <w:r>
              <w:rPr>
                <w:rFonts w:hint="eastAsia" w:ascii="宋体" w:hAnsi="宋体" w:cs="宋体"/>
                <w:szCs w:val="21"/>
                <w:highlight w:val="none"/>
              </w:rPr>
              <w:t>业</w:t>
            </w:r>
            <w:r>
              <w:rPr>
                <w:rFonts w:hint="eastAsia" w:ascii="宋体" w:hAnsi="宋体"/>
                <w:szCs w:val="21"/>
                <w:highlight w:val="none"/>
              </w:rPr>
              <w:t>中</w:t>
            </w:r>
            <w:r>
              <w:rPr>
                <w:rFonts w:ascii="宋体" w:hAnsi="宋体"/>
                <w:szCs w:val="21"/>
                <w:highlight w:val="none"/>
              </w:rPr>
              <w:t>级技术职称</w:t>
            </w:r>
            <w:r>
              <w:rPr>
                <w:rFonts w:hint="eastAsia" w:ascii="宋体" w:hAnsi="宋体"/>
                <w:szCs w:val="21"/>
                <w:highlight w:val="none"/>
              </w:rPr>
              <w:t>，得4分。</w:t>
            </w:r>
            <w:r>
              <w:rPr>
                <w:rFonts w:ascii="宋体" w:hAnsi="宋体"/>
                <w:szCs w:val="21"/>
                <w:highlight w:val="none"/>
              </w:rPr>
              <w:t>安全培训考核合格证(C类)</w:t>
            </w:r>
            <w:r>
              <w:rPr>
                <w:rFonts w:hint="eastAsia" w:ascii="宋体" w:hAnsi="宋体"/>
                <w:szCs w:val="21"/>
                <w:highlight w:val="none"/>
              </w:rPr>
              <w:t>或建筑施工企业专职安全生产管理人员安全生产考核合格证书C3</w:t>
            </w:r>
            <w:r>
              <w:rPr>
                <w:rFonts w:ascii="宋体" w:hAnsi="宋体"/>
                <w:szCs w:val="21"/>
                <w:highlight w:val="none"/>
              </w:rPr>
              <w:t>，得</w:t>
            </w:r>
            <w:r>
              <w:rPr>
                <w:rFonts w:hint="eastAsia" w:ascii="宋体" w:hAnsi="宋体"/>
                <w:szCs w:val="21"/>
                <w:highlight w:val="none"/>
                <w:u w:val="single"/>
              </w:rPr>
              <w:t>7</w:t>
            </w:r>
            <w:r>
              <w:rPr>
                <w:rFonts w:ascii="宋体" w:hAnsi="宋体"/>
                <w:szCs w:val="21"/>
                <w:highlight w:val="none"/>
              </w:rPr>
              <w:t>分</w:t>
            </w:r>
            <w:r>
              <w:rPr>
                <w:rFonts w:hint="eastAsia" w:ascii="宋体" w:hAnsi="宋体"/>
                <w:szCs w:val="21"/>
                <w:highlight w:val="none"/>
              </w:rPr>
              <w:t>；最多得15分。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7" w:type="pct"/>
            <w:vMerge w:val="continue"/>
            <w:tcBorders>
              <w:left w:val="single" w:color="auto" w:sz="8" w:space="0"/>
              <w:right w:val="single" w:color="auto" w:sz="4" w:space="0"/>
            </w:tcBorders>
            <w:vAlign w:val="center"/>
          </w:tcPr>
          <w:p>
            <w:pPr>
              <w:tabs>
                <w:tab w:val="left" w:pos="360"/>
              </w:tabs>
              <w:snapToGrid w:val="0"/>
              <w:jc w:val="center"/>
              <w:rPr>
                <w:rFonts w:ascii="宋体" w:hAnsi="宋体" w:cs="宋体"/>
                <w:szCs w:val="21"/>
                <w:highlight w:val="none"/>
              </w:rPr>
            </w:pPr>
          </w:p>
        </w:tc>
        <w:tc>
          <w:tcPr>
            <w:tcW w:w="484" w:type="pc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s="宋体"/>
                <w:kern w:val="0"/>
                <w:szCs w:val="21"/>
                <w:highlight w:val="none"/>
              </w:rPr>
            </w:pPr>
            <w:r>
              <w:rPr>
                <w:rFonts w:ascii="宋体" w:hAnsi="宋体"/>
                <w:szCs w:val="21"/>
                <w:highlight w:val="none"/>
              </w:rPr>
              <w:t>造价负责人</w:t>
            </w:r>
          </w:p>
        </w:tc>
        <w:tc>
          <w:tcPr>
            <w:tcW w:w="295" w:type="pct"/>
            <w:tcBorders>
              <w:top w:val="single" w:color="auto" w:sz="4" w:space="0"/>
              <w:left w:val="single" w:color="auto" w:sz="4" w:space="0"/>
              <w:right w:val="single" w:color="auto" w:sz="4" w:space="0"/>
            </w:tcBorders>
            <w:vAlign w:val="center"/>
          </w:tcPr>
          <w:p>
            <w:pPr>
              <w:tabs>
                <w:tab w:val="left" w:pos="360"/>
              </w:tabs>
              <w:snapToGrid w:val="0"/>
              <w:jc w:val="center"/>
              <w:rPr>
                <w:rFonts w:ascii="宋体" w:hAnsi="宋体" w:cs="宋体"/>
                <w:kern w:val="0"/>
                <w:szCs w:val="21"/>
                <w:highlight w:val="none"/>
              </w:rPr>
            </w:pPr>
            <w:r>
              <w:rPr>
                <w:rFonts w:hint="eastAsia" w:ascii="宋体" w:hAnsi="宋体" w:cs="宋体"/>
                <w:kern w:val="0"/>
                <w:szCs w:val="21"/>
                <w:highlight w:val="none"/>
              </w:rPr>
              <w:t>15</w:t>
            </w:r>
            <w:r>
              <w:rPr>
                <w:rFonts w:hint="eastAsia" w:ascii="宋体" w:hAnsi="宋体" w:cs="宋体"/>
                <w:szCs w:val="21"/>
                <w:highlight w:val="none"/>
              </w:rPr>
              <w:t>分</w:t>
            </w:r>
          </w:p>
        </w:tc>
        <w:tc>
          <w:tcPr>
            <w:tcW w:w="3772" w:type="pct"/>
            <w:tcBorders>
              <w:top w:val="single" w:color="auto" w:sz="4" w:space="0"/>
              <w:left w:val="single" w:color="auto" w:sz="4" w:space="0"/>
              <w:bottom w:val="single" w:color="auto" w:sz="4" w:space="0"/>
              <w:right w:val="single" w:color="auto" w:sz="4" w:space="0"/>
            </w:tcBorders>
            <w:vAlign w:val="center"/>
          </w:tcPr>
          <w:p>
            <w:pPr>
              <w:pStyle w:val="115"/>
              <w:rPr>
                <w:rFonts w:ascii="宋体" w:hAnsi="宋体" w:cs="宋体"/>
                <w:sz w:val="21"/>
                <w:szCs w:val="21"/>
                <w:highlight w:val="none"/>
              </w:rPr>
            </w:pPr>
            <w:r>
              <w:rPr>
                <w:rFonts w:hint="eastAsia" w:ascii="宋体" w:hAnsi="宋体" w:eastAsia="宋体" w:cs="宋体"/>
                <w:sz w:val="21"/>
                <w:szCs w:val="21"/>
                <w:highlight w:val="none"/>
              </w:rPr>
              <w:t>从业能力：具有注册造价师证书或具有造价专业</w:t>
            </w:r>
            <w:r>
              <w:rPr>
                <w:rFonts w:ascii="宋体" w:hAnsi="宋体" w:eastAsia="宋体"/>
                <w:sz w:val="21"/>
                <w:szCs w:val="21"/>
                <w:highlight w:val="none"/>
              </w:rPr>
              <w:t>高级</w:t>
            </w:r>
            <w:r>
              <w:rPr>
                <w:rFonts w:hint="eastAsia" w:ascii="宋体" w:hAnsi="宋体" w:eastAsia="宋体"/>
                <w:sz w:val="21"/>
                <w:szCs w:val="21"/>
                <w:highlight w:val="none"/>
              </w:rPr>
              <w:t>或以上</w:t>
            </w:r>
            <w:r>
              <w:rPr>
                <w:rFonts w:hint="eastAsia" w:ascii="宋体" w:hAnsi="宋体" w:eastAsia="宋体" w:cs="宋体"/>
                <w:sz w:val="21"/>
                <w:szCs w:val="21"/>
                <w:highlight w:val="none"/>
              </w:rPr>
              <w:t>技术职称，得</w:t>
            </w:r>
            <w:r>
              <w:rPr>
                <w:rFonts w:hint="eastAsia" w:ascii="宋体" w:hAnsi="宋体" w:eastAsia="宋体" w:cs="宋体"/>
                <w:sz w:val="21"/>
                <w:szCs w:val="21"/>
                <w:highlight w:val="none"/>
                <w:u w:val="single"/>
              </w:rPr>
              <w:t xml:space="preserve"> 15</w:t>
            </w:r>
            <w:r>
              <w:rPr>
                <w:rFonts w:hint="eastAsia" w:ascii="宋体" w:hAnsi="宋体" w:eastAsia="宋体" w:cs="宋体"/>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7" w:type="pct"/>
            <w:vMerge w:val="restart"/>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二、企业资信（30分）</w:t>
            </w:r>
          </w:p>
        </w:tc>
        <w:tc>
          <w:tcPr>
            <w:tcW w:w="1419" w:type="dxa"/>
            <w:tcBorders>
              <w:top w:val="single" w:color="auto" w:sz="4" w:space="0"/>
              <w:left w:val="single" w:color="auto" w:sz="4" w:space="0"/>
              <w:right w:val="single" w:color="auto" w:sz="4" w:space="0"/>
            </w:tcBorders>
            <w:vAlign w:val="center"/>
          </w:tcPr>
          <w:p>
            <w:pPr>
              <w:pStyle w:val="115"/>
              <w:jc w:val="center"/>
              <w:rPr>
                <w:rFonts w:ascii="宋体" w:hAnsi="宋体" w:cs="宋体"/>
                <w:sz w:val="21"/>
                <w:szCs w:val="21"/>
                <w:highlight w:val="none"/>
              </w:rPr>
            </w:pPr>
            <w:r>
              <w:rPr>
                <w:rFonts w:ascii="宋体" w:hAnsi="宋体" w:eastAsia="宋体"/>
                <w:sz w:val="21"/>
                <w:szCs w:val="21"/>
                <w:highlight w:val="none"/>
              </w:rPr>
              <w:t>业绩</w:t>
            </w:r>
          </w:p>
        </w:tc>
        <w:tc>
          <w:tcPr>
            <w:tcW w:w="865" w:type="dxa"/>
            <w:tcBorders>
              <w:top w:val="single" w:color="auto" w:sz="4" w:space="0"/>
              <w:left w:val="single" w:color="auto" w:sz="4" w:space="0"/>
              <w:right w:val="single" w:color="auto" w:sz="4" w:space="0"/>
            </w:tcBorders>
            <w:vAlign w:val="center"/>
          </w:tcPr>
          <w:p>
            <w:pPr>
              <w:pStyle w:val="115"/>
              <w:jc w:val="center"/>
              <w:rPr>
                <w:rFonts w:ascii="宋体" w:hAnsi="宋体" w:cs="宋体"/>
                <w:sz w:val="21"/>
                <w:szCs w:val="21"/>
                <w:highlight w:val="none"/>
              </w:rPr>
            </w:pPr>
            <w:r>
              <w:rPr>
                <w:rFonts w:hint="eastAsia" w:ascii="宋体" w:hAnsi="宋体" w:eastAsia="宋体"/>
                <w:sz w:val="21"/>
                <w:szCs w:val="21"/>
                <w:highlight w:val="none"/>
              </w:rPr>
              <w:t>8</w:t>
            </w:r>
          </w:p>
        </w:tc>
        <w:tc>
          <w:tcPr>
            <w:tcW w:w="11063" w:type="dxa"/>
            <w:tcBorders>
              <w:top w:val="single" w:color="auto" w:sz="4" w:space="0"/>
              <w:left w:val="single" w:color="auto" w:sz="4" w:space="0"/>
              <w:bottom w:val="single" w:color="auto" w:sz="4" w:space="0"/>
              <w:right w:val="single" w:color="auto" w:sz="4" w:space="0"/>
            </w:tcBorders>
            <w:vAlign w:val="center"/>
          </w:tcPr>
          <w:p>
            <w:pPr>
              <w:pStyle w:val="115"/>
              <w:jc w:val="left"/>
              <w:rPr>
                <w:rFonts w:ascii="宋体" w:hAnsi="宋体" w:eastAsia="宋体" w:cs="宋体"/>
                <w:sz w:val="21"/>
                <w:szCs w:val="21"/>
                <w:highlight w:val="none"/>
              </w:rPr>
            </w:pPr>
            <w:r>
              <w:rPr>
                <w:rFonts w:hint="eastAsia" w:ascii="宋体" w:hAnsi="宋体" w:eastAsia="宋体"/>
                <w:sz w:val="21"/>
                <w:szCs w:val="21"/>
                <w:highlight w:val="none"/>
              </w:rPr>
              <w:t>投标人自</w:t>
            </w:r>
            <w:r>
              <w:rPr>
                <w:rFonts w:hint="eastAsia" w:ascii="宋体" w:hAnsi="宋体" w:eastAsia="宋体"/>
                <w:sz w:val="21"/>
                <w:szCs w:val="21"/>
                <w:highlight w:val="none"/>
                <w:u w:val="single"/>
              </w:rPr>
              <w:t xml:space="preserve"> 2018 </w:t>
            </w:r>
            <w:r>
              <w:rPr>
                <w:rFonts w:hint="eastAsia" w:ascii="宋体" w:hAnsi="宋体" w:eastAsia="宋体"/>
                <w:sz w:val="21"/>
                <w:szCs w:val="21"/>
                <w:highlight w:val="none"/>
              </w:rPr>
              <w:t>年1月1日至今完成过质量合格的市政公用工程一项得1分；最多得8分,无类似业绩不得分。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47" w:type="pct"/>
            <w:vMerge w:val="continue"/>
            <w:tcBorders>
              <w:left w:val="single" w:color="auto" w:sz="8" w:space="0"/>
              <w:right w:val="single" w:color="auto" w:sz="4" w:space="0"/>
            </w:tcBorders>
            <w:vAlign w:val="center"/>
          </w:tcPr>
          <w:p>
            <w:pPr>
              <w:autoSpaceDE w:val="0"/>
              <w:autoSpaceDN w:val="0"/>
              <w:adjustRightInd w:val="0"/>
              <w:snapToGrid w:val="0"/>
              <w:jc w:val="center"/>
              <w:rPr>
                <w:rFonts w:ascii="宋体" w:hAnsi="宋体" w:cs="宋体"/>
                <w:szCs w:val="21"/>
                <w:highlight w:val="none"/>
              </w:rPr>
            </w:pPr>
          </w:p>
        </w:tc>
        <w:tc>
          <w:tcPr>
            <w:tcW w:w="1419" w:type="dxa"/>
            <w:tcBorders>
              <w:top w:val="single" w:color="auto" w:sz="4" w:space="0"/>
              <w:left w:val="single" w:color="auto" w:sz="4" w:space="0"/>
              <w:right w:val="single" w:color="auto" w:sz="4" w:space="0"/>
            </w:tcBorders>
            <w:vAlign w:val="center"/>
          </w:tcPr>
          <w:p>
            <w:pPr>
              <w:pStyle w:val="115"/>
              <w:jc w:val="center"/>
              <w:rPr>
                <w:rFonts w:ascii="宋体" w:hAnsi="宋体" w:eastAsia="宋体" w:cs="宋体"/>
                <w:sz w:val="21"/>
                <w:szCs w:val="21"/>
                <w:highlight w:val="none"/>
              </w:rPr>
            </w:pPr>
            <w:r>
              <w:rPr>
                <w:rFonts w:ascii="宋体" w:hAnsi="宋体" w:eastAsia="宋体"/>
                <w:sz w:val="21"/>
                <w:szCs w:val="21"/>
                <w:highlight w:val="none"/>
              </w:rPr>
              <w:t>企业获奖</w:t>
            </w:r>
          </w:p>
        </w:tc>
        <w:tc>
          <w:tcPr>
            <w:tcW w:w="865" w:type="dxa"/>
            <w:tcBorders>
              <w:top w:val="single" w:color="auto" w:sz="4" w:space="0"/>
              <w:left w:val="single" w:color="auto" w:sz="4" w:space="0"/>
              <w:right w:val="single" w:color="auto" w:sz="4" w:space="0"/>
            </w:tcBorders>
            <w:vAlign w:val="center"/>
          </w:tcPr>
          <w:p>
            <w:pPr>
              <w:pStyle w:val="115"/>
              <w:jc w:val="center"/>
              <w:rPr>
                <w:rFonts w:ascii="宋体" w:hAnsi="宋体" w:cs="宋体"/>
                <w:sz w:val="21"/>
                <w:szCs w:val="21"/>
                <w:highlight w:val="none"/>
              </w:rPr>
            </w:pPr>
            <w:r>
              <w:rPr>
                <w:rFonts w:hint="eastAsia" w:ascii="宋体" w:hAnsi="宋体" w:eastAsia="宋体"/>
                <w:sz w:val="21"/>
                <w:szCs w:val="21"/>
                <w:highlight w:val="none"/>
              </w:rPr>
              <w:t>7</w:t>
            </w:r>
          </w:p>
        </w:tc>
        <w:tc>
          <w:tcPr>
            <w:tcW w:w="11063" w:type="dxa"/>
            <w:tcBorders>
              <w:top w:val="single" w:color="auto" w:sz="4" w:space="0"/>
              <w:left w:val="single" w:color="auto" w:sz="4" w:space="0"/>
              <w:bottom w:val="single" w:color="auto" w:sz="4" w:space="0"/>
              <w:right w:val="single" w:color="auto" w:sz="4" w:space="0"/>
            </w:tcBorders>
            <w:vAlign w:val="center"/>
          </w:tcPr>
          <w:p>
            <w:pPr>
              <w:pStyle w:val="115"/>
              <w:jc w:val="left"/>
              <w:rPr>
                <w:highlight w:val="none"/>
              </w:rPr>
            </w:pPr>
            <w:r>
              <w:rPr>
                <w:rStyle w:val="116"/>
                <w:rFonts w:hint="eastAsia"/>
                <w:color w:val="auto"/>
                <w:sz w:val="21"/>
                <w:szCs w:val="21"/>
                <w:highlight w:val="none"/>
                <w:lang w:val="en-US"/>
              </w:rPr>
              <w:t>投标人完成过的市政公用工程自2018年1月1日至今：获得过国家级工程质量奖项每项得2分；获得过省级工程质量奖项每项得1分；获得过市级工程质量奖项每项得0.5分；本项最高得7分。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7" w:type="pct"/>
            <w:vMerge w:val="continue"/>
            <w:tcBorders>
              <w:left w:val="single" w:color="auto" w:sz="8" w:space="0"/>
              <w:right w:val="single" w:color="auto" w:sz="4" w:space="0"/>
            </w:tcBorders>
            <w:vAlign w:val="center"/>
          </w:tcPr>
          <w:p>
            <w:pPr>
              <w:autoSpaceDE w:val="0"/>
              <w:autoSpaceDN w:val="0"/>
              <w:adjustRightInd w:val="0"/>
              <w:snapToGrid w:val="0"/>
              <w:jc w:val="center"/>
              <w:rPr>
                <w:rFonts w:ascii="宋体" w:hAnsi="宋体" w:cs="宋体"/>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pStyle w:val="115"/>
              <w:jc w:val="center"/>
              <w:rPr>
                <w:rFonts w:ascii="宋体" w:hAnsi="宋体" w:cs="宋体"/>
                <w:sz w:val="21"/>
                <w:szCs w:val="21"/>
                <w:highlight w:val="none"/>
              </w:rPr>
            </w:pPr>
            <w:r>
              <w:rPr>
                <w:rFonts w:ascii="宋体" w:hAnsi="宋体" w:eastAsia="宋体"/>
                <w:sz w:val="21"/>
                <w:szCs w:val="21"/>
                <w:highlight w:val="none"/>
              </w:rPr>
              <w:t>工程研发能力</w:t>
            </w:r>
          </w:p>
        </w:tc>
        <w:tc>
          <w:tcPr>
            <w:tcW w:w="865" w:type="dxa"/>
            <w:tcBorders>
              <w:top w:val="single" w:color="auto" w:sz="4" w:space="0"/>
              <w:left w:val="single" w:color="auto" w:sz="4" w:space="0"/>
              <w:bottom w:val="single" w:color="auto" w:sz="4" w:space="0"/>
              <w:right w:val="single" w:color="auto" w:sz="4" w:space="0"/>
            </w:tcBorders>
            <w:vAlign w:val="center"/>
          </w:tcPr>
          <w:p>
            <w:pPr>
              <w:pStyle w:val="115"/>
              <w:jc w:val="center"/>
              <w:rPr>
                <w:rFonts w:ascii="宋体" w:hAnsi="宋体" w:cs="宋体"/>
                <w:sz w:val="21"/>
                <w:szCs w:val="21"/>
                <w:highlight w:val="none"/>
              </w:rPr>
            </w:pPr>
            <w:r>
              <w:rPr>
                <w:rFonts w:hint="eastAsia" w:ascii="宋体" w:hAnsi="宋体" w:eastAsia="宋体"/>
                <w:sz w:val="21"/>
                <w:szCs w:val="21"/>
                <w:highlight w:val="none"/>
              </w:rPr>
              <w:t>9</w:t>
            </w:r>
          </w:p>
        </w:tc>
        <w:tc>
          <w:tcPr>
            <w:tcW w:w="11063" w:type="dxa"/>
            <w:tcBorders>
              <w:top w:val="single" w:color="auto" w:sz="4" w:space="0"/>
              <w:left w:val="single" w:color="auto" w:sz="4" w:space="0"/>
              <w:bottom w:val="single" w:color="auto" w:sz="4" w:space="0"/>
              <w:right w:val="single" w:color="auto" w:sz="4" w:space="0"/>
            </w:tcBorders>
            <w:vAlign w:val="center"/>
          </w:tcPr>
          <w:p>
            <w:pPr>
              <w:pStyle w:val="115"/>
              <w:adjustRightInd w:val="0"/>
              <w:snapToGrid w:val="0"/>
              <w:rPr>
                <w:rFonts w:ascii="宋体" w:hAnsi="宋体" w:eastAsia="宋体" w:cs="宋体"/>
                <w:b/>
                <w:color w:val="000000"/>
                <w:kern w:val="2"/>
                <w:sz w:val="21"/>
                <w:szCs w:val="21"/>
                <w:highlight w:val="none"/>
              </w:rPr>
            </w:pPr>
            <w:r>
              <w:rPr>
                <w:rFonts w:ascii="宋体" w:hAnsi="宋体" w:eastAsia="宋体" w:cs="宋体"/>
                <w:sz w:val="21"/>
                <w:szCs w:val="21"/>
                <w:highlight w:val="none"/>
              </w:rPr>
              <w:t>1、</w:t>
            </w:r>
            <w:r>
              <w:rPr>
                <w:rFonts w:hint="eastAsia" w:ascii="宋体" w:hAnsi="宋体" w:eastAsia="宋体" w:cs="宋体"/>
                <w:sz w:val="21"/>
                <w:szCs w:val="21"/>
                <w:highlight w:val="none"/>
              </w:rPr>
              <w:t>投标人自2018年1月1日至今编制过市政类工程国家（或行业）标准（或规范或规程）的，每项得1分，本小项最多得5分。</w:t>
            </w:r>
          </w:p>
          <w:p>
            <w:pPr>
              <w:rPr>
                <w:rFonts w:ascii="宋体" w:hAnsi="宋体" w:cs="宋体"/>
                <w:szCs w:val="21"/>
                <w:highlight w:val="none"/>
              </w:rPr>
            </w:pPr>
            <w:r>
              <w:rPr>
                <w:rFonts w:hint="eastAsia" w:ascii="宋体" w:hAnsi="宋体" w:cs="宋体"/>
                <w:szCs w:val="21"/>
                <w:highlight w:val="none"/>
              </w:rPr>
              <w:t>2、投标人自2018年1月1日至今，获得过工程建设类发明专利：获得15项或以上的，得4分；获得10项或以上至15项（不含本数）的，得2分；10项（不含本数）以下的，得1分；本小项最多得4分。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447" w:type="pct"/>
            <w:vMerge w:val="continue"/>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pStyle w:val="115"/>
              <w:jc w:val="center"/>
              <w:rPr>
                <w:rFonts w:ascii="宋体" w:hAnsi="宋体" w:cs="宋体"/>
                <w:sz w:val="21"/>
                <w:szCs w:val="21"/>
                <w:highlight w:val="none"/>
              </w:rPr>
            </w:pPr>
            <w:r>
              <w:rPr>
                <w:rFonts w:hint="eastAsia" w:ascii="宋体" w:hAnsi="宋体" w:eastAsia="宋体"/>
                <w:sz w:val="21"/>
                <w:szCs w:val="21"/>
                <w:highlight w:val="none"/>
              </w:rPr>
              <w:t>第三方评价</w:t>
            </w:r>
          </w:p>
        </w:tc>
        <w:tc>
          <w:tcPr>
            <w:tcW w:w="865" w:type="dxa"/>
            <w:tcBorders>
              <w:top w:val="single" w:color="auto" w:sz="4" w:space="0"/>
              <w:left w:val="single" w:color="auto" w:sz="4" w:space="0"/>
              <w:bottom w:val="single" w:color="auto" w:sz="4" w:space="0"/>
              <w:right w:val="single" w:color="auto" w:sz="4" w:space="0"/>
            </w:tcBorders>
            <w:vAlign w:val="center"/>
          </w:tcPr>
          <w:p>
            <w:pPr>
              <w:pStyle w:val="115"/>
              <w:jc w:val="center"/>
              <w:rPr>
                <w:rFonts w:ascii="宋体" w:hAnsi="宋体" w:cs="宋体"/>
                <w:sz w:val="21"/>
                <w:szCs w:val="21"/>
                <w:highlight w:val="none"/>
              </w:rPr>
            </w:pPr>
            <w:r>
              <w:rPr>
                <w:rFonts w:hint="eastAsia" w:ascii="宋体" w:hAnsi="宋体" w:eastAsia="宋体"/>
                <w:sz w:val="21"/>
                <w:szCs w:val="21"/>
                <w:highlight w:val="none"/>
              </w:rPr>
              <w:t>6</w:t>
            </w:r>
          </w:p>
        </w:tc>
        <w:tc>
          <w:tcPr>
            <w:tcW w:w="11063" w:type="dxa"/>
            <w:tcBorders>
              <w:top w:val="single" w:color="auto" w:sz="4" w:space="0"/>
              <w:left w:val="single" w:color="auto" w:sz="4" w:space="0"/>
              <w:bottom w:val="single" w:color="auto" w:sz="4" w:space="0"/>
              <w:right w:val="single" w:color="auto" w:sz="4" w:space="0"/>
            </w:tcBorders>
            <w:vAlign w:val="center"/>
          </w:tcPr>
          <w:p>
            <w:pPr>
              <w:pStyle w:val="115"/>
              <w:adjustRightInd w:val="0"/>
              <w:snapToGrid w:val="0"/>
              <w:jc w:val="left"/>
              <w:rPr>
                <w:rFonts w:ascii="宋体" w:hAnsi="宋体" w:eastAsia="宋体" w:cs="宋体"/>
                <w:sz w:val="21"/>
                <w:szCs w:val="21"/>
                <w:highlight w:val="none"/>
              </w:rPr>
            </w:pPr>
            <w:r>
              <w:rPr>
                <w:rFonts w:hint="eastAsia" w:ascii="宋体" w:hAnsi="宋体" w:eastAsia="宋体" w:cs="宋体"/>
                <w:sz w:val="21"/>
                <w:szCs w:val="21"/>
                <w:highlight w:val="none"/>
              </w:rPr>
              <w:t>1、投标人自2018年1月1日至投标截止时间止，获得过省级或以上市政行业信用评价AAAAA级的，得3分；AAAA级的，得2分；AAA级或AA级或A级的，得1分。按最高得分计算一次，不满足以上条件的不得分，本小项最高得3分。</w:t>
            </w:r>
          </w:p>
          <w:p>
            <w:pPr>
              <w:rPr>
                <w:rFonts w:ascii="宋体" w:hAnsi="宋体" w:cs="宋体"/>
                <w:szCs w:val="21"/>
                <w:highlight w:val="none"/>
              </w:rPr>
            </w:pPr>
            <w:r>
              <w:rPr>
                <w:rFonts w:hint="eastAsia" w:ascii="宋体" w:hAnsi="宋体" w:cs="宋体"/>
                <w:szCs w:val="21"/>
                <w:highlight w:val="none"/>
              </w:rPr>
              <w:t>2、投标人自2018年1月1日至投标截止时间止，</w:t>
            </w:r>
            <w:r>
              <w:rPr>
                <w:rFonts w:ascii="宋体" w:hAnsi="宋体" w:cs="宋体"/>
                <w:szCs w:val="21"/>
                <w:highlight w:val="none"/>
              </w:rPr>
              <w:t>获得过省级或以上市政行业协会颁发的先进单位或先进企业称号，</w:t>
            </w:r>
            <w:r>
              <w:rPr>
                <w:rFonts w:hint="eastAsia" w:ascii="宋体" w:hAnsi="宋体" w:cs="宋体"/>
                <w:szCs w:val="21"/>
                <w:highlight w:val="none"/>
              </w:rPr>
              <w:t>连续5年</w:t>
            </w:r>
            <w:r>
              <w:rPr>
                <w:rFonts w:ascii="宋体" w:hAnsi="宋体" w:cs="宋体"/>
                <w:szCs w:val="21"/>
                <w:highlight w:val="none"/>
              </w:rPr>
              <w:t>的，得3分；</w:t>
            </w:r>
            <w:r>
              <w:rPr>
                <w:rFonts w:hint="eastAsia" w:ascii="宋体" w:hAnsi="宋体" w:cs="宋体"/>
                <w:szCs w:val="21"/>
                <w:highlight w:val="none"/>
              </w:rPr>
              <w:t>连续4年</w:t>
            </w:r>
            <w:r>
              <w:rPr>
                <w:rFonts w:ascii="宋体" w:hAnsi="宋体" w:cs="宋体"/>
                <w:szCs w:val="21"/>
                <w:highlight w:val="none"/>
              </w:rPr>
              <w:t>的，得</w:t>
            </w:r>
            <w:r>
              <w:rPr>
                <w:rFonts w:hint="eastAsia" w:ascii="宋体" w:hAnsi="宋体" w:cs="宋体"/>
                <w:szCs w:val="21"/>
                <w:highlight w:val="none"/>
              </w:rPr>
              <w:t>2</w:t>
            </w:r>
            <w:r>
              <w:rPr>
                <w:rFonts w:ascii="宋体" w:hAnsi="宋体" w:cs="宋体"/>
                <w:szCs w:val="21"/>
                <w:highlight w:val="none"/>
              </w:rPr>
              <w:t>分；</w:t>
            </w:r>
            <w:r>
              <w:rPr>
                <w:rFonts w:hint="eastAsia" w:ascii="宋体" w:hAnsi="宋体" w:cs="宋体"/>
                <w:szCs w:val="21"/>
                <w:highlight w:val="none"/>
              </w:rPr>
              <w:t>连续3年或以下</w:t>
            </w:r>
            <w:r>
              <w:rPr>
                <w:rFonts w:ascii="宋体" w:hAnsi="宋体" w:cs="宋体"/>
                <w:szCs w:val="21"/>
                <w:highlight w:val="none"/>
              </w:rPr>
              <w:t>的，得</w:t>
            </w:r>
            <w:r>
              <w:rPr>
                <w:rFonts w:hint="eastAsia" w:ascii="宋体" w:hAnsi="宋体" w:cs="宋体"/>
                <w:szCs w:val="21"/>
                <w:highlight w:val="none"/>
              </w:rPr>
              <w:t>1分</w:t>
            </w:r>
            <w:r>
              <w:rPr>
                <w:rFonts w:ascii="宋体" w:hAnsi="宋体" w:cs="宋体"/>
                <w:szCs w:val="21"/>
                <w:highlight w:val="none"/>
              </w:rPr>
              <w:t>；没有获得的不得分</w:t>
            </w:r>
            <w:r>
              <w:rPr>
                <w:rFonts w:hint="eastAsia" w:ascii="宋体" w:hAnsi="宋体" w:cs="宋体"/>
                <w:szCs w:val="21"/>
                <w:highlight w:val="none"/>
              </w:rPr>
              <w:t>；本小项最多得3分</w:t>
            </w:r>
            <w:r>
              <w:rPr>
                <w:rFonts w:ascii="宋体" w:hAnsi="宋体" w:cs="宋体"/>
                <w:szCs w:val="21"/>
                <w:highlight w:val="none"/>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31" w:type="pct"/>
            <w:gridSpan w:val="2"/>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合计（一+二）</w:t>
            </w:r>
          </w:p>
        </w:tc>
        <w:tc>
          <w:tcPr>
            <w:tcW w:w="2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100</w:t>
            </w:r>
          </w:p>
        </w:tc>
        <w:tc>
          <w:tcPr>
            <w:tcW w:w="37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szCs w:val="21"/>
                <w:highlight w:val="none"/>
              </w:rPr>
            </w:pPr>
          </w:p>
        </w:tc>
      </w:tr>
    </w:tbl>
    <w:p>
      <w:pPr>
        <w:rPr>
          <w:rFonts w:ascii="宋体" w:hAnsi="宋体"/>
          <w:szCs w:val="21"/>
          <w:highlight w:val="none"/>
        </w:rPr>
      </w:pPr>
      <w:r>
        <w:rPr>
          <w:rFonts w:hint="eastAsia" w:ascii="宋体" w:hAnsi="宋体"/>
          <w:szCs w:val="21"/>
          <w:highlight w:val="none"/>
        </w:rPr>
        <w:t>备注：</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2.类似工程业绩</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类似工程业绩是指单项工程中标价大于或等于2500万元的市政公用工程施工总承包业绩。投标人需提供以下资料：</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1）提供业绩的中标通知书（或免招标证明）、施工合同（仅需附协议书部分）、单位工程验收鉴定证书或合同工程完工验收鉴定书或工程竣工验收报告及其他补充（如需要）反映工程信息的相关证明材料扫描件。</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2）业绩金额以中标通知书为准，中标通知书上没有金额的，以施工合同（不含补充合同）为准，时间以工程竣工验收报告等材料的日期为准。如为设计施工总承包项目（EPC项目）的，则投标人须为本项目的唯一施工单位。</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3）提供的材料不符合上述条件或未提供上述资料的，该业绩不予认定。</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3. 企业工程项目获奖情况：</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需提供获奖证书扫描件，时间以发证时间为准。国家级质量奖项是指鲁班奖、詹天佑奖、国家优质工程金质奖、国家优质工程奖、市政工程最高质量水平评价；省级质量奖项指省级工程优质奖或优良样板工程奖等各类工程实体奖项，不含技术类奖项。同一项目获得多个奖项的，该项目获奖只按其中一个奖项所在最高级别计算一次分数，不得重复计算。</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4. 企业工程研发能力：</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1）标准（或规范或规程）时间以实施时间为准。国家（或行业）标准（或规范或规程）须提供在中华人民共和国住房和城乡建设部官网（https://www.mohurd.gov.cn/）查询到该标准发布公告的截图以及从该网下载的该标准的前面关键页（需能体现投标人为主编、参编、起草单位）的复印件。</w:t>
      </w:r>
    </w:p>
    <w:p>
      <w:pPr>
        <w:tabs>
          <w:tab w:val="left" w:pos="360"/>
        </w:tabs>
        <w:adjustRightInd w:val="0"/>
        <w:snapToGrid w:val="0"/>
        <w:spacing w:line="300" w:lineRule="exact"/>
        <w:ind w:left="42" w:leftChars="20" w:right="42" w:rightChars="20"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szCs w:val="21"/>
          <w:highlight w:val="none"/>
        </w:rPr>
        <w:t>工程建设类发明授权专利以国家知识产权局网站（http://epub.cnipa.gov.cn/）中的“中国专利公布公告”-“发明授权”可查询的发明授权类专利为准，时间以授权公告日期为准，投标人须提交上述网站可反映企业专利类型为“发明授权”、授权公告号、授权公告日的查询页截图以及所对应的发明授权专利证书扫描件并加盖电子公章。仅计算发明授权类专利（不包含实用新型类专利、发明公布类专利及外观设计类专利）。不符合上述条件或未提供上述资料的不得分。</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5. 第三方评价：</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①投标人须提交由省级或以上市政行业协会颁发的信用评价证书复印件，没有获奖的或投标人分公司子公司名义获奖的或者不满足要求的不得分。证书发证机构必须是在中国社会组织政务服务平台（https://chinanpo.mca.gov.cn/）查询到的组织方为有效（附网页打印页或网页信息截图）。</w:t>
      </w:r>
    </w:p>
    <w:p>
      <w:pPr>
        <w:spacing w:line="320" w:lineRule="exact"/>
        <w:ind w:firstLine="422" w:firstLineChars="201"/>
        <w:jc w:val="left"/>
        <w:rPr>
          <w:rFonts w:ascii="宋体" w:hAnsi="宋体" w:cs="宋体"/>
          <w:szCs w:val="21"/>
          <w:highlight w:val="none"/>
        </w:rPr>
      </w:pPr>
      <w:r>
        <w:rPr>
          <w:rFonts w:hint="eastAsia" w:ascii="宋体" w:hAnsi="宋体" w:cs="宋体"/>
          <w:szCs w:val="21"/>
          <w:highlight w:val="none"/>
        </w:rPr>
        <w:t>②“先进单位或先进企业”：时间以证书中载明的获奖年度（或评价年度）为准，须包含最新评价年度2022年度。投标人须提供证书原件扫描件并加盖投标人电子印章。如提供相关行业协会颁发的证书，则须同时提供该行业协会在“中国社会组织政务服务平台”登记的网页查询截图。不同协会颁发的证书不互相累加。证书资料显示的企业全称须与投标人单位全称一致，不符合上述条件或未提供上述资料的不得分。</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6.项目管理机构能力：注：①上述人员须提供身份证、毕业证书（大学专科(或以上)学历）及投标截止前一个月（ 2023年6月）有效社保证明，且须按相应要求提供职称证、有效期内的注册证及有效期内的安全培训考核合格证(B类)或安全培训考核合格证(C类)或建筑施工企业项目负责人安全生产考核合格证书或建筑施工企业专职安全生产管理人员安全生产考核合格证书，所有资料为扫描件并加盖投标人电子公章；</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②项目负责人、技术负责人、质量负责人、安全负责人、造价负责人不得兼任，且安全负责人不能同时兼任专职安全员。</w:t>
      </w:r>
    </w:p>
    <w:p>
      <w:pPr>
        <w:tabs>
          <w:tab w:val="left" w:pos="360"/>
        </w:tabs>
        <w:snapToGrid w:val="0"/>
        <w:ind w:firstLine="420" w:firstLineChars="200"/>
        <w:rPr>
          <w:rFonts w:ascii="宋体" w:hAnsi="宋体" w:cs="宋体"/>
          <w:szCs w:val="21"/>
          <w:highlight w:val="none"/>
        </w:rPr>
      </w:pPr>
      <w:r>
        <w:rPr>
          <w:rFonts w:hint="eastAsia" w:ascii="宋体" w:hAnsi="宋体" w:cs="宋体"/>
          <w:szCs w:val="21"/>
          <w:highlight w:val="none"/>
        </w:rPr>
        <w:t>7. 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ind w:firstLine="420" w:firstLineChars="200"/>
        <w:rPr>
          <w:rFonts w:ascii="宋体" w:hAnsi="宋体" w:cs="宋体"/>
          <w:kern w:val="0"/>
          <w:szCs w:val="21"/>
          <w:highlight w:val="none"/>
          <w:lang w:val="zh-TW" w:eastAsia="zh-TW"/>
        </w:rPr>
      </w:pPr>
    </w:p>
    <w:p>
      <w:pPr>
        <w:ind w:firstLine="420" w:firstLineChars="200"/>
        <w:rPr>
          <w:highlight w:val="none"/>
        </w:rPr>
      </w:pPr>
      <w:r>
        <w:rPr>
          <w:rFonts w:hint="eastAsia" w:ascii="宋体" w:hAnsi="宋体" w:cs="宋体"/>
          <w:kern w:val="0"/>
          <w:szCs w:val="21"/>
          <w:highlight w:val="none"/>
          <w:lang w:val="zh-TW" w:eastAsia="zh-TW"/>
        </w:rPr>
        <w:t xml:space="preserve">评委签名：                                                                             </w:t>
      </w:r>
      <w:r>
        <w:rPr>
          <w:rFonts w:hint="eastAsia" w:ascii="宋体" w:hAnsi="宋体" w:cs="宋体"/>
          <w:kern w:val="0"/>
          <w:szCs w:val="21"/>
          <w:highlight w:val="none"/>
        </w:rPr>
        <w:t xml:space="preserve">      日期：     年   月   日</w:t>
      </w:r>
    </w:p>
    <w:p>
      <w:pPr>
        <w:rPr>
          <w:szCs w:val="21"/>
          <w:highlight w:val="none"/>
        </w:rPr>
      </w:pPr>
      <w:r>
        <w:rPr>
          <w:rFonts w:hint="eastAsia"/>
          <w:szCs w:val="21"/>
          <w:highlight w:val="none"/>
        </w:rPr>
        <w:br w:type="page"/>
      </w:r>
    </w:p>
    <w:p>
      <w:pPr>
        <w:rPr>
          <w:szCs w:val="21"/>
          <w:highlight w:val="none"/>
        </w:rPr>
      </w:pPr>
      <w:r>
        <w:rPr>
          <w:rFonts w:hint="eastAsia"/>
          <w:szCs w:val="21"/>
          <w:highlight w:val="none"/>
        </w:rPr>
        <w:t>附表五（适用于加权平均法）</w:t>
      </w:r>
    </w:p>
    <w:p>
      <w:pPr>
        <w:jc w:val="center"/>
        <w:rPr>
          <w:b/>
          <w:sz w:val="36"/>
          <w:szCs w:val="36"/>
          <w:highlight w:val="none"/>
        </w:rPr>
      </w:pPr>
      <w:r>
        <w:rPr>
          <w:rFonts w:hint="eastAsia"/>
          <w:b/>
          <w:sz w:val="36"/>
          <w:szCs w:val="36"/>
          <w:highlight w:val="none"/>
        </w:rPr>
        <w:t>经济标评分表</w:t>
      </w:r>
    </w:p>
    <w:p>
      <w:pPr>
        <w:rPr>
          <w:szCs w:val="21"/>
          <w:highlight w:val="none"/>
        </w:rPr>
      </w:pPr>
      <w:r>
        <w:rPr>
          <w:rFonts w:hint="eastAsia"/>
          <w:szCs w:val="21"/>
          <w:highlight w:val="none"/>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bl>
    <w:p>
      <w:pPr>
        <w:rPr>
          <w:highlight w:val="none"/>
        </w:rPr>
      </w:pPr>
      <w:r>
        <w:rPr>
          <w:rFonts w:hint="eastAsia"/>
          <w:szCs w:val="21"/>
          <w:highlight w:val="none"/>
        </w:rPr>
        <w:t>评委签名：</w:t>
      </w:r>
      <w:r>
        <w:rPr>
          <w:b/>
          <w:sz w:val="36"/>
          <w:szCs w:val="36"/>
          <w:highlight w:val="none"/>
        </w:rPr>
        <w:br w:type="page"/>
      </w:r>
    </w:p>
    <w:p>
      <w:pPr>
        <w:rPr>
          <w:rFonts w:ascii="宋体" w:hAnsi="宋体" w:cs="宋体"/>
          <w:b/>
          <w:szCs w:val="21"/>
          <w:highlight w:val="none"/>
        </w:rPr>
      </w:pPr>
      <w:r>
        <w:rPr>
          <w:rFonts w:hint="eastAsia" w:ascii="宋体" w:hAnsi="宋体" w:cs="宋体"/>
          <w:szCs w:val="21"/>
          <w:highlight w:val="none"/>
        </w:rPr>
        <w:t>附表六</w:t>
      </w:r>
    </w:p>
    <w:p>
      <w:pPr>
        <w:jc w:val="center"/>
        <w:rPr>
          <w:rFonts w:ascii="宋体" w:hAnsi="宋体" w:cs="宋体"/>
          <w:b/>
          <w:sz w:val="36"/>
          <w:szCs w:val="36"/>
          <w:highlight w:val="none"/>
        </w:rPr>
      </w:pPr>
      <w:r>
        <w:rPr>
          <w:rFonts w:hint="eastAsia" w:ascii="宋体" w:hAnsi="宋体" w:cs="宋体"/>
          <w:b/>
          <w:sz w:val="36"/>
          <w:szCs w:val="36"/>
          <w:highlight w:val="none"/>
        </w:rPr>
        <w:t>算术复核表</w:t>
      </w:r>
    </w:p>
    <w:p>
      <w:pPr>
        <w:rPr>
          <w:rFonts w:ascii="宋体" w:hAnsi="宋体" w:cs="宋体"/>
          <w:kern w:val="0"/>
          <w:szCs w:val="21"/>
          <w:highlight w:val="none"/>
        </w:rPr>
      </w:pPr>
      <w:r>
        <w:rPr>
          <w:rFonts w:hint="eastAsia" w:ascii="宋体" w:hAnsi="宋体" w:cs="宋体"/>
          <w:kern w:val="0"/>
          <w:szCs w:val="21"/>
          <w:highlight w:val="none"/>
        </w:rPr>
        <w:t>工程名称：                                           投标人:                                                  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修正前投标</w:t>
            </w:r>
          </w:p>
          <w:p>
            <w:pPr>
              <w:rPr>
                <w:rFonts w:ascii="宋体" w:hAnsi="宋体" w:cs="宋体"/>
                <w:kern w:val="0"/>
                <w:szCs w:val="21"/>
                <w:highlight w:val="none"/>
              </w:rPr>
            </w:pPr>
            <w:r>
              <w:rPr>
                <w:rFonts w:hint="eastAsia" w:ascii="宋体" w:hAnsi="宋体" w:cs="宋体"/>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修正后投标</w:t>
            </w:r>
          </w:p>
          <w:p>
            <w:pPr>
              <w:rPr>
                <w:rFonts w:ascii="宋体" w:hAnsi="宋体" w:cs="宋体"/>
                <w:kern w:val="0"/>
                <w:szCs w:val="21"/>
                <w:highlight w:val="none"/>
              </w:rPr>
            </w:pPr>
            <w:r>
              <w:rPr>
                <w:rFonts w:hint="eastAsia" w:ascii="宋体" w:hAnsi="宋体" w:cs="宋体"/>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修正率</w:t>
            </w:r>
            <w:r>
              <w:rPr>
                <w:rFonts w:hint="eastAsia" w:ascii="宋体" w:hAnsi="宋体" w:cs="宋体"/>
                <w:kern w:val="0"/>
                <w:szCs w:val="21"/>
                <w:highlight w:val="none"/>
              </w:rPr>
              <w:br w:type="textWrapping"/>
            </w:r>
            <w:r>
              <w:rPr>
                <w:rFonts w:hint="eastAsia" w:ascii="宋体" w:hAnsi="宋体" w:cs="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∑A=A</w:t>
            </w:r>
            <w:r>
              <w:rPr>
                <w:rFonts w:hint="eastAsia" w:ascii="宋体" w:hAnsi="宋体" w:cs="宋体"/>
                <w:kern w:val="0"/>
                <w:szCs w:val="21"/>
                <w:highlight w:val="none"/>
                <w:vertAlign w:val="subscript"/>
              </w:rPr>
              <w:t>1</w:t>
            </w:r>
            <w:r>
              <w:rPr>
                <w:rFonts w:hint="eastAsia" w:ascii="宋体" w:hAnsi="宋体" w:cs="宋体"/>
                <w:kern w:val="0"/>
                <w:szCs w:val="21"/>
                <w:highlight w:val="none"/>
              </w:rPr>
              <w:t>+A</w:t>
            </w:r>
            <w:r>
              <w:rPr>
                <w:rFonts w:hint="eastAsia" w:ascii="宋体" w:hAnsi="宋体" w:cs="宋体"/>
                <w:kern w:val="0"/>
                <w:szCs w:val="21"/>
                <w:highlight w:val="none"/>
                <w:vertAlign w:val="subscript"/>
              </w:rPr>
              <w:t>2</w:t>
            </w:r>
            <w:r>
              <w:rPr>
                <w:rFonts w:hint="eastAsia" w:ascii="宋体" w:hAnsi="宋体" w:cs="宋体"/>
                <w:kern w:val="0"/>
                <w:szCs w:val="21"/>
                <w:highlight w:val="none"/>
              </w:rPr>
              <w:t>+…An；∑B=B</w:t>
            </w:r>
            <w:r>
              <w:rPr>
                <w:rFonts w:hint="eastAsia" w:ascii="宋体" w:hAnsi="宋体" w:cs="宋体"/>
                <w:kern w:val="0"/>
                <w:szCs w:val="21"/>
                <w:highlight w:val="none"/>
                <w:vertAlign w:val="subscript"/>
              </w:rPr>
              <w:t>1</w:t>
            </w:r>
            <w:r>
              <w:rPr>
                <w:rFonts w:hint="eastAsia" w:ascii="宋体" w:hAnsi="宋体" w:cs="宋体"/>
                <w:kern w:val="0"/>
                <w:szCs w:val="21"/>
                <w:highlight w:val="none"/>
              </w:rPr>
              <w:t>+B</w:t>
            </w:r>
            <w:r>
              <w:rPr>
                <w:rFonts w:hint="eastAsia" w:ascii="宋体" w:hAnsi="宋体" w:cs="宋体"/>
                <w:kern w:val="0"/>
                <w:szCs w:val="21"/>
                <w:highlight w:val="none"/>
                <w:vertAlign w:val="subscript"/>
              </w:rPr>
              <w:t>2</w:t>
            </w:r>
            <w:r>
              <w:rPr>
                <w:rFonts w:hint="eastAsia" w:ascii="宋体" w:hAnsi="宋体" w:cs="宋体"/>
                <w:kern w:val="0"/>
                <w:szCs w:val="21"/>
                <w:highlight w:val="none"/>
              </w:rPr>
              <w:t>+…Bn</w:t>
            </w:r>
          </w:p>
        </w:tc>
      </w:tr>
    </w:tbl>
    <w:p>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highlight w:val="none"/>
        </w:rPr>
        <w:tab/>
      </w:r>
    </w:p>
    <w:p>
      <w:pPr>
        <w:rPr>
          <w:rFonts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日期：</w:t>
      </w:r>
    </w:p>
    <w:p>
      <w:pPr>
        <w:rPr>
          <w:rFonts w:ascii="宋体" w:hAnsi="宋体" w:cs="宋体"/>
          <w:highlight w:val="none"/>
        </w:rPr>
      </w:pPr>
    </w:p>
    <w:p>
      <w:pPr>
        <w:rPr>
          <w:rFonts w:ascii="宋体" w:hAnsi="宋体" w:cs="宋体"/>
          <w:highlight w:val="none"/>
        </w:rPr>
      </w:pPr>
      <w:r>
        <w:rPr>
          <w:rFonts w:hint="eastAsia" w:ascii="宋体" w:hAnsi="宋体" w:cs="宋体"/>
          <w:highlight w:val="none"/>
        </w:rPr>
        <w:br w:type="page"/>
      </w:r>
    </w:p>
    <w:p>
      <w:pPr>
        <w:jc w:val="center"/>
        <w:rPr>
          <w:rFonts w:ascii="宋体" w:hAnsi="宋体" w:cs="宋体"/>
          <w:b/>
          <w:sz w:val="36"/>
          <w:szCs w:val="36"/>
          <w:highlight w:val="none"/>
        </w:rPr>
      </w:pPr>
      <w:r>
        <w:rPr>
          <w:rFonts w:hint="eastAsia" w:ascii="宋体" w:hAnsi="宋体" w:cs="宋体"/>
          <w:b/>
          <w:sz w:val="36"/>
          <w:szCs w:val="36"/>
          <w:highlight w:val="none"/>
        </w:rPr>
        <w:t>算术复核表</w:t>
      </w:r>
    </w:p>
    <w:p>
      <w:pPr>
        <w:rPr>
          <w:rFonts w:ascii="宋体" w:hAnsi="宋体" w:cs="宋体"/>
          <w:szCs w:val="21"/>
          <w:highlight w:val="none"/>
        </w:rPr>
      </w:pPr>
      <w:r>
        <w:rPr>
          <w:rFonts w:hint="eastAsia" w:ascii="宋体" w:hAnsi="宋体" w:cs="宋体"/>
          <w:szCs w:val="21"/>
          <w:highlight w:val="none"/>
        </w:rPr>
        <w:t>工程名称：</w:t>
      </w:r>
    </w:p>
    <w:tbl>
      <w:tblPr>
        <w:tblStyle w:val="35"/>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bl>
    <w:p>
      <w:pPr>
        <w:rPr>
          <w:rFonts w:ascii="宋体" w:hAnsi="宋体" w:cs="宋体"/>
          <w:szCs w:val="21"/>
          <w:highlight w:val="none"/>
        </w:rPr>
      </w:pPr>
      <w:r>
        <w:rPr>
          <w:rFonts w:hint="eastAsia" w:ascii="宋体" w:hAnsi="宋体" w:cs="宋体"/>
          <w:szCs w:val="21"/>
          <w:highlight w:val="none"/>
        </w:rPr>
        <w:t>评委签名：</w:t>
      </w:r>
    </w:p>
    <w:p>
      <w:pPr>
        <w:spacing w:line="360" w:lineRule="auto"/>
        <w:jc w:val="center"/>
        <w:rPr>
          <w:rFonts w:ascii="宋体" w:hAnsi="宋体" w:cs="宋体"/>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highlight w:val="none"/>
        </w:rPr>
      </w:pPr>
      <w:bookmarkStart w:id="32" w:name="_Toc2272566"/>
      <w:bookmarkStart w:id="33" w:name="_Toc21525511"/>
      <w:r>
        <w:rPr>
          <w:rFonts w:hint="eastAsia"/>
          <w:highlight w:val="none"/>
        </w:rPr>
        <w:t>第三章</w:t>
      </w:r>
      <w:r>
        <w:rPr>
          <w:highlight w:val="none"/>
        </w:rPr>
        <w:t xml:space="preserve">  </w:t>
      </w:r>
      <w:r>
        <w:rPr>
          <w:rFonts w:hint="eastAsia"/>
          <w:highlight w:val="none"/>
        </w:rPr>
        <w:t>合同条款</w:t>
      </w:r>
      <w:bookmarkEnd w:id="32"/>
      <w:bookmarkEnd w:id="33"/>
    </w:p>
    <w:p>
      <w:pPr>
        <w:jc w:val="center"/>
        <w:rPr>
          <w:rFonts w:ascii="宋体"/>
          <w:b/>
          <w:sz w:val="32"/>
          <w:szCs w:val="32"/>
          <w:highlight w:val="none"/>
        </w:rPr>
      </w:pPr>
      <w:r>
        <w:rPr>
          <w:rFonts w:hint="eastAsia" w:ascii="宋体" w:hAnsi="宋体" w:cs="宋体"/>
          <w:sz w:val="32"/>
          <w:szCs w:val="32"/>
          <w:highlight w:val="none"/>
          <w:u w:val="single"/>
        </w:rPr>
        <w:t>另册</w:t>
      </w:r>
      <w:r>
        <w:rPr>
          <w:rFonts w:hint="eastAsia" w:ascii="宋体" w:hAnsi="宋体"/>
          <w:sz w:val="32"/>
          <w:szCs w:val="32"/>
          <w:highlight w:val="none"/>
        </w:rPr>
        <w:t>。</w:t>
      </w:r>
    </w:p>
    <w:p>
      <w:pPr>
        <w:widowControl/>
        <w:jc w:val="left"/>
        <w:rPr>
          <w:sz w:val="24"/>
          <w:szCs w:val="24"/>
          <w:highlight w:val="none"/>
        </w:rPr>
      </w:pPr>
      <w:r>
        <w:rPr>
          <w:sz w:val="24"/>
          <w:szCs w:val="24"/>
          <w:highlight w:val="none"/>
        </w:rPr>
        <w:br w:type="page"/>
      </w:r>
    </w:p>
    <w:p>
      <w:pPr>
        <w:pStyle w:val="3"/>
        <w:rPr>
          <w:highlight w:val="none"/>
        </w:rPr>
      </w:pPr>
      <w:bookmarkStart w:id="34" w:name="_Toc2272567"/>
      <w:bookmarkStart w:id="35" w:name="_Toc21525512"/>
      <w:r>
        <w:rPr>
          <w:rFonts w:hint="eastAsia"/>
          <w:highlight w:val="none"/>
        </w:rPr>
        <w:t>第四章</w:t>
      </w:r>
      <w:r>
        <w:rPr>
          <w:highlight w:val="none"/>
        </w:rPr>
        <w:t xml:space="preserve">  </w:t>
      </w:r>
      <w:r>
        <w:rPr>
          <w:rFonts w:hint="eastAsia"/>
          <w:highlight w:val="none"/>
        </w:rPr>
        <w:t>投标文件格式</w:t>
      </w:r>
      <w:bookmarkEnd w:id="34"/>
      <w:bookmarkEnd w:id="35"/>
    </w:p>
    <w:p>
      <w:pPr>
        <w:autoSpaceDE w:val="0"/>
        <w:autoSpaceDN w:val="0"/>
        <w:adjustRightInd w:val="0"/>
        <w:rPr>
          <w:bCs/>
          <w:szCs w:val="21"/>
          <w:highlight w:val="none"/>
        </w:rPr>
      </w:pPr>
      <w:r>
        <w:rPr>
          <w:highlight w:val="none"/>
        </w:rPr>
        <w:br w:type="page"/>
      </w:r>
      <w:r>
        <w:rPr>
          <w:rFonts w:hint="eastAsia"/>
          <w:bCs/>
          <w:szCs w:val="21"/>
          <w:highlight w:val="none"/>
        </w:rPr>
        <w:t>附件一</w:t>
      </w:r>
    </w:p>
    <w:p>
      <w:pPr>
        <w:autoSpaceDE w:val="0"/>
        <w:autoSpaceDN w:val="0"/>
        <w:adjustRightInd w:val="0"/>
        <w:rPr>
          <w:rFonts w:ascii="宋体" w:cs="宋体"/>
          <w:b/>
          <w:bCs/>
          <w:szCs w:val="21"/>
          <w:highlight w:val="none"/>
          <w:lang w:val="zh-CN"/>
        </w:rPr>
      </w:pPr>
      <w:r>
        <w:rPr>
          <w:rFonts w:hint="eastAsia"/>
          <w:bCs/>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highlight w:val="none"/>
          <w:lang w:val="zh-CN"/>
        </w:rPr>
      </w:pPr>
    </w:p>
    <w:p>
      <w:pPr>
        <w:autoSpaceDE w:val="0"/>
        <w:autoSpaceDN w:val="0"/>
        <w:adjustRightInd w:val="0"/>
        <w:ind w:left="-540" w:leftChars="-257" w:firstLine="1135" w:firstLineChars="257"/>
        <w:jc w:val="center"/>
        <w:rPr>
          <w:rFonts w:ascii="宋体"/>
          <w:b/>
          <w:bCs/>
          <w:sz w:val="52"/>
          <w:szCs w:val="52"/>
          <w:highlight w:val="none"/>
        </w:rPr>
      </w:pPr>
      <w:r>
        <w:rPr>
          <w:rFonts w:hint="eastAsia" w:ascii="宋体" w:hAnsi="宋体" w:cs="宋体"/>
          <w:b/>
          <w:bCs/>
          <w:sz w:val="44"/>
          <w:szCs w:val="44"/>
          <w:highlight w:val="none"/>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程</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名</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highlight w:val="none"/>
                <w:lang w:val="zh-CN"/>
              </w:rPr>
            </w:pPr>
            <w:r>
              <w:rPr>
                <w:rFonts w:hint="eastAsia" w:ascii="宋体" w:hAnsi="宋体" w:cs="宋体"/>
                <w:b/>
                <w:sz w:val="24"/>
                <w:szCs w:val="24"/>
                <w:highlight w:val="none"/>
                <w:lang w:val="zh-CN"/>
              </w:rPr>
              <w:t>投</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标</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总工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highlight w:val="none"/>
              </w:rPr>
            </w:pPr>
            <w:r>
              <w:rPr>
                <w:rFonts w:hint="eastAsia" w:ascii="宋体" w:hAnsi="宋体" w:cs="宋体"/>
                <w:b/>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sz w:val="24"/>
                <w:szCs w:val="24"/>
                <w:highlight w:val="none"/>
                <w:lang w:val="zh-CN"/>
              </w:rPr>
            </w:pPr>
            <w:r>
              <w:rPr>
                <w:rFonts w:hint="eastAsia" w:ascii="宋体" w:hAnsi="宋体" w:cs="宋体"/>
                <w:b/>
                <w:sz w:val="24"/>
                <w:szCs w:val="24"/>
                <w:highlight w:val="none"/>
                <w:lang w:val="zh-CN"/>
              </w:rPr>
              <w:t>保</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修</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期</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highlight w:val="none"/>
                <w:lang w:val="zh-CN"/>
              </w:rPr>
            </w:pPr>
          </w:p>
        </w:tc>
      </w:tr>
    </w:tbl>
    <w:p>
      <w:pPr>
        <w:tabs>
          <w:tab w:val="left" w:pos="720"/>
        </w:tabs>
        <w:snapToGrid w:val="0"/>
        <w:spacing w:line="360" w:lineRule="auto"/>
        <w:rPr>
          <w:sz w:val="24"/>
          <w:szCs w:val="24"/>
          <w:highlight w:val="none"/>
        </w:rPr>
      </w:pPr>
    </w:p>
    <w:p>
      <w:pPr>
        <w:autoSpaceDE w:val="0"/>
        <w:autoSpaceDN w:val="0"/>
        <w:adjustRightInd w:val="0"/>
        <w:rPr>
          <w:szCs w:val="21"/>
          <w:highlight w:val="none"/>
        </w:rPr>
      </w:pPr>
      <w:r>
        <w:rPr>
          <w:sz w:val="24"/>
          <w:szCs w:val="24"/>
          <w:highlight w:val="none"/>
        </w:rPr>
        <w:br w:type="page"/>
      </w:r>
      <w:r>
        <w:rPr>
          <w:rFonts w:hint="eastAsia"/>
          <w:szCs w:val="21"/>
          <w:highlight w:val="none"/>
        </w:rPr>
        <w:t>附件二</w:t>
      </w:r>
    </w:p>
    <w:p>
      <w:pPr>
        <w:tabs>
          <w:tab w:val="left" w:pos="720"/>
        </w:tabs>
        <w:snapToGrid w:val="0"/>
        <w:spacing w:line="360" w:lineRule="auto"/>
        <w:jc w:val="center"/>
        <w:rPr>
          <w:b/>
          <w:sz w:val="32"/>
          <w:szCs w:val="32"/>
          <w:highlight w:val="none"/>
        </w:rPr>
      </w:pPr>
      <w:r>
        <w:rPr>
          <w:rFonts w:hint="eastAsia"/>
          <w:b/>
          <w:sz w:val="32"/>
          <w:szCs w:val="32"/>
          <w:highlight w:val="none"/>
        </w:rPr>
        <w:t>投标文件编制人员名单</w:t>
      </w:r>
    </w:p>
    <w:p>
      <w:pPr>
        <w:tabs>
          <w:tab w:val="left" w:pos="720"/>
        </w:tabs>
        <w:snapToGrid w:val="0"/>
        <w:spacing w:line="360" w:lineRule="auto"/>
        <w:rPr>
          <w:sz w:val="24"/>
          <w:szCs w:val="24"/>
          <w:highlight w:val="none"/>
        </w:rPr>
      </w:pPr>
    </w:p>
    <w:p>
      <w:pPr>
        <w:tabs>
          <w:tab w:val="left" w:pos="720"/>
        </w:tabs>
        <w:snapToGrid w:val="0"/>
        <w:spacing w:line="360" w:lineRule="auto"/>
        <w:jc w:val="center"/>
        <w:rPr>
          <w:szCs w:val="21"/>
          <w:highlight w:val="none"/>
        </w:rPr>
      </w:pPr>
      <w:r>
        <w:rPr>
          <w:rFonts w:hint="eastAsia"/>
          <w:szCs w:val="21"/>
          <w:highlight w:val="none"/>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tabs>
          <w:tab w:val="left" w:pos="720"/>
        </w:tabs>
        <w:snapToGrid w:val="0"/>
        <w:spacing w:line="360" w:lineRule="auto"/>
        <w:rPr>
          <w:sz w:val="24"/>
          <w:szCs w:val="24"/>
          <w:highlight w:val="none"/>
        </w:rPr>
      </w:pPr>
    </w:p>
    <w:p>
      <w:pPr>
        <w:tabs>
          <w:tab w:val="left" w:pos="720"/>
        </w:tabs>
        <w:snapToGrid w:val="0"/>
        <w:spacing w:line="360" w:lineRule="auto"/>
        <w:rPr>
          <w:sz w:val="24"/>
          <w:szCs w:val="24"/>
          <w:highlight w:val="none"/>
        </w:rPr>
      </w:pPr>
    </w:p>
    <w:p>
      <w:pPr>
        <w:tabs>
          <w:tab w:val="left" w:pos="720"/>
        </w:tabs>
        <w:snapToGrid w:val="0"/>
        <w:spacing w:line="360" w:lineRule="auto"/>
        <w:jc w:val="center"/>
        <w:rPr>
          <w:szCs w:val="21"/>
          <w:highlight w:val="none"/>
        </w:rPr>
      </w:pPr>
      <w:r>
        <w:rPr>
          <w:rFonts w:hint="eastAsia"/>
          <w:szCs w:val="21"/>
          <w:highlight w:val="none"/>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tabs>
          <w:tab w:val="left" w:pos="720"/>
        </w:tabs>
        <w:snapToGrid w:val="0"/>
        <w:spacing w:line="360" w:lineRule="auto"/>
        <w:rPr>
          <w:sz w:val="24"/>
          <w:szCs w:val="24"/>
          <w:highlight w:val="none"/>
        </w:rPr>
      </w:pPr>
    </w:p>
    <w:p>
      <w:pPr>
        <w:pStyle w:val="5"/>
        <w:spacing w:after="0" w:line="360" w:lineRule="auto"/>
        <w:ind w:left="-2" w:leftChars="-1" w:firstLine="367" w:firstLineChars="175"/>
        <w:jc w:val="left"/>
        <w:rPr>
          <w:szCs w:val="21"/>
          <w:highlight w:val="none"/>
        </w:rPr>
      </w:pPr>
      <w:r>
        <w:rPr>
          <w:rFonts w:hint="eastAsia"/>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highlight w:val="none"/>
        </w:rPr>
      </w:pPr>
      <w:r>
        <w:rPr>
          <w:rFonts w:hint="eastAsia"/>
          <w:szCs w:val="21"/>
          <w:highlight w:val="none"/>
        </w:rPr>
        <w:t>附件三</w:t>
      </w:r>
    </w:p>
    <w:p>
      <w:pPr>
        <w:pStyle w:val="5"/>
        <w:spacing w:after="0" w:line="360" w:lineRule="auto"/>
        <w:ind w:firstLine="0"/>
        <w:jc w:val="center"/>
        <w:rPr>
          <w:sz w:val="32"/>
          <w:szCs w:val="32"/>
          <w:highlight w:val="none"/>
        </w:rPr>
      </w:pPr>
      <w:r>
        <w:rPr>
          <w:rFonts w:hint="eastAsia"/>
          <w:b/>
          <w:sz w:val="32"/>
          <w:szCs w:val="32"/>
          <w:highlight w:val="none"/>
        </w:rPr>
        <w:t>对投标文件编制的承诺</w:t>
      </w:r>
    </w:p>
    <w:p>
      <w:pPr>
        <w:pStyle w:val="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本公司授权</w:t>
      </w:r>
      <w:r>
        <w:rPr>
          <w:rFonts w:hint="eastAsia" w:ascii="宋体" w:hAnsi="宋体"/>
          <w:sz w:val="24"/>
          <w:szCs w:val="24"/>
          <w:highlight w:val="none"/>
          <w:u w:val="single"/>
        </w:rPr>
        <w:t xml:space="preserve">         （身份证号：               ）</w:t>
      </w:r>
      <w:r>
        <w:rPr>
          <w:rFonts w:hint="eastAsia" w:ascii="宋体" w:hAnsi="宋体"/>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highlight w:val="none"/>
        </w:rPr>
      </w:pPr>
      <w:r>
        <w:rPr>
          <w:rFonts w:hint="eastAsia" w:ascii="宋体" w:hAnsi="宋体"/>
          <w:sz w:val="24"/>
          <w:szCs w:val="24"/>
          <w:highlight w:val="none"/>
        </w:rPr>
        <w:t xml:space="preserve"> </w:t>
      </w:r>
    </w:p>
    <w:p>
      <w:pPr>
        <w:pStyle w:val="5"/>
        <w:spacing w:after="0" w:line="360" w:lineRule="auto"/>
        <w:ind w:firstLine="480" w:firstLineChars="200"/>
        <w:rPr>
          <w:rFonts w:ascii="宋体" w:hAnsi="宋体"/>
          <w:sz w:val="24"/>
          <w:szCs w:val="24"/>
          <w:highlight w:val="none"/>
        </w:rPr>
      </w:pPr>
      <w:r>
        <w:rPr>
          <w:rFonts w:hint="eastAsia" w:ascii="宋体" w:hAnsi="宋体"/>
          <w:sz w:val="24"/>
          <w:szCs w:val="24"/>
          <w:highlight w:val="none"/>
        </w:rPr>
        <w:t>附件：《投标文件编制情况》</w:t>
      </w:r>
    </w:p>
    <w:p>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投标人名称（盖法人公章）：</w:t>
      </w:r>
      <w:r>
        <w:rPr>
          <w:rFonts w:hint="eastAsia" w:ascii="宋体" w:hAnsi="宋体"/>
          <w:sz w:val="24"/>
          <w:szCs w:val="24"/>
          <w:highlight w:val="none"/>
          <w:u w:val="single"/>
        </w:rPr>
        <w:t xml:space="preserve">                  </w:t>
      </w:r>
    </w:p>
    <w:p>
      <w:pPr>
        <w:spacing w:line="360" w:lineRule="auto"/>
        <w:ind w:firstLine="2160" w:firstLineChars="900"/>
        <w:rPr>
          <w:rFonts w:ascii="宋体" w:hAnsi="宋体"/>
          <w:sz w:val="24"/>
          <w:szCs w:val="24"/>
          <w:highlight w:val="none"/>
          <w:u w:val="single"/>
        </w:rPr>
      </w:pPr>
      <w:r>
        <w:rPr>
          <w:rFonts w:hint="eastAsia" w:ascii="宋体" w:hAnsi="宋体"/>
          <w:sz w:val="24"/>
          <w:szCs w:val="24"/>
          <w:highlight w:val="none"/>
        </w:rPr>
        <w:t>法定代表人或被授权人（签字或盖章）：</w:t>
      </w:r>
      <w:r>
        <w:rPr>
          <w:rFonts w:hint="eastAsia" w:ascii="宋体" w:hAnsi="宋体"/>
          <w:sz w:val="24"/>
          <w:szCs w:val="24"/>
          <w:highlight w:val="none"/>
          <w:u w:val="single"/>
        </w:rPr>
        <w:t xml:space="preserve">                  </w:t>
      </w:r>
    </w:p>
    <w:p>
      <w:pPr>
        <w:spacing w:line="360" w:lineRule="auto"/>
        <w:ind w:firstLine="4440" w:firstLineChars="1850"/>
        <w:jc w:val="center"/>
        <w:rPr>
          <w:sz w:val="24"/>
          <w:szCs w:val="24"/>
          <w:highlight w:val="none"/>
        </w:rPr>
      </w:pPr>
      <w:r>
        <w:rPr>
          <w:rFonts w:hint="eastAsia"/>
          <w:sz w:val="24"/>
          <w:szCs w:val="24"/>
          <w:highlight w:val="none"/>
        </w:rPr>
        <w:t xml:space="preserve"> 日期：      年   月   日 </w:t>
      </w:r>
      <w:r>
        <w:rPr>
          <w:rFonts w:hint="eastAsia"/>
          <w:sz w:val="18"/>
          <w:szCs w:val="18"/>
          <w:highlight w:val="none"/>
        </w:rPr>
        <w:t xml:space="preserve"> </w:t>
      </w:r>
      <w:r>
        <w:rPr>
          <w:rFonts w:hint="eastAsia"/>
          <w:sz w:val="24"/>
          <w:szCs w:val="24"/>
          <w:highlight w:val="none"/>
        </w:rPr>
        <w:t xml:space="preserve">    </w:t>
      </w:r>
    </w:p>
    <w:p>
      <w:pPr>
        <w:pStyle w:val="5"/>
        <w:spacing w:after="0" w:line="360" w:lineRule="auto"/>
        <w:ind w:firstLine="0"/>
        <w:rPr>
          <w:b/>
          <w:sz w:val="32"/>
          <w:szCs w:val="32"/>
          <w:highlight w:val="none"/>
        </w:rPr>
      </w:pPr>
    </w:p>
    <w:p>
      <w:pPr>
        <w:pStyle w:val="5"/>
        <w:spacing w:after="0" w:line="360" w:lineRule="auto"/>
        <w:ind w:firstLine="643" w:firstLineChars="200"/>
        <w:jc w:val="center"/>
        <w:rPr>
          <w:sz w:val="18"/>
          <w:szCs w:val="18"/>
          <w:highlight w:val="none"/>
        </w:rPr>
      </w:pPr>
      <w:r>
        <w:rPr>
          <w:rFonts w:hint="eastAsia"/>
          <w:b/>
          <w:sz w:val="32"/>
          <w:szCs w:val="32"/>
          <w:highlight w:val="none"/>
        </w:rPr>
        <w:t>投标文件编制情况</w:t>
      </w:r>
    </w:p>
    <w:p>
      <w:pPr>
        <w:pStyle w:val="5"/>
        <w:spacing w:after="0" w:line="360" w:lineRule="auto"/>
        <w:ind w:firstLine="480" w:firstLineChars="200"/>
        <w:rPr>
          <w:rFonts w:ascii="宋体" w:hAnsi="宋体"/>
          <w:sz w:val="24"/>
          <w:szCs w:val="24"/>
          <w:highlight w:val="none"/>
          <w:u w:val="single"/>
        </w:rPr>
      </w:pPr>
      <w:r>
        <w:rPr>
          <w:rFonts w:hint="eastAsia" w:ascii="宋体" w:hAnsi="宋体"/>
          <w:sz w:val="24"/>
          <w:szCs w:val="24"/>
          <w:highlight w:val="none"/>
        </w:rPr>
        <w:t>1.投标文件报价编制方式: □自行编制的，编制的负责人：</w:t>
      </w:r>
      <w:r>
        <w:rPr>
          <w:rFonts w:hint="eastAsia" w:ascii="宋体" w:hAnsi="宋体"/>
          <w:sz w:val="24"/>
          <w:szCs w:val="24"/>
          <w:highlight w:val="none"/>
          <w:u w:val="single"/>
        </w:rPr>
        <w:t xml:space="preserve"> （盖造价工程师执业专用章或全国建设工程造价员章，执业单位应与投标人一致） </w:t>
      </w:r>
      <w:r>
        <w:rPr>
          <w:rFonts w:hint="eastAsia" w:ascii="宋体" w:hAnsi="宋体"/>
          <w:sz w:val="24"/>
          <w:szCs w:val="24"/>
          <w:highlight w:val="none"/>
        </w:rPr>
        <w:t>。□委托编制的，受委托单位</w:t>
      </w:r>
      <w:r>
        <w:rPr>
          <w:rFonts w:hint="eastAsia" w:ascii="宋体" w:hAnsi="宋体"/>
          <w:sz w:val="24"/>
          <w:szCs w:val="24"/>
          <w:highlight w:val="none"/>
          <w:u w:val="single"/>
        </w:rPr>
        <w:t xml:space="preserve">                    </w:t>
      </w:r>
      <w:r>
        <w:rPr>
          <w:rFonts w:hint="eastAsia" w:ascii="宋体" w:hAnsi="宋体"/>
          <w:sz w:val="24"/>
          <w:szCs w:val="24"/>
          <w:highlight w:val="none"/>
        </w:rPr>
        <w:t>，编制的负责人：</w:t>
      </w:r>
      <w:r>
        <w:rPr>
          <w:rFonts w:hint="eastAsia" w:ascii="宋体" w:hAnsi="宋体"/>
          <w:sz w:val="24"/>
          <w:szCs w:val="24"/>
          <w:highlight w:val="none"/>
          <w:u w:val="single"/>
        </w:rPr>
        <w:t xml:space="preserve"> （盖造价工程师执业专用章或全国建设工程造价员章，执业单位应与受委托单位一致） </w:t>
      </w:r>
      <w:r>
        <w:rPr>
          <w:rFonts w:hint="eastAsia" w:ascii="宋体" w:hAnsi="宋体"/>
          <w:sz w:val="24"/>
          <w:szCs w:val="24"/>
          <w:highlight w:val="none"/>
        </w:rPr>
        <w:t>。</w:t>
      </w:r>
    </w:p>
    <w:p>
      <w:pPr>
        <w:pStyle w:val="5"/>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sz w:val="24"/>
                <w:szCs w:val="24"/>
                <w:highlight w:val="none"/>
              </w:rPr>
            </w:pPr>
            <w:r>
              <w:rPr>
                <w:rFonts w:hint="eastAsia" w:ascii="宋体" w:hAnsi="宋体"/>
                <w:sz w:val="24"/>
                <w:szCs w:val="24"/>
                <w:highlight w:val="none"/>
              </w:rPr>
              <w:t>投标文件加密打包的电脑     自有    □      外包    □     其他    □</w:t>
            </w:r>
          </w:p>
          <w:p>
            <w:pPr>
              <w:pStyle w:val="5"/>
              <w:spacing w:after="0" w:line="360" w:lineRule="auto"/>
              <w:ind w:firstLine="0"/>
              <w:rPr>
                <w:rFonts w:ascii="宋体" w:hAnsi="宋体"/>
                <w:sz w:val="24"/>
                <w:szCs w:val="24"/>
                <w:highlight w:val="none"/>
              </w:rPr>
            </w:pPr>
            <w:r>
              <w:rPr>
                <w:rFonts w:hint="eastAsia" w:ascii="宋体" w:hAnsi="宋体"/>
                <w:sz w:val="24"/>
                <w:szCs w:val="24"/>
                <w:highlight w:val="none"/>
              </w:rPr>
              <w:t>电脑类型</w:t>
            </w:r>
          </w:p>
          <w:p>
            <w:pPr>
              <w:pStyle w:val="5"/>
              <w:spacing w:after="0" w:line="360" w:lineRule="auto"/>
              <w:ind w:firstLine="0"/>
              <w:rPr>
                <w:rFonts w:ascii="宋体" w:hAnsi="宋体"/>
                <w:sz w:val="24"/>
                <w:szCs w:val="24"/>
                <w:highlight w:val="none"/>
              </w:rPr>
            </w:pPr>
            <w:r>
              <w:rPr>
                <w:rFonts w:hint="eastAsia" w:ascii="宋体" w:hAnsi="宋体"/>
                <w:sz w:val="24"/>
                <w:szCs w:val="24"/>
                <w:highlight w:val="none"/>
              </w:rPr>
              <w:t>电脑所属单位</w:t>
            </w:r>
          </w:p>
          <w:p>
            <w:pPr>
              <w:pStyle w:val="5"/>
              <w:spacing w:after="0" w:line="360" w:lineRule="auto"/>
              <w:ind w:firstLine="0"/>
              <w:rPr>
                <w:rFonts w:ascii="宋体" w:hAnsi="宋体"/>
                <w:sz w:val="24"/>
                <w:szCs w:val="24"/>
                <w:highlight w:val="none"/>
              </w:rPr>
            </w:pPr>
            <w:r>
              <w:rPr>
                <w:rFonts w:hint="eastAsia" w:ascii="宋体" w:hAnsi="宋体"/>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szCs w:val="21"/>
          <w:highlight w:val="none"/>
        </w:rPr>
      </w:pPr>
      <w:r>
        <w:rPr>
          <w:rFonts w:hint="eastAsia" w:ascii="宋体" w:hAnsi="宋体" w:cs="宋体"/>
          <w:szCs w:val="21"/>
          <w:highlight w:val="none"/>
        </w:rPr>
        <w:t>附件四</w:t>
      </w:r>
    </w:p>
    <w:p>
      <w:pPr>
        <w:autoSpaceDE w:val="0"/>
        <w:autoSpaceDN w:val="0"/>
        <w:adjustRightInd w:val="0"/>
        <w:spacing w:line="360" w:lineRule="auto"/>
        <w:jc w:val="center"/>
        <w:rPr>
          <w:rFonts w:ascii="宋体" w:hAnsi="宋体" w:cs="宋体"/>
          <w:b/>
          <w:bCs/>
          <w:sz w:val="36"/>
          <w:szCs w:val="36"/>
          <w:highlight w:val="none"/>
        </w:rPr>
      </w:pPr>
    </w:p>
    <w:p>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施工</w:t>
      </w:r>
      <w:r>
        <w:rPr>
          <w:rFonts w:ascii="宋体" w:hAnsi="宋体" w:cs="宋体"/>
          <w:b/>
          <w:bCs/>
          <w:sz w:val="36"/>
          <w:szCs w:val="36"/>
          <w:highlight w:val="none"/>
          <w:lang w:val="zh-CN"/>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highlight w:val="none"/>
              </w:rPr>
            </w:pPr>
            <w:r>
              <w:rPr>
                <w:rFonts w:ascii="宋体" w:hAnsi="宋体"/>
                <w:highlight w:val="none"/>
              </w:rPr>
              <w:t>序号</w:t>
            </w:r>
          </w:p>
        </w:tc>
        <w:tc>
          <w:tcPr>
            <w:tcW w:w="1358" w:type="dxa"/>
            <w:vAlign w:val="center"/>
          </w:tcPr>
          <w:p>
            <w:pPr>
              <w:adjustRightInd w:val="0"/>
              <w:snapToGrid w:val="0"/>
              <w:ind w:left="-63" w:leftChars="-30" w:right="-63" w:rightChars="-30"/>
              <w:jc w:val="center"/>
              <w:rPr>
                <w:rFonts w:ascii="宋体" w:hAnsi="宋体"/>
                <w:highlight w:val="none"/>
              </w:rPr>
            </w:pPr>
            <w:r>
              <w:rPr>
                <w:rFonts w:ascii="宋体" w:hAnsi="宋体"/>
                <w:highlight w:val="none"/>
              </w:rPr>
              <w:t>姓名</w:t>
            </w:r>
          </w:p>
        </w:tc>
        <w:tc>
          <w:tcPr>
            <w:tcW w:w="1376" w:type="dxa"/>
            <w:vAlign w:val="center"/>
          </w:tcPr>
          <w:p>
            <w:pPr>
              <w:adjustRightInd w:val="0"/>
              <w:snapToGrid w:val="0"/>
              <w:ind w:left="-63" w:leftChars="-30" w:right="-63" w:rightChars="-30"/>
              <w:jc w:val="center"/>
              <w:rPr>
                <w:rFonts w:ascii="宋体" w:hAnsi="宋体"/>
                <w:highlight w:val="none"/>
              </w:rPr>
            </w:pPr>
            <w:r>
              <w:rPr>
                <w:rStyle w:val="112"/>
                <w:rFonts w:hint="default" w:ascii="宋体" w:hAnsi="宋体" w:eastAsia="宋体" w:cs="宋体"/>
                <w:color w:val="auto"/>
                <w:sz w:val="21"/>
                <w:szCs w:val="21"/>
                <w:highlight w:val="none"/>
              </w:rPr>
              <w:t>岗位</w:t>
            </w:r>
          </w:p>
        </w:tc>
        <w:tc>
          <w:tcPr>
            <w:tcW w:w="1462"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rPr>
            </w:pPr>
            <w:r>
              <w:rPr>
                <w:rStyle w:val="112"/>
                <w:rFonts w:hint="default" w:ascii="宋体" w:hAnsi="宋体" w:eastAsia="宋体" w:cs="宋体"/>
                <w:color w:val="auto"/>
                <w:sz w:val="21"/>
                <w:szCs w:val="21"/>
                <w:highlight w:val="none"/>
              </w:rPr>
              <w:t>职称</w:t>
            </w:r>
          </w:p>
        </w:tc>
        <w:tc>
          <w:tcPr>
            <w:tcW w:w="2783"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rPr>
            </w:pPr>
            <w:r>
              <w:rPr>
                <w:rStyle w:val="112"/>
                <w:rFonts w:hint="default" w:ascii="宋体" w:hAnsi="宋体" w:eastAsia="宋体" w:cs="宋体"/>
                <w:color w:val="auto"/>
                <w:sz w:val="21"/>
                <w:szCs w:val="21"/>
                <w:highlight w:val="none"/>
              </w:rPr>
              <w:t>职称证书或资格证书编号</w:t>
            </w:r>
          </w:p>
        </w:tc>
        <w:tc>
          <w:tcPr>
            <w:tcW w:w="858"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rPr>
            </w:pPr>
            <w:r>
              <w:rPr>
                <w:rStyle w:val="112"/>
                <w:rFonts w:hint="default"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cs="宋体"/>
                <w:szCs w:val="21"/>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cs="宋体"/>
                <w:szCs w:val="21"/>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bl>
    <w:p>
      <w:pPr>
        <w:autoSpaceDE w:val="0"/>
        <w:autoSpaceDN w:val="0"/>
        <w:adjustRightInd w:val="0"/>
        <w:rPr>
          <w:rFonts w:ascii="宋体" w:hAnsi="宋体" w:cs="宋体"/>
          <w:b/>
          <w:szCs w:val="21"/>
          <w:highlight w:val="none"/>
        </w:rPr>
      </w:pPr>
      <w:r>
        <w:rPr>
          <w:rStyle w:val="112"/>
          <w:rFonts w:hint="default" w:ascii="宋体" w:hAnsi="宋体" w:eastAsia="宋体" w:cs="宋体"/>
          <w:color w:val="auto"/>
          <w:sz w:val="21"/>
          <w:szCs w:val="21"/>
          <w:highlight w:val="none"/>
        </w:rPr>
        <w:t>备注：</w:t>
      </w:r>
      <w:r>
        <w:rPr>
          <w:rStyle w:val="112"/>
          <w:rFonts w:hint="default" w:ascii="宋体" w:hAnsi="宋体" w:eastAsia="宋体" w:cs="宋体"/>
          <w:color w:val="auto"/>
          <w:sz w:val="21"/>
          <w:szCs w:val="21"/>
          <w:highlight w:val="none"/>
        </w:rPr>
        <w:br w:type="textWrapping"/>
      </w:r>
      <w:r>
        <w:rPr>
          <w:rStyle w:val="112"/>
          <w:rFonts w:hint="default" w:ascii="宋体" w:hAnsi="宋体" w:eastAsia="宋体" w:cs="宋体"/>
          <w:color w:val="auto"/>
          <w:sz w:val="21"/>
          <w:szCs w:val="21"/>
          <w:highlight w:val="none"/>
        </w:rPr>
        <w:t>1、“岗位”要求（除项目负责人、专职安全员外）由投标人根据项目管理需要结合自身实力在本表中明确。以上项目管理团队人员信息将由交易系统提取后供各相关单位在履约时比对、查核。</w:t>
      </w:r>
      <w:r>
        <w:rPr>
          <w:rStyle w:val="112"/>
          <w:rFonts w:hint="default" w:ascii="宋体" w:hAnsi="宋体" w:eastAsia="宋体" w:cs="宋体"/>
          <w:color w:val="auto"/>
          <w:sz w:val="21"/>
          <w:szCs w:val="21"/>
          <w:highlight w:val="none"/>
        </w:rPr>
        <w:br w:type="textWrapping"/>
      </w:r>
      <w:r>
        <w:rPr>
          <w:rStyle w:val="112"/>
          <w:rFonts w:hint="default" w:ascii="宋体" w:hAnsi="宋体" w:eastAsia="宋体" w:cs="宋体"/>
          <w:color w:val="auto"/>
          <w:sz w:val="21"/>
          <w:szCs w:val="21"/>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2"/>
          <w:rFonts w:hint="default" w:ascii="宋体" w:hAnsi="宋体" w:eastAsia="宋体" w:cs="宋体"/>
          <w:color w:val="auto"/>
          <w:sz w:val="21"/>
          <w:szCs w:val="21"/>
          <w:highlight w:val="none"/>
        </w:rPr>
        <w:br w:type="textWrapping"/>
      </w:r>
      <w:r>
        <w:rPr>
          <w:rStyle w:val="112"/>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sz w:val="24"/>
          <w:szCs w:val="24"/>
          <w:highlight w:val="none"/>
        </w:rPr>
      </w:pPr>
    </w:p>
    <w:p>
      <w:pPr>
        <w:spacing w:line="320" w:lineRule="exact"/>
        <w:rPr>
          <w:rFonts w:ascii="仿宋_GB2312" w:hAnsi="楷体" w:eastAsia="仿宋_GB2312"/>
          <w:szCs w:val="21"/>
          <w:highlight w:val="none"/>
        </w:rPr>
      </w:pPr>
    </w:p>
    <w:p>
      <w:pPr>
        <w:pStyle w:val="19"/>
        <w:jc w:val="left"/>
        <w:rPr>
          <w:rFonts w:ascii="黑体" w:hAnsi="黑体" w:eastAsia="黑体" w:cs="华文仿宋"/>
          <w:sz w:val="32"/>
          <w:szCs w:val="32"/>
          <w:highlight w:val="none"/>
        </w:rPr>
      </w:pPr>
      <w:r>
        <w:rPr>
          <w:sz w:val="24"/>
          <w:szCs w:val="24"/>
          <w:highlight w:val="none"/>
        </w:rPr>
        <w:br w:type="page"/>
      </w:r>
      <w:bookmarkStart w:id="36" w:name="_Toc21525513"/>
      <w:bookmarkStart w:id="37" w:name="_Toc2272568"/>
      <w:r>
        <w:rPr>
          <w:rFonts w:hint="eastAsia"/>
          <w:highlight w:val="none"/>
        </w:rPr>
        <w:t>附件五：</w:t>
      </w:r>
    </w:p>
    <w:p>
      <w:pPr>
        <w:pStyle w:val="19"/>
        <w:jc w:val="center"/>
        <w:rPr>
          <w:rFonts w:ascii="黑体" w:hAnsi="黑体" w:eastAsia="黑体" w:cs="华文仿宋"/>
          <w:sz w:val="32"/>
          <w:szCs w:val="32"/>
          <w:highlight w:val="none"/>
        </w:rPr>
      </w:pPr>
      <w:r>
        <w:rPr>
          <w:rFonts w:hint="eastAsia" w:ascii="黑体" w:hAnsi="黑体" w:eastAsia="黑体" w:cs="华文仿宋"/>
          <w:sz w:val="32"/>
          <w:szCs w:val="32"/>
          <w:highlight w:val="none"/>
        </w:rPr>
        <w:t>中小企业声明函</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本企业郑重声明，根据《关于印发中小企业划型标准规定的通知》（工信部联企业〔2011〕300号）的规定，本企业具体情况如下：</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本企业属于建筑业行业；营业收入为</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万元，资产总额为</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万元，属于</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（中型企业、小型企业、微型企业）；</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本企业对上述声明内容的真实性负责。如有虚假，将依法承担相应责任。 </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 </w:t>
      </w:r>
    </w:p>
    <w:p>
      <w:pPr>
        <w:pStyle w:val="19"/>
        <w:spacing w:line="560" w:lineRule="exact"/>
        <w:ind w:firstLine="4800" w:firstLineChars="15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企业名称（盖章）：</w:t>
      </w:r>
    </w:p>
    <w:p>
      <w:pPr>
        <w:pStyle w:val="19"/>
        <w:spacing w:line="560" w:lineRule="exact"/>
        <w:ind w:firstLine="5120" w:firstLineChars="16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日 期：</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注：</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1、营业收入、资产总额填报上一年度数据，无上一年度数据的新成立企业可不填报。</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2、《中小企业声明函》须按照本函格式填写，否则评标委员会有权视其为非中小企业，不享受免于提交投标保证金的优惠政策。</w:t>
      </w:r>
    </w:p>
    <w:p>
      <w:pPr>
        <w:pStyle w:val="19"/>
        <w:spacing w:line="560" w:lineRule="exact"/>
        <w:ind w:firstLine="640" w:firstLineChars="200"/>
        <w:rPr>
          <w:rFonts w:ascii="Times New Roman" w:hAnsi="Times New Roman"/>
          <w:highlight w:val="none"/>
        </w:rPr>
      </w:pPr>
      <w:r>
        <w:rPr>
          <w:rFonts w:hint="eastAsia" w:ascii="仿宋_GB2312" w:hAnsi="Times New Roman" w:eastAsia="仿宋_GB2312"/>
          <w:sz w:val="32"/>
          <w:szCs w:val="32"/>
          <w:highlight w:val="none"/>
        </w:rPr>
        <w:t>3、招标人、招标代理机构将按有关规定公开《中小企业声明函》。</w:t>
      </w:r>
    </w:p>
    <w:p>
      <w:pPr>
        <w:widowControl/>
        <w:jc w:val="left"/>
        <w:rPr>
          <w:highlight w:val="none"/>
        </w:rPr>
      </w:pPr>
      <w:r>
        <w:rPr>
          <w:highlight w:val="none"/>
        </w:rPr>
        <w:br w:type="page"/>
      </w:r>
      <w:r>
        <w:rPr>
          <w:rFonts w:hint="eastAsia"/>
          <w:highlight w:val="none"/>
        </w:rPr>
        <w:t>附件六：</w:t>
      </w:r>
    </w:p>
    <w:p>
      <w:pPr>
        <w:pStyle w:val="19"/>
        <w:spacing w:line="560" w:lineRule="exact"/>
        <w:ind w:firstLine="640" w:firstLineChars="200"/>
        <w:jc w:val="center"/>
        <w:rPr>
          <w:rFonts w:ascii="仿宋_GB2312" w:hAnsi="Times New Roman" w:eastAsia="仿宋_GB2312"/>
          <w:sz w:val="32"/>
          <w:szCs w:val="32"/>
          <w:highlight w:val="none"/>
        </w:rPr>
      </w:pPr>
      <w:r>
        <w:rPr>
          <w:rFonts w:hint="eastAsia" w:ascii="黑体" w:hAnsi="黑体" w:eastAsia="黑体" w:cs="华文仿宋"/>
          <w:sz w:val="32"/>
          <w:szCs w:val="32"/>
          <w:highlight w:val="none"/>
        </w:rPr>
        <w:t>关于投标保证金的承诺</w:t>
      </w:r>
    </w:p>
    <w:p>
      <w:pPr>
        <w:pStyle w:val="19"/>
        <w:spacing w:line="56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 </w:t>
      </w:r>
    </w:p>
    <w:p>
      <w:pPr>
        <w:autoSpaceDE w:val="0"/>
        <w:jc w:val="left"/>
        <w:rPr>
          <w:rFonts w:ascii="仿宋_GB2312" w:eastAsia="仿宋_GB2312"/>
          <w:sz w:val="32"/>
          <w:szCs w:val="32"/>
          <w:highlight w:val="none"/>
        </w:rPr>
      </w:pPr>
      <w:r>
        <w:rPr>
          <w:rFonts w:hint="eastAsia" w:ascii="仿宋_GB2312" w:eastAsia="仿宋_GB2312"/>
          <w:sz w:val="32"/>
          <w:szCs w:val="32"/>
          <w:highlight w:val="none"/>
        </w:rPr>
        <w:t>本招标项目招标人及招标监管机构：</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本公司就参加</w:t>
      </w:r>
      <w:r>
        <w:rPr>
          <w:rFonts w:hint="eastAsia" w:ascii="仿宋_GB2312" w:eastAsia="仿宋_GB2312"/>
          <w:sz w:val="32"/>
          <w:szCs w:val="32"/>
          <w:highlight w:val="none"/>
          <w:u w:val="single"/>
        </w:rPr>
        <w:t xml:space="preserve">      （招标项目名称）     </w:t>
      </w:r>
      <w:r>
        <w:rPr>
          <w:rFonts w:hint="eastAsia" w:ascii="仿宋_GB2312" w:eastAsia="仿宋_GB2312"/>
          <w:sz w:val="32"/>
          <w:szCs w:val="32"/>
          <w:highlight w:val="none"/>
        </w:rPr>
        <w:t>项目的投标工作，作出郑重声明：</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highlight w:val="none"/>
        </w:rPr>
        <w:t>一旦发生符合招标文件规定的不予退还投标保证金情形的，将</w:t>
      </w:r>
      <w:r>
        <w:rPr>
          <w:rFonts w:hint="eastAsia" w:ascii="仿宋_GB2312" w:eastAsia="仿宋_GB2312"/>
          <w:sz w:val="32"/>
          <w:szCs w:val="32"/>
          <w:highlight w:val="none"/>
        </w:rPr>
        <w:t>按照招标人的要求，在规定的时间内向招标人足额补交投标保证金。</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特此承诺。</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 xml:space="preserve"> </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 xml:space="preserve"> </w:t>
      </w:r>
    </w:p>
    <w:p>
      <w:pPr>
        <w:autoSpaceDE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 xml:space="preserve"> </w:t>
      </w:r>
    </w:p>
    <w:p>
      <w:pPr>
        <w:autoSpaceDE w:val="0"/>
        <w:ind w:firstLine="4160" w:firstLineChars="1300"/>
        <w:jc w:val="left"/>
        <w:rPr>
          <w:rFonts w:ascii="仿宋_GB2312" w:eastAsia="仿宋_GB2312"/>
          <w:sz w:val="32"/>
          <w:szCs w:val="32"/>
          <w:highlight w:val="none"/>
        </w:rPr>
      </w:pPr>
      <w:r>
        <w:rPr>
          <w:rFonts w:hint="eastAsia" w:ascii="仿宋_GB2312" w:eastAsia="仿宋_GB2312"/>
          <w:sz w:val="32"/>
          <w:szCs w:val="32"/>
          <w:highlight w:val="none"/>
        </w:rPr>
        <w:t>投标人：  （盖章）</w:t>
      </w:r>
    </w:p>
    <w:p>
      <w:pPr>
        <w:jc w:val="center"/>
        <w:rPr>
          <w:szCs w:val="21"/>
          <w:highlight w:val="none"/>
        </w:rPr>
      </w:pPr>
      <w:r>
        <w:rPr>
          <w:rFonts w:hint="eastAsia" w:ascii="仿宋_GB2312" w:eastAsia="仿宋_GB2312"/>
          <w:sz w:val="32"/>
          <w:szCs w:val="32"/>
          <w:highlight w:val="none"/>
        </w:rPr>
        <w:t xml:space="preserve">        日  期：</w:t>
      </w:r>
    </w:p>
    <w:p>
      <w:pPr>
        <w:pStyle w:val="34"/>
        <w:ind w:left="420" w:firstLine="420"/>
        <w:rPr>
          <w:rFonts w:ascii="Times New Roman" w:hAnsi="Times New Roman"/>
          <w:highlight w:val="none"/>
        </w:rPr>
      </w:pPr>
    </w:p>
    <w:p>
      <w:pPr>
        <w:tabs>
          <w:tab w:val="left" w:pos="720"/>
        </w:tabs>
        <w:snapToGrid w:val="0"/>
        <w:spacing w:line="360" w:lineRule="auto"/>
        <w:rPr>
          <w:rStyle w:val="59"/>
          <w:highlight w:val="none"/>
        </w:rPr>
      </w:pPr>
    </w:p>
    <w:p>
      <w:pPr>
        <w:tabs>
          <w:tab w:val="left" w:pos="720"/>
        </w:tabs>
        <w:snapToGrid w:val="0"/>
        <w:spacing w:line="360" w:lineRule="auto"/>
        <w:rPr>
          <w:rStyle w:val="59"/>
          <w:highlight w:val="none"/>
        </w:rPr>
      </w:pPr>
    </w:p>
    <w:p>
      <w:pPr>
        <w:tabs>
          <w:tab w:val="left" w:pos="720"/>
        </w:tabs>
        <w:snapToGrid w:val="0"/>
        <w:spacing w:line="360" w:lineRule="auto"/>
        <w:rPr>
          <w:rStyle w:val="59"/>
          <w:highlight w:val="none"/>
        </w:rPr>
      </w:pPr>
      <w:r>
        <w:rPr>
          <w:rStyle w:val="59"/>
          <w:rFonts w:hint="eastAsia"/>
          <w:highlight w:val="none"/>
        </w:rPr>
        <w:t>第五章</w:t>
      </w:r>
      <w:r>
        <w:rPr>
          <w:rStyle w:val="59"/>
          <w:highlight w:val="none"/>
        </w:rPr>
        <w:t xml:space="preserve">  </w:t>
      </w:r>
      <w:r>
        <w:rPr>
          <w:rStyle w:val="59"/>
          <w:rFonts w:hint="eastAsia"/>
          <w:highlight w:val="none"/>
        </w:rPr>
        <w:t>技术条件（工程建设标准）</w:t>
      </w:r>
      <w:bookmarkEnd w:id="36"/>
      <w:bookmarkEnd w:id="37"/>
    </w:p>
    <w:p>
      <w:pPr>
        <w:rPr>
          <w:rFonts w:ascii="宋体" w:hAnsi="宋体" w:cs="宋体"/>
          <w:b/>
          <w:sz w:val="24"/>
          <w:szCs w:val="24"/>
          <w:highlight w:val="none"/>
        </w:rPr>
      </w:pPr>
      <w:bookmarkStart w:id="38" w:name="_Toc21525514"/>
      <w:bookmarkStart w:id="39" w:name="_Toc2272569"/>
      <w:r>
        <w:rPr>
          <w:rFonts w:hint="eastAsia" w:ascii="宋体" w:hAnsi="宋体" w:cs="宋体"/>
          <w:b/>
          <w:sz w:val="24"/>
          <w:szCs w:val="24"/>
          <w:highlight w:val="none"/>
        </w:rPr>
        <w:t>1.标准</w:t>
      </w:r>
    </w:p>
    <w:p>
      <w:pPr>
        <w:rPr>
          <w:rFonts w:ascii="宋体" w:hAnsi="宋体" w:cs="宋体"/>
          <w:sz w:val="24"/>
          <w:szCs w:val="24"/>
          <w:highlight w:val="none"/>
        </w:rPr>
      </w:pPr>
      <w:r>
        <w:rPr>
          <w:rFonts w:hint="eastAsia" w:ascii="宋体" w:hAnsi="宋体" w:cs="宋体"/>
          <w:sz w:val="24"/>
          <w:szCs w:val="24"/>
          <w:highlight w:val="none"/>
        </w:rPr>
        <w:t>引用的国家及有关部委颁布的标准、规范、和规程。若施工时期建设主管部门颁布新的规范、标准，则按照新的规范、标准执行。</w:t>
      </w:r>
    </w:p>
    <w:p>
      <w:pPr>
        <w:rPr>
          <w:rFonts w:ascii="宋体" w:hAnsi="宋体" w:cs="宋体"/>
          <w:sz w:val="24"/>
          <w:szCs w:val="24"/>
          <w:highlight w:val="none"/>
        </w:rPr>
      </w:pPr>
    </w:p>
    <w:p>
      <w:pPr>
        <w:rPr>
          <w:rFonts w:ascii="宋体" w:hAnsi="宋体" w:cs="宋体"/>
          <w:b/>
          <w:sz w:val="24"/>
          <w:szCs w:val="24"/>
          <w:highlight w:val="none"/>
        </w:rPr>
      </w:pPr>
      <w:r>
        <w:rPr>
          <w:rFonts w:hint="eastAsia" w:ascii="宋体" w:hAnsi="宋体" w:cs="宋体"/>
          <w:b/>
          <w:sz w:val="24"/>
          <w:szCs w:val="24"/>
          <w:highlight w:val="none"/>
        </w:rPr>
        <w:t>2、施工组织设计要点</w:t>
      </w:r>
    </w:p>
    <w:p>
      <w:pPr>
        <w:rPr>
          <w:rFonts w:ascii="宋体" w:hAnsi="宋体" w:cs="宋体"/>
          <w:sz w:val="24"/>
          <w:szCs w:val="24"/>
          <w:highlight w:val="none"/>
        </w:rPr>
      </w:pPr>
      <w:r>
        <w:rPr>
          <w:rFonts w:hint="eastAsia" w:ascii="宋体" w:hAnsi="宋体" w:cs="宋体"/>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highlight w:val="none"/>
        </w:rPr>
      </w:pPr>
      <w:r>
        <w:rPr>
          <w:rFonts w:hint="eastAsia" w:ascii="宋体" w:hAnsi="宋体" w:cs="宋体"/>
          <w:sz w:val="24"/>
          <w:szCs w:val="24"/>
          <w:highlight w:val="none"/>
        </w:rPr>
        <w:t>（一）工程概况及特点</w:t>
      </w:r>
    </w:p>
    <w:p>
      <w:pPr>
        <w:rPr>
          <w:rFonts w:ascii="宋体" w:hAnsi="宋体" w:cs="宋体"/>
          <w:sz w:val="24"/>
          <w:szCs w:val="24"/>
          <w:highlight w:val="none"/>
        </w:rPr>
      </w:pPr>
      <w:r>
        <w:rPr>
          <w:rFonts w:hint="eastAsia" w:ascii="宋体" w:hAnsi="宋体" w:cs="宋体"/>
          <w:sz w:val="24"/>
          <w:szCs w:val="24"/>
          <w:highlight w:val="none"/>
        </w:rPr>
        <w:t>1.1 工程概况</w:t>
      </w:r>
    </w:p>
    <w:p>
      <w:pPr>
        <w:rPr>
          <w:rFonts w:ascii="宋体" w:hAnsi="宋体" w:cs="宋体"/>
          <w:sz w:val="24"/>
          <w:szCs w:val="24"/>
          <w:highlight w:val="none"/>
        </w:rPr>
      </w:pPr>
      <w:r>
        <w:rPr>
          <w:rFonts w:hint="eastAsia" w:ascii="宋体" w:hAnsi="宋体" w:cs="宋体"/>
          <w:sz w:val="24"/>
          <w:szCs w:val="24"/>
          <w:highlight w:val="none"/>
        </w:rPr>
        <w:t>工程简述，工程规模，工程承包范围，地质及地貌状况，自然环境，交通情况等。</w:t>
      </w:r>
    </w:p>
    <w:p>
      <w:pPr>
        <w:rPr>
          <w:rFonts w:ascii="宋体" w:hAnsi="宋体" w:cs="宋体"/>
          <w:sz w:val="24"/>
          <w:szCs w:val="24"/>
          <w:highlight w:val="none"/>
        </w:rPr>
      </w:pPr>
      <w:r>
        <w:rPr>
          <w:rFonts w:hint="eastAsia" w:ascii="宋体" w:hAnsi="宋体" w:cs="宋体"/>
          <w:sz w:val="24"/>
          <w:szCs w:val="24"/>
          <w:highlight w:val="none"/>
        </w:rPr>
        <w:t>1.2 工程特点</w:t>
      </w:r>
    </w:p>
    <w:p>
      <w:pPr>
        <w:rPr>
          <w:rFonts w:ascii="宋体" w:hAnsi="宋体" w:cs="宋体"/>
          <w:sz w:val="24"/>
          <w:szCs w:val="24"/>
          <w:highlight w:val="none"/>
        </w:rPr>
      </w:pPr>
      <w:r>
        <w:rPr>
          <w:rFonts w:hint="eastAsia" w:ascii="宋体" w:hAnsi="宋体" w:cs="宋体"/>
          <w:sz w:val="24"/>
          <w:szCs w:val="24"/>
          <w:highlight w:val="none"/>
        </w:rPr>
        <w:t>设计特点、工程特点、影响施工的主要和特殊环节分析等。</w:t>
      </w:r>
    </w:p>
    <w:p>
      <w:pPr>
        <w:rPr>
          <w:rFonts w:ascii="宋体" w:hAnsi="宋体" w:cs="宋体"/>
          <w:sz w:val="24"/>
          <w:szCs w:val="24"/>
          <w:highlight w:val="none"/>
        </w:rPr>
      </w:pPr>
      <w:r>
        <w:rPr>
          <w:rFonts w:hint="eastAsia" w:ascii="宋体" w:hAnsi="宋体" w:cs="宋体"/>
          <w:sz w:val="24"/>
          <w:szCs w:val="24"/>
          <w:highlight w:val="none"/>
        </w:rPr>
        <w:t>（二）施工现场组织机构</w:t>
      </w:r>
    </w:p>
    <w:p>
      <w:pPr>
        <w:rPr>
          <w:rFonts w:ascii="宋体" w:hAnsi="宋体" w:cs="宋体"/>
          <w:sz w:val="24"/>
          <w:szCs w:val="24"/>
          <w:highlight w:val="none"/>
        </w:rPr>
      </w:pPr>
      <w:r>
        <w:rPr>
          <w:rFonts w:hint="eastAsia" w:ascii="宋体" w:hAnsi="宋体" w:cs="宋体"/>
          <w:sz w:val="24"/>
          <w:szCs w:val="24"/>
          <w:highlight w:val="none"/>
        </w:rPr>
        <w:t>2.1 组织机构关系图</w:t>
      </w:r>
    </w:p>
    <w:p>
      <w:pPr>
        <w:rPr>
          <w:rFonts w:ascii="宋体" w:hAnsi="宋体" w:cs="宋体"/>
          <w:sz w:val="24"/>
          <w:szCs w:val="24"/>
          <w:highlight w:val="none"/>
        </w:rPr>
      </w:pPr>
      <w:r>
        <w:rPr>
          <w:rFonts w:hint="eastAsia" w:ascii="宋体" w:hAnsi="宋体" w:cs="宋体"/>
          <w:sz w:val="24"/>
          <w:szCs w:val="24"/>
          <w:highlight w:val="none"/>
        </w:rPr>
        <w:t>2.2 工程主要负责人简介。</w:t>
      </w:r>
    </w:p>
    <w:p>
      <w:pPr>
        <w:rPr>
          <w:rFonts w:ascii="宋体" w:hAnsi="宋体" w:cs="宋体"/>
          <w:sz w:val="24"/>
          <w:szCs w:val="24"/>
          <w:highlight w:val="none"/>
        </w:rPr>
      </w:pPr>
      <w:r>
        <w:rPr>
          <w:rFonts w:hint="eastAsia" w:ascii="宋体" w:hAnsi="宋体" w:cs="宋体"/>
          <w:sz w:val="24"/>
          <w:szCs w:val="24"/>
          <w:highlight w:val="none"/>
        </w:rPr>
        <w:t>（三）施工现场总平面布置图</w:t>
      </w:r>
    </w:p>
    <w:p>
      <w:pPr>
        <w:rPr>
          <w:rFonts w:ascii="宋体" w:hAnsi="宋体" w:cs="宋体"/>
          <w:sz w:val="24"/>
          <w:szCs w:val="24"/>
          <w:highlight w:val="none"/>
        </w:rPr>
      </w:pPr>
      <w:r>
        <w:rPr>
          <w:rFonts w:hint="eastAsia" w:ascii="宋体" w:hAnsi="宋体" w:cs="宋体"/>
          <w:sz w:val="24"/>
          <w:szCs w:val="24"/>
          <w:highlight w:val="none"/>
        </w:rPr>
        <w:t>3.1 施工现场平面布置图</w:t>
      </w:r>
    </w:p>
    <w:p>
      <w:pPr>
        <w:rPr>
          <w:rFonts w:ascii="宋体" w:hAnsi="宋体" w:cs="宋体"/>
          <w:sz w:val="24"/>
          <w:szCs w:val="24"/>
          <w:highlight w:val="none"/>
        </w:rPr>
      </w:pPr>
      <w:r>
        <w:rPr>
          <w:rFonts w:hint="eastAsia" w:ascii="宋体" w:hAnsi="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highlight w:val="none"/>
        </w:rPr>
      </w:pPr>
      <w:r>
        <w:rPr>
          <w:rFonts w:hint="eastAsia" w:ascii="宋体" w:hAnsi="宋体" w:cs="宋体"/>
          <w:sz w:val="24"/>
          <w:szCs w:val="24"/>
          <w:highlight w:val="none"/>
        </w:rPr>
        <w:t>（四）施工方案</w:t>
      </w:r>
    </w:p>
    <w:p>
      <w:pPr>
        <w:rPr>
          <w:rFonts w:ascii="宋体" w:hAnsi="宋体" w:cs="宋体"/>
          <w:sz w:val="24"/>
          <w:szCs w:val="24"/>
          <w:highlight w:val="none"/>
        </w:rPr>
      </w:pPr>
      <w:r>
        <w:rPr>
          <w:rFonts w:hint="eastAsia" w:ascii="宋体" w:hAnsi="宋体" w:cs="宋体"/>
          <w:sz w:val="24"/>
          <w:szCs w:val="24"/>
          <w:highlight w:val="none"/>
        </w:rPr>
        <w:t>4.1 施工准备</w:t>
      </w:r>
    </w:p>
    <w:p>
      <w:pPr>
        <w:rPr>
          <w:rFonts w:ascii="宋体" w:hAnsi="宋体" w:cs="宋体"/>
          <w:sz w:val="24"/>
          <w:szCs w:val="24"/>
          <w:highlight w:val="none"/>
        </w:rPr>
      </w:pPr>
      <w:r>
        <w:rPr>
          <w:rFonts w:hint="eastAsia" w:ascii="宋体" w:hAnsi="宋体" w:cs="宋体"/>
          <w:sz w:val="24"/>
          <w:szCs w:val="24"/>
          <w:highlight w:val="none"/>
        </w:rPr>
        <w:t>简要叙述施工技术资料、材料、通讯、施工场地的准备，施工机械、施工力量的配置，以及生活设施等的准备情况。主要施工机械设备表。</w:t>
      </w:r>
    </w:p>
    <w:p>
      <w:pPr>
        <w:rPr>
          <w:rFonts w:ascii="宋体" w:hAnsi="宋体" w:cs="宋体"/>
          <w:sz w:val="24"/>
          <w:szCs w:val="24"/>
          <w:highlight w:val="none"/>
        </w:rPr>
      </w:pPr>
      <w:r>
        <w:rPr>
          <w:rFonts w:hint="eastAsia" w:ascii="宋体" w:hAnsi="宋体" w:cs="宋体"/>
          <w:sz w:val="24"/>
          <w:szCs w:val="24"/>
          <w:highlight w:val="none"/>
        </w:rPr>
        <w:t>4.2 施工工序总体安排</w:t>
      </w:r>
    </w:p>
    <w:p>
      <w:pPr>
        <w:rPr>
          <w:rFonts w:ascii="宋体" w:hAnsi="宋体" w:cs="宋体"/>
          <w:sz w:val="24"/>
          <w:szCs w:val="24"/>
          <w:highlight w:val="none"/>
        </w:rPr>
      </w:pPr>
      <w:r>
        <w:rPr>
          <w:rFonts w:hint="eastAsia" w:ascii="宋体" w:hAnsi="宋体" w:cs="宋体"/>
          <w:sz w:val="24"/>
          <w:szCs w:val="24"/>
          <w:highlight w:val="none"/>
        </w:rPr>
        <w:t>4.3 主要工序和特殊工序的施工方法和施工效率估计，潜在问题的分析。</w:t>
      </w:r>
    </w:p>
    <w:p>
      <w:pPr>
        <w:rPr>
          <w:rFonts w:ascii="宋体" w:hAnsi="宋体" w:cs="宋体"/>
          <w:sz w:val="24"/>
          <w:szCs w:val="24"/>
          <w:highlight w:val="none"/>
        </w:rPr>
      </w:pPr>
      <w:r>
        <w:rPr>
          <w:rFonts w:hint="eastAsia" w:ascii="宋体" w:hAnsi="宋体" w:cs="宋体"/>
          <w:sz w:val="24"/>
          <w:szCs w:val="24"/>
          <w:highlight w:val="none"/>
        </w:rPr>
        <w:t>4.4 工程成本的控制措施为控制成本，提高效益，拟采取的措施。</w:t>
      </w:r>
    </w:p>
    <w:p>
      <w:pPr>
        <w:rPr>
          <w:rFonts w:ascii="宋体" w:hAnsi="宋体" w:cs="宋体"/>
          <w:sz w:val="24"/>
          <w:szCs w:val="24"/>
          <w:highlight w:val="none"/>
        </w:rPr>
      </w:pPr>
      <w:r>
        <w:rPr>
          <w:rFonts w:hint="eastAsia" w:ascii="宋体" w:hAnsi="宋体" w:cs="宋体"/>
          <w:sz w:val="24"/>
          <w:szCs w:val="24"/>
          <w:highlight w:val="none"/>
        </w:rPr>
        <w:t>（五）工期及施工进度计划</w:t>
      </w:r>
    </w:p>
    <w:p>
      <w:pPr>
        <w:rPr>
          <w:rFonts w:ascii="宋体" w:hAnsi="宋体" w:cs="宋体"/>
          <w:sz w:val="24"/>
          <w:szCs w:val="24"/>
          <w:highlight w:val="none"/>
        </w:rPr>
      </w:pPr>
      <w:r>
        <w:rPr>
          <w:rFonts w:hint="eastAsia" w:ascii="宋体" w:hAnsi="宋体" w:cs="宋体"/>
          <w:sz w:val="24"/>
          <w:szCs w:val="24"/>
          <w:highlight w:val="none"/>
        </w:rPr>
        <w:t>5.1 工期规划及要求</w:t>
      </w:r>
    </w:p>
    <w:p>
      <w:pPr>
        <w:rPr>
          <w:rFonts w:ascii="宋体" w:hAnsi="宋体" w:cs="宋体"/>
          <w:sz w:val="24"/>
          <w:szCs w:val="24"/>
          <w:highlight w:val="none"/>
        </w:rPr>
      </w:pPr>
      <w:r>
        <w:rPr>
          <w:rFonts w:hint="eastAsia" w:ascii="宋体" w:hAnsi="宋体" w:cs="宋体"/>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sz w:val="24"/>
          <w:szCs w:val="24"/>
          <w:highlight w:val="none"/>
        </w:rPr>
      </w:pPr>
      <w:r>
        <w:rPr>
          <w:rFonts w:hint="eastAsia" w:ascii="宋体" w:hAnsi="宋体" w:cs="宋体"/>
          <w:sz w:val="24"/>
          <w:szCs w:val="24"/>
          <w:highlight w:val="none"/>
        </w:rPr>
        <w:t>5.2 施工进度计划网络图</w:t>
      </w:r>
    </w:p>
    <w:p>
      <w:pPr>
        <w:rPr>
          <w:rFonts w:ascii="宋体" w:hAnsi="宋体" w:cs="宋体"/>
          <w:sz w:val="24"/>
          <w:szCs w:val="24"/>
          <w:highlight w:val="none"/>
        </w:rPr>
      </w:pPr>
      <w:r>
        <w:rPr>
          <w:rFonts w:hint="eastAsia" w:ascii="宋体" w:hAnsi="宋体" w:cs="宋体"/>
          <w:sz w:val="24"/>
          <w:szCs w:val="24"/>
          <w:highlight w:val="none"/>
        </w:rPr>
        <w:t>施工网络图应明确工程开工、竣工日期，工程施工的关键路线，并针对关键工序，提出确保工期拟采取的措施。</w:t>
      </w:r>
    </w:p>
    <w:p>
      <w:pPr>
        <w:rPr>
          <w:rFonts w:ascii="宋体" w:hAnsi="宋体" w:cs="宋体"/>
          <w:sz w:val="24"/>
          <w:szCs w:val="24"/>
          <w:highlight w:val="none"/>
        </w:rPr>
      </w:pPr>
      <w:r>
        <w:rPr>
          <w:rFonts w:hint="eastAsia" w:ascii="宋体" w:hAnsi="宋体" w:cs="宋体"/>
          <w:sz w:val="24"/>
          <w:szCs w:val="24"/>
          <w:highlight w:val="none"/>
        </w:rPr>
        <w:t>5.3 施工资源（人力、材料、机具、场地及进场道路、公共关系）计划</w:t>
      </w:r>
    </w:p>
    <w:p>
      <w:pPr>
        <w:rPr>
          <w:rFonts w:ascii="宋体" w:hAnsi="宋体" w:cs="宋体"/>
          <w:sz w:val="24"/>
          <w:szCs w:val="24"/>
          <w:highlight w:val="none"/>
        </w:rPr>
      </w:pPr>
      <w:r>
        <w:rPr>
          <w:rFonts w:hint="eastAsia" w:ascii="宋体" w:hAnsi="宋体" w:cs="宋体"/>
          <w:sz w:val="24"/>
          <w:szCs w:val="24"/>
          <w:highlight w:val="none"/>
        </w:rPr>
        <w:t>5.4 施工进度计划分析</w:t>
      </w:r>
    </w:p>
    <w:p>
      <w:pPr>
        <w:rPr>
          <w:rFonts w:ascii="宋体" w:hAnsi="宋体" w:cs="宋体"/>
          <w:sz w:val="24"/>
          <w:szCs w:val="24"/>
          <w:highlight w:val="none"/>
        </w:rPr>
      </w:pPr>
      <w:r>
        <w:rPr>
          <w:rFonts w:hint="eastAsia" w:ascii="宋体" w:hAnsi="宋体" w:cs="宋体"/>
          <w:sz w:val="24"/>
          <w:szCs w:val="24"/>
          <w:highlight w:val="none"/>
        </w:rPr>
        <w:t>计划潜在问题，计划中的潜力及其开发途径等。</w:t>
      </w:r>
    </w:p>
    <w:p>
      <w:pPr>
        <w:rPr>
          <w:rFonts w:ascii="宋体" w:hAnsi="宋体" w:cs="宋体"/>
          <w:sz w:val="24"/>
          <w:szCs w:val="24"/>
          <w:highlight w:val="none"/>
        </w:rPr>
      </w:pPr>
      <w:r>
        <w:rPr>
          <w:rFonts w:hint="eastAsia" w:ascii="宋体" w:hAnsi="宋体" w:cs="宋体"/>
          <w:sz w:val="24"/>
          <w:szCs w:val="24"/>
          <w:highlight w:val="none"/>
        </w:rPr>
        <w:t>5.5 计划控制</w:t>
      </w:r>
    </w:p>
    <w:p>
      <w:pPr>
        <w:rPr>
          <w:rFonts w:ascii="宋体" w:hAnsi="宋体" w:cs="宋体"/>
          <w:sz w:val="24"/>
          <w:szCs w:val="24"/>
          <w:highlight w:val="none"/>
        </w:rPr>
      </w:pPr>
      <w:r>
        <w:rPr>
          <w:rFonts w:hint="eastAsia" w:ascii="宋体" w:hAnsi="宋体" w:cs="宋体"/>
          <w:sz w:val="24"/>
          <w:szCs w:val="24"/>
          <w:highlight w:val="none"/>
        </w:rPr>
        <w:t>程序、方法及制度等。</w:t>
      </w:r>
    </w:p>
    <w:p>
      <w:pPr>
        <w:rPr>
          <w:rFonts w:ascii="宋体" w:hAnsi="宋体" w:cs="宋体"/>
          <w:sz w:val="24"/>
          <w:szCs w:val="24"/>
          <w:highlight w:val="none"/>
        </w:rPr>
      </w:pPr>
      <w:r>
        <w:rPr>
          <w:rFonts w:hint="eastAsia" w:ascii="宋体" w:hAnsi="宋体" w:cs="宋体"/>
          <w:sz w:val="24"/>
          <w:szCs w:val="24"/>
          <w:highlight w:val="none"/>
        </w:rPr>
        <w:t>（六）质量目标、质量保证体系及技术组织措施</w:t>
      </w:r>
    </w:p>
    <w:p>
      <w:pPr>
        <w:rPr>
          <w:rFonts w:ascii="宋体" w:hAnsi="宋体" w:cs="宋体"/>
          <w:sz w:val="24"/>
          <w:szCs w:val="24"/>
          <w:highlight w:val="none"/>
        </w:rPr>
      </w:pPr>
      <w:r>
        <w:rPr>
          <w:rFonts w:hint="eastAsia" w:ascii="宋体" w:hAnsi="宋体" w:cs="宋体"/>
          <w:sz w:val="24"/>
          <w:szCs w:val="24"/>
          <w:highlight w:val="none"/>
        </w:rPr>
        <w:t>6.1 质量目标</w:t>
      </w:r>
    </w:p>
    <w:p>
      <w:pPr>
        <w:rPr>
          <w:rFonts w:ascii="宋体" w:hAnsi="宋体" w:cs="宋体"/>
          <w:sz w:val="24"/>
          <w:szCs w:val="24"/>
          <w:highlight w:val="none"/>
        </w:rPr>
      </w:pPr>
      <w:r>
        <w:rPr>
          <w:rFonts w:hint="eastAsia" w:ascii="宋体" w:hAnsi="宋体" w:cs="宋体"/>
          <w:sz w:val="24"/>
          <w:szCs w:val="24"/>
          <w:highlight w:val="none"/>
        </w:rPr>
        <w:t>本工程要求的质量目标：合格。</w:t>
      </w:r>
    </w:p>
    <w:p>
      <w:pPr>
        <w:rPr>
          <w:rFonts w:ascii="宋体" w:hAnsi="宋体" w:cs="宋体"/>
          <w:sz w:val="24"/>
          <w:szCs w:val="24"/>
          <w:highlight w:val="none"/>
        </w:rPr>
      </w:pPr>
      <w:r>
        <w:rPr>
          <w:rFonts w:hint="eastAsia" w:ascii="宋体" w:hAnsi="宋体" w:cs="宋体"/>
          <w:sz w:val="24"/>
          <w:szCs w:val="24"/>
          <w:highlight w:val="none"/>
        </w:rPr>
        <w:t>用单位工程和分项工程合格率、优良品率表示，欲达到的工程质量等级。</w:t>
      </w:r>
    </w:p>
    <w:p>
      <w:pPr>
        <w:rPr>
          <w:rFonts w:ascii="宋体" w:hAnsi="宋体" w:cs="宋体"/>
          <w:sz w:val="24"/>
          <w:szCs w:val="24"/>
          <w:highlight w:val="none"/>
        </w:rPr>
      </w:pPr>
      <w:r>
        <w:rPr>
          <w:rFonts w:hint="eastAsia" w:ascii="宋体" w:hAnsi="宋体" w:cs="宋体"/>
          <w:sz w:val="24"/>
          <w:szCs w:val="24"/>
          <w:highlight w:val="none"/>
        </w:rPr>
        <w:t>6.2 质量管理组织机构及主要职责</w:t>
      </w:r>
    </w:p>
    <w:p>
      <w:pPr>
        <w:rPr>
          <w:rFonts w:ascii="宋体" w:hAnsi="宋体" w:cs="宋体"/>
          <w:sz w:val="24"/>
          <w:szCs w:val="24"/>
          <w:highlight w:val="none"/>
        </w:rPr>
      </w:pPr>
      <w:r>
        <w:rPr>
          <w:rFonts w:hint="eastAsia" w:ascii="宋体" w:hAnsi="宋体" w:cs="宋体"/>
          <w:sz w:val="24"/>
          <w:szCs w:val="24"/>
          <w:highlight w:val="none"/>
        </w:rPr>
        <w:t>用框图表示质量管理组织机构，并简要叙述各质量管理部门的主要职责。</w:t>
      </w:r>
    </w:p>
    <w:p>
      <w:pPr>
        <w:rPr>
          <w:rFonts w:ascii="宋体" w:hAnsi="宋体" w:cs="宋体"/>
          <w:sz w:val="24"/>
          <w:szCs w:val="24"/>
          <w:highlight w:val="none"/>
        </w:rPr>
      </w:pPr>
      <w:r>
        <w:rPr>
          <w:rFonts w:hint="eastAsia" w:ascii="宋体" w:hAnsi="宋体" w:cs="宋体"/>
          <w:sz w:val="24"/>
          <w:szCs w:val="24"/>
          <w:highlight w:val="none"/>
        </w:rPr>
        <w:t>6.3 质量管理的措施</w:t>
      </w:r>
    </w:p>
    <w:p>
      <w:pPr>
        <w:rPr>
          <w:rFonts w:ascii="宋体" w:hAnsi="宋体" w:cs="宋体"/>
          <w:sz w:val="24"/>
          <w:szCs w:val="24"/>
          <w:highlight w:val="none"/>
        </w:rPr>
      </w:pPr>
      <w:r>
        <w:rPr>
          <w:rFonts w:hint="eastAsia" w:ascii="宋体" w:hAnsi="宋体" w:cs="宋体"/>
          <w:sz w:val="24"/>
          <w:szCs w:val="24"/>
          <w:highlight w:val="none"/>
        </w:rPr>
        <w:t>简要叙述质量管理的措施和关键工序的质量控制。</w:t>
      </w:r>
    </w:p>
    <w:p>
      <w:pPr>
        <w:rPr>
          <w:rFonts w:ascii="宋体" w:hAnsi="宋体" w:cs="宋体"/>
          <w:sz w:val="24"/>
          <w:szCs w:val="24"/>
          <w:highlight w:val="none"/>
        </w:rPr>
      </w:pPr>
      <w:r>
        <w:rPr>
          <w:rFonts w:hint="eastAsia" w:ascii="宋体" w:hAnsi="宋体" w:cs="宋体"/>
          <w:sz w:val="24"/>
          <w:szCs w:val="24"/>
          <w:highlight w:val="none"/>
        </w:rPr>
        <w:t>6.4 质量管理及检验的标准</w:t>
      </w:r>
    </w:p>
    <w:p>
      <w:pPr>
        <w:rPr>
          <w:rFonts w:ascii="宋体" w:hAnsi="宋体" w:cs="宋体"/>
          <w:sz w:val="24"/>
          <w:szCs w:val="24"/>
          <w:highlight w:val="none"/>
        </w:rPr>
      </w:pPr>
      <w:r>
        <w:rPr>
          <w:rFonts w:hint="eastAsia" w:ascii="宋体" w:hAnsi="宋体" w:cs="宋体"/>
          <w:sz w:val="24"/>
          <w:szCs w:val="24"/>
          <w:highlight w:val="none"/>
        </w:rPr>
        <w:t>执行的主要质量标准、规范。</w:t>
      </w:r>
    </w:p>
    <w:p>
      <w:pPr>
        <w:rPr>
          <w:rFonts w:ascii="宋体" w:hAnsi="宋体" w:cs="宋体"/>
          <w:sz w:val="24"/>
          <w:szCs w:val="24"/>
          <w:highlight w:val="none"/>
        </w:rPr>
      </w:pPr>
      <w:r>
        <w:rPr>
          <w:rFonts w:hint="eastAsia" w:ascii="宋体" w:hAnsi="宋体" w:cs="宋体"/>
          <w:sz w:val="24"/>
          <w:szCs w:val="24"/>
          <w:highlight w:val="none"/>
        </w:rPr>
        <w:t>6.5 质量保证技术措施</w:t>
      </w:r>
    </w:p>
    <w:p>
      <w:pPr>
        <w:rPr>
          <w:rFonts w:ascii="宋体" w:hAnsi="宋体" w:cs="宋体"/>
          <w:sz w:val="24"/>
          <w:szCs w:val="24"/>
          <w:highlight w:val="none"/>
        </w:rPr>
      </w:pPr>
      <w:r>
        <w:rPr>
          <w:rFonts w:hint="eastAsia" w:ascii="宋体" w:hAnsi="宋体" w:cs="宋体"/>
          <w:sz w:val="24"/>
          <w:szCs w:val="24"/>
          <w:highlight w:val="none"/>
        </w:rPr>
        <w:t>针对本工程特点，分析质量薄弱环节，拟将采取的技术措施。</w:t>
      </w:r>
    </w:p>
    <w:p>
      <w:pPr>
        <w:rPr>
          <w:rFonts w:ascii="宋体" w:hAnsi="宋体" w:cs="宋体"/>
          <w:sz w:val="24"/>
          <w:szCs w:val="24"/>
          <w:highlight w:val="none"/>
        </w:rPr>
      </w:pPr>
      <w:r>
        <w:rPr>
          <w:rFonts w:hint="eastAsia" w:ascii="宋体" w:hAnsi="宋体" w:cs="宋体"/>
          <w:sz w:val="24"/>
          <w:szCs w:val="24"/>
          <w:highlight w:val="none"/>
        </w:rPr>
        <w:t>（七）安全目标、安全保证体系及技术组织措施</w:t>
      </w:r>
    </w:p>
    <w:p>
      <w:pPr>
        <w:rPr>
          <w:rFonts w:ascii="宋体" w:hAnsi="宋体" w:cs="宋体"/>
          <w:sz w:val="24"/>
          <w:szCs w:val="24"/>
          <w:highlight w:val="none"/>
        </w:rPr>
      </w:pPr>
      <w:r>
        <w:rPr>
          <w:rFonts w:hint="eastAsia" w:ascii="宋体" w:hAnsi="宋体" w:cs="宋体"/>
          <w:sz w:val="24"/>
          <w:szCs w:val="24"/>
          <w:highlight w:val="none"/>
        </w:rPr>
        <w:t>7.1 安全管理目标</w:t>
      </w:r>
    </w:p>
    <w:p>
      <w:pPr>
        <w:rPr>
          <w:rFonts w:ascii="宋体" w:hAnsi="宋体" w:cs="宋体"/>
          <w:sz w:val="24"/>
          <w:szCs w:val="24"/>
          <w:highlight w:val="none"/>
        </w:rPr>
      </w:pPr>
      <w:r>
        <w:rPr>
          <w:rFonts w:hint="eastAsia" w:ascii="宋体" w:hAnsi="宋体" w:cs="宋体"/>
          <w:sz w:val="24"/>
          <w:szCs w:val="24"/>
          <w:highlight w:val="none"/>
        </w:rPr>
        <w:t>7.2 安全管理组织机构及主要职责</w:t>
      </w:r>
    </w:p>
    <w:p>
      <w:pPr>
        <w:rPr>
          <w:rFonts w:ascii="宋体" w:hAnsi="宋体" w:cs="宋体"/>
          <w:sz w:val="24"/>
          <w:szCs w:val="24"/>
          <w:highlight w:val="none"/>
        </w:rPr>
      </w:pPr>
      <w:r>
        <w:rPr>
          <w:rFonts w:hint="eastAsia" w:ascii="宋体" w:hAnsi="宋体" w:cs="宋体"/>
          <w:sz w:val="24"/>
          <w:szCs w:val="24"/>
          <w:highlight w:val="none"/>
        </w:rPr>
        <w:t>用框图表示安全管理组织机构，并简要叙述各安全管理部门及人员的主要职责。</w:t>
      </w:r>
    </w:p>
    <w:p>
      <w:pPr>
        <w:rPr>
          <w:rFonts w:ascii="宋体" w:hAnsi="宋体" w:cs="宋体"/>
          <w:sz w:val="24"/>
          <w:szCs w:val="24"/>
          <w:highlight w:val="none"/>
        </w:rPr>
      </w:pPr>
      <w:r>
        <w:rPr>
          <w:rFonts w:hint="eastAsia" w:ascii="宋体" w:hAnsi="宋体" w:cs="宋体"/>
          <w:sz w:val="24"/>
          <w:szCs w:val="24"/>
          <w:highlight w:val="none"/>
        </w:rPr>
        <w:t>7.3 安全管理制度及办法</w:t>
      </w:r>
    </w:p>
    <w:p>
      <w:pPr>
        <w:rPr>
          <w:rFonts w:ascii="宋体" w:hAnsi="宋体" w:cs="宋体"/>
          <w:sz w:val="24"/>
          <w:szCs w:val="24"/>
          <w:highlight w:val="none"/>
        </w:rPr>
      </w:pPr>
      <w:r>
        <w:rPr>
          <w:rFonts w:hint="eastAsia" w:ascii="宋体" w:hAnsi="宋体" w:cs="宋体"/>
          <w:sz w:val="24"/>
          <w:szCs w:val="24"/>
          <w:highlight w:val="none"/>
        </w:rPr>
        <w:t>7.4 安全组织技术措施</w:t>
      </w:r>
    </w:p>
    <w:p>
      <w:pPr>
        <w:rPr>
          <w:rFonts w:ascii="宋体" w:hAnsi="宋体" w:cs="宋体"/>
          <w:sz w:val="24"/>
          <w:szCs w:val="24"/>
          <w:highlight w:val="none"/>
        </w:rPr>
      </w:pPr>
      <w:r>
        <w:rPr>
          <w:rFonts w:hint="eastAsia" w:ascii="宋体" w:hAnsi="宋体" w:cs="宋体"/>
          <w:sz w:val="24"/>
          <w:szCs w:val="24"/>
          <w:highlight w:val="none"/>
        </w:rPr>
        <w:t>针对本工程特点，分析安全薄弱环节，拟将采取的技术措施。</w:t>
      </w:r>
    </w:p>
    <w:p>
      <w:pPr>
        <w:rPr>
          <w:rFonts w:ascii="宋体" w:hAnsi="宋体" w:cs="宋体"/>
          <w:sz w:val="24"/>
          <w:szCs w:val="24"/>
          <w:highlight w:val="none"/>
        </w:rPr>
      </w:pPr>
      <w:r>
        <w:rPr>
          <w:rFonts w:hint="eastAsia" w:ascii="宋体" w:hAnsi="宋体" w:cs="宋体"/>
          <w:sz w:val="24"/>
          <w:szCs w:val="24"/>
          <w:highlight w:val="none"/>
        </w:rPr>
        <w:t>7.5 重要施工方案和特殊施工工序的安全过程控制</w:t>
      </w:r>
    </w:p>
    <w:p>
      <w:pPr>
        <w:rPr>
          <w:rFonts w:ascii="宋体" w:hAnsi="宋体" w:cs="宋体"/>
          <w:sz w:val="24"/>
          <w:szCs w:val="24"/>
          <w:highlight w:val="none"/>
        </w:rPr>
      </w:pPr>
      <w:r>
        <w:rPr>
          <w:rFonts w:hint="eastAsia" w:ascii="宋体" w:hAnsi="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highlight w:val="none"/>
        </w:rPr>
      </w:pPr>
      <w:bookmarkStart w:id="40" w:name="_Hlt531956504"/>
      <w:r>
        <w:rPr>
          <w:rFonts w:hint="eastAsia" w:ascii="宋体" w:hAnsi="宋体" w:cs="宋体"/>
          <w:sz w:val="24"/>
          <w:szCs w:val="24"/>
          <w:highlight w:val="none"/>
        </w:rPr>
        <w:t>安全生产目标：杜绝本项目施工人员重大伤亡事故。</w:t>
      </w:r>
      <w:bookmarkEnd w:id="40"/>
    </w:p>
    <w:p>
      <w:pPr>
        <w:rPr>
          <w:rFonts w:ascii="宋体" w:hAnsi="宋体" w:cs="宋体"/>
          <w:sz w:val="24"/>
          <w:szCs w:val="24"/>
          <w:highlight w:val="none"/>
        </w:rPr>
      </w:pPr>
      <w:r>
        <w:rPr>
          <w:rFonts w:hint="eastAsia" w:ascii="宋体" w:hAnsi="宋体" w:cs="宋体"/>
          <w:sz w:val="24"/>
          <w:szCs w:val="24"/>
          <w:highlight w:val="none"/>
        </w:rPr>
        <w:t>文明施工目标：标准化管理。</w:t>
      </w:r>
    </w:p>
    <w:p>
      <w:pPr>
        <w:rPr>
          <w:rFonts w:ascii="宋体" w:hAnsi="宋体" w:cs="宋体"/>
          <w:sz w:val="24"/>
          <w:szCs w:val="24"/>
          <w:highlight w:val="none"/>
        </w:rPr>
      </w:pPr>
      <w:r>
        <w:rPr>
          <w:rFonts w:hint="eastAsia" w:ascii="宋体" w:hAnsi="宋体" w:cs="宋体"/>
          <w:sz w:val="24"/>
          <w:szCs w:val="24"/>
          <w:highlight w:val="none"/>
        </w:rPr>
        <w:t>（八）环境保护及文明施工</w:t>
      </w:r>
    </w:p>
    <w:p>
      <w:pPr>
        <w:rPr>
          <w:rFonts w:ascii="宋体" w:hAnsi="宋体" w:cs="宋体"/>
          <w:sz w:val="24"/>
          <w:szCs w:val="24"/>
          <w:highlight w:val="none"/>
        </w:rPr>
      </w:pPr>
      <w:r>
        <w:rPr>
          <w:rFonts w:hint="eastAsia" w:ascii="宋体" w:hAnsi="宋体" w:cs="宋体"/>
          <w:sz w:val="24"/>
          <w:szCs w:val="24"/>
          <w:highlight w:val="none"/>
        </w:rPr>
        <w:t>8.1 环境保护</w:t>
      </w:r>
    </w:p>
    <w:p>
      <w:pPr>
        <w:rPr>
          <w:rFonts w:ascii="宋体" w:hAnsi="宋体" w:cs="宋体"/>
          <w:sz w:val="24"/>
          <w:szCs w:val="24"/>
          <w:highlight w:val="none"/>
        </w:rPr>
      </w:pPr>
      <w:r>
        <w:rPr>
          <w:rFonts w:hint="eastAsia" w:ascii="宋体" w:hAnsi="宋体" w:cs="宋体"/>
          <w:sz w:val="24"/>
          <w:szCs w:val="24"/>
          <w:highlight w:val="none"/>
        </w:rPr>
        <w:t>分析因施工可能引起的环境保护方面的问题。</w:t>
      </w:r>
    </w:p>
    <w:p>
      <w:pPr>
        <w:rPr>
          <w:rFonts w:ascii="宋体" w:hAnsi="宋体" w:cs="宋体"/>
          <w:sz w:val="24"/>
          <w:szCs w:val="24"/>
          <w:highlight w:val="none"/>
        </w:rPr>
      </w:pPr>
      <w:r>
        <w:rPr>
          <w:rFonts w:hint="eastAsia" w:ascii="宋体" w:hAnsi="宋体" w:cs="宋体"/>
          <w:sz w:val="24"/>
          <w:szCs w:val="24"/>
          <w:highlight w:val="none"/>
        </w:rPr>
        <w:t>8.2 加强施工管理、严格保护环境</w:t>
      </w:r>
    </w:p>
    <w:p>
      <w:pPr>
        <w:rPr>
          <w:rFonts w:ascii="宋体" w:hAnsi="宋体" w:cs="宋体"/>
          <w:sz w:val="24"/>
          <w:szCs w:val="24"/>
          <w:highlight w:val="none"/>
        </w:rPr>
      </w:pPr>
      <w:r>
        <w:rPr>
          <w:rFonts w:hint="eastAsia" w:ascii="宋体" w:hAnsi="宋体" w:cs="宋体"/>
          <w:sz w:val="24"/>
          <w:szCs w:val="24"/>
          <w:highlight w:val="none"/>
        </w:rPr>
        <w:t>提出环境保护的目标及采取的具体措施。</w:t>
      </w:r>
    </w:p>
    <w:p>
      <w:pPr>
        <w:rPr>
          <w:rFonts w:ascii="宋体" w:hAnsi="宋体" w:cs="宋体"/>
          <w:sz w:val="24"/>
          <w:szCs w:val="24"/>
          <w:highlight w:val="none"/>
        </w:rPr>
      </w:pPr>
      <w:r>
        <w:rPr>
          <w:rFonts w:hint="eastAsia" w:ascii="宋体" w:hAnsi="宋体" w:cs="宋体"/>
          <w:sz w:val="24"/>
          <w:szCs w:val="24"/>
          <w:highlight w:val="none"/>
        </w:rPr>
        <w:t>8.3 文明施工的目标、组织机构和实施方案</w:t>
      </w:r>
    </w:p>
    <w:p>
      <w:pPr>
        <w:rPr>
          <w:rFonts w:ascii="宋体" w:hAnsi="宋体" w:cs="宋体"/>
          <w:sz w:val="24"/>
          <w:szCs w:val="24"/>
          <w:highlight w:val="none"/>
        </w:rPr>
      </w:pPr>
      <w:r>
        <w:rPr>
          <w:rFonts w:hint="eastAsia" w:ascii="宋体" w:hAnsi="宋体" w:cs="宋体"/>
          <w:sz w:val="24"/>
          <w:szCs w:val="24"/>
          <w:highlight w:val="none"/>
        </w:rPr>
        <w:t>8.4 文明施工考核、管理办法</w:t>
      </w:r>
    </w:p>
    <w:p>
      <w:pPr>
        <w:rPr>
          <w:rFonts w:ascii="宋体" w:hAnsi="宋体" w:cs="宋体"/>
          <w:sz w:val="24"/>
          <w:szCs w:val="24"/>
          <w:highlight w:val="none"/>
        </w:rPr>
      </w:pPr>
      <w:r>
        <w:rPr>
          <w:rFonts w:hint="eastAsia" w:ascii="宋体" w:hAnsi="宋体" w:cs="宋体"/>
          <w:sz w:val="24"/>
          <w:szCs w:val="24"/>
          <w:highlight w:val="none"/>
        </w:rPr>
        <w:t>（九）计划、统计和信息管理</w:t>
      </w:r>
    </w:p>
    <w:p>
      <w:pPr>
        <w:rPr>
          <w:rFonts w:ascii="宋体" w:hAnsi="宋体" w:cs="宋体"/>
          <w:sz w:val="24"/>
          <w:szCs w:val="24"/>
          <w:highlight w:val="none"/>
        </w:rPr>
      </w:pPr>
      <w:r>
        <w:rPr>
          <w:rFonts w:hint="eastAsia" w:ascii="宋体" w:hAnsi="宋体" w:cs="宋体"/>
          <w:sz w:val="24"/>
          <w:szCs w:val="24"/>
          <w:highlight w:val="none"/>
        </w:rPr>
        <w:t>9.1 计划、统计报表的编制与传递；</w:t>
      </w:r>
    </w:p>
    <w:p>
      <w:pPr>
        <w:rPr>
          <w:rFonts w:ascii="宋体" w:hAnsi="宋体" w:cs="宋体"/>
          <w:sz w:val="24"/>
          <w:szCs w:val="24"/>
          <w:highlight w:val="none"/>
        </w:rPr>
      </w:pPr>
      <w:r>
        <w:rPr>
          <w:rFonts w:hint="eastAsia" w:ascii="宋体" w:hAnsi="宋体" w:cs="宋体"/>
          <w:sz w:val="24"/>
          <w:szCs w:val="24"/>
          <w:highlight w:val="none"/>
        </w:rPr>
        <w:t>9.2 信息管理</w:t>
      </w:r>
    </w:p>
    <w:p>
      <w:pPr>
        <w:rPr>
          <w:rFonts w:ascii="宋体" w:hAnsi="宋体" w:cs="宋体"/>
          <w:sz w:val="24"/>
          <w:szCs w:val="24"/>
          <w:highlight w:val="none"/>
        </w:rPr>
      </w:pPr>
      <w:r>
        <w:rPr>
          <w:rFonts w:hint="eastAsia" w:ascii="宋体" w:hAnsi="宋体" w:cs="宋体"/>
          <w:sz w:val="24"/>
          <w:szCs w:val="24"/>
          <w:highlight w:val="none"/>
        </w:rPr>
        <w:t>提出信息管理的目标及拟将采取的措施。</w:t>
      </w:r>
    </w:p>
    <w:p>
      <w:pPr>
        <w:pStyle w:val="3"/>
        <w:rPr>
          <w:highlight w:val="none"/>
        </w:rPr>
      </w:pPr>
    </w:p>
    <w:p>
      <w:pPr>
        <w:pStyle w:val="5"/>
        <w:rPr>
          <w:highlight w:val="none"/>
        </w:rPr>
      </w:pPr>
    </w:p>
    <w:p>
      <w:pPr>
        <w:pStyle w:val="3"/>
        <w:rPr>
          <w:highlight w:val="none"/>
        </w:rPr>
      </w:pPr>
    </w:p>
    <w:p>
      <w:pPr>
        <w:pStyle w:val="3"/>
        <w:rPr>
          <w:highlight w:val="none"/>
        </w:rPr>
      </w:pPr>
      <w:r>
        <w:rPr>
          <w:rFonts w:hint="eastAsia"/>
          <w:highlight w:val="none"/>
        </w:rPr>
        <w:t>第六章</w:t>
      </w:r>
      <w:r>
        <w:rPr>
          <w:highlight w:val="none"/>
        </w:rPr>
        <w:t xml:space="preserve">  </w:t>
      </w:r>
      <w:r>
        <w:rPr>
          <w:rFonts w:hint="eastAsia"/>
          <w:highlight w:val="none"/>
        </w:rPr>
        <w:t>图纸及勘察资料</w:t>
      </w:r>
      <w:bookmarkEnd w:id="38"/>
      <w:bookmarkEnd w:id="39"/>
    </w:p>
    <w:p>
      <w:pPr>
        <w:jc w:val="center"/>
        <w:rPr>
          <w:rFonts w:ascii="宋体"/>
          <w:b/>
          <w:sz w:val="24"/>
          <w:szCs w:val="24"/>
          <w:highlight w:val="none"/>
        </w:rPr>
      </w:pPr>
      <w:r>
        <w:rPr>
          <w:rFonts w:hint="eastAsia" w:ascii="宋体" w:hAnsi="宋体"/>
          <w:sz w:val="24"/>
          <w:szCs w:val="24"/>
          <w:highlight w:val="none"/>
        </w:rPr>
        <w:t>注：另册。</w:t>
      </w:r>
    </w:p>
    <w:p>
      <w:pPr>
        <w:pStyle w:val="3"/>
        <w:rPr>
          <w:highlight w:val="none"/>
        </w:rPr>
      </w:pPr>
      <w:r>
        <w:rPr>
          <w:sz w:val="24"/>
          <w:szCs w:val="24"/>
          <w:highlight w:val="none"/>
        </w:rPr>
        <w:br w:type="page"/>
      </w:r>
      <w:bookmarkStart w:id="41" w:name="_Toc2272570"/>
      <w:bookmarkStart w:id="42" w:name="_Toc21525515"/>
      <w:r>
        <w:rPr>
          <w:rFonts w:hint="eastAsia"/>
          <w:highlight w:val="none"/>
        </w:rPr>
        <w:t>第七章</w:t>
      </w:r>
      <w:r>
        <w:rPr>
          <w:highlight w:val="none"/>
        </w:rPr>
        <w:t xml:space="preserve">  </w:t>
      </w:r>
      <w:r>
        <w:rPr>
          <w:rFonts w:hint="eastAsia"/>
          <w:highlight w:val="none"/>
        </w:rPr>
        <w:t>工程量清单</w:t>
      </w:r>
      <w:bookmarkEnd w:id="41"/>
      <w:bookmarkEnd w:id="42"/>
    </w:p>
    <w:p>
      <w:pPr>
        <w:rPr>
          <w:rFonts w:ascii="宋体" w:hAnsi="宋体" w:cs="宋体"/>
          <w:b/>
          <w:sz w:val="24"/>
          <w:szCs w:val="24"/>
          <w:highlight w:val="none"/>
        </w:rPr>
      </w:pPr>
      <w:r>
        <w:rPr>
          <w:rFonts w:hint="eastAsia" w:ascii="宋体" w:hAnsi="宋体" w:cs="宋体"/>
          <w:sz w:val="24"/>
          <w:szCs w:val="24"/>
          <w:highlight w:val="none"/>
        </w:rPr>
        <w:t>另册。</w:t>
      </w:r>
    </w:p>
    <w:p>
      <w:pPr>
        <w:pStyle w:val="5"/>
        <w:spacing w:after="0" w:line="360" w:lineRule="auto"/>
        <w:ind w:left="-2" w:leftChars="-1" w:firstLine="960" w:firstLineChars="400"/>
        <w:rPr>
          <w:rFonts w:ascii="宋体"/>
          <w:sz w:val="24"/>
          <w:highlight w:val="none"/>
        </w:rPr>
      </w:pPr>
    </w:p>
    <w:p>
      <w:pPr>
        <w:pStyle w:val="3"/>
        <w:rPr>
          <w:highlight w:val="none"/>
        </w:rPr>
      </w:pPr>
    </w:p>
    <w:p>
      <w:pPr>
        <w:pStyle w:val="3"/>
        <w:rPr>
          <w:rFonts w:ascii="宋体"/>
          <w:highlight w:val="none"/>
        </w:rPr>
      </w:pPr>
      <w:r>
        <w:rPr>
          <w:sz w:val="24"/>
          <w:szCs w:val="24"/>
          <w:highlight w:val="none"/>
        </w:rPr>
        <w:br w:type="page"/>
      </w:r>
      <w:bookmarkStart w:id="43" w:name="_Toc21525516"/>
      <w:bookmarkStart w:id="44" w:name="_Toc2272571"/>
      <w:r>
        <w:rPr>
          <w:rFonts w:hint="eastAsia"/>
          <w:highlight w:val="none"/>
        </w:rPr>
        <w:t>第八章</w:t>
      </w:r>
      <w:r>
        <w:rPr>
          <w:highlight w:val="none"/>
        </w:rPr>
        <w:t xml:space="preserve">  </w:t>
      </w:r>
      <w:r>
        <w:rPr>
          <w:rFonts w:hint="eastAsia"/>
          <w:highlight w:val="none"/>
        </w:rPr>
        <w:t>最高投标限价</w:t>
      </w:r>
      <w:bookmarkEnd w:id="43"/>
      <w:bookmarkEnd w:id="44"/>
    </w:p>
    <w:p>
      <w:pPr>
        <w:spacing w:line="360" w:lineRule="auto"/>
        <w:ind w:firstLine="480"/>
        <w:rPr>
          <w:rFonts w:ascii="宋体" w:hAnsi="宋体" w:cs="宋体"/>
          <w:sz w:val="24"/>
          <w:szCs w:val="24"/>
          <w:highlight w:val="none"/>
        </w:rPr>
      </w:pPr>
      <w:r>
        <w:rPr>
          <w:rFonts w:hint="eastAsia" w:ascii="宋体" w:hAnsi="宋体"/>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s="宋体"/>
          <w:sz w:val="24"/>
          <w:szCs w:val="24"/>
          <w:highlight w:val="none"/>
        </w:rPr>
        <w:t>具体详见本项目公告附件最高投标限价公布函。</w:t>
      </w: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0"/>
      </w:rPr>
    </w:pPr>
    <w:r>
      <w:rPr>
        <w:rStyle w:val="40"/>
      </w:rPr>
      <w:fldChar w:fldCharType="begin"/>
    </w:r>
    <w:r>
      <w:rPr>
        <w:rStyle w:val="40"/>
      </w:rPr>
      <w:instrText xml:space="preserve">PAGE  </w:instrText>
    </w:r>
    <w:r>
      <w:rPr>
        <w:rStyle w:val="40"/>
      </w:rPr>
      <w:fldChar w:fldCharType="separate"/>
    </w:r>
    <w:r>
      <w:rPr>
        <w:rStyle w:val="40"/>
      </w:rPr>
      <w:t>52</w:t>
    </w:r>
    <w:r>
      <w:rPr>
        <w:rStyle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0"/>
      </w:rPr>
      <w:fldChar w:fldCharType="begin"/>
    </w:r>
    <w:r>
      <w:rPr>
        <w:rStyle w:val="40"/>
      </w:rPr>
      <w:instrText xml:space="preserve"> PAGE </w:instrText>
    </w:r>
    <w:r>
      <w:rPr>
        <w:rStyle w:val="40"/>
      </w:rPr>
      <w:fldChar w:fldCharType="separate"/>
    </w:r>
    <w:r>
      <w:rPr>
        <w:rStyle w:val="40"/>
      </w:rPr>
      <w:t>51</w:t>
    </w:r>
    <w:r>
      <w:rPr>
        <w:rStyle w:val="4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54</w:t>
    </w:r>
    <w: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0"/>
      </w:rPr>
      <w:instrText xml:space="preserve"> PAGE </w:instrText>
    </w:r>
    <w:r>
      <w:fldChar w:fldCharType="separate"/>
    </w:r>
    <w:r>
      <w:rPr>
        <w:rStyle w:val="40"/>
      </w:rPr>
      <w:t>53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63</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mM2VhYWJhZmMzOTlhZmY5MjY1OTBlYzdmNGE2ZjAifQ=="/>
  </w:docVars>
  <w:rsids>
    <w:rsidRoot w:val="007B41BE"/>
    <w:rsid w:val="00005FB2"/>
    <w:rsid w:val="000200EE"/>
    <w:rsid w:val="000275BD"/>
    <w:rsid w:val="000575F8"/>
    <w:rsid w:val="000C1007"/>
    <w:rsid w:val="000C11E0"/>
    <w:rsid w:val="000C2710"/>
    <w:rsid w:val="000D396E"/>
    <w:rsid w:val="00107AD1"/>
    <w:rsid w:val="00181CAA"/>
    <w:rsid w:val="001A444A"/>
    <w:rsid w:val="002837D0"/>
    <w:rsid w:val="0029300C"/>
    <w:rsid w:val="002B7895"/>
    <w:rsid w:val="00336AA3"/>
    <w:rsid w:val="004370EC"/>
    <w:rsid w:val="004424B8"/>
    <w:rsid w:val="00446E4A"/>
    <w:rsid w:val="004B295D"/>
    <w:rsid w:val="004C7716"/>
    <w:rsid w:val="005539A0"/>
    <w:rsid w:val="005866FB"/>
    <w:rsid w:val="005C212B"/>
    <w:rsid w:val="006036EF"/>
    <w:rsid w:val="00673B83"/>
    <w:rsid w:val="00680BFD"/>
    <w:rsid w:val="006B6B0D"/>
    <w:rsid w:val="006F3576"/>
    <w:rsid w:val="0073229B"/>
    <w:rsid w:val="00780EC8"/>
    <w:rsid w:val="007B41BE"/>
    <w:rsid w:val="007D6D06"/>
    <w:rsid w:val="0083530B"/>
    <w:rsid w:val="00835C9E"/>
    <w:rsid w:val="0084442D"/>
    <w:rsid w:val="0088089D"/>
    <w:rsid w:val="008919F1"/>
    <w:rsid w:val="008D2515"/>
    <w:rsid w:val="008E4AD1"/>
    <w:rsid w:val="009179DE"/>
    <w:rsid w:val="00920E49"/>
    <w:rsid w:val="009747E9"/>
    <w:rsid w:val="00991949"/>
    <w:rsid w:val="009A0469"/>
    <w:rsid w:val="009A704D"/>
    <w:rsid w:val="009B2C9A"/>
    <w:rsid w:val="00A0387A"/>
    <w:rsid w:val="00A0619D"/>
    <w:rsid w:val="00A20AF3"/>
    <w:rsid w:val="00A2579D"/>
    <w:rsid w:val="00A50D34"/>
    <w:rsid w:val="00A64E29"/>
    <w:rsid w:val="00AD3DEE"/>
    <w:rsid w:val="00AD6716"/>
    <w:rsid w:val="00B2435C"/>
    <w:rsid w:val="00B83A92"/>
    <w:rsid w:val="00BB2F60"/>
    <w:rsid w:val="00BC7B91"/>
    <w:rsid w:val="00BE1732"/>
    <w:rsid w:val="00BE216D"/>
    <w:rsid w:val="00BF4229"/>
    <w:rsid w:val="00C267C0"/>
    <w:rsid w:val="00C32C1E"/>
    <w:rsid w:val="00C35453"/>
    <w:rsid w:val="00C408D3"/>
    <w:rsid w:val="00C5365F"/>
    <w:rsid w:val="00C81F53"/>
    <w:rsid w:val="00C82C8A"/>
    <w:rsid w:val="00C86E4E"/>
    <w:rsid w:val="00CD156B"/>
    <w:rsid w:val="00CE6D2E"/>
    <w:rsid w:val="00D75B45"/>
    <w:rsid w:val="00D84E64"/>
    <w:rsid w:val="00DB706E"/>
    <w:rsid w:val="00E22EAB"/>
    <w:rsid w:val="00E457F6"/>
    <w:rsid w:val="00E638F3"/>
    <w:rsid w:val="00E9778C"/>
    <w:rsid w:val="00EB0EF4"/>
    <w:rsid w:val="00EB6530"/>
    <w:rsid w:val="00EC014E"/>
    <w:rsid w:val="00F3100E"/>
    <w:rsid w:val="00F40301"/>
    <w:rsid w:val="00F96F91"/>
    <w:rsid w:val="00FA5926"/>
    <w:rsid w:val="00FC5596"/>
    <w:rsid w:val="01A324E9"/>
    <w:rsid w:val="01C53F3E"/>
    <w:rsid w:val="01D152A8"/>
    <w:rsid w:val="025A529E"/>
    <w:rsid w:val="02FE2D03"/>
    <w:rsid w:val="03124864"/>
    <w:rsid w:val="03184F30"/>
    <w:rsid w:val="036F4693"/>
    <w:rsid w:val="04262463"/>
    <w:rsid w:val="045066FF"/>
    <w:rsid w:val="04B56FD0"/>
    <w:rsid w:val="05935ABA"/>
    <w:rsid w:val="06327B5B"/>
    <w:rsid w:val="06391F63"/>
    <w:rsid w:val="0694453D"/>
    <w:rsid w:val="06A05249"/>
    <w:rsid w:val="072F44E3"/>
    <w:rsid w:val="073B1CC1"/>
    <w:rsid w:val="07B30216"/>
    <w:rsid w:val="07CC4C61"/>
    <w:rsid w:val="08777DF5"/>
    <w:rsid w:val="08EF0C8C"/>
    <w:rsid w:val="090B5543"/>
    <w:rsid w:val="09AD5B81"/>
    <w:rsid w:val="09D771D4"/>
    <w:rsid w:val="09F33618"/>
    <w:rsid w:val="0A5615D2"/>
    <w:rsid w:val="0AC73CE9"/>
    <w:rsid w:val="0B194835"/>
    <w:rsid w:val="0BA555DC"/>
    <w:rsid w:val="0BFF553A"/>
    <w:rsid w:val="0C163FA6"/>
    <w:rsid w:val="0D407BD1"/>
    <w:rsid w:val="0D5E54A5"/>
    <w:rsid w:val="0D6B30D4"/>
    <w:rsid w:val="0F511424"/>
    <w:rsid w:val="0F7E4AB5"/>
    <w:rsid w:val="0FAC68BB"/>
    <w:rsid w:val="0FEF45D8"/>
    <w:rsid w:val="104135F9"/>
    <w:rsid w:val="105015B9"/>
    <w:rsid w:val="10930611"/>
    <w:rsid w:val="10990EC7"/>
    <w:rsid w:val="10AA09E6"/>
    <w:rsid w:val="114C494B"/>
    <w:rsid w:val="11E8746F"/>
    <w:rsid w:val="11F31941"/>
    <w:rsid w:val="12CB0A5B"/>
    <w:rsid w:val="13375D52"/>
    <w:rsid w:val="13E51F6C"/>
    <w:rsid w:val="13E72709"/>
    <w:rsid w:val="14D34591"/>
    <w:rsid w:val="154D4C74"/>
    <w:rsid w:val="15A47E68"/>
    <w:rsid w:val="16861D19"/>
    <w:rsid w:val="173F18BE"/>
    <w:rsid w:val="18151F96"/>
    <w:rsid w:val="181C07FE"/>
    <w:rsid w:val="187354C1"/>
    <w:rsid w:val="189237DC"/>
    <w:rsid w:val="18A254CF"/>
    <w:rsid w:val="190621F2"/>
    <w:rsid w:val="1A2F4635"/>
    <w:rsid w:val="1A531F7F"/>
    <w:rsid w:val="1A98475D"/>
    <w:rsid w:val="1AD03189"/>
    <w:rsid w:val="1AFC3630"/>
    <w:rsid w:val="1B257D65"/>
    <w:rsid w:val="1B862A01"/>
    <w:rsid w:val="1C3754F0"/>
    <w:rsid w:val="1C817B9F"/>
    <w:rsid w:val="1D946687"/>
    <w:rsid w:val="1E203761"/>
    <w:rsid w:val="1E486D96"/>
    <w:rsid w:val="1EA91761"/>
    <w:rsid w:val="1EBA5A37"/>
    <w:rsid w:val="1F647BA2"/>
    <w:rsid w:val="1FF540F7"/>
    <w:rsid w:val="1FF92163"/>
    <w:rsid w:val="20216DCB"/>
    <w:rsid w:val="202C50C6"/>
    <w:rsid w:val="20BB73F7"/>
    <w:rsid w:val="20EA0012"/>
    <w:rsid w:val="20EB0C9B"/>
    <w:rsid w:val="20EB1AE8"/>
    <w:rsid w:val="20F461FB"/>
    <w:rsid w:val="212A1126"/>
    <w:rsid w:val="228D3CB5"/>
    <w:rsid w:val="22AD0709"/>
    <w:rsid w:val="23141450"/>
    <w:rsid w:val="24A972CC"/>
    <w:rsid w:val="269C22EB"/>
    <w:rsid w:val="27AC1B6A"/>
    <w:rsid w:val="28530A3B"/>
    <w:rsid w:val="28790229"/>
    <w:rsid w:val="289F315B"/>
    <w:rsid w:val="29466BCF"/>
    <w:rsid w:val="2A880A7B"/>
    <w:rsid w:val="2ABB54F4"/>
    <w:rsid w:val="2AE676B4"/>
    <w:rsid w:val="2C0D164C"/>
    <w:rsid w:val="2DC4660F"/>
    <w:rsid w:val="30997F39"/>
    <w:rsid w:val="30AC62B5"/>
    <w:rsid w:val="30CB388B"/>
    <w:rsid w:val="310A17BD"/>
    <w:rsid w:val="31682B17"/>
    <w:rsid w:val="31C174D6"/>
    <w:rsid w:val="32184F44"/>
    <w:rsid w:val="32BF3509"/>
    <w:rsid w:val="339B6959"/>
    <w:rsid w:val="33BA702B"/>
    <w:rsid w:val="33CB137D"/>
    <w:rsid w:val="33F5184C"/>
    <w:rsid w:val="3457257C"/>
    <w:rsid w:val="34755858"/>
    <w:rsid w:val="35501486"/>
    <w:rsid w:val="35BB7673"/>
    <w:rsid w:val="361600A4"/>
    <w:rsid w:val="36FA484C"/>
    <w:rsid w:val="37465954"/>
    <w:rsid w:val="375D203C"/>
    <w:rsid w:val="37FA01D4"/>
    <w:rsid w:val="38026A6F"/>
    <w:rsid w:val="38660B51"/>
    <w:rsid w:val="386C44C8"/>
    <w:rsid w:val="38FB5AD3"/>
    <w:rsid w:val="390239BE"/>
    <w:rsid w:val="39C15447"/>
    <w:rsid w:val="39F308E8"/>
    <w:rsid w:val="39FF6BA3"/>
    <w:rsid w:val="3A4B56FC"/>
    <w:rsid w:val="3A566F31"/>
    <w:rsid w:val="3A8B1EF5"/>
    <w:rsid w:val="3A8D1903"/>
    <w:rsid w:val="3B0B1AD8"/>
    <w:rsid w:val="3B817F46"/>
    <w:rsid w:val="3C0435A9"/>
    <w:rsid w:val="3C6D13A1"/>
    <w:rsid w:val="3C6E7851"/>
    <w:rsid w:val="3CB17B91"/>
    <w:rsid w:val="3D60411F"/>
    <w:rsid w:val="3F6C2C90"/>
    <w:rsid w:val="3FC7088B"/>
    <w:rsid w:val="41CF635B"/>
    <w:rsid w:val="41E657FF"/>
    <w:rsid w:val="42A21DA3"/>
    <w:rsid w:val="42BB330B"/>
    <w:rsid w:val="433E7706"/>
    <w:rsid w:val="43CC4A3F"/>
    <w:rsid w:val="43FE7235"/>
    <w:rsid w:val="447555F4"/>
    <w:rsid w:val="447C0411"/>
    <w:rsid w:val="450D5A45"/>
    <w:rsid w:val="45675EB9"/>
    <w:rsid w:val="45C65BB7"/>
    <w:rsid w:val="46B567EC"/>
    <w:rsid w:val="4789207B"/>
    <w:rsid w:val="47BC16D6"/>
    <w:rsid w:val="47ED366A"/>
    <w:rsid w:val="481A7151"/>
    <w:rsid w:val="48523C0A"/>
    <w:rsid w:val="493058B4"/>
    <w:rsid w:val="4B3F6B82"/>
    <w:rsid w:val="4B6B7860"/>
    <w:rsid w:val="4BFE3359"/>
    <w:rsid w:val="4C066B29"/>
    <w:rsid w:val="4C3719B2"/>
    <w:rsid w:val="4C902A8D"/>
    <w:rsid w:val="4C96649F"/>
    <w:rsid w:val="4CC414CF"/>
    <w:rsid w:val="4CC87B94"/>
    <w:rsid w:val="4CCC0113"/>
    <w:rsid w:val="4D2866B7"/>
    <w:rsid w:val="4DBC0187"/>
    <w:rsid w:val="4E6C325B"/>
    <w:rsid w:val="4E8F6564"/>
    <w:rsid w:val="4ED65279"/>
    <w:rsid w:val="4F962978"/>
    <w:rsid w:val="502244A5"/>
    <w:rsid w:val="50760543"/>
    <w:rsid w:val="51BB4DAA"/>
    <w:rsid w:val="52592E98"/>
    <w:rsid w:val="53672172"/>
    <w:rsid w:val="53C11B84"/>
    <w:rsid w:val="53F92C98"/>
    <w:rsid w:val="548C6339"/>
    <w:rsid w:val="54AE09CE"/>
    <w:rsid w:val="54B40BE7"/>
    <w:rsid w:val="55995214"/>
    <w:rsid w:val="56AE4214"/>
    <w:rsid w:val="573354B6"/>
    <w:rsid w:val="57452F9B"/>
    <w:rsid w:val="57920D10"/>
    <w:rsid w:val="57E02CC4"/>
    <w:rsid w:val="58223237"/>
    <w:rsid w:val="5864233E"/>
    <w:rsid w:val="58F51A81"/>
    <w:rsid w:val="590D059C"/>
    <w:rsid w:val="592B15DF"/>
    <w:rsid w:val="593E6324"/>
    <w:rsid w:val="59C9560C"/>
    <w:rsid w:val="59E2645B"/>
    <w:rsid w:val="5A755E33"/>
    <w:rsid w:val="5AE07983"/>
    <w:rsid w:val="5B215ACE"/>
    <w:rsid w:val="5BA66C84"/>
    <w:rsid w:val="5BC04CA0"/>
    <w:rsid w:val="5C193C6F"/>
    <w:rsid w:val="5CA95D7B"/>
    <w:rsid w:val="5CDF456F"/>
    <w:rsid w:val="5D572C78"/>
    <w:rsid w:val="5DD714A4"/>
    <w:rsid w:val="5E6D347A"/>
    <w:rsid w:val="5ECB5FF5"/>
    <w:rsid w:val="5F0F299B"/>
    <w:rsid w:val="5F4B72E8"/>
    <w:rsid w:val="5FEF5F56"/>
    <w:rsid w:val="607D63EF"/>
    <w:rsid w:val="61856700"/>
    <w:rsid w:val="618E445E"/>
    <w:rsid w:val="620F7EF6"/>
    <w:rsid w:val="62832486"/>
    <w:rsid w:val="638A67B2"/>
    <w:rsid w:val="638B442C"/>
    <w:rsid w:val="63C01BA2"/>
    <w:rsid w:val="63C10880"/>
    <w:rsid w:val="644C1739"/>
    <w:rsid w:val="648150B9"/>
    <w:rsid w:val="64FB758F"/>
    <w:rsid w:val="64FD03AC"/>
    <w:rsid w:val="653505E7"/>
    <w:rsid w:val="65890C8C"/>
    <w:rsid w:val="65E77799"/>
    <w:rsid w:val="66BE34B8"/>
    <w:rsid w:val="677772D0"/>
    <w:rsid w:val="6777770A"/>
    <w:rsid w:val="68403A64"/>
    <w:rsid w:val="68E029FD"/>
    <w:rsid w:val="69147527"/>
    <w:rsid w:val="699A2DE5"/>
    <w:rsid w:val="69AC0C58"/>
    <w:rsid w:val="69B813AB"/>
    <w:rsid w:val="69FA40E3"/>
    <w:rsid w:val="6B036428"/>
    <w:rsid w:val="6B040620"/>
    <w:rsid w:val="6B407C0E"/>
    <w:rsid w:val="6B804DE4"/>
    <w:rsid w:val="6BC46986"/>
    <w:rsid w:val="6C7621DF"/>
    <w:rsid w:val="6C787452"/>
    <w:rsid w:val="6C7D39C9"/>
    <w:rsid w:val="6CEF4F0F"/>
    <w:rsid w:val="6D824924"/>
    <w:rsid w:val="6DAB59DE"/>
    <w:rsid w:val="6EAF3BF9"/>
    <w:rsid w:val="6F3D48CD"/>
    <w:rsid w:val="6F9220A7"/>
    <w:rsid w:val="6F9D106B"/>
    <w:rsid w:val="6F9F1217"/>
    <w:rsid w:val="6FD146E6"/>
    <w:rsid w:val="702751BC"/>
    <w:rsid w:val="70803C45"/>
    <w:rsid w:val="708A2F7E"/>
    <w:rsid w:val="70AF7646"/>
    <w:rsid w:val="70E06CE3"/>
    <w:rsid w:val="71533DB0"/>
    <w:rsid w:val="71CC34BB"/>
    <w:rsid w:val="723F4C97"/>
    <w:rsid w:val="739909A9"/>
    <w:rsid w:val="73BC4877"/>
    <w:rsid w:val="73CC483B"/>
    <w:rsid w:val="74550B7F"/>
    <w:rsid w:val="74660147"/>
    <w:rsid w:val="747857C5"/>
    <w:rsid w:val="74BC2D43"/>
    <w:rsid w:val="74D57DC3"/>
    <w:rsid w:val="75091C36"/>
    <w:rsid w:val="754D4AAC"/>
    <w:rsid w:val="754E44BD"/>
    <w:rsid w:val="75866B39"/>
    <w:rsid w:val="76117735"/>
    <w:rsid w:val="761F5CF5"/>
    <w:rsid w:val="762A5C33"/>
    <w:rsid w:val="76305A01"/>
    <w:rsid w:val="769748A4"/>
    <w:rsid w:val="76F579B0"/>
    <w:rsid w:val="77302EC9"/>
    <w:rsid w:val="77862AE9"/>
    <w:rsid w:val="780E4FF0"/>
    <w:rsid w:val="783B609A"/>
    <w:rsid w:val="7A637111"/>
    <w:rsid w:val="7A9554CF"/>
    <w:rsid w:val="7ADC31A8"/>
    <w:rsid w:val="7AF33058"/>
    <w:rsid w:val="7B012F78"/>
    <w:rsid w:val="7BFC5316"/>
    <w:rsid w:val="7CBD6A8F"/>
    <w:rsid w:val="7CC47394"/>
    <w:rsid w:val="7CFF4621"/>
    <w:rsid w:val="7D5F768E"/>
    <w:rsid w:val="7E97060A"/>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9"/>
    <w:qFormat/>
    <w:uiPriority w:val="0"/>
    <w:pPr>
      <w:keepNext/>
      <w:keepLines/>
      <w:spacing w:after="120" w:line="360" w:lineRule="auto"/>
      <w:outlineLvl w:val="0"/>
    </w:pPr>
    <w:rPr>
      <w:kern w:val="44"/>
      <w:sz w:val="28"/>
      <w:szCs w:val="28"/>
    </w:rPr>
  </w:style>
  <w:style w:type="paragraph" w:styleId="6">
    <w:name w:val="heading 2"/>
    <w:basedOn w:val="1"/>
    <w:next w:val="1"/>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2"/>
    <w:qFormat/>
    <w:uiPriority w:val="0"/>
    <w:pPr>
      <w:numPr>
        <w:ilvl w:val="4"/>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spacing w:after="120"/>
    </w:pPr>
    <w:rPr>
      <w:rFonts w:ascii="Times New Roman" w:hAnsi="Times New Roman"/>
      <w:szCs w:val="20"/>
    </w:rPr>
  </w:style>
  <w:style w:type="paragraph" w:styleId="4">
    <w:name w:val="Title"/>
    <w:basedOn w:val="1"/>
    <w:link w:val="68"/>
    <w:qFormat/>
    <w:uiPriority w:val="0"/>
    <w:pPr>
      <w:spacing w:before="120" w:after="60"/>
      <w:jc w:val="center"/>
    </w:pPr>
    <w:rPr>
      <w:rFonts w:ascii="Arial" w:hAnsi="Arial"/>
      <w:b/>
      <w:sz w:val="44"/>
      <w:szCs w:val="20"/>
    </w:rPr>
  </w:style>
  <w:style w:type="paragraph" w:styleId="5">
    <w:name w:val="Body Text First Indent"/>
    <w:basedOn w:val="2"/>
    <w:link w:val="72"/>
    <w:qFormat/>
    <w:uiPriority w:val="0"/>
    <w:pPr>
      <w:ind w:firstLine="420"/>
    </w:pPr>
  </w:style>
  <w:style w:type="paragraph" w:styleId="9">
    <w:name w:val="Normal Indent"/>
    <w:basedOn w:val="1"/>
    <w:next w:val="1"/>
    <w:qFormat/>
    <w:uiPriority w:val="0"/>
    <w:pPr>
      <w:ind w:firstLine="420"/>
    </w:pPr>
    <w:rPr>
      <w:rFonts w:ascii="Times New Roman" w:hAnsi="Times New Roman"/>
      <w:szCs w:val="20"/>
    </w:rPr>
  </w:style>
  <w:style w:type="paragraph" w:styleId="15">
    <w:name w:val="Document Map"/>
    <w:basedOn w:val="1"/>
    <w:link w:val="78"/>
    <w:qFormat/>
    <w:uiPriority w:val="0"/>
    <w:pPr>
      <w:shd w:val="clear" w:color="auto" w:fill="000080"/>
    </w:pPr>
    <w:rPr>
      <w:rFonts w:ascii="Times New Roman" w:hAnsi="Times New Roman"/>
      <w:szCs w:val="20"/>
    </w:rPr>
  </w:style>
  <w:style w:type="paragraph" w:styleId="16">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6"/>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0"/>
    <w:qFormat/>
    <w:uiPriority w:val="0"/>
    <w:rPr>
      <w:rFonts w:ascii="宋体" w:hAnsi="Courier New"/>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6"/>
    <w:next w:val="16"/>
    <w:link w:val="108"/>
    <w:qFormat/>
    <w:uiPriority w:val="0"/>
    <w:rPr>
      <w:b/>
      <w:bCs/>
    </w:rPr>
  </w:style>
  <w:style w:type="paragraph" w:styleId="34">
    <w:name w:val="Body Text First Indent 2"/>
    <w:basedOn w:val="1"/>
    <w:qFormat/>
    <w:uiPriority w:val="0"/>
    <w:pPr>
      <w:spacing w:after="120"/>
      <w:ind w:left="200" w:leftChars="200" w:firstLine="200" w:firstLineChars="200"/>
    </w:pPr>
    <w:rPr>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Char"/>
    <w:link w:val="7"/>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Char"/>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Char"/>
    <w:link w:val="24"/>
    <w:qFormat/>
    <w:uiPriority w:val="0"/>
    <w:rPr>
      <w:rFonts w:ascii="Calibri" w:hAnsi="Calibri" w:eastAsia="宋体" w:cs="Times New Roman"/>
      <w:sz w:val="18"/>
      <w:szCs w:val="18"/>
    </w:rPr>
  </w:style>
  <w:style w:type="character" w:customStyle="1" w:styleId="59">
    <w:name w:val="标题 1 Char"/>
    <w:link w:val="3"/>
    <w:qFormat/>
    <w:uiPriority w:val="0"/>
    <w:rPr>
      <w:rFonts w:ascii="Arial" w:hAnsi="Arial" w:eastAsia="宋体"/>
      <w:b/>
      <w:kern w:val="44"/>
      <w:sz w:val="28"/>
      <w:szCs w:val="28"/>
    </w:rPr>
  </w:style>
  <w:style w:type="character" w:customStyle="1" w:styleId="60">
    <w:name w:val="标题 2 Char"/>
    <w:link w:val="6"/>
    <w:qFormat/>
    <w:uiPriority w:val="0"/>
    <w:rPr>
      <w:rFonts w:ascii="Arial" w:hAnsi="Arial" w:eastAsia="宋体" w:cs="Times New Roman"/>
      <w:b/>
      <w:color w:val="000000"/>
      <w:sz w:val="24"/>
      <w:szCs w:val="24"/>
    </w:rPr>
  </w:style>
  <w:style w:type="character" w:customStyle="1" w:styleId="61">
    <w:name w:val="标题 4 Char"/>
    <w:link w:val="8"/>
    <w:qFormat/>
    <w:uiPriority w:val="0"/>
    <w:rPr>
      <w:rFonts w:ascii="Arial" w:hAnsi="Arial" w:eastAsia="宋体" w:cs="Times New Roman"/>
      <w:color w:val="000000"/>
      <w:szCs w:val="21"/>
    </w:rPr>
  </w:style>
  <w:style w:type="character" w:customStyle="1" w:styleId="62">
    <w:name w:val="标题 5 Char"/>
    <w:link w:val="10"/>
    <w:qFormat/>
    <w:uiPriority w:val="0"/>
    <w:rPr>
      <w:rFonts w:ascii="Arial" w:hAnsi="Arial" w:eastAsia="宋体" w:cs="Times New Roman"/>
      <w:color w:val="000000"/>
      <w:szCs w:val="21"/>
    </w:rPr>
  </w:style>
  <w:style w:type="character" w:customStyle="1" w:styleId="63">
    <w:name w:val="标题 6 Char"/>
    <w:link w:val="11"/>
    <w:qFormat/>
    <w:uiPriority w:val="0"/>
    <w:rPr>
      <w:rFonts w:ascii="Arial" w:hAnsi="Arial" w:eastAsia="黑体" w:cs="Times New Roman"/>
      <w:b/>
      <w:bCs/>
      <w:sz w:val="24"/>
      <w:szCs w:val="24"/>
    </w:rPr>
  </w:style>
  <w:style w:type="character" w:customStyle="1" w:styleId="64">
    <w:name w:val="标题 7 Char"/>
    <w:link w:val="12"/>
    <w:qFormat/>
    <w:uiPriority w:val="0"/>
    <w:rPr>
      <w:rFonts w:ascii="Times New Roman" w:hAnsi="Times New Roman" w:eastAsia="宋体" w:cs="Times New Roman"/>
      <w:b/>
      <w:sz w:val="24"/>
      <w:szCs w:val="20"/>
    </w:rPr>
  </w:style>
  <w:style w:type="character" w:customStyle="1" w:styleId="65">
    <w:name w:val="标题 8 Char"/>
    <w:link w:val="13"/>
    <w:qFormat/>
    <w:uiPriority w:val="0"/>
    <w:rPr>
      <w:rFonts w:ascii="Arial" w:hAnsi="Arial" w:eastAsia="黑体" w:cs="Times New Roman"/>
      <w:sz w:val="24"/>
      <w:szCs w:val="20"/>
    </w:rPr>
  </w:style>
  <w:style w:type="character" w:customStyle="1" w:styleId="66">
    <w:name w:val="标题 9 Char"/>
    <w:link w:val="14"/>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4"/>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2"/>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5"/>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7"/>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5"/>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19"/>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9"/>
    <w:qFormat/>
    <w:uiPriority w:val="0"/>
    <w:pPr>
      <w:ind w:firstLine="0"/>
    </w:pPr>
    <w:rPr>
      <w:rFonts w:ascii="仿宋_GB2312" w:eastAsia="仿宋_GB2312"/>
      <w:sz w:val="30"/>
      <w:szCs w:val="24"/>
    </w:rPr>
  </w:style>
  <w:style w:type="paragraph" w:customStyle="1" w:styleId="95">
    <w:name w:val="Char Char Char1 Char"/>
    <w:basedOn w:val="15"/>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3"/>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6"/>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font11"/>
    <w:qFormat/>
    <w:uiPriority w:val="0"/>
    <w:rPr>
      <w:rFonts w:hint="eastAsia" w:ascii="仿宋" w:hAnsi="仿宋" w:eastAsia="仿宋" w:cs="仿宋"/>
      <w:color w:val="000000"/>
      <w:sz w:val="28"/>
      <w:szCs w:val="28"/>
      <w:u w:val="none"/>
    </w:rPr>
  </w:style>
  <w:style w:type="paragraph" w:customStyle="1" w:styleId="113">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5">
    <w:name w:val="正文 New New"/>
    <w:qFormat/>
    <w:uiPriority w:val="0"/>
    <w:pPr>
      <w:widowControl w:val="0"/>
      <w:jc w:val="both"/>
    </w:pPr>
    <w:rPr>
      <w:rFonts w:ascii="Calibri" w:hAnsi="Calibri" w:eastAsia="楷体_GB2312" w:cs="Times New Roman"/>
      <w:lang w:val="en-US" w:eastAsia="zh-CN" w:bidi="ar-SA"/>
    </w:rPr>
  </w:style>
  <w:style w:type="character" w:customStyle="1" w:styleId="116">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7">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19">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0">
    <w:name w:val="Plain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44937</Words>
  <Characters>47331</Characters>
  <Lines>373</Lines>
  <Paragraphs>105</Paragraphs>
  <TotalTime>2</TotalTime>
  <ScaleCrop>false</ScaleCrop>
  <LinksUpToDate>false</LinksUpToDate>
  <CharactersWithSpaces>49289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YIP</cp:lastModifiedBy>
  <dcterms:modified xsi:type="dcterms:W3CDTF">2023-07-04T03:37:06Z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370295C86D9C48D1AA8A8E896F6AE751_13</vt:lpwstr>
  </property>
</Properties>
</file>