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720"/>
        <w:jc w:val="right"/>
        <w:rPr>
          <w:rFonts w:hint="eastAsia" w:ascii="宋体" w:hAnsi="宋体"/>
          <w:sz w:val="36"/>
          <w:szCs w:val="36"/>
          <w:highlight w:val="none"/>
        </w:rPr>
      </w:pPr>
      <w:r>
        <w:rPr>
          <w:rFonts w:hint="eastAsia" w:ascii="宋体" w:hAnsi="宋体"/>
          <w:sz w:val="36"/>
          <w:szCs w:val="36"/>
          <w:highlight w:val="none"/>
        </w:rPr>
        <w:t xml:space="preserve"> </w:t>
      </w:r>
    </w:p>
    <w:p>
      <w:pPr>
        <w:ind w:firstLine="720"/>
        <w:jc w:val="center"/>
        <w:rPr>
          <w:rFonts w:hint="eastAsia" w:ascii="宋体" w:hAnsi="宋体"/>
          <w:sz w:val="36"/>
          <w:szCs w:val="36"/>
          <w:highlight w:val="none"/>
        </w:rPr>
      </w:pPr>
      <w:r>
        <w:rPr>
          <w:rFonts w:hint="eastAsia" w:ascii="宋体" w:hAnsi="宋体"/>
          <w:sz w:val="36"/>
          <w:szCs w:val="36"/>
          <w:highlight w:val="none"/>
        </w:rPr>
        <w:t xml:space="preserve"> </w:t>
      </w:r>
    </w:p>
    <w:p>
      <w:pPr>
        <w:spacing w:line="360" w:lineRule="auto"/>
        <w:jc w:val="center"/>
        <w:rPr>
          <w:rFonts w:hint="eastAsia" w:ascii="宋体" w:hAnsi="宋体"/>
          <w:b/>
          <w:sz w:val="52"/>
          <w:szCs w:val="52"/>
          <w:highlight w:val="none"/>
        </w:rPr>
      </w:pPr>
      <w:r>
        <w:rPr>
          <w:rFonts w:hint="eastAsia" w:ascii="宋体" w:hAnsi="宋体"/>
          <w:b/>
          <w:sz w:val="52"/>
          <w:szCs w:val="52"/>
          <w:highlight w:val="none"/>
          <w:lang w:eastAsia="zh-CN"/>
        </w:rPr>
        <w:t>老旧小区排水单元达标创建工程 (茶滘街片区)施工监理服务</w:t>
      </w:r>
    </w:p>
    <w:p>
      <w:pPr>
        <w:ind w:firstLine="640"/>
        <w:jc w:val="center"/>
        <w:rPr>
          <w:rFonts w:hint="eastAsia" w:ascii="宋体" w:hAnsi="宋体"/>
          <w:sz w:val="32"/>
          <w:szCs w:val="32"/>
          <w:highlight w:val="none"/>
        </w:rPr>
      </w:pPr>
      <w:r>
        <w:rPr>
          <w:rFonts w:hint="eastAsia" w:ascii="宋体" w:hAnsi="宋体"/>
          <w:sz w:val="32"/>
          <w:szCs w:val="32"/>
          <w:highlight w:val="none"/>
        </w:rPr>
        <w:t xml:space="preserve"> </w:t>
      </w:r>
    </w:p>
    <w:p>
      <w:pPr>
        <w:ind w:firstLine="1687"/>
        <w:rPr>
          <w:rStyle w:val="10"/>
          <w:rFonts w:hint="eastAsia" w:ascii="宋体" w:hAnsi="宋体"/>
          <w:b/>
          <w:bCs/>
          <w:i w:val="0"/>
          <w:iCs w:val="0"/>
          <w:sz w:val="84"/>
          <w:szCs w:val="84"/>
          <w:highlight w:val="none"/>
        </w:rPr>
      </w:pPr>
    </w:p>
    <w:p>
      <w:pPr>
        <w:ind w:firstLine="1687"/>
        <w:rPr>
          <w:rStyle w:val="10"/>
          <w:rFonts w:ascii="宋体" w:hAnsi="宋体"/>
          <w:b/>
          <w:bCs/>
          <w:i w:val="0"/>
          <w:iCs w:val="0"/>
          <w:sz w:val="84"/>
          <w:szCs w:val="84"/>
          <w:highlight w:val="none"/>
        </w:rPr>
      </w:pPr>
      <w:r>
        <w:rPr>
          <w:rStyle w:val="10"/>
          <w:rFonts w:hint="eastAsia" w:ascii="宋体" w:hAnsi="宋体"/>
          <w:b/>
          <w:bCs/>
          <w:i w:val="0"/>
          <w:iCs w:val="0"/>
          <w:sz w:val="84"/>
          <w:szCs w:val="84"/>
          <w:highlight w:val="none"/>
        </w:rPr>
        <w:t xml:space="preserve">  </w:t>
      </w:r>
    </w:p>
    <w:p>
      <w:pPr>
        <w:ind w:firstLine="1687"/>
        <w:rPr>
          <w:rStyle w:val="10"/>
          <w:rFonts w:hint="eastAsia" w:ascii="宋体" w:hAnsi="宋体"/>
          <w:b/>
          <w:bCs/>
          <w:i w:val="0"/>
          <w:iCs w:val="0"/>
          <w:sz w:val="84"/>
          <w:szCs w:val="84"/>
          <w:highlight w:val="none"/>
        </w:rPr>
      </w:pPr>
    </w:p>
    <w:p>
      <w:pPr>
        <w:jc w:val="center"/>
        <w:rPr>
          <w:rFonts w:hint="eastAsia" w:ascii="宋体" w:hAnsi="宋体" w:eastAsia="宋体" w:cs="等线"/>
          <w:b/>
          <w:sz w:val="100"/>
          <w:szCs w:val="100"/>
          <w:highlight w:val="none"/>
          <w:lang w:eastAsia="zh-CN"/>
        </w:rPr>
      </w:pPr>
      <w:r>
        <w:rPr>
          <w:rFonts w:hint="eastAsia" w:ascii="宋体" w:hAnsi="宋体" w:cs="等线"/>
          <w:b/>
          <w:sz w:val="100"/>
          <w:szCs w:val="100"/>
          <w:highlight w:val="none"/>
        </w:rPr>
        <w:t xml:space="preserve">招 标 </w:t>
      </w:r>
      <w:r>
        <w:rPr>
          <w:rFonts w:hint="eastAsia" w:ascii="宋体" w:hAnsi="宋体" w:cs="等线"/>
          <w:b/>
          <w:sz w:val="100"/>
          <w:szCs w:val="100"/>
          <w:highlight w:val="none"/>
          <w:lang w:val="en-US" w:eastAsia="zh-CN"/>
        </w:rPr>
        <w:t>公 告</w:t>
      </w:r>
    </w:p>
    <w:p>
      <w:pPr>
        <w:ind w:firstLine="1687"/>
        <w:jc w:val="center"/>
        <w:rPr>
          <w:rStyle w:val="10"/>
          <w:rFonts w:hint="eastAsia" w:ascii="宋体" w:hAnsi="宋体"/>
          <w:b/>
          <w:bCs/>
          <w:i w:val="0"/>
          <w:iCs w:val="0"/>
          <w:sz w:val="84"/>
          <w:szCs w:val="84"/>
          <w:highlight w:val="none"/>
        </w:rPr>
      </w:pPr>
    </w:p>
    <w:p>
      <w:pPr>
        <w:ind w:firstLine="720"/>
        <w:rPr>
          <w:rFonts w:hint="eastAsia" w:ascii="宋体" w:hAnsi="宋体"/>
          <w:sz w:val="36"/>
          <w:szCs w:val="36"/>
          <w:highlight w:val="none"/>
        </w:rPr>
      </w:pPr>
    </w:p>
    <w:p>
      <w:pPr>
        <w:ind w:firstLine="480"/>
        <w:jc w:val="center"/>
        <w:rPr>
          <w:rFonts w:hint="eastAsia" w:ascii="宋体" w:hAnsi="宋体"/>
          <w:highlight w:val="none"/>
        </w:rPr>
      </w:pPr>
    </w:p>
    <w:p>
      <w:pPr>
        <w:ind w:firstLine="643"/>
        <w:rPr>
          <w:rFonts w:hint="eastAsia" w:ascii="宋体" w:hAnsi="宋体"/>
          <w:b/>
          <w:bCs/>
          <w:sz w:val="32"/>
          <w:szCs w:val="32"/>
          <w:highlight w:val="none"/>
        </w:rPr>
      </w:pPr>
      <w:r>
        <w:rPr>
          <w:rFonts w:hint="eastAsia" w:ascii="宋体" w:hAnsi="宋体"/>
          <w:b/>
          <w:bCs/>
          <w:sz w:val="32"/>
          <w:szCs w:val="32"/>
          <w:highlight w:val="none"/>
        </w:rPr>
        <w:t xml:space="preserve"> </w:t>
      </w:r>
    </w:p>
    <w:p>
      <w:pPr>
        <w:ind w:firstLine="643"/>
        <w:rPr>
          <w:rFonts w:hint="eastAsia" w:ascii="宋体" w:hAnsi="宋体"/>
          <w:b/>
          <w:bCs/>
          <w:sz w:val="32"/>
          <w:szCs w:val="32"/>
          <w:highlight w:val="none"/>
        </w:rPr>
      </w:pPr>
      <w:r>
        <w:rPr>
          <w:rFonts w:hint="eastAsia" w:ascii="宋体" w:hAnsi="宋体"/>
          <w:b/>
          <w:bCs/>
          <w:sz w:val="32"/>
          <w:szCs w:val="32"/>
          <w:highlight w:val="none"/>
        </w:rPr>
        <w:t xml:space="preserve"> </w:t>
      </w:r>
    </w:p>
    <w:p>
      <w:pPr>
        <w:ind w:firstLine="643"/>
        <w:jc w:val="center"/>
        <w:rPr>
          <w:rFonts w:hint="eastAsia" w:ascii="宋体" w:hAnsi="宋体"/>
          <w:b/>
          <w:bCs/>
          <w:sz w:val="32"/>
          <w:szCs w:val="32"/>
          <w:highlight w:val="none"/>
        </w:rPr>
      </w:pPr>
      <w:r>
        <w:rPr>
          <w:rFonts w:hint="eastAsia" w:ascii="宋体" w:hAnsi="宋体"/>
          <w:b/>
          <w:bCs/>
          <w:sz w:val="32"/>
          <w:szCs w:val="32"/>
          <w:highlight w:val="none"/>
        </w:rPr>
        <w:t xml:space="preserve"> </w:t>
      </w:r>
    </w:p>
    <w:p>
      <w:pPr>
        <w:ind w:firstLine="3213" w:firstLineChars="1000"/>
        <w:rPr>
          <w:rFonts w:hint="eastAsia" w:ascii="宋体" w:hAnsi="宋体"/>
          <w:b/>
          <w:bCs/>
          <w:sz w:val="32"/>
          <w:szCs w:val="32"/>
          <w:highlight w:val="none"/>
        </w:rPr>
      </w:pPr>
      <w:r>
        <w:rPr>
          <w:rFonts w:hint="eastAsia" w:ascii="宋体" w:hAnsi="宋体"/>
          <w:b/>
          <w:bCs/>
          <w:sz w:val="32"/>
          <w:szCs w:val="32"/>
          <w:highlight w:val="none"/>
        </w:rPr>
        <w:t xml:space="preserve"> </w:t>
      </w:r>
    </w:p>
    <w:p>
      <w:pPr>
        <w:ind w:firstLine="3036" w:firstLineChars="945"/>
        <w:rPr>
          <w:rFonts w:hint="eastAsia" w:ascii="宋体" w:hAnsi="宋体"/>
          <w:b/>
          <w:bCs/>
          <w:sz w:val="32"/>
          <w:szCs w:val="32"/>
          <w:highlight w:val="none"/>
        </w:rPr>
      </w:pPr>
      <w:r>
        <w:rPr>
          <w:rFonts w:hint="eastAsia" w:ascii="宋体" w:hAnsi="宋体"/>
          <w:b/>
          <w:bCs/>
          <w:sz w:val="32"/>
          <w:szCs w:val="32"/>
          <w:highlight w:val="none"/>
        </w:rPr>
        <w:t xml:space="preserve">  </w:t>
      </w:r>
    </w:p>
    <w:p>
      <w:pPr>
        <w:ind w:firstLine="643"/>
        <w:jc w:val="center"/>
        <w:rPr>
          <w:rFonts w:hint="eastAsia" w:ascii="宋体" w:hAnsi="宋体"/>
          <w:b/>
          <w:bCs/>
          <w:sz w:val="32"/>
          <w:szCs w:val="32"/>
          <w:highlight w:val="none"/>
        </w:rPr>
      </w:pPr>
      <w:r>
        <w:rPr>
          <w:rFonts w:hint="eastAsia" w:ascii="宋体" w:hAnsi="宋体"/>
          <w:b/>
          <w:bCs/>
          <w:sz w:val="32"/>
          <w:szCs w:val="32"/>
          <w:highlight w:val="none"/>
        </w:rPr>
        <w:t xml:space="preserve"> </w:t>
      </w:r>
    </w:p>
    <w:p>
      <w:pPr>
        <w:spacing w:line="360" w:lineRule="auto"/>
        <w:ind w:firstLine="899" w:firstLineChars="281"/>
        <w:rPr>
          <w:rFonts w:hint="eastAsia" w:ascii="宋体" w:hAnsi="宋体" w:eastAsia="宋体"/>
          <w:sz w:val="32"/>
          <w:szCs w:val="32"/>
          <w:highlight w:val="none"/>
          <w:lang w:eastAsia="zh-CN"/>
        </w:rPr>
      </w:pPr>
      <w:r>
        <w:rPr>
          <w:rFonts w:hint="eastAsia" w:ascii="宋体" w:hAnsi="宋体"/>
          <w:sz w:val="32"/>
          <w:szCs w:val="32"/>
          <w:highlight w:val="none"/>
        </w:rPr>
        <w:t>招 标 人：</w:t>
      </w:r>
      <w:r>
        <w:rPr>
          <w:rFonts w:hint="eastAsia" w:ascii="宋体" w:hAnsi="宋体"/>
          <w:sz w:val="32"/>
          <w:szCs w:val="32"/>
          <w:highlight w:val="none"/>
          <w:lang w:eastAsia="zh-CN"/>
        </w:rPr>
        <w:t>广州市荔湾区水务工程建设管理中心</w:t>
      </w:r>
    </w:p>
    <w:p>
      <w:pPr>
        <w:spacing w:line="360" w:lineRule="auto"/>
        <w:ind w:firstLine="899" w:firstLineChars="281"/>
        <w:rPr>
          <w:rFonts w:hint="eastAsia" w:ascii="宋体" w:hAnsi="宋体" w:eastAsia="宋体"/>
          <w:sz w:val="32"/>
          <w:szCs w:val="32"/>
          <w:highlight w:val="none"/>
          <w:lang w:eastAsia="zh-CN"/>
        </w:rPr>
      </w:pPr>
      <w:r>
        <w:rPr>
          <w:rFonts w:hint="eastAsia" w:ascii="宋体" w:hAnsi="宋体"/>
          <w:sz w:val="32"/>
          <w:szCs w:val="32"/>
          <w:highlight w:val="none"/>
        </w:rPr>
        <w:t>招标代理机构：</w:t>
      </w:r>
      <w:r>
        <w:rPr>
          <w:rFonts w:hint="eastAsia" w:ascii="宋体" w:hAnsi="宋体"/>
          <w:sz w:val="32"/>
          <w:szCs w:val="32"/>
          <w:highlight w:val="none"/>
          <w:lang w:eastAsia="zh-CN"/>
        </w:rPr>
        <w:t>广州市房实建设工程管理有限公司</w:t>
      </w:r>
    </w:p>
    <w:p>
      <w:pPr>
        <w:spacing w:line="360" w:lineRule="auto"/>
        <w:ind w:firstLine="899" w:firstLineChars="281"/>
        <w:rPr>
          <w:rFonts w:hint="eastAsia" w:ascii="宋体" w:hAnsi="宋体" w:eastAsia="宋体"/>
          <w:sz w:val="32"/>
          <w:szCs w:val="32"/>
          <w:highlight w:val="none"/>
          <w:lang w:eastAsia="zh-CN"/>
        </w:rPr>
      </w:pPr>
      <w:r>
        <w:rPr>
          <w:rFonts w:hint="eastAsia" w:ascii="宋体" w:hAnsi="宋体"/>
          <w:sz w:val="32"/>
          <w:szCs w:val="32"/>
          <w:highlight w:val="none"/>
        </w:rPr>
        <w:t>招标时间：</w:t>
      </w:r>
      <w:r>
        <w:rPr>
          <w:rFonts w:hint="eastAsia" w:ascii="宋体" w:hAnsi="宋体"/>
          <w:sz w:val="32"/>
          <w:szCs w:val="32"/>
          <w:highlight w:val="none"/>
          <w:lang w:eastAsia="zh-CN"/>
        </w:rPr>
        <w:t>二〇二三年六月</w:t>
      </w:r>
    </w:p>
    <w:p>
      <w:pPr>
        <w:ind w:firstLine="602"/>
        <w:rPr>
          <w:rFonts w:ascii="宋体" w:hAnsi="宋体" w:cs="宋体"/>
          <w:b/>
          <w:bCs/>
          <w:sz w:val="30"/>
          <w:szCs w:val="30"/>
          <w:highlight w:val="none"/>
        </w:rPr>
        <w:sectPr>
          <w:footerReference r:id="rId3" w:type="default"/>
          <w:pgSz w:w="11907" w:h="16840"/>
          <w:pgMar w:top="1134" w:right="1134" w:bottom="1134" w:left="1134" w:header="720" w:footer="720" w:gutter="0"/>
          <w:cols w:space="720" w:num="1"/>
          <w:titlePg/>
          <w:docGrid w:linePitch="286" w:charSpace="0"/>
        </w:sectPr>
      </w:pPr>
    </w:p>
    <w:p>
      <w:pPr>
        <w:rPr>
          <w:rFonts w:hint="eastAsia" w:ascii="宋体" w:hAnsi="宋体"/>
          <w:b/>
          <w:sz w:val="32"/>
          <w:szCs w:val="32"/>
          <w:highlight w:val="none"/>
          <w:u w:val="single"/>
          <w:lang w:eastAsia="zh-CN"/>
        </w:rPr>
      </w:pPr>
    </w:p>
    <w:p>
      <w:pPr>
        <w:jc w:val="center"/>
        <w:rPr>
          <w:rFonts w:hint="eastAsia" w:ascii="宋体" w:hAnsi="宋体"/>
          <w:b/>
          <w:sz w:val="32"/>
          <w:szCs w:val="32"/>
          <w:highlight w:val="none"/>
        </w:rPr>
      </w:pPr>
      <w:r>
        <w:rPr>
          <w:rFonts w:hint="eastAsia" w:ascii="宋体" w:hAnsi="宋体"/>
          <w:b/>
          <w:sz w:val="32"/>
          <w:szCs w:val="32"/>
          <w:highlight w:val="none"/>
          <w:u w:val="single"/>
          <w:lang w:eastAsia="zh-CN"/>
        </w:rPr>
        <w:t>老旧小区排水单元达标创建工程 (茶滘街片区)施工监理服务</w:t>
      </w:r>
    </w:p>
    <w:p>
      <w:pPr>
        <w:jc w:val="center"/>
        <w:rPr>
          <w:rFonts w:ascii="宋体" w:hAnsi="宋体"/>
          <w:b/>
          <w:sz w:val="32"/>
          <w:szCs w:val="32"/>
          <w:highlight w:val="none"/>
        </w:rPr>
      </w:pPr>
      <w:r>
        <w:rPr>
          <w:rFonts w:hint="eastAsia" w:ascii="宋体" w:hAnsi="宋体"/>
          <w:b/>
          <w:sz w:val="32"/>
          <w:szCs w:val="32"/>
          <w:highlight w:val="none"/>
        </w:rPr>
        <w:t>招标公告</w:t>
      </w:r>
    </w:p>
    <w:p>
      <w:pPr>
        <w:jc w:val="center"/>
        <w:rPr>
          <w:rFonts w:hint="eastAsia" w:ascii="宋体" w:hAnsi="宋体"/>
          <w:sz w:val="32"/>
          <w:szCs w:val="32"/>
          <w:highlight w:val="none"/>
        </w:rPr>
      </w:pPr>
    </w:p>
    <w:p>
      <w:pPr>
        <w:pStyle w:val="8"/>
        <w:spacing w:before="120"/>
        <w:ind w:firstLine="643"/>
        <w:rPr>
          <w:highlight w:val="none"/>
        </w:rPr>
      </w:pPr>
      <w:r>
        <w:rPr>
          <w:highlight w:val="none"/>
        </w:rPr>
        <w:t xml:space="preserve">1. </w:t>
      </w:r>
      <w:r>
        <w:rPr>
          <w:rFonts w:hint="eastAsia"/>
          <w:highlight w:val="none"/>
        </w:rPr>
        <w:t>招标条件</w:t>
      </w:r>
    </w:p>
    <w:p>
      <w:pPr>
        <w:pStyle w:val="8"/>
        <w:spacing w:before="120"/>
        <w:ind w:firstLine="480"/>
        <w:rPr>
          <w:rFonts w:hint="eastAsia"/>
          <w:b w:val="0"/>
          <w:bCs w:val="0"/>
          <w:kern w:val="2"/>
          <w:sz w:val="24"/>
          <w:szCs w:val="21"/>
          <w:highlight w:val="none"/>
        </w:rPr>
      </w:pPr>
      <w:r>
        <w:rPr>
          <w:rFonts w:hint="eastAsia"/>
          <w:b w:val="0"/>
          <w:bCs w:val="0"/>
          <w:kern w:val="2"/>
          <w:sz w:val="24"/>
          <w:szCs w:val="21"/>
          <w:highlight w:val="none"/>
        </w:rPr>
        <w:t>本招标项目</w:t>
      </w:r>
      <w:r>
        <w:rPr>
          <w:rFonts w:hint="eastAsia"/>
          <w:b w:val="0"/>
          <w:bCs w:val="0"/>
          <w:kern w:val="2"/>
          <w:sz w:val="24"/>
          <w:szCs w:val="21"/>
          <w:highlight w:val="none"/>
          <w:u w:val="single"/>
          <w:lang w:eastAsia="zh-CN"/>
        </w:rPr>
        <w:t>老旧小区排水单元达标创建工程 (茶滘街片区)施工监理服务</w:t>
      </w:r>
      <w:r>
        <w:rPr>
          <w:rFonts w:hint="eastAsia"/>
          <w:b w:val="0"/>
          <w:bCs w:val="0"/>
          <w:kern w:val="2"/>
          <w:sz w:val="24"/>
          <w:szCs w:val="21"/>
          <w:highlight w:val="none"/>
        </w:rPr>
        <w:t>以</w:t>
      </w:r>
      <w:r>
        <w:rPr>
          <w:rFonts w:hint="eastAsia"/>
          <w:b w:val="0"/>
          <w:bCs w:val="0"/>
          <w:kern w:val="2"/>
          <w:sz w:val="24"/>
          <w:szCs w:val="21"/>
          <w:highlight w:val="none"/>
          <w:u w:val="single"/>
          <w:lang w:eastAsia="zh-CN"/>
        </w:rPr>
        <w:t>广州市</w:t>
      </w:r>
      <w:r>
        <w:rPr>
          <w:rFonts w:hint="eastAsia"/>
          <w:b w:val="0"/>
          <w:bCs w:val="0"/>
          <w:kern w:val="2"/>
          <w:sz w:val="24"/>
          <w:szCs w:val="21"/>
          <w:highlight w:val="none"/>
          <w:u w:val="single"/>
          <w:lang w:val="en-US" w:eastAsia="zh-CN"/>
        </w:rPr>
        <w:t>荔湾区发展和改革局</w:t>
      </w:r>
      <w:r>
        <w:rPr>
          <w:rFonts w:hint="eastAsia"/>
          <w:b w:val="0"/>
          <w:bCs w:val="0"/>
          <w:kern w:val="2"/>
          <w:sz w:val="24"/>
          <w:szCs w:val="21"/>
          <w:highlight w:val="none"/>
          <w:lang w:eastAsia="zh-CN"/>
        </w:rPr>
        <w:t>以</w:t>
      </w:r>
      <w:r>
        <w:rPr>
          <w:rFonts w:hint="eastAsia"/>
          <w:b w:val="0"/>
          <w:bCs w:val="0"/>
          <w:kern w:val="2"/>
          <w:sz w:val="24"/>
          <w:szCs w:val="21"/>
          <w:highlight w:val="none"/>
          <w:u w:val="single"/>
          <w:lang w:val="en-US" w:eastAsia="zh-CN"/>
        </w:rPr>
        <w:t>荔发改投批〔2023〕4号</w:t>
      </w:r>
      <w:r>
        <w:rPr>
          <w:rFonts w:hint="eastAsia"/>
          <w:b w:val="0"/>
          <w:bCs w:val="0"/>
          <w:kern w:val="2"/>
          <w:sz w:val="24"/>
          <w:szCs w:val="21"/>
          <w:highlight w:val="none"/>
          <w:lang w:eastAsia="zh-CN"/>
        </w:rPr>
        <w:t>批准建设</w:t>
      </w:r>
      <w:r>
        <w:rPr>
          <w:rFonts w:hint="eastAsia"/>
          <w:b w:val="0"/>
          <w:bCs w:val="0"/>
          <w:kern w:val="2"/>
          <w:sz w:val="24"/>
          <w:szCs w:val="21"/>
          <w:highlight w:val="none"/>
        </w:rPr>
        <w:t>，项目业主为</w:t>
      </w:r>
      <w:r>
        <w:rPr>
          <w:rFonts w:hint="eastAsia"/>
          <w:b w:val="0"/>
          <w:bCs w:val="0"/>
          <w:kern w:val="2"/>
          <w:sz w:val="24"/>
          <w:szCs w:val="21"/>
          <w:highlight w:val="none"/>
          <w:u w:val="single"/>
          <w:lang w:eastAsia="zh-CN"/>
        </w:rPr>
        <w:t>广州市荔湾区水务工程建设管理中心</w:t>
      </w:r>
      <w:r>
        <w:rPr>
          <w:rFonts w:hint="eastAsia"/>
          <w:b w:val="0"/>
          <w:bCs w:val="0"/>
          <w:kern w:val="2"/>
          <w:sz w:val="24"/>
          <w:szCs w:val="21"/>
          <w:highlight w:val="none"/>
        </w:rPr>
        <w:t xml:space="preserve"> ，建设资金由</w:t>
      </w:r>
      <w:r>
        <w:rPr>
          <w:rFonts w:hint="eastAsia"/>
          <w:b w:val="0"/>
          <w:bCs w:val="0"/>
          <w:kern w:val="2"/>
          <w:sz w:val="24"/>
          <w:szCs w:val="21"/>
          <w:highlight w:val="none"/>
          <w:u w:val="single"/>
          <w:lang w:eastAsia="zh-CN"/>
        </w:rPr>
        <w:t>区财政资金</w:t>
      </w:r>
      <w:r>
        <w:rPr>
          <w:rFonts w:hint="eastAsia"/>
          <w:b w:val="0"/>
          <w:bCs w:val="0"/>
          <w:kern w:val="2"/>
          <w:sz w:val="24"/>
          <w:szCs w:val="21"/>
          <w:highlight w:val="none"/>
        </w:rPr>
        <w:t>，招标人为</w:t>
      </w:r>
      <w:r>
        <w:rPr>
          <w:rFonts w:hint="eastAsia"/>
          <w:b w:val="0"/>
          <w:bCs w:val="0"/>
          <w:kern w:val="2"/>
          <w:sz w:val="24"/>
          <w:szCs w:val="21"/>
          <w:highlight w:val="none"/>
          <w:u w:val="single"/>
          <w:lang w:eastAsia="zh-CN"/>
        </w:rPr>
        <w:t>广州市荔湾区水务工程建设管理中心</w:t>
      </w:r>
      <w:r>
        <w:rPr>
          <w:rFonts w:hint="eastAsia"/>
          <w:b w:val="0"/>
          <w:bCs w:val="0"/>
          <w:kern w:val="2"/>
          <w:sz w:val="24"/>
          <w:szCs w:val="21"/>
          <w:highlight w:val="none"/>
        </w:rPr>
        <w:t xml:space="preserve"> 。项目已具备招标条件，现对该项目的监理进行公开招标。</w:t>
      </w:r>
    </w:p>
    <w:p>
      <w:pPr>
        <w:pStyle w:val="8"/>
        <w:spacing w:before="120"/>
        <w:ind w:firstLine="643"/>
        <w:rPr>
          <w:highlight w:val="none"/>
        </w:rPr>
      </w:pPr>
      <w:r>
        <w:rPr>
          <w:highlight w:val="none"/>
        </w:rPr>
        <w:t xml:space="preserve">2. </w:t>
      </w:r>
      <w:r>
        <w:rPr>
          <w:rFonts w:hint="eastAsia"/>
          <w:highlight w:val="none"/>
        </w:rPr>
        <w:t>项目概况与招标范围</w:t>
      </w:r>
    </w:p>
    <w:p>
      <w:pPr>
        <w:pStyle w:val="9"/>
        <w:ind w:firstLine="480"/>
        <w:rPr>
          <w:rFonts w:hint="eastAsia"/>
          <w:highlight w:val="none"/>
        </w:rPr>
      </w:pPr>
      <w:r>
        <w:rPr>
          <w:rFonts w:hint="eastAsia"/>
          <w:highlight w:val="none"/>
        </w:rPr>
        <w:t>2</w:t>
      </w:r>
      <w:r>
        <w:rPr>
          <w:highlight w:val="none"/>
        </w:rPr>
        <w:t>.</w:t>
      </w:r>
      <w:r>
        <w:rPr>
          <w:rFonts w:hint="eastAsia"/>
          <w:highlight w:val="none"/>
        </w:rPr>
        <w:t>1 招标项目概况</w:t>
      </w:r>
    </w:p>
    <w:p>
      <w:pPr>
        <w:pStyle w:val="9"/>
        <w:ind w:firstLine="480"/>
        <w:rPr>
          <w:rFonts w:hint="eastAsia"/>
          <w:highlight w:val="none"/>
        </w:rPr>
      </w:pPr>
      <w:r>
        <w:rPr>
          <w:rFonts w:hint="eastAsia"/>
          <w:kern w:val="2"/>
          <w:highlight w:val="none"/>
        </w:rPr>
        <w:t>2.1.1招标项目名称：</w:t>
      </w:r>
      <w:r>
        <w:rPr>
          <w:rFonts w:hint="eastAsia"/>
          <w:highlight w:val="none"/>
          <w:u w:val="single"/>
          <w:lang w:eastAsia="zh-CN"/>
        </w:rPr>
        <w:t>老旧小区排水单元达标创建工程 (茶滘街片区)施工监理服务</w:t>
      </w:r>
    </w:p>
    <w:p>
      <w:pPr>
        <w:pStyle w:val="9"/>
        <w:ind w:firstLine="480"/>
        <w:rPr>
          <w:rFonts w:hint="eastAsia"/>
          <w:highlight w:val="none"/>
          <w:u w:val="single"/>
        </w:rPr>
      </w:pPr>
      <w:r>
        <w:rPr>
          <w:rFonts w:hint="eastAsia"/>
          <w:highlight w:val="none"/>
        </w:rPr>
        <w:t>2.1.2工程建设地点：</w:t>
      </w:r>
      <w:r>
        <w:rPr>
          <w:rFonts w:hint="eastAsia"/>
          <w:highlight w:val="none"/>
          <w:u w:val="single"/>
        </w:rPr>
        <w:t>广州市荔湾区茶滘街道茶滘街道片区</w:t>
      </w:r>
    </w:p>
    <w:p>
      <w:pPr>
        <w:pStyle w:val="9"/>
        <w:ind w:firstLine="480"/>
        <w:rPr>
          <w:rFonts w:hint="eastAsia"/>
          <w:kern w:val="2"/>
          <w:highlight w:val="none"/>
        </w:rPr>
      </w:pPr>
      <w:r>
        <w:rPr>
          <w:rFonts w:hint="eastAsia"/>
          <w:kern w:val="2"/>
          <w:highlight w:val="none"/>
        </w:rPr>
        <w:t>2.1.3工程建设规模：</w:t>
      </w:r>
      <w:r>
        <w:rPr>
          <w:rFonts w:hint="eastAsia"/>
          <w:kern w:val="2"/>
          <w:highlight w:val="none"/>
          <w:u w:val="single"/>
        </w:rPr>
        <w:t>本项目位于荔湾区茶滘街，包括红棉苑、金兰苑、芳建小区等19个排水单元，改造面积为40.07 公顷。主要建设内容为通过对片区范围排水单元采取雨污管网改造、管网病态修复、海绵城市建设等措施，实现地块单元的雨污分流、清污分流。项目合计新建DN150~DN500污水管4.280km，DN150~DN600 雨水管2.642km，200*200-300*400雨水沟3.312km，DN100立管34.12km。</w:t>
      </w:r>
    </w:p>
    <w:p>
      <w:pPr>
        <w:pStyle w:val="9"/>
        <w:ind w:firstLine="480"/>
        <w:rPr>
          <w:rFonts w:hint="eastAsia"/>
          <w:highlight w:val="none"/>
        </w:rPr>
      </w:pPr>
      <w:r>
        <w:rPr>
          <w:rFonts w:hint="eastAsia"/>
          <w:highlight w:val="none"/>
        </w:rPr>
        <w:t>2</w:t>
      </w:r>
      <w:r>
        <w:rPr>
          <w:highlight w:val="none"/>
        </w:rPr>
        <w:t>.</w:t>
      </w:r>
      <w:r>
        <w:rPr>
          <w:rFonts w:hint="eastAsia"/>
          <w:highlight w:val="none"/>
        </w:rPr>
        <w:t>2招标范围</w:t>
      </w:r>
    </w:p>
    <w:p>
      <w:pPr>
        <w:pStyle w:val="9"/>
        <w:ind w:firstLine="480"/>
        <w:rPr>
          <w:rFonts w:hint="eastAsia"/>
          <w:highlight w:val="none"/>
          <w:u w:val="single"/>
        </w:rPr>
      </w:pPr>
      <w:r>
        <w:rPr>
          <w:rFonts w:hint="eastAsia"/>
          <w:highlight w:val="none"/>
        </w:rPr>
        <w:t>监理标段划分：</w:t>
      </w:r>
      <w:r>
        <w:rPr>
          <w:rFonts w:hint="eastAsia"/>
          <w:highlight w:val="none"/>
          <w:u w:val="single"/>
        </w:rPr>
        <w:t>共设1个标段。</w:t>
      </w:r>
    </w:p>
    <w:p>
      <w:pPr>
        <w:pStyle w:val="9"/>
        <w:ind w:firstLine="480"/>
        <w:rPr>
          <w:rFonts w:hint="eastAsia"/>
          <w:highlight w:val="none"/>
        </w:rPr>
      </w:pPr>
      <w:r>
        <w:rPr>
          <w:rFonts w:hint="eastAsia"/>
          <w:highlight w:val="none"/>
        </w:rPr>
        <w:t>监理范围：</w:t>
      </w:r>
      <w:r>
        <w:rPr>
          <w:rFonts w:hint="eastAsia"/>
          <w:kern w:val="2"/>
          <w:highlight w:val="none"/>
          <w:u w:val="single"/>
        </w:rPr>
        <w:t>为完成本工程等施工图纸所包含的施工准备期、施工期、竣工结算期、质量保修期全过程监理服务及协调等相关工作。包括本工程的施工准备期、施工期、工程收尾期等全过程监理服务，负责审核工程结算资料，并对施工质量、进度、资金（含工程预算审核、进度款审核、变更签证造价审核、结算审核、工程投资控制等）、安全生产、文明施工、环境保护、保修责任等进行管理等，并按委托人的要求提前进场参与开工前期的准备和筹划工作，协助委托人制定工程管理办法、各参建方职责及有关事务性工作；监理人须配备具备相应资格的造价审核人员负责审核工程结算书等结算资料。</w:t>
      </w:r>
    </w:p>
    <w:p>
      <w:pPr>
        <w:pStyle w:val="9"/>
        <w:ind w:firstLine="480"/>
        <w:rPr>
          <w:rFonts w:hint="eastAsia"/>
          <w:kern w:val="2"/>
          <w:highlight w:val="none"/>
          <w:u w:val="single"/>
        </w:rPr>
      </w:pPr>
      <w:r>
        <w:rPr>
          <w:rFonts w:hint="eastAsia"/>
          <w:highlight w:val="none"/>
        </w:rPr>
        <w:t>监理服务期限：</w:t>
      </w:r>
      <w:r>
        <w:rPr>
          <w:rFonts w:hint="eastAsia"/>
          <w:kern w:val="2"/>
          <w:highlight w:val="none"/>
          <w:u w:val="single"/>
        </w:rPr>
        <w:t>从监理人与发包人签订监理合同起算，至本合同所有工程保修期结束并办妥本合同工程结算（此处结算指政府终审部门进行的结算），且双方的责任义务履行完毕时止。</w:t>
      </w:r>
    </w:p>
    <w:p>
      <w:pPr>
        <w:pStyle w:val="9"/>
        <w:ind w:firstLine="480"/>
        <w:rPr>
          <w:rFonts w:hint="eastAsia" w:eastAsia="宋体"/>
          <w:highlight w:val="none"/>
          <w:u w:val="single"/>
          <w:lang w:val="en-US" w:eastAsia="zh-CN"/>
        </w:rPr>
      </w:pPr>
      <w:r>
        <w:rPr>
          <w:rFonts w:hint="eastAsia"/>
          <w:highlight w:val="none"/>
        </w:rPr>
        <w:t>监理服务最高投标限价</w:t>
      </w:r>
      <w:r>
        <w:rPr>
          <w:rFonts w:hint="eastAsia"/>
          <w:color w:val="auto"/>
          <w:highlight w:val="none"/>
        </w:rPr>
        <w:t>：</w:t>
      </w:r>
      <w:r>
        <w:rPr>
          <w:rFonts w:hint="eastAsia"/>
          <w:color w:val="auto"/>
          <w:highlight w:val="none"/>
          <w:u w:val="single"/>
          <w:lang w:val="en-US" w:eastAsia="zh-CN"/>
        </w:rPr>
        <w:t xml:space="preserve"> 156.77  </w:t>
      </w:r>
      <w:r>
        <w:rPr>
          <w:rFonts w:hint="eastAsia"/>
          <w:color w:val="auto"/>
          <w:highlight w:val="none"/>
        </w:rPr>
        <w:t>万元</w:t>
      </w:r>
      <w:r>
        <w:rPr>
          <w:rFonts w:hint="eastAsia"/>
          <w:color w:val="auto"/>
          <w:highlight w:val="none"/>
          <w:lang w:val="en-US" w:eastAsia="zh-CN"/>
        </w:rPr>
        <w:t xml:space="preserve"> </w:t>
      </w:r>
    </w:p>
    <w:p>
      <w:pPr>
        <w:pStyle w:val="8"/>
        <w:spacing w:before="120"/>
        <w:ind w:firstLine="643"/>
        <w:rPr>
          <w:highlight w:val="none"/>
        </w:rPr>
      </w:pPr>
      <w:r>
        <w:rPr>
          <w:highlight w:val="none"/>
        </w:rPr>
        <w:t xml:space="preserve">3. </w:t>
      </w:r>
      <w:r>
        <w:rPr>
          <w:rFonts w:hint="eastAsia"/>
          <w:highlight w:val="none"/>
        </w:rPr>
        <w:t>投标人资格要求</w:t>
      </w:r>
    </w:p>
    <w:p>
      <w:pPr>
        <w:pStyle w:val="9"/>
        <w:ind w:firstLine="480"/>
        <w:rPr>
          <w:rFonts w:hint="eastAsia"/>
          <w:color w:val="auto"/>
          <w:highlight w:val="none"/>
        </w:rPr>
      </w:pPr>
      <w:r>
        <w:rPr>
          <w:rFonts w:hint="eastAsia"/>
          <w:color w:val="auto"/>
          <w:highlight w:val="none"/>
        </w:rPr>
        <w:t>3.1本次招标要求投标人须具备工程监理综合资质或市政公用工程监理丙级（或以上）资质。</w:t>
      </w:r>
    </w:p>
    <w:p>
      <w:pPr>
        <w:pStyle w:val="9"/>
        <w:tabs>
          <w:tab w:val="clear" w:pos="1343"/>
          <w:tab w:val="clear" w:pos="2697"/>
          <w:tab w:val="clear" w:pos="3264"/>
          <w:tab w:val="clear" w:pos="4896"/>
          <w:tab w:val="clear" w:pos="6005"/>
          <w:tab w:val="clear" w:pos="7085"/>
          <w:tab w:val="clear" w:pos="7498"/>
        </w:tabs>
        <w:ind w:firstLine="480"/>
        <w:rPr>
          <w:rFonts w:hint="eastAsia"/>
          <w:highlight w:val="none"/>
        </w:rPr>
      </w:pPr>
      <w:r>
        <w:rPr>
          <w:rFonts w:hint="eastAsia" w:cs="宋体"/>
          <w:highlight w:val="none"/>
        </w:rPr>
        <w:t>注：香港企业参加投标的，须已在广东省住房和城乡建设主管部门备案且备案的业务范围满足本项目招标文件要求。[香港企业备案的业务范围依据《广东省住房和城乡建设厅关于印发香港工程建设咨询企业和专业人士在粤港澳大湾区内地城市开业执业试点管理暂行办法的通知》（粤建规范[2020]1号）确定]。</w:t>
      </w:r>
    </w:p>
    <w:p>
      <w:pPr>
        <w:pStyle w:val="9"/>
        <w:ind w:firstLine="480"/>
        <w:rPr>
          <w:rFonts w:hint="eastAsia"/>
          <w:highlight w:val="none"/>
        </w:rPr>
      </w:pPr>
      <w:r>
        <w:rPr>
          <w:rFonts w:hint="eastAsia"/>
          <w:highlight w:val="none"/>
        </w:rPr>
        <w:t>3.2本次招标不接受联合体投标。</w:t>
      </w:r>
    </w:p>
    <w:p>
      <w:pPr>
        <w:pStyle w:val="9"/>
        <w:ind w:firstLine="480"/>
        <w:rPr>
          <w:rFonts w:hint="eastAsia"/>
          <w:highlight w:val="none"/>
        </w:rPr>
      </w:pPr>
      <w:r>
        <w:rPr>
          <w:rFonts w:hint="eastAsia"/>
          <w:highlight w:val="none"/>
        </w:rPr>
        <w:t>3.3拟派总监理工程师：具有建设部2006年4月1日后颁发的注册监理工程师注册执业证书，且其注册证书专业为市政公用工程，注册执业单位为本公司，并具备本科或以上学历。</w:t>
      </w:r>
    </w:p>
    <w:p>
      <w:pPr>
        <w:pStyle w:val="9"/>
        <w:ind w:left="0" w:leftChars="0" w:firstLine="0" w:firstLineChars="0"/>
        <w:rPr>
          <w:rFonts w:hint="eastAsia"/>
          <w:highlight w:val="none"/>
        </w:rPr>
      </w:pPr>
      <w:r>
        <w:rPr>
          <w:rFonts w:hint="eastAsia"/>
          <w:highlight w:val="none"/>
        </w:rPr>
        <w:t>或已在广东省住房和城乡建设主管部门备案且备案的业务范围满足本项目招标文件要求的香港专业人士[香港专业人士的备案业务范围依据《广东省住房和城乡建设厅关于印发香港工程建设咨询企业和专业人士在粤港澳大湾区内地城市开业执业试点管理暂行办法的通知》（粤建规范〔2020〕1号）确定]。</w:t>
      </w:r>
    </w:p>
    <w:p>
      <w:pPr>
        <w:pStyle w:val="9"/>
        <w:ind w:left="481" w:leftChars="229" w:firstLine="0" w:firstLineChars="0"/>
        <w:rPr>
          <w:rFonts w:hint="eastAsia"/>
          <w:highlight w:val="none"/>
        </w:rPr>
      </w:pPr>
      <w:r>
        <w:rPr>
          <w:rFonts w:hint="eastAsia"/>
          <w:highlight w:val="none"/>
        </w:rPr>
        <w:t>3.4其他要求：</w:t>
      </w:r>
    </w:p>
    <w:p>
      <w:pPr>
        <w:pStyle w:val="9"/>
        <w:ind w:firstLine="480"/>
        <w:rPr>
          <w:rFonts w:hint="eastAsia"/>
          <w:highlight w:val="none"/>
        </w:rPr>
      </w:pPr>
      <w:bookmarkStart w:id="0" w:name="_Toc492300549"/>
      <w:r>
        <w:rPr>
          <w:rFonts w:hint="eastAsia"/>
          <w:highlight w:val="none"/>
        </w:rPr>
        <w:t>（1）投标人参加投标的意思表达清楚，投标人代表被授权有效</w:t>
      </w:r>
      <w:bookmarkEnd w:id="0"/>
      <w:r>
        <w:rPr>
          <w:rFonts w:hint="eastAsia"/>
          <w:highlight w:val="none"/>
        </w:rPr>
        <w:t>。</w:t>
      </w:r>
    </w:p>
    <w:p>
      <w:pPr>
        <w:pStyle w:val="9"/>
        <w:ind w:firstLine="480"/>
        <w:rPr>
          <w:rFonts w:hint="eastAsia"/>
          <w:highlight w:val="none"/>
        </w:rPr>
      </w:pPr>
      <w:r>
        <w:rPr>
          <w:rFonts w:hint="eastAsia"/>
          <w:highlight w:val="none"/>
        </w:rPr>
        <w:t>（2）投标人具有独立的法人资格，持有工商行政部门核发的法人营业执照，按国家法律经营。</w:t>
      </w:r>
    </w:p>
    <w:p>
      <w:pPr>
        <w:pStyle w:val="9"/>
        <w:ind w:firstLine="480"/>
        <w:rPr>
          <w:rFonts w:hint="eastAsia"/>
          <w:highlight w:val="none"/>
        </w:rPr>
      </w:pPr>
      <w:r>
        <w:rPr>
          <w:rFonts w:hint="eastAsia"/>
          <w:highlight w:val="none"/>
        </w:rPr>
        <w:t>（3）投标人已按公告附件规定格式签名盖章的《投标人声明》。</w:t>
      </w:r>
    </w:p>
    <w:p>
      <w:pPr>
        <w:pStyle w:val="9"/>
        <w:ind w:firstLine="480"/>
      </w:pPr>
      <w:r>
        <w:rPr>
          <w:rFonts w:hint="eastAsia"/>
        </w:rPr>
        <w:t>（4）投标截止时间前，投标人须在广州公共资源交易中心企业库已办理企业信息登记，拟担任本工程总监理工程师为本企业库中的在册人员。</w:t>
      </w:r>
    </w:p>
    <w:p>
      <w:pPr>
        <w:pStyle w:val="9"/>
        <w:ind w:firstLine="480"/>
        <w:rPr>
          <w:rFonts w:hint="eastAsia"/>
          <w:highlight w:val="none"/>
        </w:rPr>
      </w:pPr>
      <w:r>
        <w:rPr>
          <w:rFonts w:hint="eastAsia"/>
          <w:highlight w:val="none"/>
        </w:rPr>
        <w:t>（5）投标人未被纳入失信联合惩戒名单，名单以“信用广州”网站公布的“失信联合惩戒黑名单”为准。</w:t>
      </w:r>
    </w:p>
    <w:p>
      <w:pPr>
        <w:pStyle w:val="9"/>
        <w:ind w:firstLine="480"/>
        <w:rPr>
          <w:highlight w:val="none"/>
        </w:rPr>
      </w:pPr>
      <w:r>
        <w:rPr>
          <w:rFonts w:hint="eastAsia"/>
          <w:highlight w:val="none"/>
        </w:rPr>
        <w:t>（6）</w:t>
      </w:r>
      <w:r>
        <w:rPr>
          <w:highlight w:val="none"/>
        </w:rPr>
        <w:t>本次招标实行资格后审,资格后审不合格的投标人投标文件将</w:t>
      </w:r>
      <w:r>
        <w:rPr>
          <w:rFonts w:hint="eastAsia"/>
          <w:highlight w:val="none"/>
        </w:rPr>
        <w:t>被否决</w:t>
      </w:r>
      <w:r>
        <w:rPr>
          <w:highlight w:val="none"/>
        </w:rPr>
        <w:t>。</w:t>
      </w:r>
    </w:p>
    <w:p>
      <w:pPr>
        <w:pStyle w:val="8"/>
        <w:spacing w:before="120"/>
        <w:ind w:firstLine="643"/>
        <w:rPr>
          <w:highlight w:val="none"/>
        </w:rPr>
      </w:pPr>
      <w:r>
        <w:rPr>
          <w:highlight w:val="none"/>
        </w:rPr>
        <w:t>4.</w:t>
      </w:r>
      <w:r>
        <w:rPr>
          <w:rFonts w:hint="eastAsia"/>
          <w:spacing w:val="55"/>
          <w:highlight w:val="none"/>
        </w:rPr>
        <w:t xml:space="preserve"> </w:t>
      </w:r>
      <w:r>
        <w:rPr>
          <w:rFonts w:hint="eastAsia"/>
          <w:highlight w:val="none"/>
        </w:rPr>
        <w:t>招标文件的获取</w:t>
      </w:r>
    </w:p>
    <w:p>
      <w:pPr>
        <w:pStyle w:val="9"/>
        <w:ind w:firstLine="480"/>
        <w:rPr>
          <w:highlight w:val="none"/>
        </w:rPr>
      </w:pPr>
      <w:r>
        <w:rPr>
          <w:rFonts w:hint="eastAsia"/>
          <w:highlight w:val="none"/>
        </w:rPr>
        <w:t xml:space="preserve">4.1凡有意参加投标者，请于 </w:t>
      </w:r>
      <w:r>
        <w:rPr>
          <w:rFonts w:hint="eastAsia"/>
          <w:highlight w:val="none"/>
          <w:u w:val="single"/>
        </w:rPr>
        <w:t>2023年</w:t>
      </w:r>
      <w:r>
        <w:rPr>
          <w:rFonts w:hint="eastAsia"/>
          <w:highlight w:val="none"/>
          <w:u w:val="single"/>
          <w:lang w:val="en-US" w:eastAsia="zh-CN"/>
        </w:rPr>
        <w:t>07</w:t>
      </w:r>
      <w:r>
        <w:rPr>
          <w:highlight w:val="none"/>
          <w:u w:val="single"/>
        </w:rPr>
        <w:t>月</w:t>
      </w:r>
      <w:r>
        <w:rPr>
          <w:rFonts w:hint="eastAsia"/>
          <w:highlight w:val="none"/>
          <w:u w:val="single"/>
          <w:lang w:val="en-US" w:eastAsia="zh-CN"/>
        </w:rPr>
        <w:t>03</w:t>
      </w:r>
      <w:r>
        <w:rPr>
          <w:highlight w:val="none"/>
          <w:u w:val="single"/>
        </w:rPr>
        <w:t>日</w:t>
      </w:r>
      <w:r>
        <w:rPr>
          <w:rFonts w:hint="eastAsia"/>
          <w:highlight w:val="none"/>
          <w:u w:val="single"/>
          <w:lang w:val="en-US" w:eastAsia="zh-CN"/>
        </w:rPr>
        <w:t>17</w:t>
      </w:r>
      <w:r>
        <w:rPr>
          <w:highlight w:val="none"/>
          <w:u w:val="single"/>
        </w:rPr>
        <w:t>时</w:t>
      </w:r>
      <w:r>
        <w:rPr>
          <w:rFonts w:hint="eastAsia"/>
          <w:highlight w:val="none"/>
          <w:u w:val="single"/>
          <w:lang w:val="en-US" w:eastAsia="zh-CN"/>
        </w:rPr>
        <w:t>30</w:t>
      </w:r>
      <w:r>
        <w:rPr>
          <w:rFonts w:hint="eastAsia"/>
          <w:highlight w:val="none"/>
          <w:u w:val="single"/>
        </w:rPr>
        <w:t>分</w:t>
      </w:r>
      <w:r>
        <w:rPr>
          <w:highlight w:val="none"/>
        </w:rPr>
        <w:t xml:space="preserve">至 </w:t>
      </w:r>
      <w:r>
        <w:rPr>
          <w:rFonts w:hint="eastAsia"/>
          <w:highlight w:val="none"/>
          <w:u w:val="single"/>
        </w:rPr>
        <w:t>2023年</w:t>
      </w:r>
      <w:r>
        <w:rPr>
          <w:rFonts w:hint="eastAsia"/>
          <w:highlight w:val="none"/>
          <w:u w:val="single"/>
          <w:lang w:val="en-US" w:eastAsia="zh-CN"/>
        </w:rPr>
        <w:t>07</w:t>
      </w:r>
      <w:r>
        <w:rPr>
          <w:highlight w:val="none"/>
          <w:u w:val="single"/>
        </w:rPr>
        <w:t>月</w:t>
      </w:r>
      <w:r>
        <w:rPr>
          <w:rFonts w:hint="eastAsia"/>
          <w:highlight w:val="none"/>
          <w:u w:val="single"/>
          <w:lang w:val="en-US" w:eastAsia="zh-CN"/>
        </w:rPr>
        <w:t>24</w:t>
      </w:r>
      <w:r>
        <w:rPr>
          <w:highlight w:val="none"/>
          <w:u w:val="single"/>
        </w:rPr>
        <w:t>日</w:t>
      </w:r>
      <w:r>
        <w:rPr>
          <w:rFonts w:hint="eastAsia"/>
          <w:highlight w:val="none"/>
          <w:u w:val="single"/>
          <w:lang w:val="en-US" w:eastAsia="zh-CN"/>
        </w:rPr>
        <w:t>10</w:t>
      </w:r>
      <w:r>
        <w:rPr>
          <w:highlight w:val="none"/>
          <w:u w:val="single"/>
        </w:rPr>
        <w:t>时</w:t>
      </w:r>
      <w:r>
        <w:rPr>
          <w:rFonts w:hint="eastAsia"/>
          <w:highlight w:val="none"/>
          <w:u w:val="single"/>
          <w:lang w:val="en-US" w:eastAsia="zh-CN"/>
        </w:rPr>
        <w:t>30</w:t>
      </w:r>
      <w:r>
        <w:rPr>
          <w:rFonts w:hint="eastAsia"/>
          <w:highlight w:val="none"/>
          <w:u w:val="single"/>
        </w:rPr>
        <w:t>分</w:t>
      </w:r>
      <w:r>
        <w:rPr>
          <w:highlight w:val="none"/>
        </w:rPr>
        <w:t>（北京时间，下同），登录广州公共资源交易中心网站（网址：</w:t>
      </w:r>
      <w:r>
        <w:rPr>
          <w:highlight w:val="none"/>
        </w:rPr>
        <w:fldChar w:fldCharType="begin"/>
      </w:r>
      <w:r>
        <w:rPr>
          <w:highlight w:val="none"/>
        </w:rPr>
        <w:instrText xml:space="preserve"> HYPERLINK "http://www.gzggzy.cn）下载电子招标文件。" </w:instrText>
      </w:r>
      <w:r>
        <w:rPr>
          <w:highlight w:val="none"/>
        </w:rPr>
        <w:fldChar w:fldCharType="separate"/>
      </w:r>
      <w:r>
        <w:rPr>
          <w:highlight w:val="none"/>
        </w:rPr>
        <w:t>http://www.gzggzy.cn）下载电子招标文件</w:t>
      </w:r>
      <w:r>
        <w:rPr>
          <w:highlight w:val="none"/>
        </w:rPr>
        <w:fldChar w:fldCharType="end"/>
      </w:r>
      <w:r>
        <w:rPr>
          <w:rFonts w:hint="eastAsia"/>
          <w:highlight w:val="none"/>
        </w:rPr>
        <w:t>。</w:t>
      </w:r>
    </w:p>
    <w:p>
      <w:pPr>
        <w:pStyle w:val="9"/>
        <w:ind w:firstLine="480"/>
        <w:rPr>
          <w:highlight w:val="none"/>
        </w:rPr>
      </w:pPr>
      <w:r>
        <w:rPr>
          <w:rFonts w:hint="eastAsia"/>
          <w:highlight w:val="none"/>
        </w:rPr>
        <w:t>4.2发布招标公告的时间为招标公告发出之日起至投标截止时间止。招标公告发布之日起计算编制投标文件时间，编制投标文件的时间不得少于20日。如招标人需发布补充公告的，以最后发布的补充公告的时间起计算编制投标文件时间，并需在补充公告中明确说明，通过广州公共资源交易中心网站获取</w:t>
      </w:r>
      <w:r>
        <w:rPr>
          <w:highlight w:val="none"/>
        </w:rPr>
        <w:t>。</w:t>
      </w:r>
    </w:p>
    <w:p>
      <w:pPr>
        <w:pStyle w:val="9"/>
        <w:ind w:firstLine="480"/>
        <w:rPr>
          <w:highlight w:val="none"/>
        </w:rPr>
      </w:pPr>
      <w:r>
        <w:rPr>
          <w:highlight w:val="none"/>
        </w:rPr>
        <w:t>4.3</w:t>
      </w:r>
      <w:r>
        <w:rPr>
          <w:rFonts w:hint="eastAsia"/>
          <w:highlight w:val="none"/>
        </w:rPr>
        <w:t>本项目设立投标登记环节，采取网上投标登记方式进行投标登记。</w:t>
      </w:r>
    </w:p>
    <w:p>
      <w:pPr>
        <w:pStyle w:val="9"/>
        <w:ind w:firstLine="480"/>
        <w:rPr>
          <w:rFonts w:hint="eastAsia" w:eastAsia="宋体"/>
          <w:highlight w:val="none"/>
          <w:u w:val="single"/>
          <w:lang w:eastAsia="zh-CN"/>
        </w:rPr>
      </w:pPr>
      <w:r>
        <w:rPr>
          <w:highlight w:val="none"/>
        </w:rPr>
        <w:t>4.3.1网上投标登记时间：</w:t>
      </w:r>
      <w:r>
        <w:rPr>
          <w:rFonts w:hint="eastAsia"/>
          <w:highlight w:val="none"/>
          <w:u w:val="single"/>
        </w:rPr>
        <w:t>2023年</w:t>
      </w:r>
      <w:r>
        <w:rPr>
          <w:rFonts w:hint="eastAsia"/>
          <w:highlight w:val="none"/>
          <w:u w:val="single"/>
          <w:lang w:val="en-US" w:eastAsia="zh-CN"/>
        </w:rPr>
        <w:t>07</w:t>
      </w:r>
      <w:r>
        <w:rPr>
          <w:highlight w:val="none"/>
          <w:u w:val="single"/>
        </w:rPr>
        <w:t>月</w:t>
      </w:r>
      <w:r>
        <w:rPr>
          <w:rFonts w:hint="eastAsia"/>
          <w:highlight w:val="none"/>
          <w:u w:val="single"/>
          <w:lang w:val="en-US" w:eastAsia="zh-CN"/>
        </w:rPr>
        <w:t>03</w:t>
      </w:r>
      <w:r>
        <w:rPr>
          <w:highlight w:val="none"/>
          <w:u w:val="single"/>
        </w:rPr>
        <w:t>日</w:t>
      </w:r>
      <w:r>
        <w:rPr>
          <w:rFonts w:hint="eastAsia"/>
          <w:highlight w:val="none"/>
          <w:u w:val="single"/>
          <w:lang w:val="en-US" w:eastAsia="zh-CN"/>
        </w:rPr>
        <w:t>17</w:t>
      </w:r>
      <w:r>
        <w:rPr>
          <w:highlight w:val="none"/>
          <w:u w:val="single"/>
        </w:rPr>
        <w:t>时</w:t>
      </w:r>
      <w:r>
        <w:rPr>
          <w:rFonts w:hint="eastAsia"/>
          <w:highlight w:val="none"/>
          <w:u w:val="single"/>
          <w:lang w:val="en-US" w:eastAsia="zh-CN"/>
        </w:rPr>
        <w:t>30</w:t>
      </w:r>
      <w:r>
        <w:rPr>
          <w:rFonts w:hint="eastAsia"/>
          <w:highlight w:val="none"/>
          <w:u w:val="single"/>
        </w:rPr>
        <w:t>分</w:t>
      </w:r>
      <w:r>
        <w:rPr>
          <w:highlight w:val="none"/>
        </w:rPr>
        <w:t>至</w:t>
      </w:r>
      <w:r>
        <w:rPr>
          <w:rFonts w:hint="eastAsia"/>
          <w:highlight w:val="none"/>
          <w:u w:val="single"/>
        </w:rPr>
        <w:t>2023年</w:t>
      </w:r>
      <w:r>
        <w:rPr>
          <w:rFonts w:hint="eastAsia"/>
          <w:highlight w:val="none"/>
          <w:u w:val="single"/>
          <w:lang w:val="en-US" w:eastAsia="zh-CN"/>
        </w:rPr>
        <w:t>07</w:t>
      </w:r>
      <w:r>
        <w:rPr>
          <w:highlight w:val="none"/>
          <w:u w:val="single"/>
        </w:rPr>
        <w:t>月</w:t>
      </w:r>
      <w:r>
        <w:rPr>
          <w:rFonts w:hint="eastAsia"/>
          <w:highlight w:val="none"/>
          <w:u w:val="single"/>
          <w:lang w:val="en-US" w:eastAsia="zh-CN"/>
        </w:rPr>
        <w:t>24</w:t>
      </w:r>
      <w:r>
        <w:rPr>
          <w:highlight w:val="none"/>
          <w:u w:val="single"/>
        </w:rPr>
        <w:t>日</w:t>
      </w:r>
      <w:r>
        <w:rPr>
          <w:rFonts w:hint="eastAsia"/>
          <w:highlight w:val="none"/>
          <w:u w:val="single"/>
          <w:lang w:val="en-US" w:eastAsia="zh-CN"/>
        </w:rPr>
        <w:t>10</w:t>
      </w:r>
      <w:r>
        <w:rPr>
          <w:highlight w:val="none"/>
          <w:u w:val="single"/>
        </w:rPr>
        <w:t>时</w:t>
      </w:r>
      <w:r>
        <w:rPr>
          <w:rFonts w:hint="eastAsia"/>
          <w:highlight w:val="none"/>
          <w:u w:val="single"/>
          <w:lang w:val="en-US" w:eastAsia="zh-CN"/>
        </w:rPr>
        <w:t>30</w:t>
      </w:r>
      <w:r>
        <w:rPr>
          <w:rFonts w:hint="eastAsia"/>
          <w:highlight w:val="none"/>
          <w:u w:val="single"/>
        </w:rPr>
        <w:t>分</w:t>
      </w:r>
      <w:r>
        <w:rPr>
          <w:rFonts w:hint="eastAsia"/>
          <w:highlight w:val="none"/>
          <w:u w:val="single"/>
          <w:lang w:eastAsia="zh-CN"/>
        </w:rPr>
        <w:t>。</w:t>
      </w:r>
    </w:p>
    <w:p>
      <w:pPr>
        <w:pStyle w:val="9"/>
        <w:ind w:firstLine="480"/>
        <w:rPr>
          <w:highlight w:val="none"/>
        </w:rPr>
      </w:pPr>
      <w:r>
        <w:rPr>
          <w:highlight w:val="none"/>
        </w:rPr>
        <w:t>4.4 本项目采用资格后审方式。</w:t>
      </w:r>
    </w:p>
    <w:p>
      <w:pPr>
        <w:pStyle w:val="9"/>
        <w:ind w:firstLine="480"/>
        <w:rPr>
          <w:highlight w:val="none"/>
        </w:rPr>
      </w:pPr>
      <w:r>
        <w:rPr>
          <w:rFonts w:hint="eastAsia"/>
          <w:highlight w:val="none"/>
        </w:rPr>
        <w:t>注：（1）电子招投标操作流程详见广州公共资源交易中心网站发布的最新版操作指引。</w:t>
      </w:r>
    </w:p>
    <w:p>
      <w:pPr>
        <w:pStyle w:val="9"/>
        <w:ind w:firstLine="480"/>
        <w:rPr>
          <w:highlight w:val="none"/>
        </w:rPr>
      </w:pPr>
      <w:r>
        <w:rPr>
          <w:rFonts w:hint="eastAsia"/>
          <w:highlight w:val="none"/>
        </w:rPr>
        <w:t>（2）</w:t>
      </w:r>
      <w:r>
        <w:rPr>
          <w:highlight w:val="none"/>
        </w:rPr>
        <w:t>从发本公告发布之日起开始计算备标时间。</w:t>
      </w:r>
    </w:p>
    <w:p>
      <w:pPr>
        <w:pStyle w:val="8"/>
        <w:spacing w:before="120"/>
        <w:ind w:firstLine="643"/>
        <w:rPr>
          <w:highlight w:val="none"/>
        </w:rPr>
      </w:pPr>
      <w:r>
        <w:rPr>
          <w:highlight w:val="none"/>
        </w:rPr>
        <w:t xml:space="preserve">5. </w:t>
      </w:r>
      <w:r>
        <w:rPr>
          <w:rFonts w:hint="eastAsia"/>
          <w:highlight w:val="none"/>
        </w:rPr>
        <w:t>投标文件的递交</w:t>
      </w:r>
    </w:p>
    <w:p>
      <w:pPr>
        <w:pStyle w:val="9"/>
        <w:ind w:firstLine="480"/>
        <w:rPr>
          <w:rFonts w:hint="eastAsia"/>
          <w:highlight w:val="none"/>
        </w:rPr>
      </w:pPr>
      <w:r>
        <w:rPr>
          <w:rFonts w:hint="eastAsia"/>
          <w:highlight w:val="none"/>
        </w:rPr>
        <w:t>5.1</w:t>
      </w:r>
      <w:r>
        <w:rPr>
          <w:highlight w:val="none"/>
        </w:rPr>
        <w:t>电子投标文件递交的</w:t>
      </w:r>
      <w:r>
        <w:rPr>
          <w:rFonts w:hint="eastAsia"/>
          <w:highlight w:val="none"/>
        </w:rPr>
        <w:t>截止</w:t>
      </w:r>
      <w:r>
        <w:rPr>
          <w:highlight w:val="none"/>
        </w:rPr>
        <w:t>时间</w:t>
      </w:r>
      <w:r>
        <w:rPr>
          <w:rFonts w:hint="eastAsia"/>
          <w:highlight w:val="none"/>
        </w:rPr>
        <w:t>（投标截止时间，下同）</w:t>
      </w:r>
      <w:r>
        <w:rPr>
          <w:highlight w:val="none"/>
        </w:rPr>
        <w:t>为</w:t>
      </w:r>
      <w:r>
        <w:rPr>
          <w:rFonts w:hint="eastAsia"/>
          <w:highlight w:val="none"/>
          <w:u w:val="single"/>
        </w:rPr>
        <w:t>2023年</w:t>
      </w:r>
      <w:r>
        <w:rPr>
          <w:rFonts w:hint="eastAsia"/>
          <w:highlight w:val="none"/>
          <w:u w:val="single"/>
          <w:lang w:val="en-US" w:eastAsia="zh-CN"/>
        </w:rPr>
        <w:t>07</w:t>
      </w:r>
      <w:r>
        <w:rPr>
          <w:highlight w:val="none"/>
          <w:u w:val="single"/>
        </w:rPr>
        <w:t>月</w:t>
      </w:r>
      <w:r>
        <w:rPr>
          <w:rFonts w:hint="eastAsia"/>
          <w:highlight w:val="none"/>
          <w:u w:val="single"/>
          <w:lang w:val="en-US" w:eastAsia="zh-CN"/>
        </w:rPr>
        <w:t>24</w:t>
      </w:r>
      <w:r>
        <w:rPr>
          <w:highlight w:val="none"/>
          <w:u w:val="single"/>
        </w:rPr>
        <w:t>日</w:t>
      </w:r>
      <w:r>
        <w:rPr>
          <w:rFonts w:hint="eastAsia"/>
          <w:highlight w:val="none"/>
          <w:u w:val="single"/>
          <w:lang w:val="en-US" w:eastAsia="zh-CN"/>
        </w:rPr>
        <w:t>10</w:t>
      </w:r>
      <w:r>
        <w:rPr>
          <w:highlight w:val="none"/>
          <w:u w:val="single"/>
        </w:rPr>
        <w:t>时</w:t>
      </w:r>
      <w:r>
        <w:rPr>
          <w:rFonts w:hint="eastAsia"/>
          <w:highlight w:val="none"/>
          <w:u w:val="single"/>
          <w:lang w:val="en-US" w:eastAsia="zh-CN"/>
        </w:rPr>
        <w:t>30</w:t>
      </w:r>
      <w:r>
        <w:rPr>
          <w:rFonts w:hint="eastAsia"/>
          <w:highlight w:val="none"/>
          <w:u w:val="single"/>
        </w:rPr>
        <w:t>分</w:t>
      </w:r>
      <w:r>
        <w:rPr>
          <w:highlight w:val="none"/>
        </w:rPr>
        <w:t>，投标人应在截止时间前通过广州公共资源交易中心电子招标投标交易平台递交电子投标文件</w:t>
      </w:r>
      <w:r>
        <w:rPr>
          <w:rFonts w:hint="eastAsia"/>
          <w:highlight w:val="none"/>
        </w:rPr>
        <w:t>。</w:t>
      </w:r>
    </w:p>
    <w:p>
      <w:pPr>
        <w:pStyle w:val="9"/>
        <w:ind w:firstLine="480"/>
        <w:rPr>
          <w:rFonts w:hint="eastAsia"/>
          <w:highlight w:val="none"/>
        </w:rPr>
      </w:pPr>
      <w:r>
        <w:rPr>
          <w:rFonts w:hint="eastAsia"/>
          <w:highlight w:val="none"/>
        </w:rPr>
        <w:t>5.2开标时间为：</w:t>
      </w:r>
      <w:r>
        <w:rPr>
          <w:rFonts w:hint="eastAsia"/>
          <w:highlight w:val="none"/>
          <w:u w:val="single"/>
        </w:rPr>
        <w:t>2023年</w:t>
      </w:r>
      <w:r>
        <w:rPr>
          <w:rFonts w:hint="eastAsia"/>
          <w:highlight w:val="none"/>
          <w:u w:val="single"/>
          <w:lang w:val="en-US" w:eastAsia="zh-CN"/>
        </w:rPr>
        <w:t>07</w:t>
      </w:r>
      <w:r>
        <w:rPr>
          <w:highlight w:val="none"/>
          <w:u w:val="single"/>
        </w:rPr>
        <w:t>月</w:t>
      </w:r>
      <w:r>
        <w:rPr>
          <w:rFonts w:hint="eastAsia"/>
          <w:highlight w:val="none"/>
          <w:u w:val="single"/>
          <w:lang w:val="en-US" w:eastAsia="zh-CN"/>
        </w:rPr>
        <w:t>24</w:t>
      </w:r>
      <w:r>
        <w:rPr>
          <w:highlight w:val="none"/>
          <w:u w:val="single"/>
        </w:rPr>
        <w:t>日</w:t>
      </w:r>
      <w:r>
        <w:rPr>
          <w:rFonts w:hint="eastAsia"/>
          <w:highlight w:val="none"/>
          <w:u w:val="single"/>
          <w:lang w:val="en-US" w:eastAsia="zh-CN"/>
        </w:rPr>
        <w:t>10</w:t>
      </w:r>
      <w:r>
        <w:rPr>
          <w:highlight w:val="none"/>
          <w:u w:val="single"/>
        </w:rPr>
        <w:t>时</w:t>
      </w:r>
      <w:r>
        <w:rPr>
          <w:rFonts w:hint="eastAsia"/>
          <w:highlight w:val="none"/>
          <w:u w:val="single"/>
          <w:lang w:val="en-US" w:eastAsia="zh-CN"/>
        </w:rPr>
        <w:t>30</w:t>
      </w:r>
      <w:r>
        <w:rPr>
          <w:rFonts w:hint="eastAsia"/>
          <w:highlight w:val="none"/>
          <w:u w:val="single"/>
        </w:rPr>
        <w:t>分</w:t>
      </w:r>
      <w:r>
        <w:rPr>
          <w:rFonts w:hint="eastAsia"/>
          <w:highlight w:val="none"/>
        </w:rPr>
        <w:t>，开标地点为：广州市公共资源交易中心</w:t>
      </w:r>
      <w:r>
        <w:rPr>
          <w:rFonts w:hint="eastAsia"/>
          <w:highlight w:val="none"/>
          <w:lang w:eastAsia="zh-CN"/>
        </w:rPr>
        <w:t>（中心本部）</w:t>
      </w:r>
      <w:r>
        <w:rPr>
          <w:rFonts w:hint="eastAsia"/>
          <w:highlight w:val="none"/>
        </w:rPr>
        <w:t>第</w:t>
      </w:r>
      <w:r>
        <w:rPr>
          <w:rFonts w:hint="eastAsia"/>
          <w:highlight w:val="none"/>
          <w:u w:val="single"/>
        </w:rPr>
        <w:t xml:space="preserve"> </w:t>
      </w:r>
      <w:r>
        <w:rPr>
          <w:rFonts w:hint="eastAsia"/>
          <w:highlight w:val="none"/>
          <w:u w:val="single"/>
          <w:lang w:val="en-US" w:eastAsia="zh-CN"/>
        </w:rPr>
        <w:t>04</w:t>
      </w:r>
      <w:r>
        <w:rPr>
          <w:rFonts w:hint="eastAsia"/>
          <w:highlight w:val="none"/>
          <w:u w:val="single"/>
        </w:rPr>
        <w:t xml:space="preserve"> </w:t>
      </w:r>
      <w:r>
        <w:rPr>
          <w:rFonts w:hint="eastAsia"/>
          <w:highlight w:val="none"/>
        </w:rPr>
        <w:t xml:space="preserve">开标室。 </w:t>
      </w:r>
    </w:p>
    <w:p>
      <w:pPr>
        <w:pStyle w:val="9"/>
        <w:ind w:firstLine="480"/>
        <w:rPr>
          <w:rFonts w:hint="eastAsia"/>
          <w:highlight w:val="none"/>
        </w:rPr>
      </w:pPr>
      <w:r>
        <w:rPr>
          <w:rFonts w:hint="eastAsia"/>
          <w:highlight w:val="none"/>
        </w:rPr>
        <w:t>5.3投标截止时间与开标时间是否有变化，请密切留意招标答疑中的相关信息。截标后，开标时间因故推迟的，相关评标信息仍以原定的开标时间的信息为准。</w:t>
      </w:r>
    </w:p>
    <w:p>
      <w:pPr>
        <w:pStyle w:val="9"/>
        <w:ind w:firstLine="472"/>
        <w:rPr>
          <w:rFonts w:hint="eastAsia"/>
          <w:spacing w:val="-2"/>
          <w:highlight w:val="none"/>
        </w:rPr>
      </w:pPr>
      <w:r>
        <w:rPr>
          <w:rFonts w:hint="eastAsia"/>
          <w:spacing w:val="-2"/>
          <w:highlight w:val="none"/>
        </w:rPr>
        <w:t>5.4</w:t>
      </w:r>
      <w:r>
        <w:rPr>
          <w:spacing w:val="-2"/>
          <w:highlight w:val="none"/>
        </w:rPr>
        <w:t>逾期送达的投标文件，</w:t>
      </w:r>
      <w:r>
        <w:rPr>
          <w:highlight w:val="none"/>
        </w:rPr>
        <w:t>电子招标投标交易平台</w:t>
      </w:r>
      <w:r>
        <w:rPr>
          <w:spacing w:val="-2"/>
          <w:highlight w:val="none"/>
        </w:rPr>
        <w:t>不予</w:t>
      </w:r>
      <w:r>
        <w:rPr>
          <w:rFonts w:hint="eastAsia"/>
          <w:spacing w:val="-2"/>
          <w:highlight w:val="none"/>
        </w:rPr>
        <w:t>接收</w:t>
      </w:r>
      <w:r>
        <w:rPr>
          <w:spacing w:val="-2"/>
          <w:highlight w:val="none"/>
        </w:rPr>
        <w:t>。</w:t>
      </w:r>
    </w:p>
    <w:p>
      <w:pPr>
        <w:pStyle w:val="9"/>
        <w:ind w:firstLine="480"/>
        <w:rPr>
          <w:rFonts w:hint="eastAsia"/>
          <w:highlight w:val="none"/>
        </w:rPr>
      </w:pPr>
      <w:r>
        <w:rPr>
          <w:rFonts w:hint="eastAsia"/>
          <w:highlight w:val="none"/>
        </w:rPr>
        <w:t>5.5投标申请人必须在递交投标文件前到广州公共资源交易中心办理企业信息登记。</w:t>
      </w:r>
    </w:p>
    <w:p>
      <w:pPr>
        <w:pStyle w:val="9"/>
        <w:ind w:firstLine="480"/>
        <w:rPr>
          <w:rFonts w:hint="eastAsia"/>
          <w:highlight w:val="none"/>
        </w:rPr>
      </w:pPr>
      <w:r>
        <w:rPr>
          <w:rFonts w:hint="eastAsia"/>
          <w:highlight w:val="none"/>
        </w:rPr>
        <w:t>5.6提交投标文件光盘（备用）时间：</w:t>
      </w:r>
      <w:r>
        <w:rPr>
          <w:rFonts w:hint="eastAsia"/>
          <w:highlight w:val="none"/>
          <w:u w:val="single"/>
        </w:rPr>
        <w:t>2023年</w:t>
      </w:r>
      <w:r>
        <w:rPr>
          <w:rFonts w:hint="eastAsia"/>
          <w:highlight w:val="none"/>
          <w:u w:val="single"/>
          <w:lang w:val="en-US" w:eastAsia="zh-CN"/>
        </w:rPr>
        <w:t>07</w:t>
      </w:r>
      <w:r>
        <w:rPr>
          <w:highlight w:val="none"/>
          <w:u w:val="single"/>
        </w:rPr>
        <w:t>月</w:t>
      </w:r>
      <w:r>
        <w:rPr>
          <w:rFonts w:hint="eastAsia"/>
          <w:highlight w:val="none"/>
          <w:u w:val="single"/>
          <w:lang w:val="en-US" w:eastAsia="zh-CN"/>
        </w:rPr>
        <w:t>24</w:t>
      </w:r>
      <w:r>
        <w:rPr>
          <w:highlight w:val="none"/>
          <w:u w:val="single"/>
        </w:rPr>
        <w:t>日</w:t>
      </w:r>
      <w:r>
        <w:rPr>
          <w:rFonts w:hint="eastAsia"/>
          <w:highlight w:val="none"/>
          <w:u w:val="single"/>
          <w:lang w:val="en-US" w:eastAsia="zh-CN"/>
        </w:rPr>
        <w:t>10</w:t>
      </w:r>
      <w:r>
        <w:rPr>
          <w:highlight w:val="none"/>
          <w:u w:val="single"/>
        </w:rPr>
        <w:t>时</w:t>
      </w:r>
      <w:r>
        <w:rPr>
          <w:rFonts w:hint="eastAsia"/>
          <w:highlight w:val="none"/>
          <w:u w:val="single"/>
          <w:lang w:val="en-US" w:eastAsia="zh-CN"/>
        </w:rPr>
        <w:t>15</w:t>
      </w:r>
      <w:r>
        <w:rPr>
          <w:rFonts w:hint="eastAsia"/>
          <w:highlight w:val="none"/>
          <w:u w:val="single"/>
        </w:rPr>
        <w:t>分</w:t>
      </w:r>
      <w:r>
        <w:rPr>
          <w:rFonts w:hint="eastAsia"/>
          <w:highlight w:val="none"/>
        </w:rPr>
        <w:t>，开标地点为：广州公共资源交易中心</w:t>
      </w:r>
      <w:r>
        <w:rPr>
          <w:rFonts w:hint="eastAsia"/>
          <w:highlight w:val="none"/>
          <w:lang w:eastAsia="zh-CN"/>
        </w:rPr>
        <w:t>（中心本部）</w:t>
      </w:r>
      <w:r>
        <w:rPr>
          <w:rFonts w:hint="eastAsia"/>
          <w:highlight w:val="none"/>
        </w:rPr>
        <w:t>第</w:t>
      </w:r>
      <w:r>
        <w:rPr>
          <w:rFonts w:hint="eastAsia"/>
          <w:highlight w:val="none"/>
          <w:u w:val="single"/>
        </w:rPr>
        <w:t xml:space="preserve"> </w:t>
      </w:r>
      <w:r>
        <w:rPr>
          <w:rFonts w:hint="eastAsia"/>
          <w:highlight w:val="none"/>
          <w:u w:val="single"/>
          <w:lang w:val="en-US" w:eastAsia="zh-CN"/>
        </w:rPr>
        <w:t>04</w:t>
      </w:r>
      <w:r>
        <w:rPr>
          <w:rFonts w:hint="eastAsia"/>
          <w:highlight w:val="none"/>
          <w:u w:val="single"/>
        </w:rPr>
        <w:t xml:space="preserve"> </w:t>
      </w:r>
      <w:r>
        <w:rPr>
          <w:rFonts w:hint="eastAsia"/>
          <w:highlight w:val="none"/>
        </w:rPr>
        <w:t>开标室（电子光盘需按规定封装。投标人在将数据刻录到光盘之后，投标前自行检查文件是否可以读取）。</w:t>
      </w:r>
    </w:p>
    <w:p>
      <w:pPr>
        <w:pStyle w:val="8"/>
        <w:spacing w:before="120"/>
        <w:ind w:firstLine="643"/>
        <w:rPr>
          <w:highlight w:val="none"/>
        </w:rPr>
      </w:pPr>
      <w:r>
        <w:rPr>
          <w:rFonts w:hint="eastAsia"/>
          <w:highlight w:val="none"/>
        </w:rPr>
        <w:t>6.发布公告的媒介</w:t>
      </w:r>
      <w:bookmarkStart w:id="5" w:name="_GoBack"/>
      <w:bookmarkEnd w:id="5"/>
    </w:p>
    <w:p>
      <w:pPr>
        <w:pStyle w:val="9"/>
        <w:ind w:firstLine="480"/>
        <w:rPr>
          <w:rFonts w:hint="eastAsia"/>
          <w:highlight w:val="none"/>
        </w:rPr>
      </w:pPr>
      <w:r>
        <w:rPr>
          <w:rFonts w:hint="eastAsia"/>
          <w:highlight w:val="none"/>
        </w:rPr>
        <w:t>本公告同时在</w:t>
      </w:r>
      <w:r>
        <w:rPr>
          <w:rFonts w:hint="eastAsia"/>
          <w:highlight w:val="none"/>
          <w:u w:val="single"/>
        </w:rPr>
        <w:t>广州公共资源交易中心网站、广东省招标投标监管网、中国招标投标公共服务平台</w:t>
      </w:r>
      <w:r>
        <w:rPr>
          <w:rFonts w:hint="eastAsia"/>
          <w:highlight w:val="none"/>
        </w:rPr>
        <w:t>等网站发布。本公告的修改、补充以广州公共资源交易中心网站发布为准。有关本公告的修改、补充，均在广州公共资源交易中心网站发布为准。</w:t>
      </w:r>
    </w:p>
    <w:p>
      <w:pPr>
        <w:pStyle w:val="8"/>
        <w:spacing w:before="120"/>
        <w:ind w:firstLine="643"/>
        <w:rPr>
          <w:rFonts w:hint="eastAsia"/>
          <w:highlight w:val="none"/>
        </w:rPr>
      </w:pPr>
      <w:r>
        <w:rPr>
          <w:rFonts w:hint="eastAsia"/>
          <w:highlight w:val="none"/>
        </w:rPr>
        <w:t>7.办理投标登记手续</w:t>
      </w:r>
    </w:p>
    <w:p>
      <w:pPr>
        <w:pStyle w:val="9"/>
        <w:ind w:firstLine="480"/>
        <w:rPr>
          <w:highlight w:val="none"/>
        </w:rPr>
      </w:pPr>
      <w:r>
        <w:rPr>
          <w:rFonts w:hint="eastAsia"/>
          <w:highlight w:val="none"/>
        </w:rPr>
        <w:t>投标人应在递交投标文件截止时间前，登录广州公共资源交易中心网站办理网上投标登记手续。</w:t>
      </w:r>
    </w:p>
    <w:p>
      <w:pPr>
        <w:pStyle w:val="9"/>
        <w:ind w:firstLine="480"/>
        <w:rPr>
          <w:rFonts w:hint="eastAsia"/>
          <w:highlight w:val="none"/>
        </w:rPr>
      </w:pPr>
      <w:r>
        <w:rPr>
          <w:rFonts w:hint="eastAsia"/>
          <w:highlight w:val="none"/>
        </w:rPr>
        <w:t>7.1投标人应遵循以下程序完成网上投标登记手续：</w:t>
      </w:r>
    </w:p>
    <w:p>
      <w:pPr>
        <w:pStyle w:val="9"/>
        <w:ind w:firstLine="480"/>
        <w:rPr>
          <w:rFonts w:hint="eastAsia"/>
          <w:highlight w:val="none"/>
        </w:rPr>
      </w:pPr>
      <w:r>
        <w:rPr>
          <w:rFonts w:hint="eastAsia"/>
          <w:highlight w:val="none"/>
        </w:rPr>
        <w:t>（1）登录广州公共资源交易中心网站投标人服务专区完成投标人的相关信息录入。</w:t>
      </w:r>
    </w:p>
    <w:p>
      <w:pPr>
        <w:pStyle w:val="9"/>
        <w:ind w:firstLine="480"/>
        <w:rPr>
          <w:rFonts w:hint="eastAsia"/>
          <w:highlight w:val="none"/>
        </w:rPr>
      </w:pPr>
      <w:r>
        <w:rPr>
          <w:rFonts w:hint="eastAsia"/>
          <w:highlight w:val="none"/>
        </w:rPr>
        <w:t>（2）核对并确认投标信息无误后，上传带有电子签章的加密投标文件。在递交投标文件截止时间前，投标人可以替换投标文件。投标文件须于递交投标文件截止时间前完整上传并保存到广州公共资源交易中心的电子评标系统。如果投标文件于递交投标文件截止时间未能上传完毕，该投标文件将被否决。</w:t>
      </w:r>
    </w:p>
    <w:p>
      <w:pPr>
        <w:pStyle w:val="9"/>
        <w:ind w:firstLine="480"/>
        <w:rPr>
          <w:rFonts w:hint="eastAsia"/>
          <w:highlight w:val="none"/>
        </w:rPr>
      </w:pPr>
      <w:r>
        <w:rPr>
          <w:rFonts w:hint="eastAsia"/>
          <w:highlight w:val="none"/>
        </w:rPr>
        <w:t>7.2投标保证金</w:t>
      </w:r>
      <w:r>
        <w:rPr>
          <w:rFonts w:hint="eastAsia"/>
          <w:color w:val="auto"/>
          <w:highlight w:val="none"/>
          <w:lang w:eastAsia="zh-CN"/>
        </w:rPr>
        <w:t>（</w:t>
      </w:r>
      <w:r>
        <w:rPr>
          <w:rFonts w:hint="eastAsia"/>
          <w:color w:val="auto"/>
          <w:highlight w:val="none"/>
          <w:lang w:val="en-US" w:eastAsia="zh-CN"/>
        </w:rPr>
        <w:t>本项目无需缴纳投标保证金</w:t>
      </w:r>
      <w:r>
        <w:rPr>
          <w:rFonts w:hint="eastAsia"/>
          <w:color w:val="auto"/>
          <w:highlight w:val="none"/>
          <w:lang w:eastAsia="zh-CN"/>
        </w:rPr>
        <w:t>）</w:t>
      </w:r>
      <w:r>
        <w:rPr>
          <w:rFonts w:hint="eastAsia"/>
          <w:highlight w:val="none"/>
        </w:rPr>
        <w:t>：</w:t>
      </w:r>
    </w:p>
    <w:p>
      <w:pPr>
        <w:pStyle w:val="9"/>
        <w:ind w:firstLine="480"/>
        <w:rPr>
          <w:rFonts w:hint="eastAsia"/>
          <w:spacing w:val="-2"/>
          <w:highlight w:val="none"/>
        </w:rPr>
      </w:pPr>
      <w:r>
        <w:rPr>
          <w:rFonts w:hint="eastAsia"/>
          <w:highlight w:val="none"/>
        </w:rPr>
        <w:t>投标保证金</w:t>
      </w:r>
      <w:r>
        <w:rPr>
          <w:rFonts w:hint="eastAsia"/>
          <w:highlight w:val="none"/>
          <w:u w:val="single"/>
        </w:rPr>
        <w:t xml:space="preserve"> </w:t>
      </w:r>
      <w:r>
        <w:rPr>
          <w:rFonts w:hint="eastAsia"/>
          <w:color w:val="auto"/>
          <w:highlight w:val="none"/>
          <w:u w:val="single"/>
          <w:lang w:val="en-US" w:eastAsia="zh-CN"/>
        </w:rPr>
        <w:t>00.00</w:t>
      </w:r>
      <w:r>
        <w:rPr>
          <w:rFonts w:hint="eastAsia"/>
          <w:color w:val="auto"/>
          <w:highlight w:val="none"/>
        </w:rPr>
        <w:t>万元</w:t>
      </w:r>
      <w:r>
        <w:rPr>
          <w:rFonts w:hint="eastAsia"/>
          <w:highlight w:val="none"/>
        </w:rPr>
        <w:t>，投标保证金应在完成投标登记手续后至投标截止时间前完成缴纳。由广州公共资源交易中心代收的，缴费的操作详见广州公共资源交易中心公布的《投标人基本账户保证金操作指引》。</w:t>
      </w:r>
    </w:p>
    <w:p>
      <w:pPr>
        <w:pStyle w:val="8"/>
        <w:spacing w:before="120"/>
        <w:ind w:firstLine="643"/>
        <w:rPr>
          <w:rFonts w:hint="eastAsia"/>
          <w:highlight w:val="none"/>
        </w:rPr>
      </w:pPr>
      <w:r>
        <w:rPr>
          <w:rFonts w:hint="eastAsia"/>
          <w:highlight w:val="none"/>
        </w:rPr>
        <w:t>8.资格审查方法</w:t>
      </w:r>
    </w:p>
    <w:p>
      <w:pPr>
        <w:pStyle w:val="9"/>
        <w:ind w:firstLine="480"/>
        <w:rPr>
          <w:rFonts w:hint="eastAsia"/>
          <w:highlight w:val="none"/>
        </w:rPr>
      </w:pPr>
      <w:r>
        <w:rPr>
          <w:rFonts w:hint="eastAsia"/>
          <w:highlight w:val="none"/>
        </w:rPr>
        <w:t>本项目采用资格后审方式，参与投标的家数不足3家，或者评标时通过形式评审、资格审查及响应性评审的家数不足3家，招标人分析招标失败原因，修正招标方案，报有关管理部门核准后，重新组织招标。</w:t>
      </w:r>
    </w:p>
    <w:p>
      <w:pPr>
        <w:pStyle w:val="8"/>
        <w:spacing w:before="120"/>
        <w:ind w:firstLine="643"/>
        <w:rPr>
          <w:rFonts w:hint="eastAsia"/>
          <w:highlight w:val="none"/>
        </w:rPr>
      </w:pPr>
      <w:r>
        <w:rPr>
          <w:rFonts w:hint="eastAsia"/>
          <w:highlight w:val="none"/>
        </w:rPr>
        <w:t>9．关于诚信评价</w:t>
      </w:r>
    </w:p>
    <w:p>
      <w:pPr>
        <w:pStyle w:val="9"/>
        <w:ind w:firstLine="480"/>
        <w:rPr>
          <w:rFonts w:hint="eastAsia"/>
          <w:highlight w:val="none"/>
        </w:rPr>
      </w:pPr>
      <w:r>
        <w:rPr>
          <w:rFonts w:hint="eastAsia"/>
          <w:highlight w:val="none"/>
        </w:rPr>
        <w:t>本次招标的诚信评价分数占总得分的</w:t>
      </w:r>
      <w:r>
        <w:rPr>
          <w:rFonts w:hint="eastAsia"/>
          <w:highlight w:val="none"/>
          <w:lang w:val="en-US" w:eastAsia="zh-CN"/>
        </w:rPr>
        <w:t>10</w:t>
      </w:r>
      <w:r>
        <w:rPr>
          <w:rFonts w:hint="eastAsia"/>
          <w:highlight w:val="none"/>
        </w:rPr>
        <w:t>%。诚信评价总分采用诚信评价信息系统在投标登记第1天（无纸化招标资格后审项目招标公告发布第一天视同为投标登记第1天）所在季度的上一季度公布的分数，以广州市水务工程企业信息库及诚信中心网站（http://120.236.111.11:8001/#/website）中的“诚信排名&gt;&gt;监理—给排水”诚信综合评价分为准。未入库企业或在广州市水务工程企业信息库及诚信中心网中尚无诚信综合评价分的投标人，其诚信评价分按</w:t>
      </w:r>
      <w:r>
        <w:rPr>
          <w:rFonts w:hint="eastAsia"/>
          <w:highlight w:val="none"/>
          <w:lang w:val="en-US" w:eastAsia="zh-CN"/>
        </w:rPr>
        <w:t>8</w:t>
      </w:r>
      <w:r>
        <w:rPr>
          <w:rFonts w:hint="eastAsia"/>
          <w:highlight w:val="none"/>
        </w:rPr>
        <w:t>0分计算。</w:t>
      </w:r>
    </w:p>
    <w:p>
      <w:pPr>
        <w:pStyle w:val="8"/>
        <w:spacing w:before="120"/>
        <w:ind w:firstLine="643"/>
        <w:rPr>
          <w:rFonts w:hint="eastAsia"/>
          <w:highlight w:val="none"/>
        </w:rPr>
      </w:pPr>
      <w:r>
        <w:rPr>
          <w:rFonts w:hint="eastAsia"/>
          <w:highlight w:val="none"/>
          <w:lang w:val="en-US" w:eastAsia="zh-CN"/>
        </w:rPr>
        <w:t>10</w:t>
      </w:r>
      <w:r>
        <w:rPr>
          <w:highlight w:val="none"/>
        </w:rPr>
        <w:t xml:space="preserve">. </w:t>
      </w:r>
      <w:r>
        <w:rPr>
          <w:rFonts w:hint="eastAsia"/>
          <w:highlight w:val="none"/>
        </w:rPr>
        <w:t>联系方式</w:t>
      </w:r>
    </w:p>
    <w:tbl>
      <w:tblPr>
        <w:tblStyle w:val="6"/>
        <w:tblW w:w="0" w:type="auto"/>
        <w:tblInd w:w="0" w:type="dxa"/>
        <w:tblLayout w:type="fixed"/>
        <w:tblCellMar>
          <w:top w:w="0" w:type="dxa"/>
          <w:left w:w="108" w:type="dxa"/>
          <w:bottom w:w="0" w:type="dxa"/>
          <w:right w:w="108" w:type="dxa"/>
        </w:tblCellMar>
      </w:tblPr>
      <w:tblGrid>
        <w:gridCol w:w="4928"/>
        <w:gridCol w:w="4678"/>
      </w:tblGrid>
      <w:tr>
        <w:tblPrEx>
          <w:tblCellMar>
            <w:top w:w="0" w:type="dxa"/>
            <w:left w:w="108" w:type="dxa"/>
            <w:bottom w:w="0" w:type="dxa"/>
            <w:right w:w="108" w:type="dxa"/>
          </w:tblCellMar>
        </w:tblPrEx>
        <w:tc>
          <w:tcPr>
            <w:tcW w:w="4928" w:type="dxa"/>
            <w:noWrap w:val="0"/>
            <w:vAlign w:val="top"/>
          </w:tcPr>
          <w:p>
            <w:pPr>
              <w:pStyle w:val="9"/>
              <w:ind w:firstLine="0" w:firstLineChars="0"/>
              <w:rPr>
                <w:rFonts w:hint="eastAsia" w:eastAsia="宋体"/>
                <w:highlight w:val="none"/>
                <w:lang w:eastAsia="zh-CN"/>
              </w:rPr>
            </w:pPr>
            <w:r>
              <w:rPr>
                <w:rFonts w:hint="eastAsia"/>
                <w:highlight w:val="none"/>
              </w:rPr>
              <w:t>招标人：</w:t>
            </w:r>
            <w:r>
              <w:rPr>
                <w:rFonts w:hint="eastAsia"/>
                <w:highlight w:val="none"/>
                <w:lang w:eastAsia="zh-CN"/>
              </w:rPr>
              <w:t>广州市荔湾区水务工程建设管理中心</w:t>
            </w:r>
          </w:p>
        </w:tc>
        <w:tc>
          <w:tcPr>
            <w:tcW w:w="4678" w:type="dxa"/>
            <w:noWrap w:val="0"/>
            <w:vAlign w:val="top"/>
          </w:tcPr>
          <w:p>
            <w:pPr>
              <w:pStyle w:val="9"/>
              <w:ind w:firstLine="0" w:firstLineChars="0"/>
              <w:rPr>
                <w:rFonts w:hint="eastAsia" w:eastAsia="宋体"/>
                <w:highlight w:val="none"/>
                <w:lang w:eastAsia="zh-CN"/>
              </w:rPr>
            </w:pPr>
            <w:r>
              <w:rPr>
                <w:rFonts w:hint="eastAsia"/>
                <w:highlight w:val="none"/>
              </w:rPr>
              <w:t>招标代理机构：</w:t>
            </w:r>
            <w:r>
              <w:rPr>
                <w:rFonts w:hint="eastAsia"/>
                <w:highlight w:val="none"/>
                <w:lang w:eastAsia="zh-CN"/>
              </w:rPr>
              <w:t>广州市房实建设工程管理有限公司</w:t>
            </w:r>
          </w:p>
        </w:tc>
      </w:tr>
      <w:tr>
        <w:tblPrEx>
          <w:tblCellMar>
            <w:top w:w="0" w:type="dxa"/>
            <w:left w:w="108" w:type="dxa"/>
            <w:bottom w:w="0" w:type="dxa"/>
            <w:right w:w="108" w:type="dxa"/>
          </w:tblCellMar>
        </w:tblPrEx>
        <w:tc>
          <w:tcPr>
            <w:tcW w:w="4928" w:type="dxa"/>
            <w:noWrap w:val="0"/>
            <w:vAlign w:val="top"/>
          </w:tcPr>
          <w:p>
            <w:pPr>
              <w:pStyle w:val="9"/>
              <w:ind w:firstLine="0" w:firstLineChars="0"/>
              <w:rPr>
                <w:rFonts w:hint="eastAsia" w:eastAsia="宋体"/>
                <w:highlight w:val="none"/>
                <w:lang w:eastAsia="zh-CN"/>
              </w:rPr>
            </w:pPr>
            <w:r>
              <w:rPr>
                <w:rFonts w:hint="eastAsia"/>
                <w:highlight w:val="none"/>
              </w:rPr>
              <w:t>地址：</w:t>
            </w:r>
            <w:r>
              <w:rPr>
                <w:rFonts w:hint="eastAsia"/>
                <w:highlight w:val="none"/>
                <w:lang w:eastAsia="zh-CN"/>
              </w:rPr>
              <w:t>广州市荔湾区东漖大墩120号</w:t>
            </w:r>
          </w:p>
        </w:tc>
        <w:tc>
          <w:tcPr>
            <w:tcW w:w="4678" w:type="dxa"/>
            <w:noWrap w:val="0"/>
            <w:vAlign w:val="top"/>
          </w:tcPr>
          <w:p>
            <w:pPr>
              <w:pStyle w:val="9"/>
              <w:tabs>
                <w:tab w:val="clear" w:pos="1343"/>
                <w:tab w:val="clear" w:pos="2697"/>
                <w:tab w:val="clear" w:pos="3264"/>
                <w:tab w:val="clear" w:pos="4896"/>
              </w:tabs>
              <w:ind w:firstLine="0" w:firstLineChars="0"/>
              <w:rPr>
                <w:highlight w:val="none"/>
              </w:rPr>
            </w:pPr>
            <w:r>
              <w:rPr>
                <w:rFonts w:hint="eastAsia"/>
                <w:highlight w:val="none"/>
              </w:rPr>
              <w:t>地址：</w:t>
            </w:r>
            <w:r>
              <w:rPr>
                <w:rFonts w:hint="eastAsia"/>
                <w:highlight w:val="none"/>
                <w:lang w:eastAsia="zh-CN"/>
              </w:rPr>
              <w:t>广州市越秀区东风中路318号嘉业大厦29层</w:t>
            </w:r>
          </w:p>
        </w:tc>
      </w:tr>
      <w:tr>
        <w:tblPrEx>
          <w:tblCellMar>
            <w:top w:w="0" w:type="dxa"/>
            <w:left w:w="108" w:type="dxa"/>
            <w:bottom w:w="0" w:type="dxa"/>
            <w:right w:w="108" w:type="dxa"/>
          </w:tblCellMar>
        </w:tblPrEx>
        <w:tc>
          <w:tcPr>
            <w:tcW w:w="4928" w:type="dxa"/>
            <w:noWrap w:val="0"/>
            <w:vAlign w:val="top"/>
          </w:tcPr>
          <w:p>
            <w:pPr>
              <w:pStyle w:val="9"/>
              <w:ind w:firstLine="0" w:firstLineChars="0"/>
              <w:rPr>
                <w:rFonts w:hint="eastAsia"/>
                <w:highlight w:val="none"/>
              </w:rPr>
            </w:pPr>
            <w:r>
              <w:rPr>
                <w:rFonts w:hint="eastAsia"/>
                <w:highlight w:val="none"/>
              </w:rPr>
              <w:t>邮编：</w:t>
            </w:r>
          </w:p>
        </w:tc>
        <w:tc>
          <w:tcPr>
            <w:tcW w:w="4678" w:type="dxa"/>
            <w:noWrap w:val="0"/>
            <w:vAlign w:val="top"/>
          </w:tcPr>
          <w:p>
            <w:pPr>
              <w:pStyle w:val="9"/>
              <w:ind w:firstLine="0" w:firstLineChars="0"/>
              <w:rPr>
                <w:rFonts w:hint="eastAsia" w:eastAsia="宋体"/>
                <w:highlight w:val="none"/>
                <w:lang w:eastAsia="zh-CN"/>
              </w:rPr>
            </w:pPr>
            <w:r>
              <w:rPr>
                <w:rFonts w:hint="eastAsia"/>
                <w:highlight w:val="none"/>
              </w:rPr>
              <w:t>邮编：</w:t>
            </w:r>
          </w:p>
        </w:tc>
      </w:tr>
      <w:tr>
        <w:tblPrEx>
          <w:tblCellMar>
            <w:top w:w="0" w:type="dxa"/>
            <w:left w:w="108" w:type="dxa"/>
            <w:bottom w:w="0" w:type="dxa"/>
            <w:right w:w="108" w:type="dxa"/>
          </w:tblCellMar>
        </w:tblPrEx>
        <w:trPr>
          <w:trHeight w:val="399" w:hRule="atLeast"/>
        </w:trPr>
        <w:tc>
          <w:tcPr>
            <w:tcW w:w="4928" w:type="dxa"/>
            <w:noWrap w:val="0"/>
            <w:vAlign w:val="top"/>
          </w:tcPr>
          <w:p>
            <w:pPr>
              <w:pStyle w:val="9"/>
              <w:ind w:firstLine="0" w:firstLineChars="0"/>
              <w:rPr>
                <w:rFonts w:hint="eastAsia"/>
                <w:highlight w:val="none"/>
              </w:rPr>
            </w:pPr>
            <w:r>
              <w:rPr>
                <w:rFonts w:hint="eastAsia"/>
                <w:highlight w:val="none"/>
              </w:rPr>
              <w:t>联系人：</w:t>
            </w:r>
            <w:r>
              <w:rPr>
                <w:rFonts w:hint="eastAsia"/>
                <w:highlight w:val="none"/>
                <w:lang w:val="en-US" w:eastAsia="zh-CN"/>
              </w:rPr>
              <w:t>朱</w:t>
            </w:r>
            <w:r>
              <w:rPr>
                <w:rFonts w:hint="eastAsia"/>
                <w:highlight w:val="none"/>
              </w:rPr>
              <w:t xml:space="preserve">工          </w:t>
            </w:r>
          </w:p>
        </w:tc>
        <w:tc>
          <w:tcPr>
            <w:tcW w:w="4678" w:type="dxa"/>
            <w:noWrap w:val="0"/>
            <w:vAlign w:val="top"/>
          </w:tcPr>
          <w:p>
            <w:pPr>
              <w:pStyle w:val="9"/>
              <w:ind w:firstLine="0" w:firstLineChars="0"/>
              <w:rPr>
                <w:rFonts w:hint="eastAsia"/>
                <w:highlight w:val="none"/>
              </w:rPr>
            </w:pPr>
            <w:r>
              <w:rPr>
                <w:rFonts w:hint="eastAsia"/>
                <w:highlight w:val="none"/>
              </w:rPr>
              <w:t>联系人：</w:t>
            </w:r>
            <w:r>
              <w:rPr>
                <w:rFonts w:hint="eastAsia"/>
                <w:highlight w:val="none"/>
                <w:lang w:val="en-US" w:eastAsia="zh-CN"/>
              </w:rPr>
              <w:t>何</w:t>
            </w:r>
            <w:r>
              <w:rPr>
                <w:rFonts w:hint="eastAsia"/>
                <w:highlight w:val="none"/>
              </w:rPr>
              <w:t>工</w:t>
            </w:r>
          </w:p>
        </w:tc>
      </w:tr>
      <w:tr>
        <w:tblPrEx>
          <w:tblCellMar>
            <w:top w:w="0" w:type="dxa"/>
            <w:left w:w="108" w:type="dxa"/>
            <w:bottom w:w="0" w:type="dxa"/>
            <w:right w:w="108" w:type="dxa"/>
          </w:tblCellMar>
        </w:tblPrEx>
        <w:trPr>
          <w:trHeight w:val="412" w:hRule="atLeast"/>
        </w:trPr>
        <w:tc>
          <w:tcPr>
            <w:tcW w:w="4928" w:type="dxa"/>
            <w:noWrap w:val="0"/>
            <w:vAlign w:val="top"/>
          </w:tcPr>
          <w:p>
            <w:pPr>
              <w:pStyle w:val="9"/>
              <w:ind w:firstLine="0" w:firstLineChars="0"/>
              <w:rPr>
                <w:rFonts w:hint="eastAsia" w:eastAsia="宋体"/>
                <w:highlight w:val="none"/>
                <w:lang w:eastAsia="zh-CN"/>
              </w:rPr>
            </w:pPr>
            <w:r>
              <w:rPr>
                <w:rFonts w:hint="eastAsia"/>
                <w:highlight w:val="none"/>
              </w:rPr>
              <w:t>电话：</w:t>
            </w:r>
            <w:r>
              <w:rPr>
                <w:rFonts w:hint="eastAsia"/>
                <w:highlight w:val="none"/>
                <w:lang w:eastAsia="zh-CN"/>
              </w:rPr>
              <w:t>020-81978573</w:t>
            </w:r>
          </w:p>
        </w:tc>
        <w:tc>
          <w:tcPr>
            <w:tcW w:w="4678" w:type="dxa"/>
            <w:noWrap w:val="0"/>
            <w:vAlign w:val="top"/>
          </w:tcPr>
          <w:p>
            <w:pPr>
              <w:pStyle w:val="9"/>
              <w:ind w:firstLine="0" w:firstLineChars="0"/>
              <w:rPr>
                <w:highlight w:val="none"/>
              </w:rPr>
            </w:pPr>
            <w:r>
              <w:rPr>
                <w:rFonts w:hint="eastAsia"/>
                <w:highlight w:val="none"/>
              </w:rPr>
              <w:t>电话：</w:t>
            </w:r>
            <w:r>
              <w:rPr>
                <w:rFonts w:hint="eastAsia" w:ascii="宋体" w:hAnsi="宋体" w:cs="宋体"/>
                <w:szCs w:val="21"/>
                <w:u w:val="single"/>
              </w:rPr>
              <w:t>020-</w:t>
            </w:r>
            <w:r>
              <w:rPr>
                <w:rFonts w:ascii="宋体" w:hAnsi="宋体" w:cs="宋体"/>
                <w:szCs w:val="21"/>
                <w:u w:val="single"/>
              </w:rPr>
              <w:t>83383274</w:t>
            </w:r>
            <w:r>
              <w:rPr>
                <w:rFonts w:hint="eastAsia"/>
                <w:szCs w:val="24"/>
                <w:highlight w:val="none"/>
              </w:rPr>
              <w:t xml:space="preserve"> </w:t>
            </w:r>
          </w:p>
        </w:tc>
      </w:tr>
      <w:tr>
        <w:tblPrEx>
          <w:tblCellMar>
            <w:top w:w="0" w:type="dxa"/>
            <w:left w:w="108" w:type="dxa"/>
            <w:bottom w:w="0" w:type="dxa"/>
            <w:right w:w="108" w:type="dxa"/>
          </w:tblCellMar>
        </w:tblPrEx>
        <w:tc>
          <w:tcPr>
            <w:tcW w:w="4928" w:type="dxa"/>
            <w:noWrap w:val="0"/>
            <w:vAlign w:val="top"/>
          </w:tcPr>
          <w:p>
            <w:pPr>
              <w:pStyle w:val="9"/>
              <w:ind w:firstLine="0" w:firstLineChars="0"/>
              <w:rPr>
                <w:rFonts w:hint="eastAsia"/>
                <w:highlight w:val="none"/>
              </w:rPr>
            </w:pPr>
            <w:r>
              <w:rPr>
                <w:rFonts w:hint="eastAsia"/>
                <w:highlight w:val="none"/>
              </w:rPr>
              <w:t>传真：/</w:t>
            </w:r>
          </w:p>
        </w:tc>
        <w:tc>
          <w:tcPr>
            <w:tcW w:w="4678" w:type="dxa"/>
            <w:noWrap w:val="0"/>
            <w:vAlign w:val="top"/>
          </w:tcPr>
          <w:p>
            <w:pPr>
              <w:pStyle w:val="9"/>
              <w:ind w:firstLine="0" w:firstLineChars="0"/>
              <w:rPr>
                <w:highlight w:val="none"/>
              </w:rPr>
            </w:pPr>
            <w:r>
              <w:rPr>
                <w:rFonts w:hint="eastAsia"/>
                <w:highlight w:val="none"/>
              </w:rPr>
              <w:t>传真：/</w:t>
            </w:r>
          </w:p>
        </w:tc>
      </w:tr>
      <w:tr>
        <w:tblPrEx>
          <w:tblCellMar>
            <w:top w:w="0" w:type="dxa"/>
            <w:left w:w="108" w:type="dxa"/>
            <w:bottom w:w="0" w:type="dxa"/>
            <w:right w:w="108" w:type="dxa"/>
          </w:tblCellMar>
        </w:tblPrEx>
        <w:tc>
          <w:tcPr>
            <w:tcW w:w="4928" w:type="dxa"/>
            <w:noWrap w:val="0"/>
            <w:vAlign w:val="top"/>
          </w:tcPr>
          <w:p>
            <w:pPr>
              <w:pStyle w:val="9"/>
              <w:ind w:firstLine="0" w:firstLineChars="0"/>
              <w:rPr>
                <w:rFonts w:hint="eastAsia"/>
                <w:highlight w:val="none"/>
              </w:rPr>
            </w:pPr>
            <w:r>
              <w:rPr>
                <w:rFonts w:hint="eastAsia"/>
                <w:highlight w:val="none"/>
              </w:rPr>
              <w:t xml:space="preserve">电子邮件：/ </w:t>
            </w:r>
          </w:p>
        </w:tc>
        <w:tc>
          <w:tcPr>
            <w:tcW w:w="4678" w:type="dxa"/>
            <w:noWrap w:val="0"/>
            <w:vAlign w:val="top"/>
          </w:tcPr>
          <w:p>
            <w:pPr>
              <w:pStyle w:val="9"/>
              <w:ind w:firstLine="0" w:firstLineChars="0"/>
              <w:rPr>
                <w:rFonts w:hint="eastAsia"/>
                <w:highlight w:val="none"/>
              </w:rPr>
            </w:pPr>
            <w:r>
              <w:rPr>
                <w:rFonts w:hint="eastAsia"/>
                <w:highlight w:val="none"/>
              </w:rPr>
              <w:t>电子邮件：/</w:t>
            </w:r>
          </w:p>
        </w:tc>
      </w:tr>
    </w:tbl>
    <w:p>
      <w:pPr>
        <w:pStyle w:val="9"/>
        <w:ind w:firstLine="0" w:firstLineChars="0"/>
        <w:rPr>
          <w:rFonts w:hint="eastAsia" w:eastAsia="宋体"/>
          <w:highlight w:val="none"/>
          <w:lang w:eastAsia="zh-CN"/>
        </w:rPr>
      </w:pPr>
      <w:r>
        <w:rPr>
          <w:rFonts w:hint="eastAsia"/>
          <w:highlight w:val="none"/>
        </w:rPr>
        <w:t>异议受理部门：</w:t>
      </w:r>
      <w:r>
        <w:rPr>
          <w:rFonts w:hint="eastAsia"/>
          <w:highlight w:val="none"/>
          <w:lang w:eastAsia="zh-CN"/>
        </w:rPr>
        <w:t>广州市荔湾区水务工程建设管理中心</w:t>
      </w:r>
    </w:p>
    <w:p>
      <w:pPr>
        <w:pStyle w:val="9"/>
        <w:ind w:firstLine="0" w:firstLineChars="0"/>
        <w:rPr>
          <w:rFonts w:hint="eastAsia" w:eastAsia="宋体"/>
          <w:highlight w:val="none"/>
          <w:lang w:eastAsia="zh-CN"/>
        </w:rPr>
      </w:pPr>
      <w:r>
        <w:rPr>
          <w:rFonts w:hint="eastAsia"/>
          <w:highlight w:val="none"/>
        </w:rPr>
        <w:t>地址：</w:t>
      </w:r>
      <w:r>
        <w:rPr>
          <w:rFonts w:hint="eastAsia"/>
          <w:highlight w:val="none"/>
          <w:lang w:eastAsia="zh-CN"/>
        </w:rPr>
        <w:t>广州市荔湾区东漖大墩120号</w:t>
      </w:r>
    </w:p>
    <w:p>
      <w:pPr>
        <w:pStyle w:val="9"/>
        <w:ind w:firstLine="0" w:firstLineChars="0"/>
        <w:rPr>
          <w:rFonts w:hint="eastAsia"/>
          <w:highlight w:val="none"/>
        </w:rPr>
      </w:pPr>
      <w:r>
        <w:rPr>
          <w:rFonts w:hint="eastAsia"/>
          <w:highlight w:val="none"/>
        </w:rPr>
        <w:t>电话：</w:t>
      </w:r>
      <w:r>
        <w:rPr>
          <w:rFonts w:hint="eastAsia"/>
          <w:highlight w:val="none"/>
          <w:lang w:eastAsia="zh-CN"/>
        </w:rPr>
        <w:t>020-81978573</w:t>
      </w:r>
    </w:p>
    <w:p>
      <w:pPr>
        <w:pStyle w:val="9"/>
        <w:ind w:firstLine="0" w:firstLineChars="0"/>
        <w:rPr>
          <w:rFonts w:cs="宋体"/>
        </w:rPr>
      </w:pPr>
      <w:r>
        <w:rPr>
          <w:rFonts w:hint="eastAsia" w:cs="宋体"/>
        </w:rPr>
        <w:t>招标监督机构：广州市荔湾区水务局</w:t>
      </w:r>
    </w:p>
    <w:p>
      <w:pPr>
        <w:pStyle w:val="9"/>
        <w:ind w:firstLine="0" w:firstLineChars="0"/>
        <w:rPr>
          <w:rFonts w:cs="宋体"/>
        </w:rPr>
      </w:pPr>
      <w:r>
        <w:rPr>
          <w:rFonts w:hint="eastAsia" w:cs="宋体"/>
        </w:rPr>
        <w:t>地址：</w:t>
      </w:r>
      <w:r>
        <w:rPr>
          <w:rFonts w:cs="宋体"/>
        </w:rPr>
        <w:t>广东省广州市荔湾区上市路太和街2号</w:t>
      </w:r>
    </w:p>
    <w:p>
      <w:pPr>
        <w:pStyle w:val="9"/>
        <w:ind w:firstLine="0" w:firstLineChars="0"/>
        <w:rPr>
          <w:highlight w:val="none"/>
        </w:rPr>
        <w:sectPr>
          <w:pgSz w:w="11849" w:h="16781"/>
          <w:pgMar w:top="1134" w:right="1134" w:bottom="851" w:left="1134" w:header="0" w:footer="559" w:gutter="0"/>
          <w:cols w:space="720" w:num="1"/>
          <w:docGrid w:linePitch="360" w:charSpace="0"/>
        </w:sectPr>
      </w:pPr>
      <w:r>
        <w:rPr>
          <w:rFonts w:hint="eastAsia" w:ascii="宋体" w:hAnsi="宋体" w:cs="宋体"/>
          <w:sz w:val="24"/>
        </w:rPr>
        <w:t>电话：020-81403299</w:t>
      </w:r>
    </w:p>
    <w:p>
      <w:pPr>
        <w:pStyle w:val="3"/>
        <w:rPr>
          <w:rFonts w:hint="eastAsia" w:ascii="宋体" w:hAnsi="宋体" w:eastAsia="宋体" w:cs="宋体"/>
          <w:bCs w:val="0"/>
          <w:sz w:val="24"/>
          <w:szCs w:val="24"/>
          <w:highlight w:val="none"/>
        </w:rPr>
      </w:pPr>
      <w:bookmarkStart w:id="1" w:name="bookmark2"/>
      <w:bookmarkEnd w:id="1"/>
      <w:bookmarkStart w:id="2" w:name="_Toc95747145"/>
      <w:bookmarkStart w:id="3" w:name="_Toc96005961"/>
      <w:bookmarkStart w:id="4" w:name="_Toc95747039"/>
      <w:r>
        <w:rPr>
          <w:rFonts w:hint="eastAsia" w:ascii="宋体" w:hAnsi="宋体" w:cs="宋体"/>
          <w:bCs w:val="0"/>
          <w:sz w:val="24"/>
          <w:szCs w:val="24"/>
          <w:highlight w:val="none"/>
        </w:rPr>
        <w:t>附件1：</w:t>
      </w:r>
      <w:bookmarkEnd w:id="2"/>
      <w:bookmarkEnd w:id="3"/>
      <w:bookmarkEnd w:id="4"/>
      <w:r>
        <w:rPr>
          <w:rFonts w:hint="eastAsia" w:ascii="宋体" w:hAnsi="宋体" w:eastAsia="宋体" w:cs="宋体"/>
          <w:bCs w:val="0"/>
          <w:sz w:val="24"/>
          <w:szCs w:val="24"/>
          <w:highlight w:val="none"/>
        </w:rPr>
        <w:t>投标人声明</w:t>
      </w:r>
    </w:p>
    <w:p>
      <w:pPr>
        <w:jc w:val="center"/>
        <w:rPr>
          <w:rFonts w:hint="eastAsia" w:ascii="宋体" w:hAnsi="宋体" w:cs="宋体"/>
          <w:b/>
          <w:sz w:val="32"/>
          <w:szCs w:val="32"/>
          <w:highlight w:val="none"/>
        </w:rPr>
      </w:pPr>
      <w:r>
        <w:rPr>
          <w:rFonts w:hint="eastAsia" w:ascii="宋体" w:hAnsi="宋体" w:cs="宋体"/>
          <w:b/>
          <w:sz w:val="32"/>
          <w:szCs w:val="32"/>
          <w:highlight w:val="none"/>
        </w:rPr>
        <w:t>投标人声明</w:t>
      </w:r>
    </w:p>
    <w:p>
      <w:pPr>
        <w:pStyle w:val="9"/>
        <w:ind w:firstLine="480"/>
        <w:rPr>
          <w:rFonts w:hint="eastAsia"/>
          <w:kern w:val="2"/>
          <w:highlight w:val="none"/>
        </w:rPr>
      </w:pPr>
      <w:r>
        <w:rPr>
          <w:rFonts w:hint="eastAsia"/>
          <w:highlight w:val="none"/>
          <w:lang w:eastAsia="zh-CN"/>
        </w:rPr>
        <w:t>广州市荔湾区水务工程建设管理中心</w:t>
      </w:r>
      <w:r>
        <w:rPr>
          <w:rFonts w:hint="eastAsia"/>
          <w:kern w:val="2"/>
          <w:highlight w:val="none"/>
        </w:rPr>
        <w:t>及招标监管机构：</w:t>
      </w:r>
    </w:p>
    <w:p>
      <w:pPr>
        <w:pStyle w:val="9"/>
        <w:ind w:firstLine="480"/>
        <w:rPr>
          <w:rFonts w:hint="eastAsia"/>
          <w:kern w:val="2"/>
          <w:highlight w:val="none"/>
        </w:rPr>
      </w:pPr>
      <w:r>
        <w:rPr>
          <w:rFonts w:hint="eastAsia"/>
          <w:kern w:val="2"/>
          <w:highlight w:val="none"/>
        </w:rPr>
        <w:t>本公司就参加</w:t>
      </w:r>
      <w:r>
        <w:rPr>
          <w:rFonts w:hint="eastAsia"/>
          <w:kern w:val="2"/>
          <w:highlight w:val="none"/>
          <w:u w:val="single"/>
        </w:rPr>
        <w:t xml:space="preserve">                      </w:t>
      </w:r>
      <w:r>
        <w:rPr>
          <w:rFonts w:hint="eastAsia"/>
          <w:kern w:val="2"/>
          <w:highlight w:val="none"/>
        </w:rPr>
        <w:t>投标工作，作出郑重声明：</w:t>
      </w:r>
    </w:p>
    <w:p>
      <w:pPr>
        <w:pStyle w:val="9"/>
        <w:ind w:firstLine="480"/>
        <w:rPr>
          <w:rFonts w:hint="eastAsia"/>
          <w:kern w:val="2"/>
          <w:highlight w:val="none"/>
        </w:rPr>
      </w:pPr>
    </w:p>
    <w:p>
      <w:pPr>
        <w:pStyle w:val="9"/>
        <w:ind w:firstLine="480"/>
        <w:rPr>
          <w:highlight w:val="none"/>
        </w:rPr>
      </w:pPr>
      <w:r>
        <w:rPr>
          <w:highlight w:val="none"/>
        </w:rPr>
        <w:t>一、本公司保证投标报名及其后提供的一切材料都是真实的。</w:t>
      </w:r>
    </w:p>
    <w:p>
      <w:pPr>
        <w:pStyle w:val="9"/>
        <w:ind w:firstLine="480"/>
        <w:rPr>
          <w:highlight w:val="none"/>
        </w:rPr>
      </w:pPr>
      <w:r>
        <w:rPr>
          <w:highlight w:val="none"/>
        </w:rPr>
        <w:t>二、本公司保证在本项目投标中不与其他单位围标、串标，不出让投标资格，不向招标人或评标委员会成员行贿。如我司通过本项目的资格审查或成为本项目中标候选人，我司同意并授权招标人将我司响应招标文件（或资格预审文件）资格能力条件（资质、营业执照等证书名称、等级、编号，人员、业绩）、投标文件商务部分（报价清单、施工方案等涉及商业秘密的内容除外）等资料进行公示。</w:t>
      </w:r>
    </w:p>
    <w:p>
      <w:pPr>
        <w:pStyle w:val="9"/>
        <w:ind w:firstLine="480"/>
        <w:rPr>
          <w:highlight w:val="none"/>
        </w:rPr>
      </w:pPr>
      <w:r>
        <w:rPr>
          <w:highlight w:val="none"/>
        </w:rPr>
        <w:t>三、</w:t>
      </w:r>
      <w:r>
        <w:rPr>
          <w:rFonts w:hint="eastAsia"/>
          <w:b/>
          <w:szCs w:val="24"/>
          <w:highlight w:val="none"/>
        </w:rPr>
        <w:t>本公司承诺遵循公平公正、公开、诚实信用原则，如实投标，真实反映企业实力，公平竞争，不弄虚作假，不以低于监理企业成本价竞标而降低监理服务质量，不与任何建设单位订立违背监理企业成本取费标准及相关规定的“阴阳合同”进行恶性竞争，扰乱市场秩序，不与其他单位串通投标或以行贿手段谋取中标，不出借资质、转包或违法分包监理业务。</w:t>
      </w:r>
    </w:p>
    <w:p>
      <w:pPr>
        <w:pStyle w:val="9"/>
        <w:ind w:firstLine="480"/>
        <w:rPr>
          <w:highlight w:val="none"/>
        </w:rPr>
      </w:pPr>
      <w:r>
        <w:rPr>
          <w:highlight w:val="none"/>
        </w:rPr>
        <w:t>四、</w:t>
      </w:r>
      <w:r>
        <w:rPr>
          <w:rFonts w:hint="eastAsia"/>
          <w:szCs w:val="24"/>
          <w:highlight w:val="none"/>
        </w:rPr>
        <w:t>本公司不存在招标文件第二章投标人须知第1.4.3项所规定的任何一种情形。</w:t>
      </w:r>
    </w:p>
    <w:p>
      <w:pPr>
        <w:pStyle w:val="9"/>
        <w:ind w:firstLine="480"/>
        <w:rPr>
          <w:highlight w:val="none"/>
        </w:rPr>
      </w:pPr>
      <w:r>
        <w:rPr>
          <w:rFonts w:hint="eastAsia"/>
          <w:highlight w:val="none"/>
        </w:rPr>
        <w:t>五、</w:t>
      </w:r>
      <w:r>
        <w:rPr>
          <w:highlight w:val="none"/>
        </w:rPr>
        <w:t>本公司及其有隶属关系的机构没有参加本项目的设计、前期工作、招标文件编写</w:t>
      </w:r>
      <w:r>
        <w:rPr>
          <w:rFonts w:hint="eastAsia"/>
          <w:highlight w:val="none"/>
        </w:rPr>
        <w:t>等</w:t>
      </w:r>
      <w:r>
        <w:rPr>
          <w:highlight w:val="none"/>
        </w:rPr>
        <w:t>工作；本公司与承担本招标</w:t>
      </w:r>
      <w:r>
        <w:rPr>
          <w:rFonts w:hint="eastAsia"/>
          <w:highlight w:val="none"/>
        </w:rPr>
        <w:t>的招标代理机构</w:t>
      </w:r>
      <w:r>
        <w:rPr>
          <w:highlight w:val="none"/>
        </w:rPr>
        <w:t>没有隶属关系或其他利害关系。</w:t>
      </w:r>
    </w:p>
    <w:p>
      <w:pPr>
        <w:pStyle w:val="9"/>
        <w:ind w:firstLine="480"/>
        <w:rPr>
          <w:highlight w:val="none"/>
        </w:rPr>
      </w:pPr>
      <w:r>
        <w:rPr>
          <w:highlight w:val="none"/>
        </w:rPr>
        <w:t>六、本公司承诺，中标后严格执行安全生产相关管理规定。</w:t>
      </w:r>
    </w:p>
    <w:p>
      <w:pPr>
        <w:pStyle w:val="9"/>
        <w:ind w:firstLine="480"/>
        <w:rPr>
          <w:highlight w:val="none"/>
        </w:rPr>
      </w:pPr>
    </w:p>
    <w:p>
      <w:pPr>
        <w:pStyle w:val="9"/>
        <w:ind w:firstLine="480"/>
        <w:rPr>
          <w:rFonts w:hint="eastAsia"/>
          <w:kern w:val="2"/>
          <w:highlight w:val="none"/>
        </w:rPr>
      </w:pPr>
      <w:r>
        <w:rPr>
          <w:rFonts w:hint="eastAsia"/>
          <w:kern w:val="2"/>
          <w:highlight w:val="none"/>
        </w:rPr>
        <w:t>本公司违反上述保证，或本声明陈述与事实不符，经查实，本公司愿意接受公开通报，承担由此带来的所有法律后果，并自愿停止参加广州市行政辖区内的招标投标活动三个月。</w:t>
      </w:r>
    </w:p>
    <w:p>
      <w:pPr>
        <w:pStyle w:val="9"/>
        <w:ind w:firstLine="480"/>
        <w:rPr>
          <w:rFonts w:hint="eastAsia"/>
          <w:kern w:val="2"/>
          <w:highlight w:val="none"/>
        </w:rPr>
      </w:pPr>
      <w:r>
        <w:rPr>
          <w:rFonts w:hint="eastAsia"/>
          <w:kern w:val="2"/>
          <w:highlight w:val="none"/>
        </w:rPr>
        <w:t>特此声明。</w:t>
      </w:r>
    </w:p>
    <w:p>
      <w:pPr>
        <w:pStyle w:val="9"/>
        <w:tabs>
          <w:tab w:val="clear" w:pos="1343"/>
          <w:tab w:val="clear" w:pos="2697"/>
          <w:tab w:val="clear" w:pos="3264"/>
          <w:tab w:val="clear" w:pos="4896"/>
          <w:tab w:val="clear" w:pos="6005"/>
          <w:tab w:val="clear" w:pos="7085"/>
          <w:tab w:val="clear" w:pos="7498"/>
        </w:tabs>
        <w:ind w:firstLine="4536" w:firstLineChars="1890"/>
        <w:rPr>
          <w:rFonts w:hint="eastAsia"/>
          <w:highlight w:val="none"/>
        </w:rPr>
      </w:pPr>
      <w:r>
        <w:rPr>
          <w:rFonts w:hint="eastAsia"/>
          <w:highlight w:val="none"/>
        </w:rPr>
        <w:t>声明企业：（企业公章）</w:t>
      </w:r>
    </w:p>
    <w:p>
      <w:pPr>
        <w:pStyle w:val="9"/>
        <w:tabs>
          <w:tab w:val="clear" w:pos="1343"/>
          <w:tab w:val="clear" w:pos="2697"/>
          <w:tab w:val="clear" w:pos="3264"/>
          <w:tab w:val="clear" w:pos="4896"/>
          <w:tab w:val="clear" w:pos="6005"/>
          <w:tab w:val="clear" w:pos="7085"/>
          <w:tab w:val="clear" w:pos="7498"/>
        </w:tabs>
        <w:ind w:firstLine="4536" w:firstLineChars="1890"/>
        <w:rPr>
          <w:rFonts w:hint="eastAsia"/>
          <w:highlight w:val="none"/>
        </w:rPr>
      </w:pPr>
      <w:r>
        <w:rPr>
          <w:rFonts w:hint="eastAsia"/>
          <w:highlight w:val="none"/>
        </w:rPr>
        <w:t>法定代表人签字：</w:t>
      </w:r>
    </w:p>
    <w:p>
      <w:pPr>
        <w:pStyle w:val="9"/>
        <w:tabs>
          <w:tab w:val="clear" w:pos="1343"/>
          <w:tab w:val="clear" w:pos="2697"/>
          <w:tab w:val="clear" w:pos="3264"/>
          <w:tab w:val="clear" w:pos="4896"/>
          <w:tab w:val="clear" w:pos="6005"/>
          <w:tab w:val="clear" w:pos="7085"/>
          <w:tab w:val="clear" w:pos="7498"/>
        </w:tabs>
        <w:ind w:firstLine="4536" w:firstLineChars="1890"/>
        <w:rPr>
          <w:rFonts w:hint="eastAsia"/>
          <w:highlight w:val="none"/>
        </w:rPr>
      </w:pPr>
      <w:r>
        <w:rPr>
          <w:rFonts w:hint="eastAsia"/>
          <w:highlight w:val="none"/>
        </w:rPr>
        <w:t>总监理工程师签字：</w:t>
      </w:r>
    </w:p>
    <w:p>
      <w:pPr>
        <w:pStyle w:val="9"/>
        <w:tabs>
          <w:tab w:val="clear" w:pos="1343"/>
          <w:tab w:val="clear" w:pos="2697"/>
          <w:tab w:val="clear" w:pos="3264"/>
          <w:tab w:val="clear" w:pos="4896"/>
          <w:tab w:val="clear" w:pos="6005"/>
          <w:tab w:val="clear" w:pos="7085"/>
          <w:tab w:val="clear" w:pos="7498"/>
        </w:tabs>
        <w:ind w:firstLine="4536" w:firstLineChars="1890"/>
      </w:pPr>
      <w:r>
        <w:rPr>
          <w:rFonts w:hint="eastAsia"/>
          <w:highlight w:val="none"/>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jc w:val="center"/>
    </w:pPr>
    <w:r>
      <w:fldChar w:fldCharType="begin"/>
    </w:r>
    <w:r>
      <w:instrText xml:space="preserve"> PAGE   \* MERGEFORMAT </w:instrText>
    </w:r>
    <w:r>
      <w:fldChar w:fldCharType="separate"/>
    </w:r>
    <w:r>
      <w:rPr>
        <w:lang w:val="zh-CN"/>
      </w:rPr>
      <w:t>29</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RhZGY1YjE5NTNkY2RkZTk0MDgxYTgyNzFmYjY3MWQifQ=="/>
  </w:docVars>
  <w:rsids>
    <w:rsidRoot w:val="475F67B3"/>
    <w:rsid w:val="26023AE8"/>
    <w:rsid w:val="2989791C"/>
    <w:rsid w:val="2ECC7B14"/>
    <w:rsid w:val="475F67B3"/>
    <w:rsid w:val="6D0B05E8"/>
    <w:rsid w:val="70D703AD"/>
    <w:rsid w:val="70D744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2"/>
    <w:basedOn w:val="1"/>
    <w:next w:val="1"/>
    <w:qFormat/>
    <w:uiPriority w:val="0"/>
    <w:pPr>
      <w:keepNext/>
      <w:keepLines/>
      <w:spacing w:line="408" w:lineRule="auto"/>
      <w:outlineLvl w:val="1"/>
    </w:pPr>
    <w:rPr>
      <w:rFonts w:ascii="Arial" w:hAnsi="Arial" w:eastAsia="黑体"/>
      <w:b/>
      <w:bCs/>
      <w:kern w:val="0"/>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4">
    <w:name w:val="Body Text"/>
    <w:basedOn w:val="1"/>
    <w:next w:val="1"/>
    <w:unhideWhenUsed/>
    <w:qFormat/>
    <w:uiPriority w:val="99"/>
    <w:pPr>
      <w:spacing w:before="100" w:beforeAutospacing="1"/>
    </w:pPr>
    <w:rPr>
      <w:kern w:val="0"/>
      <w:sz w:val="20"/>
    </w:rPr>
  </w:style>
  <w:style w:type="paragraph" w:styleId="5">
    <w:name w:val="footer"/>
    <w:basedOn w:val="1"/>
    <w:unhideWhenUsed/>
    <w:qFormat/>
    <w:uiPriority w:val="0"/>
    <w:pPr>
      <w:snapToGrid w:val="0"/>
      <w:jc w:val="left"/>
    </w:pPr>
    <w:rPr>
      <w:kern w:val="0"/>
      <w:sz w:val="18"/>
      <w:szCs w:val="18"/>
    </w:rPr>
  </w:style>
  <w:style w:type="paragraph" w:customStyle="1" w:styleId="8">
    <w:name w:val="公告标题"/>
    <w:basedOn w:val="4"/>
    <w:qFormat/>
    <w:uiPriority w:val="0"/>
    <w:pPr>
      <w:kinsoku w:val="0"/>
      <w:overflowPunct w:val="0"/>
      <w:adjustRightInd w:val="0"/>
      <w:snapToGrid w:val="0"/>
      <w:spacing w:before="50" w:beforeLines="50" w:beforeAutospacing="0" w:line="440" w:lineRule="exact"/>
      <w:ind w:firstLine="200" w:firstLineChars="200"/>
      <w:outlineLvl w:val="2"/>
    </w:pPr>
    <w:rPr>
      <w:rFonts w:ascii="宋体" w:hAnsi="宋体"/>
      <w:b/>
      <w:bCs/>
      <w:sz w:val="32"/>
      <w:szCs w:val="32"/>
    </w:rPr>
  </w:style>
  <w:style w:type="paragraph" w:customStyle="1" w:styleId="9">
    <w:name w:val="公告段落"/>
    <w:basedOn w:val="4"/>
    <w:qFormat/>
    <w:uiPriority w:val="0"/>
    <w:pPr>
      <w:tabs>
        <w:tab w:val="left" w:pos="1343"/>
        <w:tab w:val="left" w:pos="2697"/>
        <w:tab w:val="left" w:pos="3264"/>
        <w:tab w:val="left" w:pos="4896"/>
        <w:tab w:val="left" w:pos="6005"/>
        <w:tab w:val="left" w:pos="7085"/>
        <w:tab w:val="left" w:pos="7498"/>
      </w:tabs>
      <w:snapToGrid w:val="0"/>
      <w:spacing w:before="0" w:beforeAutospacing="0" w:line="440" w:lineRule="exact"/>
      <w:ind w:firstLine="200" w:firstLineChars="200"/>
    </w:pPr>
    <w:rPr>
      <w:rFonts w:ascii="宋体" w:hAnsi="宋体"/>
      <w:sz w:val="24"/>
    </w:rPr>
  </w:style>
  <w:style w:type="character" w:customStyle="1" w:styleId="10">
    <w:name w:val="16"/>
    <w:qFormat/>
    <w:uiPriority w:val="0"/>
    <w:rPr>
      <w:rFonts w:hint="default" w:ascii="Times New Roman" w:hAnsi="Times New Roman" w:cs="Times New Roman"/>
      <w:i/>
      <w:i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3862</Words>
  <Characters>4180</Characters>
  <Lines>0</Lines>
  <Paragraphs>0</Paragraphs>
  <TotalTime>1</TotalTime>
  <ScaleCrop>false</ScaleCrop>
  <LinksUpToDate>false</LinksUpToDate>
  <CharactersWithSpaces>4274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2023-06-26T08:47:00Z</dcterms:created>
  <dc:creator>admin11</dc:creator>
  <cp:lastModifiedBy>admin11</cp:lastModifiedBy>
  <cp:lastPrinted>2023-07-02T12:39:00Z</cp:lastPrinted>
  <dcterms:modified xsi:type="dcterms:W3CDTF">2023-07-03T09:02:00Z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96F8A13F4EFC4D68A13A3E3C0EA91865_11</vt:lpwstr>
  </property>
</Properties>
</file>