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highlight w:val="none"/>
        </w:rPr>
      </w:pPr>
      <w:r>
        <w:rPr>
          <w:rFonts w:hint="eastAsia" w:ascii="黑体" w:hAnsi="黑体" w:eastAsia="黑体"/>
          <w:b/>
          <w:sz w:val="36"/>
          <w:highlight w:val="none"/>
        </w:rPr>
        <w:t>容通大健康科技产业园项目周边规划道路工程</w:t>
      </w:r>
    </w:p>
    <w:p>
      <w:pPr>
        <w:spacing w:line="360" w:lineRule="auto"/>
        <w:jc w:val="center"/>
        <w:rPr>
          <w:rFonts w:ascii="黑体" w:hAnsi="黑体" w:eastAsia="黑体"/>
          <w:b/>
          <w:sz w:val="36"/>
          <w:highlight w:val="none"/>
        </w:rPr>
      </w:pPr>
      <w:r>
        <w:rPr>
          <w:rFonts w:hint="eastAsia" w:ascii="黑体" w:hAnsi="黑体" w:eastAsia="黑体"/>
          <w:b/>
          <w:sz w:val="36"/>
          <w:highlight w:val="none"/>
        </w:rPr>
        <w:t>设计施工总承包设计任务书</w:t>
      </w:r>
    </w:p>
    <w:p>
      <w:pPr>
        <w:spacing w:line="560" w:lineRule="exact"/>
        <w:rPr>
          <w:rFonts w:cs="Cambria" w:asciiTheme="minorEastAsia" w:hAnsiTheme="minorEastAsia"/>
          <w:b/>
          <w:sz w:val="28"/>
          <w:szCs w:val="28"/>
          <w:highlight w:val="none"/>
        </w:rPr>
      </w:pPr>
      <w:r>
        <w:rPr>
          <w:rFonts w:hint="eastAsia" w:cs="Cambria" w:asciiTheme="minorEastAsia" w:hAnsiTheme="minorEastAsia"/>
          <w:b/>
          <w:sz w:val="28"/>
          <w:szCs w:val="28"/>
          <w:highlight w:val="none"/>
        </w:rPr>
        <w:t>一、项目概况</w:t>
      </w:r>
    </w:p>
    <w:p>
      <w:pPr>
        <w:spacing w:line="560" w:lineRule="exact"/>
        <w:ind w:firstLine="480" w:firstLineChars="200"/>
        <w:rPr>
          <w:rFonts w:cs="Cambria" w:asciiTheme="minorEastAsia" w:hAnsiTheme="minorEastAsia"/>
          <w:sz w:val="24"/>
          <w:highlight w:val="none"/>
        </w:rPr>
      </w:pPr>
      <w:r>
        <w:rPr>
          <w:rFonts w:hint="eastAsia" w:cs="Cambria" w:asciiTheme="minorEastAsia" w:hAnsiTheme="minorEastAsia"/>
          <w:sz w:val="24"/>
          <w:highlight w:val="none"/>
        </w:rPr>
        <w:t>本项目位于花都区花东镇北钟路以西、花都大道以南地段，包含2条道路，其中</w:t>
      </w:r>
      <w:r>
        <w:rPr>
          <w:rFonts w:hint="eastAsia" w:cs="Cambria" w:asciiTheme="minorEastAsia" w:hAnsiTheme="minorEastAsia"/>
          <w:sz w:val="24"/>
          <w:highlight w:val="none"/>
        </w:rPr>
        <w:t>规划路一</w:t>
      </w:r>
      <w:r>
        <w:rPr>
          <w:rFonts w:hint="eastAsia" w:cs="Cambria" w:asciiTheme="minorEastAsia" w:hAnsiTheme="minorEastAsia"/>
          <w:sz w:val="24"/>
          <w:highlight w:val="none"/>
        </w:rPr>
        <w:t>规划控制为城市次干路，道路标准段宽度约30</w:t>
      </w:r>
      <w:r>
        <w:rPr>
          <w:rFonts w:cs="Cambria" w:asciiTheme="minorEastAsia" w:hAnsiTheme="minorEastAsia"/>
          <w:sz w:val="24"/>
          <w:highlight w:val="none"/>
        </w:rPr>
        <w:t>/</w:t>
      </w:r>
      <w:r>
        <w:rPr>
          <w:rFonts w:cs="Cambria" w:asciiTheme="minorEastAsia" w:hAnsiTheme="minorEastAsia"/>
          <w:sz w:val="24"/>
          <w:highlight w:val="none"/>
        </w:rPr>
        <w:t>22.5</w:t>
      </w:r>
      <w:r>
        <w:rPr>
          <w:rFonts w:hint="eastAsia" w:cs="Cambria" w:asciiTheme="minorEastAsia" w:hAnsiTheme="minorEastAsia"/>
          <w:sz w:val="24"/>
          <w:highlight w:val="none"/>
        </w:rPr>
        <w:t>米，长度约211米；</w:t>
      </w:r>
      <w:r>
        <w:rPr>
          <w:rFonts w:hint="eastAsia" w:cs="Cambria" w:asciiTheme="minorEastAsia" w:hAnsiTheme="minorEastAsia"/>
          <w:sz w:val="24"/>
          <w:highlight w:val="none"/>
        </w:rPr>
        <w:t>规划路二</w:t>
      </w:r>
      <w:r>
        <w:rPr>
          <w:rFonts w:hint="eastAsia" w:cs="Cambria" w:asciiTheme="minorEastAsia" w:hAnsiTheme="minorEastAsia"/>
          <w:sz w:val="24"/>
          <w:highlight w:val="none"/>
        </w:rPr>
        <w:t>规划控制为城市支路，道路标准段宽度约15米，长度约243米。</w:t>
      </w:r>
    </w:p>
    <w:p>
      <w:pPr>
        <w:spacing w:line="560" w:lineRule="exact"/>
        <w:rPr>
          <w:rFonts w:cs="Cambria" w:asciiTheme="minorEastAsia" w:hAnsiTheme="minorEastAsia"/>
          <w:b/>
          <w:sz w:val="28"/>
          <w:szCs w:val="28"/>
          <w:highlight w:val="none"/>
        </w:rPr>
      </w:pPr>
      <w:r>
        <w:rPr>
          <w:rFonts w:hint="eastAsia" w:cs="Cambria" w:asciiTheme="minorEastAsia" w:hAnsiTheme="minorEastAsia"/>
          <w:b/>
          <w:sz w:val="28"/>
          <w:szCs w:val="28"/>
          <w:highlight w:val="none"/>
        </w:rPr>
        <w:t>二、设计任务</w:t>
      </w:r>
    </w:p>
    <w:p>
      <w:pPr>
        <w:spacing w:line="460" w:lineRule="exact"/>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(一)、设计依据</w:t>
      </w:r>
    </w:p>
    <w:p>
      <w:pPr>
        <w:spacing w:line="46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1.工程设计主要规范和标准 </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《中华人民共和国有关工程建设标准强制性条文》建设部2013</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《市政公用工程设计文件编制深度规定》建设部2013</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《城市道路工程设计规范》（CJJ 37-2012）（2016年版）</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《城市道路路线设计规范》（CJJ 193-2012）</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《城镇道路工程施工与质量验收规范》（CJJ 1-2008）</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《城市道路交通标志和标线设置规范》GB 51038 -2015；</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《城市工程管线综合规划规范》（GB50298-2016）</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 xml:space="preserve">《室外给水设计标准》（GB50013－2018） </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《室外排水设计标准》（GB50014-2021）</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《给水排水管道工程施工及验收规范》（GB50268-2008）</w:t>
      </w:r>
    </w:p>
    <w:p>
      <w:pPr>
        <w:pStyle w:val="20"/>
        <w:numPr>
          <w:ilvl w:val="0"/>
          <w:numId w:val="1"/>
        </w:numPr>
        <w:spacing w:line="460" w:lineRule="exact"/>
        <w:ind w:firstLineChars="0"/>
        <w:rPr>
          <w:rFonts w:hint="eastAsia" w:asciiTheme="minorEastAsia" w:hAnsiTheme="minorEastAsia"/>
          <w:sz w:val="24"/>
          <w:szCs w:val="24"/>
          <w:highlight w:val="none"/>
        </w:rPr>
      </w:pPr>
      <w:r>
        <w:rPr>
          <w:rFonts w:hint="eastAsia" w:asciiTheme="minorEastAsia" w:hAnsiTheme="minorEastAsia"/>
          <w:sz w:val="24"/>
          <w:szCs w:val="24"/>
          <w:highlight w:val="none"/>
        </w:rPr>
        <w:t>《通信管道与通道工程设计规范》（GB50373-2019)</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《城市道路照明设计标准》（CJJ</w:t>
      </w:r>
      <w:r>
        <w:rPr>
          <w:rFonts w:asciiTheme="minorEastAsia" w:hAnsiTheme="minorEastAsia"/>
          <w:sz w:val="24"/>
          <w:szCs w:val="24"/>
          <w:highlight w:val="none"/>
        </w:rPr>
        <w:t xml:space="preserve"> 45-2015</w:t>
      </w:r>
      <w:r>
        <w:rPr>
          <w:rFonts w:hint="eastAsia" w:asciiTheme="minorEastAsia" w:hAnsiTheme="minorEastAsia"/>
          <w:sz w:val="24"/>
          <w:szCs w:val="24"/>
          <w:highlight w:val="none"/>
        </w:rPr>
        <w:t>）</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《城市绿地设计规范》（GB</w:t>
      </w:r>
      <w:r>
        <w:rPr>
          <w:rFonts w:asciiTheme="minorEastAsia" w:hAnsiTheme="minorEastAsia"/>
          <w:sz w:val="24"/>
          <w:szCs w:val="24"/>
          <w:highlight w:val="none"/>
        </w:rPr>
        <w:t xml:space="preserve"> </w:t>
      </w:r>
      <w:r>
        <w:rPr>
          <w:rFonts w:hint="eastAsia" w:asciiTheme="minorEastAsia" w:hAnsiTheme="minorEastAsia"/>
          <w:sz w:val="24"/>
          <w:szCs w:val="24"/>
          <w:highlight w:val="none"/>
        </w:rPr>
        <w:t>50420-2007）</w:t>
      </w:r>
      <w:r>
        <w:rPr>
          <w:rFonts w:hint="eastAsia" w:asciiTheme="minorEastAsia" w:hAnsiTheme="minorEastAsia"/>
          <w:sz w:val="24"/>
          <w:szCs w:val="24"/>
          <w:highlight w:val="none"/>
        </w:rPr>
        <w:t>（2</w:t>
      </w:r>
      <w:r>
        <w:rPr>
          <w:rFonts w:asciiTheme="minorEastAsia" w:hAnsiTheme="minorEastAsia"/>
          <w:sz w:val="24"/>
          <w:szCs w:val="24"/>
          <w:highlight w:val="none"/>
        </w:rPr>
        <w:t>016</w:t>
      </w:r>
      <w:r>
        <w:rPr>
          <w:rFonts w:hint="eastAsia" w:asciiTheme="minorEastAsia" w:hAnsiTheme="minorEastAsia"/>
          <w:sz w:val="24"/>
          <w:szCs w:val="24"/>
          <w:highlight w:val="none"/>
        </w:rPr>
        <w:t>年版）</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《城市道路绿化规划与设计规范》（CJJ75-97）</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《城乡建设用地竖向规划规范》（CJJ</w:t>
      </w:r>
      <w:r>
        <w:rPr>
          <w:rFonts w:asciiTheme="minorEastAsia" w:hAnsiTheme="minorEastAsia"/>
          <w:sz w:val="24"/>
          <w:szCs w:val="24"/>
          <w:highlight w:val="none"/>
        </w:rPr>
        <w:t xml:space="preserve"> </w:t>
      </w:r>
      <w:r>
        <w:rPr>
          <w:rFonts w:hint="eastAsia" w:asciiTheme="minorEastAsia" w:hAnsiTheme="minorEastAsia"/>
          <w:sz w:val="24"/>
          <w:szCs w:val="24"/>
          <w:highlight w:val="none"/>
        </w:rPr>
        <w:t>83-</w:t>
      </w:r>
      <w:r>
        <w:rPr>
          <w:rFonts w:asciiTheme="minorEastAsia" w:hAnsiTheme="minorEastAsia"/>
          <w:sz w:val="24"/>
          <w:szCs w:val="24"/>
          <w:highlight w:val="none"/>
        </w:rPr>
        <w:t>2016</w:t>
      </w:r>
      <w:r>
        <w:rPr>
          <w:rFonts w:hint="eastAsia" w:asciiTheme="minorEastAsia" w:hAnsiTheme="minorEastAsia"/>
          <w:sz w:val="24"/>
          <w:szCs w:val="24"/>
          <w:highlight w:val="none"/>
        </w:rPr>
        <w:t>）</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《园林基本术语标准》(CJJ/T91-2002，J217-20</w:t>
      </w:r>
      <w:r>
        <w:rPr>
          <w:rFonts w:asciiTheme="minorEastAsia" w:hAnsiTheme="minorEastAsia"/>
          <w:sz w:val="24"/>
          <w:szCs w:val="24"/>
          <w:highlight w:val="none"/>
        </w:rPr>
        <w:t>17</w:t>
      </w:r>
      <w:r>
        <w:rPr>
          <w:rFonts w:hint="eastAsia" w:asciiTheme="minorEastAsia" w:hAnsiTheme="minorEastAsia"/>
          <w:sz w:val="24"/>
          <w:szCs w:val="24"/>
          <w:highlight w:val="none"/>
        </w:rPr>
        <w:t>)</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《园林绿化工程施工及验收规范》（CJJ/T82-2012）</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《城市园林绿化评价标准》（GB/T50563-2010）</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《城市绿化工程施工规范》(DB45/T447-2007)</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《城市绿化工程施工质量评定》（DB45/T448-2007）</w:t>
      </w:r>
    </w:p>
    <w:p>
      <w:pPr>
        <w:pStyle w:val="20"/>
        <w:numPr>
          <w:ilvl w:val="0"/>
          <w:numId w:val="1"/>
        </w:numPr>
        <w:spacing w:line="460" w:lineRule="exact"/>
        <w:ind w:firstLineChars="0"/>
        <w:rPr>
          <w:rFonts w:asciiTheme="minorEastAsia" w:hAnsiTheme="minorEastAsia"/>
          <w:sz w:val="24"/>
          <w:szCs w:val="24"/>
          <w:highlight w:val="none"/>
        </w:rPr>
      </w:pPr>
      <w:r>
        <w:rPr>
          <w:rFonts w:hint="eastAsia" w:asciiTheme="minorEastAsia" w:hAnsiTheme="minorEastAsia"/>
          <w:sz w:val="24"/>
          <w:szCs w:val="24"/>
          <w:highlight w:val="none"/>
        </w:rPr>
        <w:t>《城市绿化养护规范及验收要求》(DB45/T449-2007)</w:t>
      </w:r>
    </w:p>
    <w:p>
      <w:pPr>
        <w:spacing w:line="46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2</w:t>
      </w:r>
      <w:r>
        <w:rPr>
          <w:rFonts w:hint="eastAsia" w:asciiTheme="minorEastAsia" w:hAnsiTheme="minorEastAsia"/>
          <w:sz w:val="24"/>
          <w:szCs w:val="24"/>
          <w:highlight w:val="none"/>
        </w:rPr>
        <w:t>.本设计任务书、招标文件的相关附录资料及设计合同。</w:t>
      </w:r>
    </w:p>
    <w:p>
      <w:pPr>
        <w:spacing w:line="46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3</w:t>
      </w:r>
      <w:r>
        <w:rPr>
          <w:rFonts w:hint="eastAsia" w:asciiTheme="minorEastAsia" w:hAnsiTheme="minorEastAsia"/>
          <w:sz w:val="24"/>
          <w:szCs w:val="24"/>
          <w:highlight w:val="none"/>
        </w:rPr>
        <w:t>.业主对各阶段设计图纸的评审意见。</w:t>
      </w:r>
    </w:p>
    <w:p>
      <w:pPr>
        <w:spacing w:line="46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4</w:t>
      </w:r>
      <w:r>
        <w:rPr>
          <w:rFonts w:hint="eastAsia" w:asciiTheme="minorEastAsia" w:hAnsiTheme="minorEastAsia"/>
          <w:sz w:val="24"/>
          <w:szCs w:val="24"/>
          <w:highlight w:val="none"/>
        </w:rPr>
        <w:t>.按照国家、行业以及现行的标准、规程、规范、技术条例进行设计，运用标准设计成果，严格掌握设计标准，控制工程造价。</w:t>
      </w:r>
    </w:p>
    <w:p>
      <w:pPr>
        <w:spacing w:line="46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5</w:t>
      </w:r>
      <w:r>
        <w:rPr>
          <w:rFonts w:hint="eastAsia" w:asciiTheme="minorEastAsia" w:hAnsiTheme="minorEastAsia"/>
          <w:sz w:val="24"/>
          <w:szCs w:val="24"/>
          <w:highlight w:val="none"/>
        </w:rPr>
        <w:t>.严格执行国家现行的强制性条文，且应为其最新版本。</w:t>
      </w:r>
    </w:p>
    <w:p>
      <w:pPr>
        <w:spacing w:line="460" w:lineRule="exact"/>
        <w:ind w:firstLine="723" w:firstLineChars="300"/>
        <w:rPr>
          <w:rFonts w:asciiTheme="minorEastAsia" w:hAnsiTheme="minorEastAsia"/>
          <w:b/>
          <w:sz w:val="24"/>
          <w:szCs w:val="24"/>
          <w:highlight w:val="none"/>
        </w:rPr>
      </w:pPr>
      <w:r>
        <w:rPr>
          <w:rFonts w:hint="eastAsia" w:asciiTheme="minorEastAsia" w:hAnsiTheme="minorEastAsia"/>
          <w:b/>
          <w:sz w:val="24"/>
          <w:szCs w:val="24"/>
          <w:highlight w:val="none"/>
        </w:rPr>
        <w:t>(二)、设计范围</w:t>
      </w:r>
    </w:p>
    <w:p>
      <w:pPr>
        <w:spacing w:line="460" w:lineRule="exact"/>
        <w:ind w:firstLine="480" w:firstLineChars="200"/>
        <w:rPr>
          <w:sz w:val="24"/>
          <w:highlight w:val="none"/>
        </w:rPr>
      </w:pPr>
      <w:r>
        <w:rPr>
          <w:rFonts w:hint="eastAsia"/>
          <w:sz w:val="24"/>
          <w:highlight w:val="none"/>
        </w:rPr>
        <w:t>完成本项目位于花都区花东镇北钟路以西、花都大道以南地段，包含2条道路，其中</w:t>
      </w:r>
      <w:r>
        <w:rPr>
          <w:rFonts w:hint="eastAsia"/>
          <w:sz w:val="24"/>
          <w:highlight w:val="none"/>
        </w:rPr>
        <w:t>规划路一</w:t>
      </w:r>
      <w:r>
        <w:rPr>
          <w:rFonts w:hint="eastAsia"/>
          <w:sz w:val="24"/>
          <w:highlight w:val="none"/>
        </w:rPr>
        <w:t>规划控制为城市次干路，道路标准段宽度约30</w:t>
      </w:r>
      <w:r>
        <w:rPr>
          <w:rFonts w:hint="eastAsia"/>
          <w:sz w:val="24"/>
          <w:highlight w:val="none"/>
        </w:rPr>
        <w:t>/</w:t>
      </w:r>
      <w:r>
        <w:rPr>
          <w:sz w:val="24"/>
          <w:highlight w:val="none"/>
        </w:rPr>
        <w:t>22.5</w:t>
      </w:r>
      <w:r>
        <w:rPr>
          <w:rFonts w:hint="eastAsia"/>
          <w:sz w:val="24"/>
          <w:highlight w:val="none"/>
        </w:rPr>
        <w:t>米，长度约211米；</w:t>
      </w:r>
      <w:r>
        <w:rPr>
          <w:rFonts w:hint="eastAsia"/>
          <w:sz w:val="24"/>
          <w:highlight w:val="none"/>
        </w:rPr>
        <w:t>规划路二</w:t>
      </w:r>
      <w:r>
        <w:rPr>
          <w:rFonts w:hint="eastAsia"/>
          <w:sz w:val="24"/>
          <w:highlight w:val="none"/>
        </w:rPr>
        <w:t>规划控制为城市支路，道路标准段宽度约15米，长度约243米。</w:t>
      </w:r>
    </w:p>
    <w:p>
      <w:pPr>
        <w:spacing w:line="460" w:lineRule="exact"/>
        <w:ind w:firstLine="512" w:firstLineChars="200"/>
        <w:rPr>
          <w:rFonts w:asciiTheme="minorEastAsia" w:hAnsiTheme="minorEastAsia"/>
          <w:b/>
          <w:sz w:val="24"/>
          <w:szCs w:val="24"/>
          <w:highlight w:val="none"/>
        </w:rPr>
      </w:pPr>
      <w:r>
        <w:rPr>
          <w:rFonts w:asciiTheme="minorEastAsia" w:hAnsiTheme="minorEastAsia"/>
          <w:spacing w:val="8"/>
          <w:sz w:val="24"/>
          <w:szCs w:val="24"/>
          <w:highlight w:val="none"/>
        </w:rPr>
        <w:t xml:space="preserve"> </w:t>
      </w:r>
      <w:r>
        <w:rPr>
          <w:rFonts w:hint="eastAsia" w:asciiTheme="minorEastAsia" w:hAnsiTheme="minorEastAsia"/>
          <w:b/>
          <w:sz w:val="24"/>
          <w:szCs w:val="24"/>
          <w:highlight w:val="none"/>
        </w:rPr>
        <w:t>(三)、设计内容包括但不限于以下部分：</w:t>
      </w:r>
    </w:p>
    <w:p>
      <w:pPr>
        <w:spacing w:line="460" w:lineRule="exact"/>
        <w:ind w:firstLine="480" w:firstLineChars="200"/>
        <w:rPr>
          <w:rFonts w:hint="eastAsia"/>
          <w:sz w:val="24"/>
          <w:highlight w:val="none"/>
        </w:rPr>
      </w:pPr>
      <w:r>
        <w:rPr>
          <w:rFonts w:hint="eastAsia"/>
          <w:sz w:val="24"/>
          <w:highlight w:val="none"/>
        </w:rPr>
        <w:t>1</w:t>
      </w:r>
      <w:r>
        <w:rPr>
          <w:rFonts w:hint="eastAsia"/>
          <w:sz w:val="24"/>
          <w:highlight w:val="none"/>
          <w:lang w:val="en-US" w:eastAsia="zh-CN"/>
        </w:rPr>
        <w:t xml:space="preserve">. </w:t>
      </w:r>
      <w:r>
        <w:rPr>
          <w:rFonts w:hint="eastAsia"/>
          <w:sz w:val="24"/>
          <w:highlight w:val="none"/>
        </w:rPr>
        <w:t>道路工程部分（应包括但不限于以下内容）：</w:t>
      </w:r>
    </w:p>
    <w:p>
      <w:pPr>
        <w:spacing w:line="460" w:lineRule="exact"/>
        <w:ind w:firstLine="480" w:firstLineChars="200"/>
        <w:rPr>
          <w:rFonts w:hint="eastAsia"/>
          <w:sz w:val="24"/>
          <w:highlight w:val="none"/>
        </w:rPr>
      </w:pPr>
      <w:r>
        <w:rPr>
          <w:rFonts w:hint="eastAsia"/>
          <w:sz w:val="24"/>
          <w:highlight w:val="none"/>
        </w:rPr>
        <w:t>新建城市道路，包括道路工程（含软基处理）、人行道慢行系统等。</w:t>
      </w:r>
    </w:p>
    <w:p>
      <w:pPr>
        <w:spacing w:line="460" w:lineRule="exact"/>
        <w:ind w:firstLine="480" w:firstLineChars="200"/>
        <w:rPr>
          <w:rFonts w:hint="eastAsia"/>
          <w:sz w:val="24"/>
          <w:highlight w:val="none"/>
        </w:rPr>
      </w:pPr>
      <w:r>
        <w:rPr>
          <w:rFonts w:hint="eastAsia"/>
          <w:sz w:val="24"/>
          <w:highlight w:val="none"/>
        </w:rPr>
        <w:t>（1）道路路线方案满足花都区路网规划，满足基本功能使用要求，选材合理，满足可持续发展要求；</w:t>
      </w:r>
    </w:p>
    <w:p>
      <w:pPr>
        <w:spacing w:line="460" w:lineRule="exact"/>
        <w:ind w:firstLine="480" w:firstLineChars="200"/>
        <w:rPr>
          <w:rFonts w:hint="eastAsia"/>
          <w:sz w:val="24"/>
          <w:highlight w:val="none"/>
        </w:rPr>
      </w:pPr>
      <w:r>
        <w:rPr>
          <w:rFonts w:hint="eastAsia"/>
          <w:sz w:val="24"/>
          <w:highlight w:val="none"/>
        </w:rPr>
        <w:t>（2）设计道路功能满足当前国家技术规范要求及方案应与北兴工业园园区形象匹配、相协调。</w:t>
      </w:r>
    </w:p>
    <w:p>
      <w:pPr>
        <w:spacing w:line="460" w:lineRule="exact"/>
        <w:ind w:firstLine="480" w:firstLineChars="200"/>
        <w:rPr>
          <w:rFonts w:hint="eastAsia"/>
          <w:sz w:val="24"/>
          <w:highlight w:val="none"/>
        </w:rPr>
      </w:pPr>
      <w:r>
        <w:rPr>
          <w:rFonts w:hint="eastAsia"/>
          <w:sz w:val="24"/>
          <w:highlight w:val="none"/>
        </w:rPr>
        <w:t>（3）软基处理方案应符合实际地质情况，在环保、节能基础上进行新技术、新材料的有效运用，以高标准要求考虑。</w:t>
      </w:r>
    </w:p>
    <w:p>
      <w:pPr>
        <w:spacing w:line="460" w:lineRule="exact"/>
        <w:ind w:firstLine="480" w:firstLineChars="200"/>
        <w:rPr>
          <w:rFonts w:hint="eastAsia"/>
          <w:sz w:val="24"/>
          <w:highlight w:val="none"/>
        </w:rPr>
      </w:pPr>
      <w:r>
        <w:rPr>
          <w:rFonts w:hint="eastAsia"/>
          <w:sz w:val="24"/>
          <w:highlight w:val="none"/>
        </w:rPr>
        <w:t>（4）道路关键内容设计方案及其所用材料应具备经济适用性和合理优越性，满足远期城市规划的使用功能、人性化设计、环保及景观功能，富有特色、前瞻性。</w:t>
      </w:r>
    </w:p>
    <w:p>
      <w:pPr>
        <w:spacing w:line="460" w:lineRule="exact"/>
        <w:ind w:firstLine="480" w:firstLineChars="200"/>
        <w:rPr>
          <w:rFonts w:hint="eastAsia"/>
          <w:sz w:val="24"/>
          <w:highlight w:val="none"/>
        </w:rPr>
      </w:pPr>
      <w:r>
        <w:rPr>
          <w:rFonts w:hint="eastAsia"/>
          <w:sz w:val="24"/>
          <w:highlight w:val="none"/>
        </w:rPr>
        <w:t>2</w:t>
      </w:r>
      <w:r>
        <w:rPr>
          <w:rFonts w:hint="eastAsia"/>
          <w:sz w:val="24"/>
          <w:highlight w:val="none"/>
          <w:lang w:val="en-US" w:eastAsia="zh-CN"/>
        </w:rPr>
        <w:t xml:space="preserve">. </w:t>
      </w:r>
      <w:r>
        <w:rPr>
          <w:rFonts w:hint="eastAsia"/>
          <w:sz w:val="24"/>
          <w:highlight w:val="none"/>
        </w:rPr>
        <w:t>给水、排水工程（应包括但不限于以下内容）：</w:t>
      </w:r>
    </w:p>
    <w:p>
      <w:pPr>
        <w:spacing w:line="460" w:lineRule="exact"/>
        <w:ind w:firstLine="480" w:firstLineChars="200"/>
        <w:rPr>
          <w:rFonts w:hint="eastAsia"/>
          <w:sz w:val="24"/>
          <w:highlight w:val="none"/>
        </w:rPr>
      </w:pPr>
      <w:r>
        <w:rPr>
          <w:rFonts w:hint="eastAsia"/>
          <w:sz w:val="24"/>
          <w:highlight w:val="none"/>
        </w:rPr>
        <w:t>改建或新建给水管道、雨水管道、污水管道及消防双等相关设施。</w:t>
      </w:r>
    </w:p>
    <w:p>
      <w:pPr>
        <w:spacing w:line="460" w:lineRule="exact"/>
        <w:ind w:firstLine="480" w:firstLineChars="200"/>
        <w:rPr>
          <w:rFonts w:hint="eastAsia"/>
          <w:sz w:val="24"/>
          <w:highlight w:val="none"/>
        </w:rPr>
      </w:pPr>
      <w:r>
        <w:rPr>
          <w:rFonts w:hint="eastAsia"/>
          <w:sz w:val="24"/>
          <w:highlight w:val="none"/>
        </w:rPr>
        <w:t>（1）结合现状、地块功能、发展需要、道路路幅，合理布置市政管线，在环保、节能的基础上，进行新技术、新材料的运用。</w:t>
      </w:r>
    </w:p>
    <w:p>
      <w:pPr>
        <w:spacing w:line="460" w:lineRule="exact"/>
        <w:ind w:firstLine="480" w:firstLineChars="200"/>
        <w:rPr>
          <w:rFonts w:hint="eastAsia"/>
          <w:sz w:val="24"/>
          <w:highlight w:val="none"/>
        </w:rPr>
      </w:pPr>
      <w:r>
        <w:rPr>
          <w:rFonts w:hint="eastAsia"/>
          <w:sz w:val="24"/>
          <w:highlight w:val="none"/>
        </w:rPr>
        <w:t>（2）认真贯彻执行方针政策，市政工程管线的布置应符合国家的方针、政策、法令，并与城市的发展相协调。</w:t>
      </w:r>
    </w:p>
    <w:p>
      <w:pPr>
        <w:spacing w:line="460" w:lineRule="exact"/>
        <w:ind w:firstLine="480" w:firstLineChars="200"/>
        <w:rPr>
          <w:rFonts w:hint="eastAsia"/>
          <w:sz w:val="24"/>
          <w:highlight w:val="none"/>
        </w:rPr>
      </w:pPr>
      <w:r>
        <w:rPr>
          <w:rFonts w:hint="eastAsia"/>
          <w:sz w:val="24"/>
          <w:highlight w:val="none"/>
        </w:rPr>
        <w:t>（3）近期、远期相结合。市政工程管线的布置应以城市的总体规划和各工程管线专项规划为主要设计依据。从全局出发，结合工程规划、经济效益、环境效益和社会效益，正确处理集中与分散、近期与远期的关系。</w:t>
      </w:r>
    </w:p>
    <w:p>
      <w:pPr>
        <w:spacing w:line="460" w:lineRule="exact"/>
        <w:ind w:firstLine="480" w:firstLineChars="200"/>
        <w:rPr>
          <w:rFonts w:hint="eastAsia"/>
          <w:sz w:val="24"/>
          <w:highlight w:val="none"/>
        </w:rPr>
      </w:pPr>
      <w:r>
        <w:rPr>
          <w:rFonts w:hint="eastAsia"/>
          <w:sz w:val="24"/>
          <w:highlight w:val="none"/>
        </w:rPr>
        <w:t>（4）管线高程系统设计结合道路竖向设计，协调控制点标高，充分考虑排水与其它管线的相对位置，合理布置管道标高，既便于周围排水的纳入，又避免与其它管线发生冲突。</w:t>
      </w:r>
    </w:p>
    <w:p>
      <w:pPr>
        <w:spacing w:line="460" w:lineRule="exact"/>
        <w:ind w:firstLine="480" w:firstLineChars="200"/>
        <w:rPr>
          <w:rFonts w:hint="eastAsia"/>
          <w:sz w:val="24"/>
          <w:highlight w:val="none"/>
        </w:rPr>
      </w:pPr>
      <w:r>
        <w:rPr>
          <w:rFonts w:hint="eastAsia"/>
          <w:sz w:val="24"/>
          <w:highlight w:val="none"/>
        </w:rPr>
        <w:t>3</w:t>
      </w:r>
      <w:r>
        <w:rPr>
          <w:rFonts w:hint="eastAsia"/>
          <w:sz w:val="24"/>
          <w:highlight w:val="none"/>
          <w:lang w:val="en-US" w:eastAsia="zh-CN"/>
        </w:rPr>
        <w:t xml:space="preserve">. </w:t>
      </w:r>
      <w:r>
        <w:rPr>
          <w:rFonts w:hint="eastAsia"/>
          <w:sz w:val="24"/>
          <w:highlight w:val="none"/>
        </w:rPr>
        <w:t>道路交通安全设施工程（应包括但不限于以下内容）：</w:t>
      </w:r>
    </w:p>
    <w:p>
      <w:pPr>
        <w:spacing w:line="460" w:lineRule="exact"/>
        <w:ind w:firstLine="480" w:firstLineChars="200"/>
        <w:rPr>
          <w:rFonts w:hint="eastAsia"/>
          <w:sz w:val="24"/>
          <w:highlight w:val="none"/>
        </w:rPr>
      </w:pPr>
      <w:r>
        <w:rPr>
          <w:rFonts w:hint="eastAsia"/>
          <w:sz w:val="24"/>
          <w:highlight w:val="none"/>
        </w:rPr>
        <w:t>包括交通标线、标志、指路系统、原有交通设施迁改（如有）、拆除工程（如有）、临时交通组织疏导工程设计，同时积极配合交警方案审查。</w:t>
      </w:r>
    </w:p>
    <w:p>
      <w:pPr>
        <w:numPr>
          <w:ilvl w:val="0"/>
          <w:numId w:val="2"/>
        </w:numPr>
        <w:spacing w:line="460" w:lineRule="exact"/>
        <w:ind w:firstLine="480" w:firstLineChars="200"/>
        <w:rPr>
          <w:rFonts w:hint="eastAsia"/>
          <w:sz w:val="24"/>
          <w:highlight w:val="none"/>
        </w:rPr>
      </w:pPr>
      <w:r>
        <w:rPr>
          <w:rFonts w:hint="eastAsia"/>
          <w:sz w:val="24"/>
          <w:highlight w:val="none"/>
        </w:rPr>
        <w:t>照明工程（应包括但不限于以下内容）：</w:t>
      </w:r>
    </w:p>
    <w:p>
      <w:pPr>
        <w:spacing w:line="460" w:lineRule="exact"/>
        <w:ind w:firstLine="480" w:firstLineChars="200"/>
        <w:rPr>
          <w:rFonts w:hint="eastAsia"/>
          <w:sz w:val="24"/>
          <w:highlight w:val="none"/>
        </w:rPr>
      </w:pPr>
      <w:r>
        <w:rPr>
          <w:rFonts w:hint="eastAsia"/>
          <w:sz w:val="24"/>
          <w:highlight w:val="none"/>
        </w:rPr>
        <w:t>道路照明应具有良好的诱导性。遵循功能性、安全性、美观性、先进性、节能环保性有机结合，光源选择为LED灯。</w:t>
      </w:r>
    </w:p>
    <w:p>
      <w:pPr>
        <w:numPr>
          <w:ilvl w:val="0"/>
          <w:numId w:val="2"/>
        </w:numPr>
        <w:spacing w:line="460" w:lineRule="exact"/>
        <w:ind w:left="0" w:leftChars="0" w:firstLine="480" w:firstLineChars="200"/>
        <w:rPr>
          <w:rFonts w:hint="eastAsia"/>
          <w:sz w:val="24"/>
          <w:highlight w:val="none"/>
        </w:rPr>
      </w:pPr>
      <w:r>
        <w:rPr>
          <w:rFonts w:hint="eastAsia"/>
          <w:sz w:val="24"/>
          <w:highlight w:val="none"/>
        </w:rPr>
        <w:t>绿化工程（应包括但不限于以下内容）：</w:t>
      </w:r>
    </w:p>
    <w:p>
      <w:pPr>
        <w:spacing w:line="460" w:lineRule="exact"/>
        <w:ind w:firstLine="480" w:firstLineChars="200"/>
        <w:rPr>
          <w:rFonts w:hint="eastAsia"/>
          <w:sz w:val="24"/>
          <w:highlight w:val="none"/>
        </w:rPr>
      </w:pPr>
      <w:r>
        <w:rPr>
          <w:rFonts w:hint="eastAsia"/>
          <w:sz w:val="24"/>
          <w:highlight w:val="none"/>
        </w:rPr>
        <w:t>道路行道树、绿化带等的设计。</w:t>
      </w:r>
    </w:p>
    <w:p>
      <w:pPr>
        <w:numPr>
          <w:ilvl w:val="0"/>
          <w:numId w:val="2"/>
        </w:numPr>
        <w:spacing w:line="460" w:lineRule="exact"/>
        <w:ind w:left="0" w:leftChars="0" w:firstLine="480" w:firstLineChars="200"/>
        <w:rPr>
          <w:rFonts w:hint="eastAsia"/>
          <w:sz w:val="24"/>
          <w:highlight w:val="none"/>
        </w:rPr>
      </w:pPr>
      <w:r>
        <w:rPr>
          <w:rFonts w:hint="eastAsia"/>
          <w:sz w:val="24"/>
          <w:highlight w:val="none"/>
        </w:rPr>
        <w:t>电力及通信土建工程（应包括但不限于以下内容）：</w:t>
      </w:r>
    </w:p>
    <w:p>
      <w:pPr>
        <w:spacing w:line="460" w:lineRule="exact"/>
        <w:ind w:firstLine="480" w:firstLineChars="200"/>
        <w:rPr>
          <w:rFonts w:hint="eastAsia"/>
          <w:sz w:val="24"/>
          <w:highlight w:val="none"/>
        </w:rPr>
      </w:pPr>
      <w:r>
        <w:rPr>
          <w:rFonts w:hint="eastAsia"/>
          <w:sz w:val="24"/>
          <w:highlight w:val="none"/>
        </w:rPr>
        <w:t>电力管道、通信管道土建工程设计等。</w:t>
      </w:r>
    </w:p>
    <w:p>
      <w:pPr>
        <w:numPr>
          <w:ilvl w:val="255"/>
          <w:numId w:val="0"/>
        </w:numPr>
        <w:spacing w:line="500" w:lineRule="exact"/>
        <w:ind w:left="420"/>
        <w:rPr>
          <w:rFonts w:asciiTheme="minorEastAsia" w:hAnsiTheme="minorEastAsia"/>
          <w:b/>
          <w:sz w:val="24"/>
          <w:szCs w:val="24"/>
          <w:highlight w:val="none"/>
        </w:rPr>
      </w:pPr>
      <w:r>
        <w:rPr>
          <w:rFonts w:hint="eastAsia" w:ascii="Times New Roman" w:hAnsi="Times New Roman" w:eastAsia="宋体" w:cs="Times New Roman"/>
          <w:sz w:val="24"/>
          <w:szCs w:val="24"/>
          <w:highlight w:val="none"/>
        </w:rPr>
        <w:t>备注：具体功能及规模以建设单位最终确认文件为准。</w:t>
      </w:r>
    </w:p>
    <w:p>
      <w:pPr>
        <w:spacing w:line="500" w:lineRule="exact"/>
        <w:ind w:firstLine="514" w:firstLineChars="200"/>
        <w:rPr>
          <w:rFonts w:cs="宋体" w:asciiTheme="minorEastAsia" w:hAnsiTheme="minorEastAsia"/>
          <w:b/>
          <w:sz w:val="24"/>
          <w:szCs w:val="24"/>
          <w:highlight w:val="none"/>
          <w:lang w:val="zh-CN"/>
        </w:rPr>
      </w:pPr>
      <w:r>
        <w:rPr>
          <w:rFonts w:hint="eastAsia" w:asciiTheme="minorEastAsia" w:hAnsiTheme="minorEastAsia"/>
          <w:b/>
          <w:bCs/>
          <w:spacing w:val="8"/>
          <w:sz w:val="24"/>
          <w:szCs w:val="24"/>
          <w:highlight w:val="none"/>
        </w:rPr>
        <w:t xml:space="preserve"> </w:t>
      </w:r>
      <w:r>
        <w:rPr>
          <w:rFonts w:hint="eastAsia" w:cs="宋体" w:asciiTheme="minorEastAsia" w:hAnsiTheme="minorEastAsia"/>
          <w:b/>
          <w:sz w:val="24"/>
          <w:szCs w:val="24"/>
          <w:highlight w:val="none"/>
          <w:lang w:val="zh-CN"/>
        </w:rPr>
        <w:t>(四)、设计成果及要求</w:t>
      </w:r>
    </w:p>
    <w:p>
      <w:pPr>
        <w:spacing w:line="500" w:lineRule="exact"/>
        <w:ind w:firstLine="482" w:firstLineChars="200"/>
        <w:rPr>
          <w:rFonts w:cs="宋体" w:asciiTheme="minorEastAsia" w:hAnsiTheme="minorEastAsia"/>
          <w:b/>
          <w:sz w:val="24"/>
          <w:szCs w:val="24"/>
          <w:highlight w:val="none"/>
          <w:lang w:val="zh-CN"/>
        </w:rPr>
      </w:pPr>
      <w:r>
        <w:rPr>
          <w:rFonts w:hint="eastAsia" w:asciiTheme="minorEastAsia" w:hAnsiTheme="minorEastAsia"/>
          <w:b/>
          <w:sz w:val="24"/>
          <w:szCs w:val="24"/>
          <w:highlight w:val="none"/>
        </w:rPr>
        <w:t>1.成果内容</w:t>
      </w:r>
    </w:p>
    <w:p>
      <w:pPr>
        <w:autoSpaceDE w:val="0"/>
        <w:autoSpaceDN w:val="0"/>
        <w:adjustRightInd w:val="0"/>
        <w:spacing w:line="50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(1)</w:t>
      </w:r>
      <w:r>
        <w:rPr>
          <w:rFonts w:hint="eastAsia" w:asciiTheme="minorEastAsia" w:hAnsiTheme="minorEastAsia"/>
          <w:sz w:val="24"/>
          <w:szCs w:val="24"/>
          <w:highlight w:val="none"/>
        </w:rPr>
        <w:t>施工图阶段：按初步设计图纸及专家评审意见深化设计图纸，出具施工图，并通过施工图审查单位审查和预算审查；</w:t>
      </w:r>
    </w:p>
    <w:p>
      <w:pPr>
        <w:spacing w:line="460" w:lineRule="exact"/>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2.成果清单</w:t>
      </w:r>
    </w:p>
    <w:p>
      <w:pPr>
        <w:spacing w:line="46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设计单位按以下要求向业主提交纸质文件，并提供电子版文件。</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25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shd w:val="clear" w:color="auto" w:fill="auto"/>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序号</w:t>
            </w:r>
          </w:p>
        </w:tc>
        <w:tc>
          <w:tcPr>
            <w:tcW w:w="3252" w:type="dxa"/>
            <w:shd w:val="clear" w:color="auto" w:fill="auto"/>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成果及文件名称</w:t>
            </w:r>
          </w:p>
        </w:tc>
        <w:tc>
          <w:tcPr>
            <w:tcW w:w="2131" w:type="dxa"/>
            <w:shd w:val="clear" w:color="auto" w:fill="auto"/>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份数</w:t>
            </w:r>
          </w:p>
        </w:tc>
        <w:tc>
          <w:tcPr>
            <w:tcW w:w="2131" w:type="dxa"/>
            <w:shd w:val="clear" w:color="auto" w:fill="auto"/>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1</w:t>
            </w:r>
          </w:p>
        </w:tc>
        <w:tc>
          <w:tcPr>
            <w:tcW w:w="3252" w:type="dxa"/>
            <w:shd w:val="clear" w:color="auto" w:fill="auto"/>
            <w:vAlign w:val="center"/>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施工图</w:t>
            </w:r>
          </w:p>
        </w:tc>
        <w:tc>
          <w:tcPr>
            <w:tcW w:w="2131" w:type="dxa"/>
            <w:shd w:val="clear" w:color="auto" w:fill="auto"/>
            <w:vAlign w:val="center"/>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按合同约定</w:t>
            </w:r>
          </w:p>
        </w:tc>
        <w:tc>
          <w:tcPr>
            <w:tcW w:w="2131" w:type="dxa"/>
            <w:shd w:val="clear" w:color="auto" w:fill="auto"/>
            <w:vAlign w:val="center"/>
          </w:tcPr>
          <w:p>
            <w:pPr>
              <w:autoSpaceDE w:val="0"/>
              <w:autoSpaceDN w:val="0"/>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电子版资料一份</w:t>
            </w:r>
          </w:p>
        </w:tc>
      </w:tr>
    </w:tbl>
    <w:p>
      <w:pPr>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注：施工</w:t>
      </w:r>
      <w:r>
        <w:rPr>
          <w:rFonts w:asciiTheme="minorEastAsia" w:hAnsiTheme="minorEastAsia"/>
          <w:sz w:val="24"/>
          <w:szCs w:val="24"/>
          <w:highlight w:val="none"/>
        </w:rPr>
        <w:t>图除包括图纸、说明书、材料清册等纸质文件外，还包括全套图纸的</w:t>
      </w:r>
      <w:r>
        <w:rPr>
          <w:rFonts w:hint="eastAsia" w:asciiTheme="minorEastAsia" w:hAnsiTheme="minorEastAsia"/>
          <w:sz w:val="24"/>
          <w:szCs w:val="24"/>
          <w:highlight w:val="none"/>
        </w:rPr>
        <w:t>CAD图</w:t>
      </w:r>
      <w:r>
        <w:rPr>
          <w:rFonts w:asciiTheme="minorEastAsia" w:hAnsiTheme="minorEastAsia"/>
          <w:sz w:val="24"/>
          <w:szCs w:val="24"/>
          <w:highlight w:val="none"/>
        </w:rPr>
        <w:t>光盘</w:t>
      </w:r>
      <w:r>
        <w:rPr>
          <w:rFonts w:hint="eastAsia" w:asciiTheme="minorEastAsia" w:hAnsiTheme="minorEastAsia"/>
          <w:sz w:val="24"/>
          <w:szCs w:val="24"/>
          <w:highlight w:val="none"/>
        </w:rPr>
        <w:t>。</w:t>
      </w:r>
    </w:p>
    <w:p>
      <w:pPr>
        <w:snapToGrid w:val="0"/>
        <w:spacing w:line="50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设计单位提供施工</w:t>
      </w:r>
      <w:r>
        <w:rPr>
          <w:rFonts w:hint="eastAsia" w:asciiTheme="minorEastAsia" w:hAnsiTheme="minorEastAsia"/>
          <w:sz w:val="24"/>
          <w:szCs w:val="24"/>
          <w:highlight w:val="none"/>
        </w:rPr>
        <w:t>图</w:t>
      </w:r>
      <w:r>
        <w:rPr>
          <w:rFonts w:asciiTheme="minorEastAsia" w:hAnsiTheme="minorEastAsia"/>
          <w:sz w:val="24"/>
          <w:szCs w:val="24"/>
          <w:highlight w:val="none"/>
        </w:rPr>
        <w:t>、各阶段工程量分析及设计总结的电子文档，时间为各阶段工作结束后</w:t>
      </w:r>
      <w:r>
        <w:rPr>
          <w:rFonts w:hint="eastAsia" w:asciiTheme="minorEastAsia" w:hAnsiTheme="minorEastAsia"/>
          <w:sz w:val="24"/>
          <w:szCs w:val="24"/>
          <w:highlight w:val="none"/>
        </w:rPr>
        <w:t>两</w:t>
      </w:r>
      <w:r>
        <w:rPr>
          <w:rFonts w:asciiTheme="minorEastAsia" w:hAnsiTheme="minorEastAsia"/>
          <w:sz w:val="24"/>
          <w:szCs w:val="24"/>
          <w:highlight w:val="none"/>
        </w:rPr>
        <w:t>周内。</w:t>
      </w:r>
    </w:p>
    <w:p>
      <w:pPr>
        <w:spacing w:line="460" w:lineRule="exact"/>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3.设计进度周期</w:t>
      </w:r>
    </w:p>
    <w:p>
      <w:pPr>
        <w:snapToGrid w:val="0"/>
        <w:spacing w:line="50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(1)</w:t>
      </w:r>
      <w:r>
        <w:rPr>
          <w:rFonts w:hint="eastAsia" w:asciiTheme="minorEastAsia" w:hAnsiTheme="minorEastAsia"/>
          <w:sz w:val="24"/>
          <w:szCs w:val="24"/>
          <w:highlight w:val="none"/>
          <w:lang w:val="en-US" w:eastAsia="zh-CN"/>
        </w:rPr>
        <w:t>5</w:t>
      </w:r>
      <w:r>
        <w:rPr>
          <w:rFonts w:asciiTheme="minorEastAsia" w:hAnsiTheme="minorEastAsia"/>
          <w:sz w:val="24"/>
          <w:szCs w:val="24"/>
          <w:highlight w:val="none"/>
        </w:rPr>
        <w:t>个</w:t>
      </w:r>
      <w:r>
        <w:rPr>
          <w:rFonts w:hint="eastAsia" w:asciiTheme="minorEastAsia" w:hAnsiTheme="minorEastAsia"/>
          <w:sz w:val="24"/>
          <w:szCs w:val="24"/>
          <w:highlight w:val="none"/>
        </w:rPr>
        <w:t>日历天完成施工送审图</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5</w:t>
      </w:r>
      <w:r>
        <w:rPr>
          <w:rFonts w:asciiTheme="minorEastAsia" w:hAnsiTheme="minorEastAsia"/>
          <w:sz w:val="24"/>
          <w:szCs w:val="24"/>
          <w:highlight w:val="none"/>
        </w:rPr>
        <w:t>个</w:t>
      </w:r>
      <w:r>
        <w:rPr>
          <w:rFonts w:hint="eastAsia" w:asciiTheme="minorEastAsia" w:hAnsiTheme="minorEastAsia"/>
          <w:sz w:val="24"/>
          <w:szCs w:val="24"/>
          <w:highlight w:val="none"/>
        </w:rPr>
        <w:t>日历天通过施工图审查单位批复。</w:t>
      </w:r>
    </w:p>
    <w:p>
      <w:pPr>
        <w:snapToGrid w:val="0"/>
        <w:spacing w:line="50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w:t>
      </w:r>
      <w:r>
        <w:rPr>
          <w:rFonts w:hint="eastAsia" w:asciiTheme="minorEastAsia" w:hAnsiTheme="minorEastAsia"/>
          <w:sz w:val="24"/>
          <w:szCs w:val="24"/>
          <w:highlight w:val="none"/>
        </w:rPr>
        <w:t>2</w:t>
      </w:r>
      <w:r>
        <w:rPr>
          <w:rFonts w:asciiTheme="minorEastAsia" w:hAnsiTheme="minorEastAsia"/>
          <w:sz w:val="24"/>
          <w:szCs w:val="24"/>
          <w:highlight w:val="none"/>
        </w:rPr>
        <w:t>)</w:t>
      </w:r>
      <w:r>
        <w:rPr>
          <w:rFonts w:hint="eastAsia" w:asciiTheme="minorEastAsia" w:hAnsiTheme="minorEastAsia"/>
          <w:sz w:val="24"/>
          <w:szCs w:val="24"/>
          <w:highlight w:val="none"/>
        </w:rPr>
        <w:t>施工图审查单位通过审查后</w:t>
      </w:r>
      <w:r>
        <w:rPr>
          <w:rFonts w:asciiTheme="minorEastAsia" w:hAnsiTheme="minorEastAsia"/>
          <w:sz w:val="24"/>
          <w:szCs w:val="24"/>
          <w:highlight w:val="none"/>
        </w:rPr>
        <w:t>5个</w:t>
      </w:r>
      <w:r>
        <w:rPr>
          <w:rFonts w:hint="eastAsia" w:asciiTheme="minorEastAsia" w:hAnsiTheme="minorEastAsia"/>
          <w:sz w:val="24"/>
          <w:szCs w:val="24"/>
          <w:highlight w:val="none"/>
        </w:rPr>
        <w:t>日历天完成施工图设计文件。</w:t>
      </w:r>
    </w:p>
    <w:p>
      <w:pPr>
        <w:snapToGrid w:val="0"/>
        <w:spacing w:line="500" w:lineRule="exact"/>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施工图预算编制。</w:t>
      </w:r>
    </w:p>
    <w:p>
      <w:pPr>
        <w:snapToGrid w:val="0"/>
        <w:spacing w:line="50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w:t>
      </w:r>
      <w:r>
        <w:rPr>
          <w:rFonts w:hint="eastAsia" w:asciiTheme="minorEastAsia" w:hAnsiTheme="minorEastAsia"/>
          <w:sz w:val="24"/>
          <w:szCs w:val="24"/>
          <w:highlight w:val="none"/>
        </w:rPr>
        <w:t>4</w:t>
      </w:r>
      <w:r>
        <w:rPr>
          <w:rFonts w:asciiTheme="minorEastAsia" w:hAnsiTheme="minorEastAsia"/>
          <w:sz w:val="24"/>
          <w:szCs w:val="24"/>
          <w:highlight w:val="none"/>
        </w:rPr>
        <w:t>)</w:t>
      </w:r>
      <w:r>
        <w:rPr>
          <w:rFonts w:hint="eastAsia" w:asciiTheme="minorEastAsia" w:hAnsiTheme="minorEastAsia"/>
          <w:sz w:val="24"/>
          <w:szCs w:val="24"/>
          <w:highlight w:val="none"/>
        </w:rPr>
        <w:t>负责竣工图编制。</w:t>
      </w:r>
    </w:p>
    <w:p>
      <w:pPr>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注：原则上设计单位报价及总设计周期应配合业主需求的建议设计周期。如特殊原因时间有所调整，以业主确认的</w:t>
      </w:r>
      <w:bookmarkStart w:id="0" w:name="_GoBack"/>
      <w:bookmarkEnd w:id="0"/>
      <w:r>
        <w:rPr>
          <w:rFonts w:hint="eastAsia" w:asciiTheme="minorEastAsia" w:hAnsiTheme="minorEastAsia"/>
          <w:sz w:val="24"/>
          <w:szCs w:val="24"/>
          <w:highlight w:val="none"/>
        </w:rPr>
        <w:t>最终时间为准。</w:t>
      </w:r>
    </w:p>
    <w:p>
      <w:pPr>
        <w:spacing w:line="500" w:lineRule="exact"/>
        <w:ind w:firstLine="482" w:firstLineChars="200"/>
        <w:rPr>
          <w:rFonts w:cs="宋体" w:asciiTheme="minorEastAsia" w:hAnsiTheme="minorEastAsia"/>
          <w:b/>
          <w:sz w:val="24"/>
          <w:szCs w:val="24"/>
          <w:highlight w:val="none"/>
          <w:lang w:val="zh-CN"/>
        </w:rPr>
      </w:pPr>
      <w:r>
        <w:rPr>
          <w:rFonts w:cs="宋体" w:asciiTheme="minorEastAsia" w:hAnsiTheme="minorEastAsia"/>
          <w:b/>
          <w:sz w:val="24"/>
          <w:szCs w:val="24"/>
          <w:highlight w:val="none"/>
          <w:lang w:val="zh-CN"/>
        </w:rPr>
        <w:t>(五)施工阶段及验收</w:t>
      </w:r>
      <w:r>
        <w:rPr>
          <w:rFonts w:hint="eastAsia" w:cs="宋体" w:asciiTheme="minorEastAsia" w:hAnsiTheme="minorEastAsia"/>
          <w:b/>
          <w:sz w:val="24"/>
          <w:szCs w:val="24"/>
          <w:highlight w:val="none"/>
          <w:lang w:val="zh-CN"/>
        </w:rPr>
        <w:t>配合工作</w:t>
      </w:r>
    </w:p>
    <w:p>
      <w:pPr>
        <w:pStyle w:val="20"/>
        <w:spacing w:line="520" w:lineRule="exact"/>
        <w:ind w:left="275" w:leftChars="131" w:firstLine="48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配合开展前期报建报批、方案审查、专业报建、设计图纸评审、预算评审、施工图审查及备案、消防审查，以及从开工至项目竣工验收的现场服务、配合完成工程验收和竣工图等；包括配合申请临时用水、临时用电，以及配合永久外水、永久外电的设计报批；在项目报建阶段满足建设单位报批各种手续的要求，分阶段提供所需的设计文件；</w:t>
      </w:r>
    </w:p>
    <w:p>
      <w:pPr>
        <w:pStyle w:val="20"/>
        <w:spacing w:line="520" w:lineRule="exact"/>
        <w:ind w:left="275" w:leftChars="131" w:firstLine="48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海绵城市建设要求：满足规划设计条件和当地水务主管部门要求；</w:t>
      </w:r>
    </w:p>
    <w:p>
      <w:pPr>
        <w:pStyle w:val="20"/>
        <w:spacing w:line="520" w:lineRule="exact"/>
        <w:ind w:left="275" w:leftChars="131" w:firstLine="48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负责设计文件的技术交底并参与图纸会审；</w:t>
      </w:r>
    </w:p>
    <w:p>
      <w:pPr>
        <w:pStyle w:val="20"/>
        <w:spacing w:line="520" w:lineRule="exact"/>
        <w:ind w:left="275" w:leftChars="131" w:firstLine="48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解决在项目实施过程中与高</w:t>
      </w:r>
      <w:r>
        <w:rPr>
          <w:rFonts w:ascii="宋体" w:hAnsi="宋体"/>
          <w:sz w:val="24"/>
          <w:szCs w:val="24"/>
          <w:highlight w:val="none"/>
        </w:rPr>
        <w:t>/低压变配电</w:t>
      </w:r>
      <w:r>
        <w:rPr>
          <w:rFonts w:hint="eastAsia" w:ascii="宋体" w:hAnsi="宋体"/>
          <w:sz w:val="24"/>
          <w:szCs w:val="24"/>
          <w:highlight w:val="none"/>
        </w:rPr>
        <w:t>所相关的技术问题；</w:t>
      </w:r>
      <w:r>
        <w:rPr>
          <w:rFonts w:ascii="宋体" w:hAnsi="宋体"/>
          <w:sz w:val="24"/>
          <w:szCs w:val="24"/>
          <w:highlight w:val="none"/>
        </w:rPr>
        <w:t xml:space="preserve"> </w:t>
      </w:r>
    </w:p>
    <w:p>
      <w:pPr>
        <w:pStyle w:val="20"/>
        <w:spacing w:line="520" w:lineRule="exact"/>
        <w:ind w:left="275" w:leftChars="131" w:firstLine="480"/>
        <w:rPr>
          <w:rFonts w:ascii="宋体" w:hAnsi="宋体"/>
          <w:sz w:val="24"/>
          <w:szCs w:val="24"/>
          <w:highlight w:val="none"/>
        </w:rPr>
      </w:pPr>
      <w:r>
        <w:rPr>
          <w:rFonts w:ascii="宋体" w:hAnsi="宋体"/>
          <w:sz w:val="24"/>
          <w:szCs w:val="24"/>
          <w:highlight w:val="none"/>
        </w:rPr>
        <w:t>5.配合业主进行安装巡视及验收，并在必要时指导承包商进行调试、提交工程验收报告</w:t>
      </w:r>
      <w:r>
        <w:rPr>
          <w:rFonts w:hint="eastAsia" w:ascii="宋体" w:hAnsi="宋体"/>
          <w:sz w:val="24"/>
          <w:szCs w:val="24"/>
          <w:highlight w:val="none"/>
        </w:rPr>
        <w:t>及调试报告。（含竣工图审核）；</w:t>
      </w:r>
    </w:p>
    <w:p>
      <w:pPr>
        <w:pStyle w:val="20"/>
        <w:spacing w:line="520" w:lineRule="exact"/>
        <w:ind w:left="275" w:leftChars="131" w:firstLine="480"/>
        <w:rPr>
          <w:rFonts w:ascii="宋体" w:hAnsi="宋体"/>
          <w:sz w:val="24"/>
          <w:highlight w:val="none"/>
        </w:rPr>
      </w:pPr>
      <w:r>
        <w:rPr>
          <w:rFonts w:ascii="宋体" w:hAnsi="宋体"/>
          <w:sz w:val="24"/>
          <w:szCs w:val="24"/>
          <w:highlight w:val="none"/>
        </w:rPr>
        <w:t>6.必要时安排相关设</w:t>
      </w:r>
      <w:r>
        <w:rPr>
          <w:rFonts w:hint="eastAsia" w:ascii="宋体" w:hAnsi="宋体"/>
          <w:sz w:val="24"/>
          <w:highlight w:val="none"/>
        </w:rPr>
        <w:t>计人员提供驻场服务，驻场服务的周期由发包人书面启动时约定为准。</w:t>
      </w:r>
    </w:p>
    <w:p>
      <w:pPr>
        <w:rPr>
          <w:highlight w:val="none"/>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18469"/>
    <w:multiLevelType w:val="singleLevel"/>
    <w:tmpl w:val="C6818469"/>
    <w:lvl w:ilvl="0" w:tentative="0">
      <w:start w:val="4"/>
      <w:numFmt w:val="decimal"/>
      <w:suff w:val="space"/>
      <w:lvlText w:val="%1."/>
      <w:lvlJc w:val="left"/>
    </w:lvl>
  </w:abstractNum>
  <w:abstractNum w:abstractNumId="1">
    <w:nsid w:val="4D6F6867"/>
    <w:multiLevelType w:val="multilevel"/>
    <w:tmpl w:val="4D6F6867"/>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C70E9C"/>
    <w:rsid w:val="00006937"/>
    <w:rsid w:val="000111C9"/>
    <w:rsid w:val="00017DBA"/>
    <w:rsid w:val="00056695"/>
    <w:rsid w:val="000A499F"/>
    <w:rsid w:val="000D2A99"/>
    <w:rsid w:val="000F14A8"/>
    <w:rsid w:val="00121F5E"/>
    <w:rsid w:val="00154CD2"/>
    <w:rsid w:val="00157353"/>
    <w:rsid w:val="00157E77"/>
    <w:rsid w:val="001D03F3"/>
    <w:rsid w:val="002017B8"/>
    <w:rsid w:val="002145E7"/>
    <w:rsid w:val="00221EFC"/>
    <w:rsid w:val="00243423"/>
    <w:rsid w:val="00253056"/>
    <w:rsid w:val="00275751"/>
    <w:rsid w:val="002A5531"/>
    <w:rsid w:val="002B45DD"/>
    <w:rsid w:val="002B571B"/>
    <w:rsid w:val="002D0A19"/>
    <w:rsid w:val="002E3363"/>
    <w:rsid w:val="002F0B6F"/>
    <w:rsid w:val="0031601E"/>
    <w:rsid w:val="00316339"/>
    <w:rsid w:val="00332E81"/>
    <w:rsid w:val="0034110D"/>
    <w:rsid w:val="0035610F"/>
    <w:rsid w:val="00377C74"/>
    <w:rsid w:val="003A2C87"/>
    <w:rsid w:val="003C2D29"/>
    <w:rsid w:val="003C5794"/>
    <w:rsid w:val="00411E60"/>
    <w:rsid w:val="00455E9A"/>
    <w:rsid w:val="00460BCD"/>
    <w:rsid w:val="0048566E"/>
    <w:rsid w:val="004B2CE4"/>
    <w:rsid w:val="004D6D81"/>
    <w:rsid w:val="004F0743"/>
    <w:rsid w:val="00517B0D"/>
    <w:rsid w:val="00546840"/>
    <w:rsid w:val="00583158"/>
    <w:rsid w:val="0059174B"/>
    <w:rsid w:val="005A461A"/>
    <w:rsid w:val="005F3060"/>
    <w:rsid w:val="00632EB9"/>
    <w:rsid w:val="006A53C6"/>
    <w:rsid w:val="00700498"/>
    <w:rsid w:val="007034CA"/>
    <w:rsid w:val="00716FC3"/>
    <w:rsid w:val="007546BF"/>
    <w:rsid w:val="00761A11"/>
    <w:rsid w:val="007764B6"/>
    <w:rsid w:val="007A4209"/>
    <w:rsid w:val="007A5ABB"/>
    <w:rsid w:val="007A7A75"/>
    <w:rsid w:val="007C11FA"/>
    <w:rsid w:val="007E77E5"/>
    <w:rsid w:val="00801599"/>
    <w:rsid w:val="008203E4"/>
    <w:rsid w:val="00843781"/>
    <w:rsid w:val="00872371"/>
    <w:rsid w:val="008C218D"/>
    <w:rsid w:val="008D4AB0"/>
    <w:rsid w:val="008F3ADA"/>
    <w:rsid w:val="0090418E"/>
    <w:rsid w:val="00926AA5"/>
    <w:rsid w:val="00926BA1"/>
    <w:rsid w:val="00935936"/>
    <w:rsid w:val="00937E93"/>
    <w:rsid w:val="0096064E"/>
    <w:rsid w:val="00960F3D"/>
    <w:rsid w:val="00990B82"/>
    <w:rsid w:val="009B2A7A"/>
    <w:rsid w:val="009F1F02"/>
    <w:rsid w:val="00A15E54"/>
    <w:rsid w:val="00A317F6"/>
    <w:rsid w:val="00A91481"/>
    <w:rsid w:val="00AD732A"/>
    <w:rsid w:val="00AE2FEB"/>
    <w:rsid w:val="00B0554E"/>
    <w:rsid w:val="00B06E94"/>
    <w:rsid w:val="00B14A37"/>
    <w:rsid w:val="00B42B53"/>
    <w:rsid w:val="00BD490F"/>
    <w:rsid w:val="00C11CC0"/>
    <w:rsid w:val="00C20AF0"/>
    <w:rsid w:val="00C36689"/>
    <w:rsid w:val="00C55D9F"/>
    <w:rsid w:val="00C64AD6"/>
    <w:rsid w:val="00C70E9C"/>
    <w:rsid w:val="00CE6487"/>
    <w:rsid w:val="00D03781"/>
    <w:rsid w:val="00D05EFF"/>
    <w:rsid w:val="00D32BD2"/>
    <w:rsid w:val="00D5304B"/>
    <w:rsid w:val="00D545BD"/>
    <w:rsid w:val="00D566B1"/>
    <w:rsid w:val="00DB21A9"/>
    <w:rsid w:val="00E47752"/>
    <w:rsid w:val="00E65D87"/>
    <w:rsid w:val="00E80689"/>
    <w:rsid w:val="00EA5B6D"/>
    <w:rsid w:val="00ED2F27"/>
    <w:rsid w:val="00EE015B"/>
    <w:rsid w:val="00EE5435"/>
    <w:rsid w:val="00F2470E"/>
    <w:rsid w:val="00F83867"/>
    <w:rsid w:val="00F944A5"/>
    <w:rsid w:val="00FA51B6"/>
    <w:rsid w:val="00FD4E86"/>
    <w:rsid w:val="00FF17A4"/>
    <w:rsid w:val="04C55F3D"/>
    <w:rsid w:val="07120865"/>
    <w:rsid w:val="0D9D4D39"/>
    <w:rsid w:val="128679E9"/>
    <w:rsid w:val="14E66C05"/>
    <w:rsid w:val="1D50145C"/>
    <w:rsid w:val="1DD045B0"/>
    <w:rsid w:val="209E4F02"/>
    <w:rsid w:val="2CE46D9B"/>
    <w:rsid w:val="2DD87F59"/>
    <w:rsid w:val="3423448E"/>
    <w:rsid w:val="37F73DA7"/>
    <w:rsid w:val="3B3F2C29"/>
    <w:rsid w:val="3DBE4B34"/>
    <w:rsid w:val="42CE6661"/>
    <w:rsid w:val="47EA26D1"/>
    <w:rsid w:val="48750C55"/>
    <w:rsid w:val="54B41BB8"/>
    <w:rsid w:val="58C77702"/>
    <w:rsid w:val="5F953D9C"/>
    <w:rsid w:val="64CD49D5"/>
    <w:rsid w:val="651F1A58"/>
    <w:rsid w:val="68333DC0"/>
    <w:rsid w:val="6EA21ABB"/>
    <w:rsid w:val="713E2DAF"/>
    <w:rsid w:val="7D34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4">
    <w:name w:val="heading 3"/>
    <w:basedOn w:val="1"/>
    <w:next w:val="1"/>
    <w:link w:val="24"/>
    <w:unhideWhenUsed/>
    <w:qFormat/>
    <w:uiPriority w:val="9"/>
    <w:pPr>
      <w:keepNext/>
      <w:keepLines/>
      <w:spacing w:before="260" w:after="260" w:line="416" w:lineRule="auto"/>
      <w:outlineLvl w:val="2"/>
    </w:pPr>
    <w:rPr>
      <w:b/>
      <w:bCs/>
      <w:kern w:val="2"/>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1"/>
    <w:unhideWhenUsed/>
    <w:qFormat/>
    <w:uiPriority w:val="1"/>
    <w:pPr>
      <w:ind w:left="520"/>
    </w:pPr>
    <w:rPr>
      <w:rFonts w:ascii="宋体" w:hAnsi="宋体"/>
      <w:sz w:val="20"/>
    </w:rPr>
  </w:style>
  <w:style w:type="paragraph" w:styleId="5">
    <w:name w:val="annotation text"/>
    <w:basedOn w:val="1"/>
    <w:link w:val="22"/>
    <w:qFormat/>
    <w:uiPriority w:val="0"/>
    <w:pPr>
      <w:jc w:val="left"/>
    </w:pPr>
    <w:rPr>
      <w:rFonts w:ascii="Calibri" w:hAnsi="Calibri" w:eastAsia="宋体" w:cs="Calibri"/>
      <w:kern w:val="2"/>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kern w:val="2"/>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kern w:val="2"/>
      <w:sz w:val="18"/>
      <w:szCs w:val="18"/>
    </w:rPr>
  </w:style>
  <w:style w:type="paragraph" w:styleId="9">
    <w:name w:val="Body Text 2"/>
    <w:basedOn w:val="1"/>
    <w:link w:val="25"/>
    <w:qFormat/>
    <w:uiPriority w:val="0"/>
    <w:pPr>
      <w:spacing w:line="400" w:lineRule="atLeast"/>
    </w:pPr>
    <w:rPr>
      <w:rFonts w:ascii="Times New Roman" w:hAnsi="Times New Roman" w:eastAsia="宋体" w:cs="Times New Roman"/>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Courier New"/>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lm1"/>
    <w:qFormat/>
    <w:uiPriority w:val="0"/>
    <w:rPr>
      <w:color w:val="000000"/>
      <w:sz w:val="20"/>
      <w:szCs w:val="20"/>
      <w:u w:val="none"/>
    </w:rPr>
  </w:style>
  <w:style w:type="character" w:customStyle="1" w:styleId="18">
    <w:name w:val="txt1"/>
    <w:qFormat/>
    <w:uiPriority w:val="0"/>
    <w:rPr>
      <w:color w:val="000000"/>
      <w:sz w:val="18"/>
      <w:szCs w:val="18"/>
      <w:u w:val="none"/>
    </w:rPr>
  </w:style>
  <w:style w:type="character" w:customStyle="1" w:styleId="19">
    <w:name w:val="批注框文本 字符"/>
    <w:basedOn w:val="13"/>
    <w:link w:val="6"/>
    <w:semiHidden/>
    <w:qFormat/>
    <w:uiPriority w:val="99"/>
    <w:rPr>
      <w:kern w:val="0"/>
      <w:sz w:val="18"/>
      <w:szCs w:val="18"/>
    </w:rPr>
  </w:style>
  <w:style w:type="paragraph" w:styleId="20">
    <w:name w:val="List Paragraph"/>
    <w:basedOn w:val="1"/>
    <w:qFormat/>
    <w:uiPriority w:val="34"/>
    <w:pPr>
      <w:ind w:firstLine="420" w:firstLineChars="200"/>
    </w:pPr>
  </w:style>
  <w:style w:type="paragraph" w:customStyle="1" w:styleId="21">
    <w:name w:val="p0"/>
    <w:basedOn w:val="1"/>
    <w:qFormat/>
    <w:uiPriority w:val="0"/>
    <w:pPr>
      <w:widowControl/>
    </w:pPr>
    <w:rPr>
      <w:rFonts w:cs="宋体"/>
      <w:szCs w:val="21"/>
    </w:rPr>
  </w:style>
  <w:style w:type="character" w:customStyle="1" w:styleId="22">
    <w:name w:val="批注文字 字符"/>
    <w:basedOn w:val="13"/>
    <w:link w:val="5"/>
    <w:qFormat/>
    <w:uiPriority w:val="0"/>
    <w:rPr>
      <w:rFonts w:ascii="Calibri" w:hAnsi="Calibri" w:cs="Calibri"/>
      <w:kern w:val="2"/>
      <w:sz w:val="21"/>
      <w:szCs w:val="24"/>
    </w:rPr>
  </w:style>
  <w:style w:type="paragraph" w:customStyle="1" w:styleId="23">
    <w:name w:val="修订1"/>
    <w:hidden/>
    <w:semiHidden/>
    <w:qFormat/>
    <w:uiPriority w:val="99"/>
    <w:rPr>
      <w:rFonts w:asciiTheme="minorHAnsi" w:hAnsiTheme="minorHAnsi" w:eastAsiaTheme="minorEastAsia" w:cstheme="minorBidi"/>
      <w:sz w:val="21"/>
      <w:szCs w:val="22"/>
      <w:lang w:val="en-US" w:eastAsia="zh-CN" w:bidi="ar-SA"/>
    </w:rPr>
  </w:style>
  <w:style w:type="character" w:customStyle="1" w:styleId="24">
    <w:name w:val="标题 3 字符"/>
    <w:basedOn w:val="13"/>
    <w:link w:val="4"/>
    <w:qFormat/>
    <w:uiPriority w:val="9"/>
    <w:rPr>
      <w:rFonts w:asciiTheme="minorHAnsi" w:hAnsiTheme="minorHAnsi" w:eastAsiaTheme="minorEastAsia" w:cstheme="minorBidi"/>
      <w:b/>
      <w:bCs/>
      <w:kern w:val="2"/>
      <w:sz w:val="32"/>
      <w:szCs w:val="32"/>
    </w:rPr>
  </w:style>
  <w:style w:type="character" w:customStyle="1" w:styleId="25">
    <w:name w:val="正文文本 2 字符"/>
    <w:link w:val="9"/>
    <w:qFormat/>
    <w:uiPriority w:val="0"/>
    <w:rPr>
      <w:sz w:val="24"/>
      <w:szCs w:val="24"/>
    </w:rPr>
  </w:style>
  <w:style w:type="character" w:customStyle="1" w:styleId="26">
    <w:name w:val="正文文本 2 字符1"/>
    <w:basedOn w:val="13"/>
    <w:semiHidden/>
    <w:qFormat/>
    <w:uiPriority w:val="99"/>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676F-1801-42D0-8406-FF9B5EDC8856}">
  <ds:schemaRefs/>
</ds:datastoreItem>
</file>

<file path=docProps/app.xml><?xml version="1.0" encoding="utf-8"?>
<Properties xmlns="http://schemas.openxmlformats.org/officeDocument/2006/extended-properties" xmlns:vt="http://schemas.openxmlformats.org/officeDocument/2006/docPropsVTypes">
  <Template>Normal.dotm</Template>
  <Company>CSWADI</Company>
  <Pages>4</Pages>
  <Words>2331</Words>
  <Characters>2603</Characters>
  <Lines>19</Lines>
  <Paragraphs>5</Paragraphs>
  <TotalTime>2</TotalTime>
  <ScaleCrop>false</ScaleCrop>
  <LinksUpToDate>false</LinksUpToDate>
  <CharactersWithSpaces>2616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2023-06-30T08:26:00Z</dcterms:created>
  <dc:creator>ting</dc:creator>
  <cp:lastModifiedBy>jieling</cp:lastModifiedBy>
  <dcterms:modified xsi:type="dcterms:W3CDTF">2023-07-03T07:14:09Z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24B2B4D3A632432BB238B3597A5094C6</vt:lpwstr>
  </property>
</Properties>
</file>