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宋体"/>
          <w:b/>
          <w:bCs/>
          <w:color w:val="auto"/>
          <w:spacing w:val="40"/>
          <w:sz w:val="44"/>
          <w:szCs w:val="44"/>
          <w:highlight w:val="none"/>
        </w:rPr>
      </w:pPr>
    </w:p>
    <w:p>
      <w:pPr>
        <w:widowControl/>
        <w:jc w:val="left"/>
        <w:rPr>
          <w:rFonts w:hint="eastAsia" w:ascii="宋体" w:hAnsi="宋体" w:cs="宋体"/>
          <w:b/>
          <w:bCs/>
          <w:color w:val="auto"/>
          <w:spacing w:val="40"/>
          <w:sz w:val="44"/>
          <w:szCs w:val="44"/>
          <w:highlight w:val="none"/>
        </w:rPr>
      </w:pPr>
    </w:p>
    <w:p>
      <w:pPr>
        <w:spacing w:line="360" w:lineRule="auto"/>
        <w:jc w:val="center"/>
        <w:rPr>
          <w:rFonts w:hint="eastAsia" w:ascii="宋体" w:hAnsi="宋体" w:cs="宋体"/>
          <w:b/>
          <w:color w:val="auto"/>
          <w:sz w:val="52"/>
          <w:szCs w:val="52"/>
          <w:highlight w:val="none"/>
          <w:lang w:eastAsia="zh-CN"/>
        </w:rPr>
      </w:pPr>
      <w:r>
        <w:rPr>
          <w:rFonts w:hint="eastAsia" w:ascii="宋体" w:hAnsi="宋体" w:cs="宋体"/>
          <w:b/>
          <w:color w:val="auto"/>
          <w:sz w:val="52"/>
          <w:szCs w:val="52"/>
          <w:highlight w:val="none"/>
          <w:lang w:eastAsia="zh-CN"/>
        </w:rPr>
        <w:t>知识城北片区土地平整工程（二期）</w:t>
      </w:r>
    </w:p>
    <w:p>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保留山体区域变更平整方案</w:t>
      </w:r>
    </w:p>
    <w:p>
      <w:pPr>
        <w:spacing w:line="360" w:lineRule="auto"/>
        <w:jc w:val="center"/>
        <w:rPr>
          <w:rFonts w:hint="eastAsia" w:ascii="宋体" w:hAnsi="宋体" w:cs="宋体"/>
          <w:b/>
          <w:bCs/>
          <w:color w:val="auto"/>
          <w:spacing w:val="40"/>
          <w:sz w:val="52"/>
          <w:szCs w:val="52"/>
          <w:highlight w:val="none"/>
        </w:rPr>
      </w:pPr>
      <w:r>
        <w:rPr>
          <w:rFonts w:hint="eastAsia" w:ascii="宋体" w:hAnsi="宋体" w:cs="宋体"/>
          <w:b/>
          <w:color w:val="auto"/>
          <w:sz w:val="52"/>
          <w:szCs w:val="52"/>
          <w:highlight w:val="none"/>
        </w:rPr>
        <w:t>施工总承包</w:t>
      </w:r>
    </w:p>
    <w:p>
      <w:pPr>
        <w:spacing w:line="360" w:lineRule="auto"/>
        <w:jc w:val="center"/>
        <w:rPr>
          <w:rFonts w:hint="eastAsia" w:ascii="宋体" w:hAnsi="宋体" w:cs="宋体"/>
          <w:color w:val="auto"/>
          <w:sz w:val="36"/>
          <w:highlight w:val="none"/>
          <w:u w:val="single"/>
        </w:rPr>
      </w:pPr>
    </w:p>
    <w:p>
      <w:pPr>
        <w:spacing w:line="360" w:lineRule="auto"/>
        <w:jc w:val="center"/>
        <w:rPr>
          <w:rFonts w:hint="eastAsia" w:ascii="宋体" w:hAnsi="宋体" w:cs="宋体"/>
          <w:color w:val="auto"/>
          <w:sz w:val="36"/>
          <w:highlight w:val="none"/>
          <w:u w:val="single"/>
        </w:rPr>
      </w:pPr>
    </w:p>
    <w:p>
      <w:pPr>
        <w:spacing w:line="360" w:lineRule="auto"/>
        <w:jc w:val="center"/>
        <w:rPr>
          <w:rFonts w:hint="eastAsia" w:ascii="宋体" w:hAnsi="宋体" w:cs="宋体"/>
          <w:color w:val="auto"/>
          <w:sz w:val="36"/>
          <w:highlight w:val="none"/>
          <w:u w:val="single"/>
        </w:rPr>
      </w:pPr>
    </w:p>
    <w:p>
      <w:pPr>
        <w:spacing w:line="360" w:lineRule="auto"/>
        <w:jc w:val="center"/>
        <w:rPr>
          <w:rFonts w:hint="eastAsia" w:ascii="宋体" w:hAnsi="宋体" w:cs="宋体"/>
          <w:color w:val="auto"/>
          <w:sz w:val="36"/>
          <w:highlight w:val="none"/>
          <w:u w:val="single"/>
        </w:rPr>
      </w:pPr>
    </w:p>
    <w:p>
      <w:pPr>
        <w:spacing w:line="360" w:lineRule="auto"/>
        <w:jc w:val="center"/>
        <w:rPr>
          <w:rFonts w:hint="eastAsia"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spacing w:line="360" w:lineRule="auto"/>
        <w:ind w:firstLine="2560" w:firstLineChars="800"/>
        <w:rPr>
          <w:rFonts w:hint="eastAsia" w:ascii="宋体" w:hAnsi="宋体" w:cs="宋体"/>
          <w:color w:val="auto"/>
          <w:sz w:val="32"/>
          <w:highlight w:val="none"/>
        </w:rPr>
      </w:pPr>
    </w:p>
    <w:p>
      <w:pPr>
        <w:spacing w:line="360" w:lineRule="auto"/>
        <w:rPr>
          <w:rFonts w:hint="eastAsia" w:ascii="宋体" w:hAnsi="宋体" w:cs="宋体"/>
          <w:color w:val="auto"/>
          <w:sz w:val="52"/>
          <w:highlight w:val="none"/>
        </w:rPr>
      </w:pPr>
    </w:p>
    <w:p>
      <w:pPr>
        <w:spacing w:line="360" w:lineRule="auto"/>
        <w:rPr>
          <w:rFonts w:hint="eastAsia" w:ascii="宋体" w:hAnsi="宋体" w:cs="宋体"/>
          <w:color w:val="auto"/>
          <w:sz w:val="52"/>
          <w:highlight w:val="none"/>
        </w:rPr>
      </w:pPr>
    </w:p>
    <w:p>
      <w:pPr>
        <w:spacing w:line="360" w:lineRule="auto"/>
        <w:ind w:firstLine="1350" w:firstLineChars="450"/>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招标单位：</w:t>
      </w:r>
      <w:r>
        <w:rPr>
          <w:rFonts w:hint="eastAsia" w:ascii="宋体" w:hAnsi="宋体" w:cs="宋体"/>
          <w:color w:val="auto"/>
          <w:sz w:val="30"/>
          <w:szCs w:val="30"/>
          <w:highlight w:val="none"/>
          <w:u w:val="single"/>
        </w:rPr>
        <w:t>中新广州知识城财政投资建设项目管理中心</w:t>
      </w:r>
    </w:p>
    <w:p>
      <w:pPr>
        <w:spacing w:line="360" w:lineRule="auto"/>
        <w:ind w:firstLine="1350" w:firstLineChars="45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u w:val="none"/>
        </w:rPr>
        <w:t>代建单位：</w:t>
      </w:r>
      <w:r>
        <w:rPr>
          <w:rFonts w:hint="eastAsia" w:ascii="宋体" w:hAnsi="宋体" w:eastAsia="宋体" w:cs="宋体"/>
          <w:color w:val="auto"/>
          <w:sz w:val="30"/>
          <w:szCs w:val="30"/>
          <w:highlight w:val="none"/>
          <w:u w:val="single"/>
          <w:lang w:eastAsia="zh-CN"/>
        </w:rPr>
        <w:t>广州高新建设开发集团有限公司</w:t>
      </w:r>
    </w:p>
    <w:p>
      <w:pPr>
        <w:spacing w:line="360" w:lineRule="auto"/>
        <w:ind w:firstLine="1350" w:firstLineChars="450"/>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rPr>
        <w:t>广州穗监工程造价咨询有限公司</w:t>
      </w:r>
    </w:p>
    <w:p>
      <w:pPr>
        <w:spacing w:line="360" w:lineRule="auto"/>
        <w:ind w:firstLine="1280" w:firstLineChars="400"/>
        <w:rPr>
          <w:rFonts w:hint="eastAsia" w:ascii="宋体" w:hAnsi="宋体" w:cs="宋体"/>
          <w:color w:val="auto"/>
          <w:sz w:val="32"/>
          <w:highlight w:val="none"/>
        </w:rPr>
      </w:pPr>
      <w:r>
        <w:rPr>
          <w:rFonts w:hint="eastAsia" w:ascii="宋体" w:hAnsi="宋体" w:cs="宋体"/>
          <w:color w:val="auto"/>
          <w:sz w:val="32"/>
          <w:highlight w:val="none"/>
        </w:rPr>
        <w:t>日      期：</w:t>
      </w:r>
      <w:r>
        <w:rPr>
          <w:rFonts w:hint="eastAsia" w:ascii="宋体" w:hAnsi="宋体" w:eastAsia="宋体" w:cs="宋体"/>
          <w:color w:val="auto"/>
          <w:sz w:val="30"/>
          <w:szCs w:val="30"/>
          <w:highlight w:val="none"/>
          <w:u w:val="single"/>
          <w:lang w:eastAsia="zh-CN"/>
        </w:rPr>
        <w:t>2023</w:t>
      </w:r>
      <w:r>
        <w:rPr>
          <w:rFonts w:hint="eastAsia" w:ascii="宋体" w:hAnsi="宋体" w:cs="宋体"/>
          <w:color w:val="auto"/>
          <w:sz w:val="30"/>
          <w:szCs w:val="30"/>
          <w:highlight w:val="none"/>
        </w:rPr>
        <w:t>年</w:t>
      </w:r>
      <w:r>
        <w:rPr>
          <w:rFonts w:hint="eastAsia" w:ascii="宋体" w:hAnsi="宋体" w:cs="宋体"/>
          <w:color w:val="auto"/>
          <w:sz w:val="30"/>
          <w:szCs w:val="30"/>
          <w:highlight w:val="none"/>
          <w:u w:val="single"/>
        </w:rPr>
        <w:t xml:space="preserve"> </w:t>
      </w:r>
      <w:r>
        <w:rPr>
          <w:rFonts w:hint="eastAsia" w:ascii="宋体" w:hAnsi="宋体" w:eastAsia="宋体" w:cs="宋体"/>
          <w:color w:val="auto"/>
          <w:sz w:val="30"/>
          <w:szCs w:val="30"/>
          <w:highlight w:val="none"/>
          <w:u w:val="single"/>
          <w:lang w:val="en-US" w:eastAsia="zh-CN"/>
        </w:rPr>
        <w:t>7</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月</w:t>
      </w:r>
    </w:p>
    <w:p>
      <w:pPr>
        <w:rPr>
          <w:rStyle w:val="57"/>
          <w:rFonts w:hint="eastAsia" w:ascii="宋体" w:hAnsi="宋体" w:cs="宋体"/>
          <w:b/>
          <w:bCs/>
          <w:color w:val="auto"/>
          <w:highlight w:val="none"/>
        </w:rPr>
      </w:pPr>
      <w:r>
        <w:rPr>
          <w:rStyle w:val="57"/>
          <w:rFonts w:hint="eastAsia" w:ascii="宋体" w:hAnsi="宋体" w:cs="宋体"/>
          <w:b/>
          <w:bCs/>
          <w:color w:val="auto"/>
          <w:highlight w:val="none"/>
        </w:rPr>
        <w:br w:type="page"/>
      </w:r>
    </w:p>
    <w:p>
      <w:pPr>
        <w:spacing w:line="360" w:lineRule="auto"/>
        <w:jc w:val="center"/>
        <w:rPr>
          <w:rStyle w:val="57"/>
          <w:rFonts w:hint="eastAsia" w:ascii="宋体" w:hAnsi="宋体" w:cs="宋体"/>
          <w:b/>
          <w:bCs/>
          <w:color w:val="auto"/>
          <w:sz w:val="36"/>
          <w:szCs w:val="36"/>
          <w:highlight w:val="none"/>
        </w:rPr>
      </w:pPr>
      <w:r>
        <w:rPr>
          <w:rStyle w:val="57"/>
          <w:rFonts w:hint="eastAsia" w:ascii="宋体" w:hAnsi="宋体" w:cs="宋体"/>
          <w:b/>
          <w:bCs/>
          <w:color w:val="auto"/>
          <w:sz w:val="36"/>
          <w:szCs w:val="36"/>
          <w:highlight w:val="none"/>
        </w:rPr>
        <w:t>目录</w:t>
      </w:r>
    </w:p>
    <w:p>
      <w:pPr>
        <w:spacing w:line="360" w:lineRule="auto"/>
        <w:jc w:val="center"/>
        <w:rPr>
          <w:rFonts w:hint="eastAsia" w:ascii="宋体" w:hAnsi="宋体" w:cs="宋体"/>
          <w:b/>
          <w:caps/>
          <w:color w:val="auto"/>
          <w:kern w:val="0"/>
          <w:sz w:val="36"/>
          <w:szCs w:val="36"/>
          <w:highlight w:val="none"/>
        </w:rPr>
      </w:pPr>
    </w:p>
    <w:p>
      <w:pPr>
        <w:pStyle w:val="33"/>
        <w:tabs>
          <w:tab w:val="right" w:leader="dot" w:pos="9070"/>
          <w:tab w:val="clear" w:pos="9060"/>
        </w:tabs>
        <w:rPr>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TOC \o "1-3" \h \z \u </w:instrText>
      </w:r>
      <w:r>
        <w:rPr>
          <w:rFonts w:hint="eastAsia" w:cs="宋体"/>
          <w:color w:val="auto"/>
          <w:szCs w:val="24"/>
          <w:highlight w:val="none"/>
        </w:rPr>
        <w:fldChar w:fldCharType="separate"/>
      </w:r>
      <w:r>
        <w:rPr>
          <w:rFonts w:hint="eastAsia" w:cs="宋体"/>
          <w:color w:val="auto"/>
          <w:szCs w:val="24"/>
          <w:highlight w:val="none"/>
        </w:rPr>
        <w:fldChar w:fldCharType="begin"/>
      </w:r>
      <w:r>
        <w:rPr>
          <w:rFonts w:hint="eastAsia" w:cs="宋体"/>
          <w:color w:val="auto"/>
          <w:szCs w:val="24"/>
          <w:highlight w:val="none"/>
        </w:rPr>
        <w:instrText xml:space="preserve"> HYPERLINK \l _Toc9024 </w:instrText>
      </w:r>
      <w:r>
        <w:rPr>
          <w:rFonts w:hint="eastAsia" w:cs="宋体"/>
          <w:color w:val="auto"/>
          <w:szCs w:val="24"/>
          <w:highlight w:val="none"/>
        </w:rPr>
        <w:fldChar w:fldCharType="separate"/>
      </w:r>
      <w:r>
        <w:rPr>
          <w:rFonts w:hint="eastAsia" w:cs="宋体"/>
          <w:color w:val="auto"/>
          <w:szCs w:val="36"/>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_Toc9024 \h </w:instrText>
      </w:r>
      <w:r>
        <w:rPr>
          <w:color w:val="auto"/>
          <w:highlight w:val="none"/>
        </w:rPr>
        <w:fldChar w:fldCharType="separate"/>
      </w:r>
      <w:r>
        <w:rPr>
          <w:color w:val="auto"/>
          <w:highlight w:val="none"/>
        </w:rPr>
        <w:t>3</w:t>
      </w:r>
      <w:r>
        <w:rPr>
          <w:color w:val="auto"/>
          <w:highlight w:val="none"/>
        </w:rPr>
        <w:fldChar w:fldCharType="end"/>
      </w:r>
      <w:r>
        <w:rPr>
          <w:rFonts w:hint="eastAsia" w:cs="宋体"/>
          <w:color w:val="auto"/>
          <w:szCs w:val="24"/>
          <w:highlight w:val="none"/>
        </w:rPr>
        <w:fldChar w:fldCharType="end"/>
      </w:r>
    </w:p>
    <w:p>
      <w:pPr>
        <w:pStyle w:val="41"/>
        <w:tabs>
          <w:tab w:val="right" w:leader="dot" w:pos="907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_Toc24551 </w:instrText>
      </w:r>
      <w:r>
        <w:rPr>
          <w:rFonts w:hint="eastAsia" w:ascii="宋体" w:hAnsi="宋体" w:cs="宋体"/>
          <w:color w:val="auto"/>
          <w:highlight w:val="none"/>
        </w:rPr>
        <w:fldChar w:fldCharType="separate"/>
      </w:r>
      <w:r>
        <w:rPr>
          <w:rFonts w:hint="eastAsia" w:ascii="宋体" w:hAnsi="宋体" w:cs="宋体"/>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_Toc24551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color w:val="auto"/>
          <w:highlight w:val="none"/>
        </w:rPr>
        <w:fldChar w:fldCharType="end"/>
      </w:r>
    </w:p>
    <w:p>
      <w:pPr>
        <w:pStyle w:val="41"/>
        <w:tabs>
          <w:tab w:val="right" w:leader="dot" w:pos="907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_Toc22220 </w:instrText>
      </w:r>
      <w:r>
        <w:rPr>
          <w:rFonts w:hint="eastAsia" w:ascii="宋体" w:hAnsi="宋体" w:cs="宋体"/>
          <w:color w:val="auto"/>
          <w:highlight w:val="none"/>
        </w:rPr>
        <w:fldChar w:fldCharType="separate"/>
      </w:r>
      <w:r>
        <w:rPr>
          <w:rFonts w:hint="eastAsia" w:ascii="宋体" w:hAnsi="宋体" w:cs="宋体"/>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_Toc22220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color w:val="auto"/>
          <w:highlight w:val="none"/>
        </w:rPr>
        <w:fldChar w:fldCharType="end"/>
      </w:r>
    </w:p>
    <w:p>
      <w:pPr>
        <w:pStyle w:val="41"/>
        <w:tabs>
          <w:tab w:val="right" w:leader="dot" w:pos="907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_Toc17403 </w:instrText>
      </w:r>
      <w:r>
        <w:rPr>
          <w:rFonts w:hint="eastAsia" w:ascii="宋体" w:hAnsi="宋体" w:cs="宋体"/>
          <w:color w:val="auto"/>
          <w:highlight w:val="none"/>
        </w:rPr>
        <w:fldChar w:fldCharType="separate"/>
      </w:r>
      <w:r>
        <w:rPr>
          <w:rFonts w:hint="eastAsia" w:ascii="宋体" w:hAnsi="宋体" w:cs="宋体"/>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_Toc17403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pPr>
        <w:pStyle w:val="24"/>
        <w:tabs>
          <w:tab w:val="right" w:leader="dot" w:pos="9070"/>
        </w:tabs>
        <w:ind w:left="840"/>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_Toc15750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（一）总则</w:t>
      </w:r>
      <w:r>
        <w:rPr>
          <w:color w:val="auto"/>
          <w:highlight w:val="none"/>
        </w:rPr>
        <w:tab/>
      </w:r>
      <w:r>
        <w:rPr>
          <w:color w:val="auto"/>
          <w:highlight w:val="none"/>
        </w:rPr>
        <w:fldChar w:fldCharType="begin"/>
      </w:r>
      <w:r>
        <w:rPr>
          <w:color w:val="auto"/>
          <w:highlight w:val="none"/>
        </w:rPr>
        <w:instrText xml:space="preserve"> PAGEREF _Toc15750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szCs w:val="24"/>
          <w:highlight w:val="none"/>
        </w:rPr>
        <w:fldChar w:fldCharType="end"/>
      </w:r>
    </w:p>
    <w:p>
      <w:pPr>
        <w:pStyle w:val="24"/>
        <w:tabs>
          <w:tab w:val="right" w:leader="dot" w:pos="9070"/>
        </w:tabs>
        <w:ind w:left="840"/>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_Toc10643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（二）招标文件</w:t>
      </w:r>
      <w:r>
        <w:rPr>
          <w:color w:val="auto"/>
          <w:highlight w:val="none"/>
        </w:rPr>
        <w:tab/>
      </w:r>
      <w:r>
        <w:rPr>
          <w:color w:val="auto"/>
          <w:highlight w:val="none"/>
        </w:rPr>
        <w:fldChar w:fldCharType="begin"/>
      </w:r>
      <w:r>
        <w:rPr>
          <w:color w:val="auto"/>
          <w:highlight w:val="none"/>
        </w:rPr>
        <w:instrText xml:space="preserve"> PAGEREF _Toc10643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szCs w:val="24"/>
          <w:highlight w:val="none"/>
        </w:rPr>
        <w:fldChar w:fldCharType="end"/>
      </w:r>
    </w:p>
    <w:p>
      <w:pPr>
        <w:pStyle w:val="24"/>
        <w:tabs>
          <w:tab w:val="right" w:leader="dot" w:pos="9070"/>
        </w:tabs>
        <w:ind w:left="840"/>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_Toc18324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_Toc18324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szCs w:val="24"/>
          <w:highlight w:val="none"/>
        </w:rPr>
        <w:fldChar w:fldCharType="end"/>
      </w:r>
    </w:p>
    <w:p>
      <w:pPr>
        <w:pStyle w:val="24"/>
        <w:tabs>
          <w:tab w:val="right" w:leader="dot" w:pos="9070"/>
        </w:tabs>
        <w:ind w:left="840"/>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_Toc17031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_Toc17031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szCs w:val="24"/>
          <w:highlight w:val="none"/>
        </w:rPr>
        <w:fldChar w:fldCharType="end"/>
      </w:r>
    </w:p>
    <w:p>
      <w:pPr>
        <w:pStyle w:val="24"/>
        <w:tabs>
          <w:tab w:val="right" w:leader="dot" w:pos="9070"/>
        </w:tabs>
        <w:ind w:left="840"/>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_Toc8312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_Toc8312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cs="宋体"/>
          <w:color w:val="auto"/>
          <w:szCs w:val="24"/>
          <w:highlight w:val="none"/>
        </w:rPr>
        <w:fldChar w:fldCharType="end"/>
      </w:r>
    </w:p>
    <w:p>
      <w:pPr>
        <w:pStyle w:val="33"/>
        <w:tabs>
          <w:tab w:val="right" w:leader="dot" w:pos="9070"/>
          <w:tab w:val="clear" w:pos="9060"/>
        </w:tabs>
        <w:rPr>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HYPERLINK \l _Toc28987 </w:instrText>
      </w:r>
      <w:r>
        <w:rPr>
          <w:rFonts w:hint="eastAsia" w:cs="宋体"/>
          <w:color w:val="auto"/>
          <w:szCs w:val="24"/>
          <w:highlight w:val="none"/>
        </w:rPr>
        <w:fldChar w:fldCharType="separate"/>
      </w:r>
      <w:r>
        <w:rPr>
          <w:rFonts w:hint="eastAsia" w:cs="宋体"/>
          <w:color w:val="auto"/>
          <w:szCs w:val="24"/>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_Toc28987 \h </w:instrText>
      </w:r>
      <w:r>
        <w:rPr>
          <w:color w:val="auto"/>
          <w:highlight w:val="none"/>
        </w:rPr>
        <w:fldChar w:fldCharType="separate"/>
      </w:r>
      <w:r>
        <w:rPr>
          <w:color w:val="auto"/>
          <w:highlight w:val="none"/>
        </w:rPr>
        <w:t>39</w:t>
      </w:r>
      <w:r>
        <w:rPr>
          <w:color w:val="auto"/>
          <w:highlight w:val="none"/>
        </w:rPr>
        <w:fldChar w:fldCharType="end"/>
      </w:r>
      <w:r>
        <w:rPr>
          <w:rFonts w:hint="eastAsia" w:cs="宋体"/>
          <w:color w:val="auto"/>
          <w:szCs w:val="24"/>
          <w:highlight w:val="none"/>
        </w:rPr>
        <w:fldChar w:fldCharType="end"/>
      </w:r>
    </w:p>
    <w:p>
      <w:pPr>
        <w:pStyle w:val="41"/>
        <w:tabs>
          <w:tab w:val="right" w:leader="dot" w:pos="907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_Toc31330 </w:instrText>
      </w:r>
      <w:r>
        <w:rPr>
          <w:rFonts w:hint="eastAsia" w:ascii="宋体" w:hAnsi="宋体" w:cs="宋体"/>
          <w:color w:val="auto"/>
          <w:highlight w:val="none"/>
        </w:rPr>
        <w:fldChar w:fldCharType="separate"/>
      </w:r>
      <w:r>
        <w:rPr>
          <w:rFonts w:hint="eastAsia" w:ascii="宋体" w:hAnsi="宋体" w:cs="宋体"/>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_Toc31330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pPr>
        <w:pStyle w:val="41"/>
        <w:tabs>
          <w:tab w:val="right" w:leader="dot" w:pos="9070"/>
          <w:tab w:val="clear" w:pos="9060"/>
        </w:tabs>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_Toc14701 </w:instrText>
      </w:r>
      <w:r>
        <w:rPr>
          <w:rFonts w:hint="eastAsia" w:ascii="宋体" w:hAnsi="宋体" w:cs="宋体"/>
          <w:color w:val="auto"/>
          <w:highlight w:val="none"/>
        </w:rPr>
        <w:fldChar w:fldCharType="separate"/>
      </w:r>
      <w:r>
        <w:rPr>
          <w:rFonts w:hint="eastAsia" w:ascii="宋体" w:hAnsi="宋体" w:cs="宋体"/>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_Toc14701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color w:val="auto"/>
          <w:highlight w:val="none"/>
        </w:rPr>
        <w:fldChar w:fldCharType="end"/>
      </w:r>
    </w:p>
    <w:p>
      <w:pPr>
        <w:pStyle w:val="24"/>
        <w:tabs>
          <w:tab w:val="right" w:leader="dot" w:pos="9070"/>
        </w:tabs>
        <w:ind w:left="840"/>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_Toc16168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（一）总则</w:t>
      </w:r>
      <w:r>
        <w:rPr>
          <w:color w:val="auto"/>
          <w:highlight w:val="none"/>
        </w:rPr>
        <w:tab/>
      </w:r>
      <w:r>
        <w:rPr>
          <w:color w:val="auto"/>
          <w:highlight w:val="none"/>
        </w:rPr>
        <w:fldChar w:fldCharType="begin"/>
      </w:r>
      <w:r>
        <w:rPr>
          <w:color w:val="auto"/>
          <w:highlight w:val="none"/>
        </w:rPr>
        <w:instrText xml:space="preserve"> PAGEREF _Toc16168 \h </w:instrText>
      </w:r>
      <w:r>
        <w:rPr>
          <w:color w:val="auto"/>
          <w:highlight w:val="none"/>
        </w:rPr>
        <w:fldChar w:fldCharType="separate"/>
      </w:r>
      <w:r>
        <w:rPr>
          <w:color w:val="auto"/>
          <w:highlight w:val="none"/>
        </w:rPr>
        <w:t>46</w:t>
      </w:r>
      <w:r>
        <w:rPr>
          <w:color w:val="auto"/>
          <w:highlight w:val="none"/>
        </w:rPr>
        <w:fldChar w:fldCharType="end"/>
      </w:r>
      <w:r>
        <w:rPr>
          <w:rFonts w:hint="eastAsia" w:ascii="宋体" w:hAnsi="宋体" w:cs="宋体"/>
          <w:color w:val="auto"/>
          <w:szCs w:val="24"/>
          <w:highlight w:val="none"/>
        </w:rPr>
        <w:fldChar w:fldCharType="end"/>
      </w:r>
    </w:p>
    <w:p>
      <w:pPr>
        <w:pStyle w:val="24"/>
        <w:tabs>
          <w:tab w:val="right" w:leader="dot" w:pos="9070"/>
        </w:tabs>
        <w:ind w:left="840"/>
        <w:rPr>
          <w:color w:val="auto"/>
          <w:highlight w:val="none"/>
        </w:rPr>
      </w:pPr>
      <w:r>
        <w:rPr>
          <w:rFonts w:hint="eastAsia" w:ascii="宋体" w:hAnsi="宋体" w:cs="宋体"/>
          <w:color w:val="auto"/>
          <w:szCs w:val="24"/>
          <w:highlight w:val="none"/>
        </w:rPr>
        <w:fldChar w:fldCharType="begin"/>
      </w:r>
      <w:r>
        <w:rPr>
          <w:rFonts w:hint="eastAsia" w:ascii="宋体" w:hAnsi="宋体" w:cs="宋体"/>
          <w:color w:val="auto"/>
          <w:szCs w:val="24"/>
          <w:highlight w:val="none"/>
        </w:rPr>
        <w:instrText xml:space="preserve"> HYPERLINK \l _Toc9581 </w:instrText>
      </w:r>
      <w:r>
        <w:rPr>
          <w:rFonts w:hint="eastAsia" w:ascii="宋体" w:hAnsi="宋体" w:cs="宋体"/>
          <w:color w:val="auto"/>
          <w:szCs w:val="24"/>
          <w:highlight w:val="none"/>
        </w:rPr>
        <w:fldChar w:fldCharType="separate"/>
      </w:r>
      <w:r>
        <w:rPr>
          <w:rFonts w:hint="eastAsia" w:ascii="宋体" w:hAnsi="宋体" w:cs="宋体"/>
          <w:color w:val="auto"/>
          <w:szCs w:val="24"/>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_Toc9581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cs="宋体"/>
          <w:color w:val="auto"/>
          <w:szCs w:val="24"/>
          <w:highlight w:val="none"/>
        </w:rPr>
        <w:fldChar w:fldCharType="end"/>
      </w:r>
    </w:p>
    <w:p>
      <w:pPr>
        <w:pStyle w:val="33"/>
        <w:tabs>
          <w:tab w:val="right" w:leader="dot" w:pos="9070"/>
          <w:tab w:val="clear" w:pos="9060"/>
        </w:tabs>
        <w:rPr>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HYPERLINK \l _Toc16241 </w:instrText>
      </w:r>
      <w:r>
        <w:rPr>
          <w:rFonts w:hint="eastAsia" w:cs="宋体"/>
          <w:color w:val="auto"/>
          <w:szCs w:val="24"/>
          <w:highlight w:val="none"/>
        </w:rPr>
        <w:fldChar w:fldCharType="separate"/>
      </w:r>
      <w:r>
        <w:rPr>
          <w:rFonts w:hint="eastAsia" w:cs="宋体"/>
          <w:bCs/>
          <w:color w:val="auto"/>
          <w:szCs w:val="44"/>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_Toc16241 \h </w:instrText>
      </w:r>
      <w:r>
        <w:rPr>
          <w:color w:val="auto"/>
          <w:highlight w:val="none"/>
        </w:rPr>
        <w:fldChar w:fldCharType="separate"/>
      </w:r>
      <w:r>
        <w:rPr>
          <w:color w:val="auto"/>
          <w:highlight w:val="none"/>
        </w:rPr>
        <w:t>67</w:t>
      </w:r>
      <w:r>
        <w:rPr>
          <w:color w:val="auto"/>
          <w:highlight w:val="none"/>
        </w:rPr>
        <w:fldChar w:fldCharType="end"/>
      </w:r>
      <w:r>
        <w:rPr>
          <w:rFonts w:hint="eastAsia" w:cs="宋体"/>
          <w:color w:val="auto"/>
          <w:szCs w:val="24"/>
          <w:highlight w:val="none"/>
        </w:rPr>
        <w:fldChar w:fldCharType="end"/>
      </w:r>
    </w:p>
    <w:p>
      <w:pPr>
        <w:pStyle w:val="33"/>
        <w:tabs>
          <w:tab w:val="right" w:leader="dot" w:pos="9070"/>
          <w:tab w:val="clear" w:pos="9060"/>
        </w:tabs>
        <w:rPr>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HYPERLINK \l _Toc22413 </w:instrText>
      </w:r>
      <w:r>
        <w:rPr>
          <w:rFonts w:hint="eastAsia" w:cs="宋体"/>
          <w:color w:val="auto"/>
          <w:szCs w:val="24"/>
          <w:highlight w:val="none"/>
        </w:rPr>
        <w:fldChar w:fldCharType="separate"/>
      </w:r>
      <w:r>
        <w:rPr>
          <w:rFonts w:hint="eastAsia" w:cs="宋体"/>
          <w:bCs/>
          <w:color w:val="auto"/>
          <w:szCs w:val="44"/>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_Toc22413 \h </w:instrText>
      </w:r>
      <w:r>
        <w:rPr>
          <w:color w:val="auto"/>
          <w:highlight w:val="none"/>
        </w:rPr>
        <w:fldChar w:fldCharType="separate"/>
      </w:r>
      <w:r>
        <w:rPr>
          <w:color w:val="auto"/>
          <w:highlight w:val="none"/>
        </w:rPr>
        <w:t>132</w:t>
      </w:r>
      <w:r>
        <w:rPr>
          <w:color w:val="auto"/>
          <w:highlight w:val="none"/>
        </w:rPr>
        <w:fldChar w:fldCharType="end"/>
      </w:r>
      <w:r>
        <w:rPr>
          <w:rFonts w:hint="eastAsia" w:cs="宋体"/>
          <w:color w:val="auto"/>
          <w:szCs w:val="24"/>
          <w:highlight w:val="none"/>
        </w:rPr>
        <w:fldChar w:fldCharType="end"/>
      </w:r>
    </w:p>
    <w:p>
      <w:pPr>
        <w:pStyle w:val="33"/>
        <w:tabs>
          <w:tab w:val="right" w:leader="dot" w:pos="9070"/>
          <w:tab w:val="clear" w:pos="9060"/>
        </w:tabs>
        <w:rPr>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HYPERLINK \l _Toc28711 </w:instrText>
      </w:r>
      <w:r>
        <w:rPr>
          <w:rFonts w:hint="eastAsia" w:cs="宋体"/>
          <w:color w:val="auto"/>
          <w:szCs w:val="24"/>
          <w:highlight w:val="none"/>
        </w:rPr>
        <w:fldChar w:fldCharType="separate"/>
      </w:r>
      <w:r>
        <w:rPr>
          <w:rFonts w:hint="eastAsia" w:cs="宋体"/>
          <w:color w:val="auto"/>
          <w:szCs w:val="24"/>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_Toc28711 \h </w:instrText>
      </w:r>
      <w:r>
        <w:rPr>
          <w:color w:val="auto"/>
          <w:highlight w:val="none"/>
        </w:rPr>
        <w:fldChar w:fldCharType="separate"/>
      </w:r>
      <w:r>
        <w:rPr>
          <w:color w:val="auto"/>
          <w:highlight w:val="none"/>
        </w:rPr>
        <w:t>156</w:t>
      </w:r>
      <w:r>
        <w:rPr>
          <w:color w:val="auto"/>
          <w:highlight w:val="none"/>
        </w:rPr>
        <w:fldChar w:fldCharType="end"/>
      </w:r>
      <w:r>
        <w:rPr>
          <w:rFonts w:hint="eastAsia" w:cs="宋体"/>
          <w:color w:val="auto"/>
          <w:szCs w:val="24"/>
          <w:highlight w:val="none"/>
        </w:rPr>
        <w:fldChar w:fldCharType="end"/>
      </w:r>
    </w:p>
    <w:p>
      <w:pPr>
        <w:pStyle w:val="33"/>
        <w:tabs>
          <w:tab w:val="right" w:leader="dot" w:pos="9070"/>
          <w:tab w:val="clear" w:pos="9060"/>
        </w:tabs>
        <w:rPr>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HYPERLINK \l _Toc20628 </w:instrText>
      </w:r>
      <w:r>
        <w:rPr>
          <w:rFonts w:hint="eastAsia" w:cs="宋体"/>
          <w:color w:val="auto"/>
          <w:szCs w:val="24"/>
          <w:highlight w:val="none"/>
        </w:rPr>
        <w:fldChar w:fldCharType="separate"/>
      </w:r>
      <w:r>
        <w:rPr>
          <w:rFonts w:hint="eastAsia" w:cs="宋体"/>
          <w:color w:val="auto"/>
          <w:szCs w:val="24"/>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_Toc20628 \h </w:instrText>
      </w:r>
      <w:r>
        <w:rPr>
          <w:color w:val="auto"/>
          <w:highlight w:val="none"/>
        </w:rPr>
        <w:fldChar w:fldCharType="separate"/>
      </w:r>
      <w:r>
        <w:rPr>
          <w:color w:val="auto"/>
          <w:highlight w:val="none"/>
        </w:rPr>
        <w:t>158</w:t>
      </w:r>
      <w:r>
        <w:rPr>
          <w:color w:val="auto"/>
          <w:highlight w:val="none"/>
        </w:rPr>
        <w:fldChar w:fldCharType="end"/>
      </w:r>
      <w:r>
        <w:rPr>
          <w:rFonts w:hint="eastAsia" w:cs="宋体"/>
          <w:color w:val="auto"/>
          <w:szCs w:val="24"/>
          <w:highlight w:val="none"/>
        </w:rPr>
        <w:fldChar w:fldCharType="end"/>
      </w:r>
    </w:p>
    <w:p>
      <w:pPr>
        <w:pStyle w:val="33"/>
        <w:tabs>
          <w:tab w:val="right" w:leader="dot" w:pos="9070"/>
          <w:tab w:val="clear" w:pos="9060"/>
        </w:tabs>
        <w:rPr>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HYPERLINK \l _Toc9070 </w:instrText>
      </w:r>
      <w:r>
        <w:rPr>
          <w:rFonts w:hint="eastAsia" w:cs="宋体"/>
          <w:color w:val="auto"/>
          <w:szCs w:val="24"/>
          <w:highlight w:val="none"/>
        </w:rPr>
        <w:fldChar w:fldCharType="separate"/>
      </w:r>
      <w:r>
        <w:rPr>
          <w:rFonts w:hint="eastAsia" w:cs="宋体"/>
          <w:color w:val="auto"/>
          <w:szCs w:val="24"/>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_Toc9070 \h </w:instrText>
      </w:r>
      <w:r>
        <w:rPr>
          <w:color w:val="auto"/>
          <w:highlight w:val="none"/>
        </w:rPr>
        <w:fldChar w:fldCharType="separate"/>
      </w:r>
      <w:r>
        <w:rPr>
          <w:color w:val="auto"/>
          <w:highlight w:val="none"/>
        </w:rPr>
        <w:t>159</w:t>
      </w:r>
      <w:r>
        <w:rPr>
          <w:color w:val="auto"/>
          <w:highlight w:val="none"/>
        </w:rPr>
        <w:fldChar w:fldCharType="end"/>
      </w:r>
      <w:r>
        <w:rPr>
          <w:rFonts w:hint="eastAsia" w:cs="宋体"/>
          <w:color w:val="auto"/>
          <w:szCs w:val="24"/>
          <w:highlight w:val="none"/>
        </w:rPr>
        <w:fldChar w:fldCharType="end"/>
      </w:r>
    </w:p>
    <w:p>
      <w:pPr>
        <w:pStyle w:val="33"/>
        <w:tabs>
          <w:tab w:val="right" w:leader="dot" w:pos="9070"/>
          <w:tab w:val="clear" w:pos="9060"/>
        </w:tabs>
        <w:rPr>
          <w:color w:val="auto"/>
          <w:highlight w:val="none"/>
        </w:rPr>
      </w:pPr>
      <w:r>
        <w:rPr>
          <w:rFonts w:hint="eastAsia" w:cs="宋体"/>
          <w:color w:val="auto"/>
          <w:szCs w:val="24"/>
          <w:highlight w:val="none"/>
        </w:rPr>
        <w:fldChar w:fldCharType="begin"/>
      </w:r>
      <w:r>
        <w:rPr>
          <w:rFonts w:hint="eastAsia" w:cs="宋体"/>
          <w:color w:val="auto"/>
          <w:szCs w:val="24"/>
          <w:highlight w:val="none"/>
        </w:rPr>
        <w:instrText xml:space="preserve"> HYPERLINK \l _Toc21425 </w:instrText>
      </w:r>
      <w:r>
        <w:rPr>
          <w:rFonts w:hint="eastAsia" w:cs="宋体"/>
          <w:color w:val="auto"/>
          <w:szCs w:val="24"/>
          <w:highlight w:val="none"/>
        </w:rPr>
        <w:fldChar w:fldCharType="separate"/>
      </w:r>
      <w:r>
        <w:rPr>
          <w:rFonts w:hint="eastAsia" w:cs="宋体"/>
          <w:color w:val="auto"/>
          <w:szCs w:val="24"/>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_Toc21425 \h </w:instrText>
      </w:r>
      <w:r>
        <w:rPr>
          <w:color w:val="auto"/>
          <w:highlight w:val="none"/>
        </w:rPr>
        <w:fldChar w:fldCharType="separate"/>
      </w:r>
      <w:r>
        <w:rPr>
          <w:color w:val="auto"/>
          <w:highlight w:val="none"/>
        </w:rPr>
        <w:t>160</w:t>
      </w:r>
      <w:r>
        <w:rPr>
          <w:color w:val="auto"/>
          <w:highlight w:val="none"/>
        </w:rPr>
        <w:fldChar w:fldCharType="end"/>
      </w:r>
      <w:r>
        <w:rPr>
          <w:rFonts w:hint="eastAsia" w:cs="宋体"/>
          <w:color w:val="auto"/>
          <w:szCs w:val="24"/>
          <w:highlight w:val="none"/>
        </w:rPr>
        <w:fldChar w:fldCharType="end"/>
      </w:r>
    </w:p>
    <w:p>
      <w:pPr>
        <w:pStyle w:val="3"/>
        <w:tabs>
          <w:tab w:val="right" w:pos="9070"/>
        </w:tabs>
        <w:rPr>
          <w:rFonts w:hint="eastAsia" w:ascii="宋体" w:hAnsi="宋体" w:cs="宋体"/>
          <w:color w:val="auto"/>
          <w:sz w:val="24"/>
          <w:szCs w:val="24"/>
          <w:highlight w:val="none"/>
        </w:rPr>
      </w:pPr>
      <w:r>
        <w:rPr>
          <w:rFonts w:hint="eastAsia" w:ascii="宋体" w:hAnsi="宋体" w:cs="宋体"/>
          <w:color w:val="auto"/>
          <w:szCs w:val="24"/>
          <w:highlight w:val="none"/>
        </w:rPr>
        <w:fldChar w:fldCharType="end"/>
      </w:r>
    </w:p>
    <w:p>
      <w:pPr>
        <w:pStyle w:val="3"/>
        <w:jc w:val="both"/>
        <w:rPr>
          <w:rFonts w:hint="eastAsia" w:ascii="宋体" w:hAnsi="宋体" w:cs="宋体"/>
          <w:color w:val="auto"/>
          <w:sz w:val="24"/>
          <w:szCs w:val="24"/>
          <w:highlight w:val="none"/>
        </w:rPr>
      </w:pPr>
    </w:p>
    <w:p>
      <w:pPr>
        <w:pStyle w:val="48"/>
        <w:rPr>
          <w:rFonts w:hint="eastAsia" w:ascii="宋体" w:hAnsi="宋体" w:cs="宋体"/>
          <w:color w:val="auto"/>
          <w:highlight w:val="none"/>
        </w:rPr>
      </w:pPr>
    </w:p>
    <w:p>
      <w:pPr>
        <w:pStyle w:val="3"/>
        <w:jc w:val="center"/>
        <w:rPr>
          <w:rFonts w:hint="eastAsia" w:ascii="宋体" w:hAnsi="宋体" w:cs="宋体"/>
          <w:color w:val="auto"/>
          <w:sz w:val="36"/>
          <w:szCs w:val="36"/>
          <w:highlight w:val="none"/>
        </w:rPr>
      </w:pPr>
      <w:bookmarkStart w:id="0" w:name="_Toc9024"/>
      <w:r>
        <w:rPr>
          <w:rFonts w:hint="eastAsia" w:ascii="宋体" w:hAnsi="宋体" w:cs="宋体"/>
          <w:color w:val="auto"/>
          <w:sz w:val="36"/>
          <w:szCs w:val="36"/>
          <w:highlight w:val="none"/>
        </w:rPr>
        <w:br w:type="page"/>
      </w:r>
      <w:r>
        <w:rPr>
          <w:rFonts w:hint="eastAsia" w:ascii="宋体" w:hAnsi="宋体" w:cs="宋体"/>
          <w:color w:val="auto"/>
          <w:sz w:val="36"/>
          <w:szCs w:val="36"/>
          <w:highlight w:val="none"/>
        </w:rPr>
        <w:t>第一章  投标须知</w:t>
      </w:r>
      <w:bookmarkEnd w:id="0"/>
    </w:p>
    <w:p>
      <w:pPr>
        <w:pStyle w:val="4"/>
        <w:spacing w:line="360" w:lineRule="auto"/>
        <w:rPr>
          <w:rFonts w:hint="eastAsia" w:ascii="宋体" w:hAnsi="宋体" w:cs="宋体"/>
          <w:color w:val="auto"/>
          <w:highlight w:val="none"/>
        </w:rPr>
      </w:pPr>
      <w:bookmarkStart w:id="1" w:name="_Toc24551"/>
      <w:r>
        <w:rPr>
          <w:rFonts w:hint="eastAsia" w:ascii="宋体" w:hAnsi="宋体" w:cs="宋体"/>
          <w:color w:val="auto"/>
          <w:highlight w:val="none"/>
        </w:rPr>
        <w:t>一、投标须知前附表</w:t>
      </w:r>
      <w:bookmarkEnd w:id="1"/>
    </w:p>
    <w:p>
      <w:pPr>
        <w:pStyle w:val="5"/>
        <w:ind w:firstLine="0"/>
        <w:rPr>
          <w:rFonts w:hint="eastAsia" w:ascii="宋体" w:hAnsi="宋体" w:cs="宋体"/>
          <w:b/>
          <w:color w:val="auto"/>
          <w:szCs w:val="21"/>
          <w:highlight w:val="none"/>
        </w:rPr>
      </w:pPr>
      <w:r>
        <w:rPr>
          <w:rFonts w:hint="eastAsia" w:ascii="宋体" w:hAnsi="宋体" w:cs="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9"/>
        <w:tblW w:w="9350"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r>
              <w:rPr>
                <w:rFonts w:hint="eastAsia" w:ascii="宋体" w:hAnsi="宋体" w:cs="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noWrap w:val="0"/>
            <w:vAlign w:val="center"/>
          </w:tcPr>
          <w:p>
            <w:pPr>
              <w:pStyle w:val="27"/>
              <w:ind w:firstLine="458"/>
              <w:jc w:val="center"/>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spacing w:line="360" w:lineRule="auto"/>
              <w:contextualSpacing/>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招标人（即发包人）：</w:t>
            </w:r>
            <w:r>
              <w:rPr>
                <w:rFonts w:hint="eastAsia" w:ascii="宋体" w:hAnsi="宋体" w:eastAsia="宋体" w:cs="宋体"/>
                <w:color w:val="auto"/>
                <w:szCs w:val="24"/>
                <w:highlight w:val="none"/>
                <w:u w:val="single"/>
              </w:rPr>
              <w:t>中新广州知识城财政投资建设项目管理中心</w:t>
            </w:r>
          </w:p>
          <w:p>
            <w:pPr>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招标代理：</w:t>
            </w:r>
            <w:r>
              <w:rPr>
                <w:rFonts w:hint="eastAsia" w:ascii="宋体" w:hAnsi="宋体" w:eastAsia="宋体" w:cs="宋体"/>
                <w:color w:val="auto"/>
                <w:szCs w:val="24"/>
                <w:highlight w:val="none"/>
                <w:u w:val="single"/>
              </w:rPr>
              <w:t>广州穗监工程造价咨询有限公司</w:t>
            </w:r>
          </w:p>
          <w:p>
            <w:pPr>
              <w:pStyle w:val="8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single"/>
              </w:rPr>
              <w:t>代建单位：</w:t>
            </w:r>
            <w:r>
              <w:rPr>
                <w:rFonts w:hint="eastAsia" w:ascii="宋体" w:hAnsi="宋体" w:cs="宋体"/>
                <w:color w:val="auto"/>
                <w:sz w:val="24"/>
                <w:szCs w:val="24"/>
                <w:highlight w:val="none"/>
                <w:u w:val="single"/>
                <w:lang w:eastAsia="zh-CN"/>
              </w:rPr>
              <w:t>广州高新建设开发集团有限公司</w:t>
            </w: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设计单位：</w:t>
            </w:r>
            <w:r>
              <w:rPr>
                <w:rFonts w:hint="eastAsia" w:ascii="宋体" w:hAnsi="宋体" w:eastAsia="宋体" w:cs="宋体"/>
                <w:color w:val="auto"/>
                <w:szCs w:val="24"/>
                <w:highlight w:val="none"/>
                <w:u w:val="single"/>
              </w:rPr>
              <w:t xml:space="preserve"> 广州市市政工程设计研究总院有限公司 </w:t>
            </w:r>
            <w:r>
              <w:rPr>
                <w:rFonts w:hint="eastAsia" w:ascii="宋体" w:hAnsi="宋体" w:eastAsia="宋体" w:cs="宋体"/>
                <w:color w:val="auto"/>
                <w:szCs w:val="24"/>
                <w:highlight w:val="none"/>
              </w:rPr>
              <w:t xml:space="preserve"> </w:t>
            </w:r>
          </w:p>
          <w:p>
            <w:pPr>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监理单位：</w:t>
            </w:r>
            <w:r>
              <w:rPr>
                <w:rFonts w:hint="eastAsia" w:ascii="宋体" w:hAnsi="宋体" w:eastAsia="宋体" w:cs="宋体"/>
                <w:color w:val="auto"/>
                <w:szCs w:val="24"/>
                <w:highlight w:val="none"/>
                <w:u w:val="single"/>
              </w:rPr>
              <w:t xml:space="preserve"> 广东重工建设监理有限公司</w:t>
            </w: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检测机构：</w:t>
            </w:r>
            <w:r>
              <w:rPr>
                <w:rFonts w:hint="eastAsia" w:ascii="宋体" w:hAnsi="宋体" w:eastAsia="宋体" w:cs="宋体"/>
                <w:color w:val="auto"/>
                <w:szCs w:val="24"/>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lang w:eastAsia="zh-CN"/>
              </w:rPr>
              <w:t>知识城北片区土地平整工程（二期）保留山体区域变更平整方案</w:t>
            </w:r>
            <w:r>
              <w:rPr>
                <w:rFonts w:hint="eastAsia" w:ascii="宋体" w:hAnsi="宋体" w:cs="宋体"/>
                <w:color w:val="auto"/>
                <w:szCs w:val="21"/>
                <w:highlight w:val="none"/>
                <w:u w:val="single"/>
              </w:rPr>
              <w:t>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知识城北片区，九龙大道以东，规划玉兰大道以北。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u w:val="single"/>
              </w:rPr>
              <w:t>包工、包料、包工期、包质量、包安全、包文明施工、包验收、包保修。综合单价包干；措施项目费（除施工围蔽费用外）包干，施工围蔽清单综合单价包干，工程量按实计量。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6</w:t>
            </w:r>
          </w:p>
        </w:tc>
        <w:tc>
          <w:tcPr>
            <w:tcW w:w="981"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857" w:type="dxa"/>
            <w:tcBorders>
              <w:top w:val="single" w:color="auto" w:sz="4" w:space="0"/>
              <w:left w:val="single" w:color="auto" w:sz="4" w:space="0"/>
              <w:bottom w:val="double" w:color="auto" w:sz="4" w:space="0"/>
              <w:right w:val="double" w:color="auto" w:sz="4" w:space="0"/>
            </w:tcBorders>
            <w:noWrap w:val="0"/>
            <w:vAlign w:val="center"/>
          </w:tcPr>
          <w:p>
            <w:pPr>
              <w:pStyle w:val="276"/>
              <w:snapToGrid w:val="0"/>
              <w:spacing w:line="320" w:lineRule="exact"/>
              <w:rPr>
                <w:rFonts w:hint="eastAsia" w:ascii="宋体" w:hAnsi="宋体" w:cs="宋体"/>
                <w:color w:val="auto"/>
                <w:szCs w:val="21"/>
                <w:highlight w:val="none"/>
                <w:u w:val="single"/>
              </w:rPr>
            </w:pPr>
            <w:r>
              <w:rPr>
                <w:rFonts w:hint="eastAsia" w:ascii="宋体" w:hAnsi="宋体" w:cs="宋体"/>
                <w:color w:val="auto"/>
                <w:sz w:val="21"/>
                <w:szCs w:val="21"/>
                <w:highlight w:val="none"/>
              </w:rPr>
              <w:t>工程质量达到国家或行业质量检验评定的合格标准。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doub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7</w:t>
            </w:r>
          </w:p>
        </w:tc>
        <w:tc>
          <w:tcPr>
            <w:tcW w:w="981" w:type="dxa"/>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5857" w:type="dxa"/>
            <w:tcBorders>
              <w:top w:val="doub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计划</w:t>
            </w:r>
            <w:r>
              <w:rPr>
                <w:rFonts w:hint="eastAsia" w:ascii="宋体" w:hAnsi="宋体" w:eastAsia="宋体" w:cs="宋体"/>
                <w:color w:val="auto"/>
                <w:highlight w:val="none"/>
                <w:lang w:eastAsia="zh-CN"/>
              </w:rPr>
              <w:t>202</w:t>
            </w:r>
            <w:r>
              <w:rPr>
                <w:rFonts w:hint="eastAsia" w:ascii="宋体" w:hAnsi="宋体" w:eastAsia="宋体" w:cs="宋体"/>
                <w:color w:val="auto"/>
                <w:highlight w:val="none"/>
                <w:lang w:val="en-US" w:eastAsia="zh-CN"/>
              </w:rPr>
              <w:t>3</w:t>
            </w:r>
            <w:r>
              <w:rPr>
                <w:rFonts w:hint="eastAsia" w:ascii="宋体" w:hAnsi="宋体" w:cs="宋体"/>
                <w:color w:val="auto"/>
                <w:highlight w:val="none"/>
              </w:rPr>
              <w:t>年</w:t>
            </w:r>
            <w:r>
              <w:rPr>
                <w:rFonts w:hint="eastAsia" w:ascii="宋体" w:hAnsi="宋体" w:eastAsia="宋体" w:cs="宋体"/>
                <w:color w:val="auto"/>
                <w:highlight w:val="none"/>
                <w:lang w:val="en-US" w:eastAsia="zh-CN"/>
              </w:rPr>
              <w:t>8</w:t>
            </w:r>
            <w:r>
              <w:rPr>
                <w:rFonts w:hint="eastAsia" w:ascii="宋体" w:hAnsi="宋体" w:cs="宋体"/>
                <w:color w:val="auto"/>
                <w:highlight w:val="none"/>
              </w:rPr>
              <w:t>月</w:t>
            </w:r>
            <w:r>
              <w:rPr>
                <w:rFonts w:hint="eastAsia" w:ascii="宋体" w:hAnsi="宋体" w:eastAsia="宋体" w:cs="宋体"/>
                <w:color w:val="auto"/>
                <w:highlight w:val="none"/>
                <w:lang w:val="en-US" w:eastAsia="zh-CN"/>
              </w:rPr>
              <w:t>15</w:t>
            </w:r>
            <w:r>
              <w:rPr>
                <w:rFonts w:hint="eastAsia" w:ascii="宋体" w:hAnsi="宋体" w:cs="宋体"/>
                <w:color w:val="auto"/>
                <w:highlight w:val="none"/>
              </w:rPr>
              <w:t>日开工，施工总工期：</w:t>
            </w:r>
            <w:r>
              <w:rPr>
                <w:rFonts w:hint="eastAsia" w:ascii="宋体" w:hAnsi="宋体" w:eastAsia="宋体" w:cs="宋体"/>
                <w:color w:val="auto"/>
                <w:highlight w:val="none"/>
                <w:u w:val="single"/>
                <w:lang w:eastAsia="zh-CN"/>
              </w:rPr>
              <w:t>1</w:t>
            </w:r>
            <w:r>
              <w:rPr>
                <w:rFonts w:hint="eastAsia" w:ascii="宋体" w:hAnsi="宋体" w:eastAsia="宋体" w:cs="宋体"/>
                <w:color w:val="auto"/>
                <w:highlight w:val="none"/>
                <w:u w:val="single"/>
                <w:lang w:val="en-US" w:eastAsia="zh-CN"/>
              </w:rPr>
              <w:t>80</w:t>
            </w:r>
            <w:r>
              <w:rPr>
                <w:rFonts w:hint="eastAsia" w:ascii="宋体" w:hAnsi="宋体" w:cs="宋体"/>
                <w:color w:val="auto"/>
                <w:highlight w:val="none"/>
              </w:rPr>
              <w:t>日历天。</w:t>
            </w:r>
          </w:p>
          <w:p>
            <w:pPr>
              <w:pStyle w:val="89"/>
              <w:rPr>
                <w:rFonts w:hint="eastAsia" w:ascii="宋体" w:hAnsi="宋体" w:cs="宋体"/>
                <w:color w:val="auto"/>
                <w:szCs w:val="21"/>
                <w:highlight w:val="none"/>
                <w:u w:val="single"/>
              </w:rPr>
            </w:pPr>
            <w:r>
              <w:rPr>
                <w:rFonts w:hint="eastAsia" w:ascii="宋体" w:hAnsi="宋体" w:cs="宋体"/>
                <w:color w:val="auto"/>
                <w:highlight w:val="none"/>
              </w:rPr>
              <w:t>注：本工程正式签署合同时，施工工期按中标投标文件承诺工期。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区财政资金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工程量清单计价</w:t>
            </w:r>
            <w:r>
              <w:rPr>
                <w:rFonts w:hint="eastAsia" w:ascii="宋体" w:hAnsi="宋体" w:cs="宋体"/>
                <w:color w:val="auto"/>
                <w:szCs w:val="21"/>
                <w:highlight w:val="none"/>
                <w:u w:val="single"/>
              </w:rPr>
              <w:t>，按国家、省有关计价规范执行</w:t>
            </w:r>
            <w:r>
              <w:rPr>
                <w:rFonts w:hint="eastAsia" w:ascii="宋体" w:hAnsi="宋体" w:cs="宋体"/>
                <w:color w:val="auto"/>
                <w:szCs w:val="21"/>
                <w:highlight w:val="none"/>
              </w:rPr>
              <w:t>。</w:t>
            </w:r>
            <w:r>
              <w:rPr>
                <w:rFonts w:hint="eastAsia" w:ascii="宋体" w:hAnsi="宋体" w:cs="宋体"/>
                <w:color w:val="auto"/>
                <w:szCs w:val="21"/>
                <w:highlight w:val="none"/>
                <w:u w:val="single"/>
              </w:rPr>
              <w:t>纳入年度审计项目计划的政府投资项目，审计机关出具的审计结果应当作为该政府投资项目价款结算的依据（适用于纳入年度审计项目计划的项目）。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如投标有效期内发生异议或投诉的，则投标有效期自动延长至异议或投诉处理结束后90日历天。中标人的投标有效期自动延期至合同履行完毕。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topLinePunct/>
              <w:spacing w:after="120"/>
              <w:rPr>
                <w:rFonts w:ascii="宋体" w:hAnsi="宋体"/>
                <w:color w:val="auto"/>
                <w:sz w:val="24"/>
                <w:highlight w:val="none"/>
              </w:rPr>
            </w:pPr>
            <w:r>
              <w:rPr>
                <w:rFonts w:hint="eastAsia" w:ascii="宋体" w:hAnsi="宋体"/>
                <w:color w:val="auto"/>
                <w:sz w:val="24"/>
                <w:highlight w:val="none"/>
              </w:rPr>
              <w:t>是否要求投标人递交投标保证金：</w:t>
            </w:r>
          </w:p>
          <w:p>
            <w:pPr>
              <w:topLinePunct/>
              <w:spacing w:after="120"/>
              <w:rPr>
                <w:rFonts w:ascii="宋体" w:hAnsi="宋体"/>
                <w:color w:val="auto"/>
                <w:sz w:val="24"/>
                <w:highlight w:val="none"/>
              </w:rPr>
            </w:pPr>
            <w:r>
              <w:rPr>
                <w:rFonts w:hint="eastAsia" w:ascii="宋体" w:hAnsi="宋体"/>
                <w:color w:val="auto"/>
                <w:sz w:val="24"/>
                <w:highlight w:val="none"/>
              </w:rPr>
              <w:t>□不要求递交投标保证金。</w:t>
            </w:r>
          </w:p>
          <w:p>
            <w:pPr>
              <w:topLinePunct/>
              <w:spacing w:after="120"/>
              <w:rPr>
                <w:rFonts w:ascii="宋体" w:hAnsi="宋体"/>
                <w:color w:val="auto"/>
                <w:sz w:val="24"/>
                <w:highlight w:val="none"/>
              </w:rPr>
            </w:pPr>
            <w:r>
              <w:rPr>
                <w:rFonts w:hint="eastAsia" w:ascii="宋体" w:hAnsi="宋体"/>
                <w:color w:val="auto"/>
                <w:sz w:val="24"/>
                <w:highlight w:val="none"/>
              </w:rPr>
              <w:t>■要求递交投标保证金。投标保证金的金额：</w:t>
            </w:r>
            <w:r>
              <w:rPr>
                <w:rFonts w:hint="eastAsia" w:ascii="宋体" w:hAnsi="宋体" w:eastAsia="宋体"/>
                <w:color w:val="auto"/>
                <w:sz w:val="24"/>
                <w:highlight w:val="none"/>
                <w:lang w:eastAsia="zh-CN"/>
              </w:rPr>
              <w:t>5</w:t>
            </w:r>
            <w:r>
              <w:rPr>
                <w:rFonts w:ascii="宋体" w:hAnsi="宋体"/>
                <w:color w:val="auto"/>
                <w:sz w:val="24"/>
                <w:highlight w:val="none"/>
              </w:rPr>
              <w:t>万元；</w:t>
            </w:r>
          </w:p>
          <w:p>
            <w:pPr>
              <w:topLinePunct/>
              <w:spacing w:after="120"/>
              <w:rPr>
                <w:rFonts w:ascii="宋体" w:hAnsi="宋体"/>
                <w:color w:val="auto"/>
                <w:sz w:val="24"/>
                <w:highlight w:val="none"/>
              </w:rPr>
            </w:pPr>
            <w:r>
              <w:rPr>
                <w:rFonts w:hint="eastAsia" w:ascii="宋体" w:hAnsi="宋体"/>
                <w:color w:val="auto"/>
                <w:sz w:val="24"/>
                <w:highlight w:val="none"/>
              </w:rPr>
              <w:t>投标保证金有效期：与投标有效期一致。</w:t>
            </w:r>
          </w:p>
          <w:p>
            <w:pPr>
              <w:topLinePunct/>
              <w:spacing w:after="120"/>
              <w:rPr>
                <w:rFonts w:ascii="宋体" w:hAnsi="宋体"/>
                <w:color w:val="auto"/>
                <w:sz w:val="24"/>
                <w:highlight w:val="none"/>
              </w:rPr>
            </w:pPr>
            <w:r>
              <w:rPr>
                <w:rFonts w:ascii="宋体" w:hAnsi="宋体"/>
                <w:color w:val="auto"/>
                <w:sz w:val="24"/>
                <w:highlight w:val="none"/>
              </w:rPr>
              <w:t>1．投标保证金的形式：投标保证金可采用现金、支票、投标保证保险、投标保函（银行或专业担保公司出具）的形式，须在递交投标文件截止时间前完成缴纳。</w:t>
            </w:r>
          </w:p>
          <w:p>
            <w:pPr>
              <w:topLinePunct/>
              <w:spacing w:after="120"/>
              <w:rPr>
                <w:rFonts w:ascii="宋体" w:hAnsi="宋体"/>
                <w:color w:val="auto"/>
                <w:sz w:val="24"/>
                <w:highlight w:val="none"/>
              </w:rPr>
            </w:pPr>
            <w:r>
              <w:rPr>
                <w:rFonts w:ascii="宋体" w:hAnsi="宋体"/>
                <w:color w:val="auto"/>
                <w:sz w:val="24"/>
                <w:highlight w:val="none"/>
              </w:rPr>
              <w:t>2．如采用现金或者支票方式提交的，由广州公共资源交易中心代收。保证金从投标人基本账户转账至广州公共资源交易中心。其缴纳情况以广州公共资源交易中心数据库记录的信息为准。缴纳时间：递交投标文件开始时至递交投标文件截止时间前。具体操作步骤参见广州公共资源交易中心最新的投标保证金缴纳操作流程。</w:t>
            </w:r>
          </w:p>
          <w:p>
            <w:pPr>
              <w:topLinePunct/>
              <w:spacing w:after="120"/>
              <w:ind w:left="0" w:leftChars="0" w:firstLine="0" w:firstLineChars="0"/>
              <w:rPr>
                <w:rFonts w:hint="eastAsia" w:ascii="宋体" w:hAnsi="宋体" w:cs="宋体"/>
                <w:color w:val="auto"/>
                <w:sz w:val="24"/>
                <w:highlight w:val="none"/>
              </w:rPr>
            </w:pPr>
            <w:r>
              <w:rPr>
                <w:rFonts w:ascii="宋体" w:hAnsi="宋体"/>
                <w:color w:val="auto"/>
                <w:sz w:val="24"/>
                <w:highlight w:val="none"/>
              </w:rPr>
              <w:t>3．如采用投标保函或投标保证保险的方式提交的，投标保</w:t>
            </w:r>
            <w:r>
              <w:rPr>
                <w:rFonts w:hint="eastAsia" w:ascii="宋体" w:hAnsi="宋体"/>
                <w:color w:val="auto"/>
                <w:sz w:val="24"/>
                <w:highlight w:val="none"/>
              </w:rPr>
              <w:t>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纸质原件将在网上公示。若以交易系统支持的电子保函或电子投标保证保险递交的，到账情况以开标时广州公共资源交易中心数据库查询信息为准。</w:t>
            </w:r>
            <w:r>
              <w:rPr>
                <w:rFonts w:ascii="宋体" w:hAnsi="宋体"/>
                <w:color w:val="auto"/>
                <w:sz w:val="24"/>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pStyle w:val="27"/>
              <w:rPr>
                <w:rFonts w:hint="eastAsia" w:ascii="宋体" w:hAnsi="宋体" w:cs="宋体"/>
                <w:color w:val="auto"/>
                <w:kern w:val="2"/>
                <w:sz w:val="21"/>
                <w:szCs w:val="21"/>
                <w:highlight w:val="none"/>
              </w:rPr>
            </w:pPr>
            <w:r>
              <w:rPr>
                <w:rFonts w:hint="eastAsia" w:ascii="宋体" w:hAnsi="宋体" w:cs="宋体"/>
                <w:color w:val="auto"/>
                <w:sz w:val="21"/>
                <w:szCs w:val="21"/>
                <w:highlight w:val="none"/>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2023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分前；</w:t>
            </w:r>
            <w:r>
              <w:rPr>
                <w:rFonts w:hint="eastAsia" w:ascii="宋体" w:hAnsi="宋体" w:cs="宋体"/>
                <w:color w:val="auto"/>
                <w:szCs w:val="21"/>
                <w:highlight w:val="none"/>
                <w:u w:val="single"/>
              </w:rPr>
              <w:t>(在递交投标文件截止日期前18日)</w:t>
            </w:r>
          </w:p>
          <w:p>
            <w:pPr>
              <w:rPr>
                <w:rFonts w:hint="eastAsia"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交易平台提交。</w:t>
            </w:r>
          </w:p>
          <w:p>
            <w:pPr>
              <w:rPr>
                <w:rFonts w:hint="eastAsia" w:ascii="宋体" w:hAnsi="宋体" w:cs="宋体"/>
                <w:color w:val="auto"/>
                <w:szCs w:val="21"/>
                <w:highlight w:val="none"/>
              </w:rPr>
            </w:pPr>
            <w:r>
              <w:rPr>
                <w:rFonts w:hint="eastAsia" w:ascii="宋体" w:hAnsi="宋体" w:cs="宋体"/>
                <w:color w:val="auto"/>
                <w:szCs w:val="21"/>
                <w:highlight w:val="none"/>
              </w:rPr>
              <w:t>具体要求：按照交易平台关于全流程电子化项目的相关指南进行操作，详见：</w:t>
            </w:r>
            <w:r>
              <w:rPr>
                <w:rFonts w:hint="eastAsia" w:ascii="宋体" w:hAnsi="宋体" w:cs="宋体"/>
                <w:color w:val="auto"/>
                <w:szCs w:val="21"/>
                <w:highlight w:val="none"/>
                <w:u w:val="single"/>
                <w:lang w:eastAsia="zh-CN"/>
              </w:rPr>
              <w:t>广州公共资源交易中心最新指引</w:t>
            </w:r>
            <w:r>
              <w:rPr>
                <w:rFonts w:hint="eastAsia" w:ascii="宋体" w:hAnsi="宋体" w:cs="宋体"/>
                <w:color w:val="auto"/>
                <w:szCs w:val="21"/>
                <w:highlight w:val="none"/>
              </w:rPr>
              <w:t>。 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eastAsia="宋体" w:cs="宋体"/>
                <w:color w:val="auto"/>
                <w:szCs w:val="21"/>
                <w:highlight w:val="none"/>
                <w:u w:val="single"/>
                <w:lang w:eastAsia="zh-CN"/>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15</w:t>
            </w:r>
            <w:r>
              <w:rPr>
                <w:rFonts w:hint="eastAsia" w:ascii="宋体" w:hAnsi="宋体" w:cs="宋体"/>
                <w:color w:val="auto"/>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（技术标和经济标同时开标）</w:t>
            </w:r>
          </w:p>
          <w:p>
            <w:pPr>
              <w:rPr>
                <w:rFonts w:hint="eastAsia" w:ascii="宋体" w:hAnsi="宋体" w:cs="宋体"/>
                <w:color w:val="auto"/>
                <w:szCs w:val="21"/>
                <w:highlight w:val="none"/>
              </w:rPr>
            </w:pPr>
            <w:r>
              <w:rPr>
                <w:rFonts w:hint="eastAsia" w:ascii="宋体" w:hAnsi="宋体" w:cs="宋体"/>
                <w:color w:val="auto"/>
                <w:szCs w:val="21"/>
                <w:highlight w:val="none"/>
              </w:rPr>
              <w:t>1、开标开始时间：</w:t>
            </w:r>
            <w:r>
              <w:rPr>
                <w:rFonts w:hint="eastAsia" w:ascii="宋体" w:hAnsi="宋体" w:eastAsia="宋体" w:cs="宋体"/>
                <w:color w:val="auto"/>
                <w:szCs w:val="21"/>
                <w:highlight w:val="none"/>
                <w:u w:val="single"/>
                <w:lang w:eastAsia="zh-CN"/>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15</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广州公共资源交易中心黄埔交易部</w:t>
            </w:r>
            <w:r>
              <w:rPr>
                <w:rFonts w:hint="eastAsia" w:ascii="宋体" w:hAnsi="宋体" w:eastAsia="宋体" w:cs="宋体"/>
                <w:color w:val="auto"/>
                <w:szCs w:val="21"/>
                <w:highlight w:val="none"/>
                <w:u w:val="single"/>
                <w:lang w:val="en-US" w:eastAsia="zh-CN"/>
              </w:rPr>
              <w:t>第1</w:t>
            </w:r>
            <w:r>
              <w:rPr>
                <w:rFonts w:hint="eastAsia" w:ascii="宋体" w:hAnsi="宋体" w:cs="宋体"/>
                <w:color w:val="auto"/>
                <w:szCs w:val="21"/>
                <w:highlight w:val="none"/>
                <w:u w:val="single"/>
              </w:rPr>
              <w:t>开标室。投标人也可选择参加在线开标，具体按照交易平台相关指南进行操作。详见：广州公共资源交易中心网站</w:t>
            </w:r>
            <w:r>
              <w:rPr>
                <w:rFonts w:hint="eastAsia" w:ascii="宋体" w:hAnsi="宋体" w:eastAsia="宋体" w:cs="宋体"/>
                <w:color w:val="auto"/>
                <w:szCs w:val="21"/>
                <w:highlight w:val="none"/>
                <w:u w:val="single"/>
                <w:lang w:eastAsia="zh-CN"/>
              </w:rPr>
              <w:t>最新指引</w:t>
            </w:r>
            <w:r>
              <w:rPr>
                <w:rFonts w:hint="eastAsia" w:ascii="宋体" w:hAnsi="宋体" w:cs="宋体"/>
                <w:color w:val="auto"/>
                <w:szCs w:val="21"/>
                <w:highlight w:val="none"/>
                <w:u w:val="single"/>
              </w:rPr>
              <w:t>。</w:t>
            </w:r>
          </w:p>
          <w:p>
            <w:pPr>
              <w:rPr>
                <w:rFonts w:hint="eastAsia"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pPr>
              <w:rPr>
                <w:rFonts w:hint="eastAsia" w:ascii="宋体" w:hAnsi="宋体" w:cs="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eastAsia="宋体" w:cs="宋体"/>
                <w:color w:val="auto"/>
                <w:szCs w:val="21"/>
                <w:highlight w:val="none"/>
                <w:u w:val="single"/>
                <w:lang w:eastAsia="zh-CN"/>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00</w:t>
            </w:r>
            <w:r>
              <w:rPr>
                <w:rFonts w:hint="eastAsia" w:ascii="宋体" w:hAnsi="宋体" w:cs="宋体"/>
                <w:color w:val="auto"/>
                <w:szCs w:val="21"/>
                <w:highlight w:val="none"/>
              </w:rPr>
              <w:t>分至</w:t>
            </w:r>
            <w:r>
              <w:rPr>
                <w:rFonts w:hint="eastAsia" w:ascii="宋体" w:hAnsi="宋体" w:eastAsia="宋体" w:cs="宋体"/>
                <w:color w:val="auto"/>
                <w:szCs w:val="21"/>
                <w:highlight w:val="none"/>
                <w:u w:val="single"/>
                <w:lang w:eastAsia="zh-CN"/>
              </w:rPr>
              <w:t>2023</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15</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广州公共资源交易中心黄埔交易部</w:t>
            </w:r>
            <w:r>
              <w:rPr>
                <w:rFonts w:hint="eastAsia" w:ascii="宋体" w:hAnsi="宋体" w:eastAsia="宋体" w:cs="宋体"/>
                <w:color w:val="auto"/>
                <w:szCs w:val="21"/>
                <w:highlight w:val="none"/>
                <w:u w:val="single"/>
                <w:lang w:val="en-US" w:eastAsia="zh-CN"/>
              </w:rPr>
              <w:t>第1</w:t>
            </w:r>
            <w:r>
              <w:rPr>
                <w:rFonts w:hint="eastAsia" w:ascii="宋体" w:hAnsi="宋体" w:cs="宋体"/>
                <w:color w:val="auto"/>
                <w:szCs w:val="21"/>
                <w:highlight w:val="none"/>
                <w:u w:val="single"/>
              </w:rPr>
              <w:t>开标室</w:t>
            </w:r>
            <w:r>
              <w:rPr>
                <w:rFonts w:hint="eastAsia" w:ascii="宋体" w:hAnsi="宋体" w:cs="宋体"/>
                <w:color w:val="auto"/>
                <w:szCs w:val="21"/>
                <w:highlight w:val="none"/>
              </w:rPr>
              <w:t>。</w:t>
            </w:r>
          </w:p>
          <w:p>
            <w:pPr>
              <w:rPr>
                <w:rFonts w:hint="eastAsia" w:ascii="宋体" w:hAnsi="宋体" w:cs="宋体"/>
                <w:color w:val="auto"/>
                <w:szCs w:val="21"/>
                <w:highlight w:val="none"/>
              </w:rPr>
            </w:pPr>
            <w:r>
              <w:rPr>
                <w:rFonts w:hint="eastAsia" w:ascii="宋体" w:hAnsi="宋体" w:cs="宋体"/>
                <w:color w:val="auto"/>
                <w:highlight w:val="none"/>
              </w:rPr>
              <w:t>上述时间及地点是否有改变，请</w:t>
            </w:r>
            <w:bookmarkStart w:id="49" w:name="_GoBack"/>
            <w:bookmarkEnd w:id="49"/>
            <w:r>
              <w:rPr>
                <w:rFonts w:hint="eastAsia" w:ascii="宋体" w:hAnsi="宋体" w:cs="宋体"/>
                <w:color w:val="auto"/>
                <w:highlight w:val="none"/>
              </w:rPr>
              <w:t>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pStyle w:val="48"/>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方式一：可选办法七（适合综合评分法四，技术标与经济标同时开启）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方式一：中标人提供的履约担保金额为中标价款的10%。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本项目最高投标限价为人民币</w:t>
            </w:r>
            <w:r>
              <w:rPr>
                <w:rFonts w:hint="eastAsia" w:ascii="宋体" w:hAnsi="宋体" w:cs="宋体"/>
                <w:color w:val="auto"/>
                <w:szCs w:val="21"/>
                <w:highlight w:val="none"/>
                <w:u w:val="single"/>
              </w:rPr>
              <w:t xml:space="preserve"> </w:t>
            </w:r>
            <w:r>
              <w:rPr>
                <w:rFonts w:hint="eastAsia" w:ascii="宋体" w:hAnsi="宋体"/>
                <w:sz w:val="24"/>
                <w:szCs w:val="24"/>
                <w:highlight w:val="none"/>
                <w:u w:val="single"/>
                <w:lang w:val="en-US" w:eastAsia="zh-CN"/>
              </w:rPr>
              <w:t>21585235.53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206328.50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元（扬尘污染防治费用、使用封闭式外脚手架金属防护网费用和绿色施工围蔽费用等纳入绿色施工安全防护措施费），暂列金额为</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319632.81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元，暂估价为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pStyle w:val="48"/>
              <w:ind w:firstLine="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strike/>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strike/>
                <w:color w:val="auto"/>
                <w:szCs w:val="21"/>
                <w:highlight w:val="none"/>
              </w:rPr>
              <w:t>计算评标参考价的等分点值X在开标前从[0,100] 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strike/>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strike/>
                <w:color w:val="auto"/>
                <w:szCs w:val="21"/>
                <w:highlight w:val="none"/>
              </w:rPr>
              <w:fldChar w:fldCharType="begin"/>
            </w:r>
            <w:r>
              <w:rPr>
                <w:rFonts w:hint="eastAsia" w:ascii="宋体" w:hAnsi="宋体" w:cs="宋体"/>
                <w:strike/>
                <w:color w:val="auto"/>
                <w:szCs w:val="21"/>
                <w:highlight w:val="none"/>
              </w:rPr>
              <w:instrText xml:space="preserve"> = 1 \* GB3 </w:instrText>
            </w:r>
            <w:r>
              <w:rPr>
                <w:rFonts w:hint="eastAsia" w:ascii="宋体" w:hAnsi="宋体" w:cs="宋体"/>
                <w:strike/>
                <w:color w:val="auto"/>
                <w:szCs w:val="21"/>
                <w:highlight w:val="none"/>
              </w:rPr>
              <w:fldChar w:fldCharType="separate"/>
            </w:r>
            <w:r>
              <w:rPr>
                <w:rFonts w:hint="eastAsia" w:ascii="宋体" w:hAnsi="宋体" w:cs="宋体"/>
                <w:strike/>
                <w:color w:val="auto"/>
                <w:szCs w:val="21"/>
                <w:highlight w:val="none"/>
              </w:rPr>
              <w:t>①</w:t>
            </w:r>
            <w:r>
              <w:rPr>
                <w:rFonts w:hint="eastAsia" w:ascii="宋体" w:hAnsi="宋体" w:cs="宋体"/>
                <w:strike/>
                <w:color w:val="auto"/>
                <w:szCs w:val="21"/>
                <w:highlight w:val="none"/>
              </w:rPr>
              <w:fldChar w:fldCharType="end"/>
            </w:r>
            <w:r>
              <w:rPr>
                <w:rFonts w:hint="eastAsia" w:ascii="宋体" w:hAnsi="宋体" w:cs="宋体"/>
                <w:strike/>
                <w:color w:val="auto"/>
                <w:szCs w:val="21"/>
                <w:highlight w:val="none"/>
              </w:rPr>
              <w:t>通过技术有效性审查的投标人均进入第二阶段（适用于通过技术有效性审查家数在[3,</w:t>
            </w:r>
            <w:r>
              <w:rPr>
                <w:rFonts w:hint="eastAsia" w:ascii="宋体" w:hAnsi="宋体" w:cs="宋体"/>
                <w:strike/>
                <w:color w:val="auto"/>
                <w:szCs w:val="21"/>
                <w:highlight w:val="none"/>
                <w:u w:val="single"/>
              </w:rPr>
              <w:t xml:space="preserve">  </w:t>
            </w:r>
            <w:r>
              <w:rPr>
                <w:rFonts w:hint="eastAsia" w:ascii="宋体" w:hAnsi="宋体" w:cs="宋体"/>
                <w:strike/>
                <w:color w:val="auto"/>
                <w:szCs w:val="21"/>
                <w:highlight w:val="none"/>
              </w:rPr>
              <w:t>]中的）。</w:t>
            </w:r>
          </w:p>
          <w:p>
            <w:pPr>
              <w:rPr>
                <w:rFonts w:hint="eastAsia" w:ascii="宋体" w:hAnsi="宋体" w:cs="宋体"/>
                <w:strike/>
                <w:color w:val="auto"/>
                <w:szCs w:val="21"/>
                <w:highlight w:val="none"/>
              </w:rPr>
            </w:pPr>
            <w:r>
              <w:rPr>
                <w:rFonts w:hint="eastAsia" w:ascii="宋体" w:hAnsi="宋体" w:cs="宋体"/>
                <w:strike/>
                <w:color w:val="auto"/>
                <w:szCs w:val="21"/>
                <w:highlight w:val="none"/>
              </w:rPr>
              <w:fldChar w:fldCharType="begin"/>
            </w:r>
            <w:r>
              <w:rPr>
                <w:rFonts w:hint="eastAsia" w:ascii="宋体" w:hAnsi="宋体" w:cs="宋体"/>
                <w:strike/>
                <w:color w:val="auto"/>
                <w:szCs w:val="21"/>
                <w:highlight w:val="none"/>
              </w:rPr>
              <w:instrText xml:space="preserve"> = 2 \* GB3 </w:instrText>
            </w:r>
            <w:r>
              <w:rPr>
                <w:rFonts w:hint="eastAsia" w:ascii="宋体" w:hAnsi="宋体" w:cs="宋体"/>
                <w:strike/>
                <w:color w:val="auto"/>
                <w:szCs w:val="21"/>
                <w:highlight w:val="none"/>
              </w:rPr>
              <w:fldChar w:fldCharType="separate"/>
            </w:r>
            <w:r>
              <w:rPr>
                <w:rFonts w:hint="eastAsia" w:ascii="宋体" w:hAnsi="宋体" w:cs="宋体"/>
                <w:strike/>
                <w:color w:val="auto"/>
                <w:szCs w:val="21"/>
                <w:highlight w:val="none"/>
              </w:rPr>
              <w:t>②</w:t>
            </w:r>
            <w:r>
              <w:rPr>
                <w:rFonts w:hint="eastAsia" w:ascii="宋体" w:hAnsi="宋体" w:cs="宋体"/>
                <w:strike/>
                <w:color w:val="auto"/>
                <w:szCs w:val="21"/>
                <w:highlight w:val="none"/>
              </w:rPr>
              <w:fldChar w:fldCharType="end"/>
            </w:r>
            <w:r>
              <w:rPr>
                <w:rFonts w:hint="eastAsia" w:ascii="宋体" w:hAnsi="宋体" w:cs="宋体"/>
                <w:strike/>
                <w:color w:val="auto"/>
                <w:szCs w:val="21"/>
                <w:highlight w:val="none"/>
              </w:rPr>
              <w:t>将第一阶段得分由高至低排序，前</w:t>
            </w:r>
            <w:r>
              <w:rPr>
                <w:rFonts w:hint="eastAsia" w:ascii="宋体" w:hAnsi="宋体" w:cs="宋体"/>
                <w:strike/>
                <w:color w:val="auto"/>
                <w:szCs w:val="21"/>
                <w:highlight w:val="none"/>
                <w:u w:val="single"/>
              </w:rPr>
              <w:t xml:space="preserve">  </w:t>
            </w:r>
            <w:r>
              <w:rPr>
                <w:rFonts w:hint="eastAsia" w:ascii="宋体" w:hAnsi="宋体" w:cs="宋体"/>
                <w:strike/>
                <w:color w:val="auto"/>
                <w:szCs w:val="21"/>
                <w:highlight w:val="none"/>
              </w:rPr>
              <w:t>名投标人进入第二阶段评审（适用于通过技术有效性审查家数大于</w:t>
            </w:r>
            <w:r>
              <w:rPr>
                <w:rFonts w:hint="eastAsia" w:ascii="宋体" w:hAnsi="宋体" w:cs="宋体"/>
                <w:strike/>
                <w:color w:val="auto"/>
                <w:szCs w:val="21"/>
                <w:highlight w:val="none"/>
                <w:u w:val="single"/>
              </w:rPr>
              <w:t xml:space="preserve">  </w:t>
            </w:r>
            <w:r>
              <w:rPr>
                <w:rFonts w:hint="eastAsia" w:ascii="宋体" w:hAnsi="宋体" w:cs="宋体"/>
                <w:strike/>
                <w:color w:val="auto"/>
                <w:szCs w:val="21"/>
                <w:highlight w:val="none"/>
              </w:rPr>
              <w:t>家的，招标人可根据工程具体情况，确定不少于</w:t>
            </w:r>
            <w:r>
              <w:rPr>
                <w:rFonts w:hint="eastAsia" w:ascii="宋体" w:hAnsi="宋体" w:cs="宋体"/>
                <w:strike/>
                <w:color w:val="auto"/>
                <w:szCs w:val="21"/>
                <w:highlight w:val="none"/>
                <w:u w:val="single"/>
              </w:rPr>
              <w:t xml:space="preserve">  </w:t>
            </w:r>
            <w:r>
              <w:rPr>
                <w:rFonts w:hint="eastAsia" w:ascii="宋体" w:hAnsi="宋体" w:cs="宋体"/>
                <w:strike/>
                <w:color w:val="auto"/>
                <w:szCs w:val="21"/>
                <w:highlight w:val="none"/>
              </w:rPr>
              <w:t>家进入第二阶段）。</w:t>
            </w:r>
          </w:p>
          <w:p>
            <w:pPr>
              <w:rPr>
                <w:rFonts w:hint="eastAsia" w:ascii="宋体" w:hAnsi="宋体" w:cs="宋体"/>
                <w:strike/>
                <w:color w:val="auto"/>
                <w:szCs w:val="21"/>
                <w:highlight w:val="none"/>
              </w:rPr>
            </w:pPr>
            <w:r>
              <w:rPr>
                <w:rFonts w:hint="eastAsia" w:ascii="宋体" w:hAnsi="宋体" w:cs="宋体"/>
                <w:strike/>
                <w:color w:val="auto"/>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工程成本警戒价</w:t>
            </w:r>
            <w:r>
              <w:rPr>
                <w:rFonts w:hint="eastAsia" w:ascii="宋体" w:hAnsi="宋体" w:cs="宋体"/>
                <w:color w:val="auto"/>
                <w:szCs w:val="21"/>
                <w:highlight w:val="none"/>
                <w:u w:val="single"/>
              </w:rPr>
              <w:t xml:space="preserve">为 </w:t>
            </w:r>
            <w:r>
              <w:rPr>
                <w:rFonts w:hint="eastAsia" w:ascii="宋体" w:hAnsi="宋体" w:eastAsia="宋体" w:cs="宋体"/>
                <w:color w:val="auto"/>
                <w:szCs w:val="21"/>
                <w:highlight w:val="none"/>
                <w:u w:val="single"/>
                <w:lang w:val="en-US" w:eastAsia="zh-CN"/>
              </w:rPr>
              <w:t>19426711.98</w:t>
            </w:r>
            <w:r>
              <w:rPr>
                <w:rFonts w:hint="eastAsia" w:ascii="宋体" w:hAnsi="宋体" w:cs="宋体"/>
                <w:color w:val="auto"/>
                <w:szCs w:val="21"/>
                <w:highlight w:val="none"/>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hint="eastAsia"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各分值的权重</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技术分权重为</w:t>
            </w:r>
            <w:r>
              <w:rPr>
                <w:rFonts w:hint="eastAsia" w:ascii="宋体" w:hAnsi="宋体" w:eastAsia="宋体" w:cs="宋体"/>
                <w:color w:val="auto"/>
                <w:szCs w:val="21"/>
                <w:highlight w:val="none"/>
                <w:u w:val="single"/>
                <w:lang w:eastAsia="zh-CN"/>
              </w:rPr>
              <w:t>2</w:t>
            </w:r>
            <w:r>
              <w:rPr>
                <w:rFonts w:hint="eastAsia" w:ascii="宋体" w:hAnsi="宋体" w:eastAsia="宋体" w:cs="宋体"/>
                <w:color w:val="auto"/>
                <w:szCs w:val="21"/>
                <w:highlight w:val="none"/>
                <w:u w:val="single"/>
                <w:lang w:val="en-US" w:eastAsia="zh-CN"/>
              </w:rPr>
              <w:t>0</w:t>
            </w:r>
            <w:r>
              <w:rPr>
                <w:rFonts w:hint="eastAsia" w:ascii="宋体" w:hAnsi="宋体" w:cs="宋体"/>
                <w:color w:val="auto"/>
                <w:szCs w:val="21"/>
                <w:highlight w:val="none"/>
              </w:rPr>
              <w:t>%，经济得分权重为</w:t>
            </w:r>
            <w:r>
              <w:rPr>
                <w:rFonts w:hint="eastAsia" w:ascii="宋体" w:hAnsi="宋体" w:eastAsia="宋体" w:cs="宋体"/>
                <w:color w:val="auto"/>
                <w:szCs w:val="21"/>
                <w:highlight w:val="none"/>
                <w:lang w:val="en-US" w:eastAsia="zh-CN"/>
              </w:rPr>
              <w:t>80</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本工程不设综合诚信评价得分。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r>
              <w:rPr>
                <w:rFonts w:hint="eastAsia" w:ascii="宋体" w:hAnsi="宋体" w:cs="宋体"/>
                <w:strike/>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strike/>
                <w:color w:val="auto"/>
                <w:szCs w:val="21"/>
                <w:highlight w:val="none"/>
              </w:rPr>
              <w:t>选取方法：</w:t>
            </w:r>
            <w:r>
              <w:rPr>
                <w:rFonts w:hint="eastAsia" w:ascii="宋体" w:hAnsi="宋体" w:cs="宋体"/>
                <w:strike/>
                <w:color w:val="auto"/>
                <w:szCs w:val="21"/>
                <w:highlight w:val="none"/>
                <w:u w:val="single"/>
              </w:rPr>
              <w:t xml:space="preserve">     </w:t>
            </w:r>
          </w:p>
          <w:p>
            <w:pPr>
              <w:rPr>
                <w:rFonts w:hint="eastAsia" w:ascii="宋体" w:hAnsi="宋体" w:cs="宋体"/>
                <w:strike/>
                <w:color w:val="auto"/>
                <w:szCs w:val="21"/>
                <w:highlight w:val="none"/>
              </w:rPr>
            </w:pPr>
            <w:r>
              <w:rPr>
                <w:rFonts w:hint="eastAsia" w:ascii="宋体" w:hAnsi="宋体" w:cs="宋体"/>
                <w:strike/>
                <w:color w:val="auto"/>
                <w:szCs w:val="21"/>
                <w:highlight w:val="none"/>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pPr>
              <w:rPr>
                <w:rFonts w:hint="eastAsia" w:ascii="宋体" w:hAnsi="宋体" w:cs="宋体"/>
                <w:strike/>
                <w:color w:val="auto"/>
                <w:szCs w:val="21"/>
                <w:highlight w:val="none"/>
              </w:rPr>
            </w:pPr>
            <w:r>
              <w:rPr>
                <w:rFonts w:hint="eastAsia" w:ascii="宋体" w:hAnsi="宋体" w:cs="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hint="eastAsia" w:ascii="宋体" w:hAnsi="宋体" w:cs="宋体"/>
                <w:color w:val="auto"/>
                <w:szCs w:val="21"/>
                <w:highlight w:val="none"/>
              </w:rPr>
            </w:pPr>
            <w:r>
              <w:rPr>
                <w:rFonts w:hint="eastAsia" w:ascii="宋体" w:hAnsi="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4"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strike/>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strike/>
                <w:color w:val="auto"/>
                <w:szCs w:val="21"/>
                <w:highlight w:val="none"/>
              </w:rPr>
            </w:pPr>
            <w:r>
              <w:rPr>
                <w:rFonts w:hint="eastAsia" w:ascii="宋体" w:hAnsi="宋体" w:cs="宋体"/>
                <w:strike/>
                <w:color w:val="auto"/>
                <w:szCs w:val="21"/>
                <w:highlight w:val="none"/>
              </w:rPr>
              <w:t>选取方法</w:t>
            </w:r>
            <w:r>
              <w:rPr>
                <w:rFonts w:hint="eastAsia" w:ascii="宋体" w:hAnsi="宋体" w:cs="宋体"/>
                <w:strike/>
                <w:color w:val="auto"/>
                <w:szCs w:val="21"/>
                <w:highlight w:val="none"/>
                <w:u w:val="single"/>
              </w:rPr>
              <w:t xml:space="preserve">     </w:t>
            </w:r>
          </w:p>
          <w:p>
            <w:pPr>
              <w:rPr>
                <w:rFonts w:hint="eastAsia" w:ascii="宋体" w:hAnsi="宋体" w:cs="宋体"/>
                <w:strike/>
                <w:color w:val="auto"/>
                <w:szCs w:val="21"/>
                <w:highlight w:val="none"/>
              </w:rPr>
            </w:pPr>
            <w:r>
              <w:rPr>
                <w:rFonts w:hint="eastAsia" w:ascii="宋体" w:hAnsi="宋体" w:cs="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hint="eastAsia" w:ascii="宋体" w:hAnsi="宋体" w:cs="宋体"/>
                <w:strike/>
                <w:color w:val="auto"/>
                <w:szCs w:val="21"/>
                <w:highlight w:val="none"/>
              </w:rPr>
            </w:pPr>
            <w:r>
              <w:rPr>
                <w:rFonts w:hint="eastAsia" w:ascii="宋体" w:hAnsi="宋体" w:cs="宋体"/>
                <w:strike/>
                <w:color w:val="auto"/>
                <w:szCs w:val="21"/>
                <w:highlight w:val="none"/>
              </w:rPr>
              <w:t>方法二：经济分相同的投标文件，由评标委员会采用随机方式，确定投标人的排序。</w:t>
            </w:r>
          </w:p>
          <w:p>
            <w:pPr>
              <w:rPr>
                <w:rFonts w:hint="eastAsia" w:ascii="宋体" w:hAnsi="宋体" w:cs="宋体"/>
                <w:color w:val="auto"/>
                <w:szCs w:val="21"/>
                <w:highlight w:val="none"/>
              </w:rPr>
            </w:pPr>
            <w:r>
              <w:rPr>
                <w:rFonts w:hint="eastAsia" w:ascii="宋体" w:hAnsi="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noWrap w:val="0"/>
            <w:vAlign w:val="center"/>
          </w:tcPr>
          <w:p>
            <w:pPr>
              <w:ind w:firstLine="458"/>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trike w:val="0"/>
                <w:color w:val="auto"/>
                <w:szCs w:val="21"/>
                <w:highlight w:val="none"/>
              </w:rPr>
            </w:pPr>
            <w:r>
              <w:rPr>
                <w:rFonts w:hint="eastAsia" w:ascii="宋体" w:hAnsi="宋体"/>
                <w:strike/>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rPr>
            </w:pPr>
            <w:r>
              <w:rPr>
                <w:rFonts w:hint="eastAsia" w:ascii="宋体" w:hAnsi="宋体"/>
                <w:strike/>
                <w:color w:val="auto"/>
                <w:szCs w:val="21"/>
                <w:highlight w:val="none"/>
              </w:rPr>
              <w:t>选取方法</w:t>
            </w:r>
            <w:r>
              <w:rPr>
                <w:rFonts w:hint="eastAsia" w:ascii="宋体" w:hAnsi="宋体"/>
                <w:strike/>
                <w:color w:val="auto"/>
                <w:szCs w:val="21"/>
                <w:highlight w:val="none"/>
                <w:u w:val="single"/>
              </w:rPr>
              <w:t xml:space="preserve">     </w:t>
            </w:r>
          </w:p>
          <w:p>
            <w:pPr>
              <w:rPr>
                <w:rFonts w:ascii="宋体" w:hAnsi="宋体"/>
                <w:strike/>
                <w:color w:val="auto"/>
                <w:szCs w:val="21"/>
                <w:highlight w:val="none"/>
              </w:rPr>
            </w:pPr>
            <w:r>
              <w:rPr>
                <w:rFonts w:hint="eastAsia" w:ascii="宋体" w:hAnsi="宋体"/>
                <w:strike/>
                <w:color w:val="auto"/>
                <w:szCs w:val="21"/>
                <w:highlight w:val="none"/>
              </w:rPr>
              <w:t>方法一：评标委员会按照“总分=</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的公式，计算各有效投标文件的总分，并按照总分从高到低排序。总得分相同的投标文件，以报价较低的排前；总得分与报价均相同的投标文件，以</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较高的排前；总得分、报价与</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均相同的投标文件，以诚信综合评价分数高的排前；如仍存在相同情况，则对具有相同情况的投标人，由评标委员会采用随机方式，确定投标人的排序。</w:t>
            </w:r>
          </w:p>
          <w:p>
            <w:pPr>
              <w:rPr>
                <w:rFonts w:hint="eastAsia" w:ascii="宋体" w:hAnsi="宋体" w:cs="宋体"/>
                <w:strike w:val="0"/>
                <w:color w:val="auto"/>
                <w:szCs w:val="21"/>
                <w:highlight w:val="none"/>
              </w:rPr>
            </w:pPr>
            <w:r>
              <w:rPr>
                <w:rFonts w:hint="eastAsia" w:ascii="宋体" w:hAnsi="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13.4、13.5.2</w:t>
            </w: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根据《建设工程质量检测管理办法》（中华人民共和国住房和城乡建设部令第57号）第十六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35</w:t>
            </w:r>
          </w:p>
        </w:tc>
        <w:tc>
          <w:tcPr>
            <w:tcW w:w="981"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p>
        </w:tc>
        <w:tc>
          <w:tcPr>
            <w:tcW w:w="1810"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857" w:type="dxa"/>
            <w:tcBorders>
              <w:top w:val="single" w:color="auto" w:sz="4" w:space="0"/>
              <w:left w:val="single" w:color="auto" w:sz="4" w:space="0"/>
              <w:bottom w:val="double" w:color="auto" w:sz="4" w:space="0"/>
              <w:right w:val="double" w:color="auto" w:sz="4" w:space="0"/>
            </w:tcBorders>
            <w:noWrap w:val="0"/>
            <w:vAlign w:val="center"/>
          </w:tcPr>
          <w:p>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sym w:font="Wingdings 2" w:char="00A3"/>
            </w:r>
            <w:r>
              <w:rPr>
                <w:rFonts w:hint="eastAsia" w:ascii="宋体" w:hAnsi="宋体" w:cs="宋体"/>
                <w:color w:val="auto"/>
                <w:kern w:val="0"/>
                <w:szCs w:val="21"/>
                <w:highlight w:val="none"/>
                <w:lang w:val="zh-CN"/>
              </w:rPr>
              <w:t>不允许分包；</w:t>
            </w:r>
          </w:p>
          <w:p>
            <w:pPr>
              <w:spacing w:line="2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sym w:font="Wingdings 2" w:char="0052"/>
            </w:r>
            <w:r>
              <w:rPr>
                <w:rFonts w:hint="eastAsia" w:ascii="宋体" w:hAnsi="宋体" w:cs="宋体"/>
                <w:color w:val="auto"/>
                <w:kern w:val="0"/>
                <w:szCs w:val="21"/>
                <w:highlight w:val="none"/>
                <w:lang w:val="zh-CN"/>
              </w:rPr>
              <w:t>允许：</w:t>
            </w:r>
            <w:r>
              <w:rPr>
                <w:rFonts w:hint="eastAsia" w:ascii="宋体" w:hAnsi="宋体" w:cs="宋体"/>
                <w:color w:val="auto"/>
                <w:kern w:val="0"/>
                <w:szCs w:val="21"/>
                <w:highlight w:val="none"/>
                <w:u w:val="single"/>
              </w:rPr>
              <w:t>允许非主体、非关键性工程进行分包。</w:t>
            </w:r>
          </w:p>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分包内容要求：经监理工程师及发包人同意后可依法分包。</w:t>
            </w:r>
          </w:p>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分包金额要求：无</w:t>
            </w:r>
          </w:p>
          <w:p>
            <w:pPr>
              <w:rPr>
                <w:rFonts w:hint="eastAsia" w:ascii="宋体" w:hAnsi="宋体" w:cs="宋体"/>
                <w:color w:val="auto"/>
                <w:kern w:val="0"/>
                <w:szCs w:val="21"/>
                <w:highlight w:val="none"/>
                <w:lang w:val="zh-CN"/>
              </w:rPr>
            </w:pPr>
            <w:r>
              <w:rPr>
                <w:rFonts w:hint="eastAsia" w:ascii="宋体" w:hAnsi="宋体" w:cs="宋体"/>
                <w:color w:val="auto"/>
                <w:szCs w:val="21"/>
                <w:highlight w:val="none"/>
                <w:u w:val="single"/>
              </w:rPr>
              <w:t>对分包人的资质要求：符合有关法律法规和文件规定，并不得再次分包。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36</w:t>
            </w:r>
          </w:p>
        </w:tc>
        <w:tc>
          <w:tcPr>
            <w:tcW w:w="981"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p>
        </w:tc>
        <w:tc>
          <w:tcPr>
            <w:tcW w:w="1810" w:type="dxa"/>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kern w:val="0"/>
                <w:szCs w:val="21"/>
                <w:highlight w:val="none"/>
                <w:lang w:val="zh-CN"/>
              </w:rPr>
            </w:pPr>
          </w:p>
        </w:tc>
        <w:tc>
          <w:tcPr>
            <w:tcW w:w="5857" w:type="dxa"/>
            <w:tcBorders>
              <w:top w:val="single" w:color="auto" w:sz="4" w:space="0"/>
              <w:left w:val="single" w:color="auto" w:sz="4" w:space="0"/>
              <w:bottom w:val="double" w:color="auto" w:sz="4" w:space="0"/>
              <w:right w:val="double" w:color="auto" w:sz="4" w:space="0"/>
            </w:tcBorders>
            <w:noWrap w:val="0"/>
            <w:vAlign w:val="center"/>
          </w:tcPr>
          <w:p>
            <w:pPr>
              <w:rPr>
                <w:rFonts w:hint="eastAsia" w:ascii="宋体" w:hAnsi="宋体" w:cs="宋体"/>
                <w:color w:val="auto"/>
                <w:kern w:val="0"/>
                <w:szCs w:val="21"/>
                <w:highlight w:val="none"/>
                <w:lang w:val="zh-CN"/>
              </w:rPr>
            </w:pPr>
            <w:r>
              <w:rPr>
                <w:rFonts w:hint="eastAsia" w:ascii="宋体" w:hAnsi="宋体" w:cs="宋体"/>
                <w:color w:val="auto"/>
                <w:szCs w:val="21"/>
                <w:highlight w:val="non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318" w:hRule="atLeast"/>
        </w:trPr>
        <w:tc>
          <w:tcPr>
            <w:tcW w:w="702" w:type="dxa"/>
            <w:tcBorders>
              <w:top w:val="double" w:color="auto" w:sz="4" w:space="0"/>
              <w:left w:val="doub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37</w:t>
            </w:r>
          </w:p>
        </w:tc>
        <w:tc>
          <w:tcPr>
            <w:tcW w:w="981" w:type="dxa"/>
            <w:tcBorders>
              <w:top w:val="doub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810" w:type="dxa"/>
            <w:tcBorders>
              <w:top w:val="doub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电子招标投标解密失败及突发情况的补救</w:t>
            </w:r>
          </w:p>
        </w:tc>
        <w:tc>
          <w:tcPr>
            <w:tcW w:w="5857" w:type="dxa"/>
            <w:tcBorders>
              <w:top w:val="double" w:color="auto" w:sz="4" w:space="0"/>
              <w:left w:val="single" w:color="auto" w:sz="4" w:space="0"/>
              <w:bottom w:val="doub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广州公共资源交易中心网站</w:t>
            </w:r>
            <w:r>
              <w:rPr>
                <w:rFonts w:hint="eastAsia" w:ascii="宋体" w:hAnsi="宋体" w:cs="宋体"/>
                <w:color w:val="auto"/>
                <w:szCs w:val="21"/>
                <w:highlight w:val="none"/>
                <w:u w:val="single"/>
                <w:lang w:eastAsia="zh-CN"/>
              </w:rPr>
              <w:t>广州公共资源交易中心最新指引</w:t>
            </w:r>
            <w:r>
              <w:rPr>
                <w:rFonts w:hint="eastAsia" w:ascii="宋体" w:hAnsi="宋体" w:cs="宋体"/>
                <w:color w:val="auto"/>
                <w:szCs w:val="21"/>
                <w:highlight w:val="none"/>
                <w:u w:val="single"/>
              </w:rPr>
              <w:t>。</w:t>
            </w:r>
          </w:p>
          <w:p>
            <w:pPr>
              <w:rPr>
                <w:rFonts w:hint="eastAsia" w:ascii="宋体" w:hAnsi="宋体" w:cs="宋体"/>
                <w:color w:val="auto"/>
                <w:szCs w:val="21"/>
                <w:highlight w:val="none"/>
              </w:rPr>
            </w:pPr>
            <w:r>
              <w:rPr>
                <w:rFonts w:hint="eastAsia" w:ascii="宋体" w:hAnsi="宋体" w:cs="宋体"/>
                <w:color w:val="auto"/>
                <w:szCs w:val="21"/>
                <w:highlight w:val="none"/>
              </w:rPr>
              <w:t>2、提交投标文件光盘备用</w:t>
            </w:r>
          </w:p>
          <w:p>
            <w:pPr>
              <w:rPr>
                <w:rFonts w:hint="eastAsia"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hint="eastAsia" w:ascii="宋体" w:hAnsi="宋体" w:cs="宋体"/>
                <w:color w:val="auto"/>
                <w:szCs w:val="21"/>
                <w:highlight w:val="none"/>
              </w:rPr>
            </w:pPr>
            <w:r>
              <w:rPr>
                <w:rFonts w:hint="eastAsia" w:ascii="宋体" w:hAnsi="宋体" w:cs="宋体"/>
                <w:color w:val="auto"/>
                <w:szCs w:val="21"/>
                <w:highlight w:val="none"/>
              </w:rPr>
              <w:t xml:space="preserve"> 3、补救方案</w:t>
            </w:r>
          </w:p>
          <w:p>
            <w:pPr>
              <w:rPr>
                <w:rFonts w:hint="eastAsia" w:ascii="宋体" w:hAnsi="宋体" w:cs="宋体"/>
                <w:color w:val="auto"/>
                <w:szCs w:val="21"/>
                <w:highlight w:val="none"/>
              </w:rPr>
            </w:pPr>
            <w:r>
              <w:rPr>
                <w:rFonts w:hint="eastAsia" w:ascii="宋体" w:hAnsi="宋体" w:cs="宋体"/>
                <w:color w:val="auto"/>
                <w:szCs w:val="21"/>
                <w:highlight w:val="none"/>
              </w:rPr>
              <w:t>（1）投标文件解密失败的补救方案：</w:t>
            </w:r>
          </w:p>
          <w:p>
            <w:pPr>
              <w:rPr>
                <w:rFonts w:hint="eastAsia"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hint="eastAsia" w:ascii="宋体" w:hAnsi="宋体" w:cs="宋体"/>
                <w:color w:val="auto"/>
                <w:szCs w:val="21"/>
                <w:highlight w:val="none"/>
              </w:rPr>
            </w:pPr>
            <w:r>
              <w:rPr>
                <w:rFonts w:hint="eastAsia" w:ascii="宋体" w:hAnsi="宋体" w:cs="宋体"/>
                <w:color w:val="auto"/>
                <w:szCs w:val="21"/>
                <w:highlight w:val="none"/>
              </w:rPr>
              <w:t>（2）评标时突发情况的补救方案</w:t>
            </w:r>
          </w:p>
          <w:p>
            <w:pPr>
              <w:rPr>
                <w:rFonts w:hint="eastAsia"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hint="eastAsia" w:ascii="宋体" w:hAnsi="宋体" w:cs="宋体"/>
                <w:color w:val="auto"/>
                <w:szCs w:val="21"/>
                <w:highlight w:val="none"/>
              </w:rPr>
            </w:pPr>
            <w:r>
              <w:rPr>
                <w:rFonts w:hint="eastAsia" w:ascii="宋体" w:hAnsi="宋体" w:cs="宋体"/>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07" w:hRule="atLeast"/>
        </w:trPr>
        <w:tc>
          <w:tcPr>
            <w:tcW w:w="702" w:type="dxa"/>
            <w:tcBorders>
              <w:top w:val="double" w:color="auto" w:sz="4" w:space="0"/>
              <w:left w:val="doub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olor w:val="auto"/>
                <w:szCs w:val="21"/>
                <w:highlight w:val="none"/>
                <w:u w:val="single"/>
              </w:rPr>
              <w:t>38</w:t>
            </w:r>
          </w:p>
        </w:tc>
        <w:tc>
          <w:tcPr>
            <w:tcW w:w="981" w:type="dxa"/>
            <w:tcBorders>
              <w:top w:val="doub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810" w:type="dxa"/>
            <w:tcBorders>
              <w:top w:val="double" w:color="auto" w:sz="4" w:space="0"/>
              <w:left w:val="single" w:color="auto" w:sz="4" w:space="0"/>
              <w:bottom w:val="doub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u w:val="single"/>
              </w:rPr>
              <w:t>招标人拒绝接收投标文件备用光盘的情况</w:t>
            </w:r>
          </w:p>
        </w:tc>
        <w:tc>
          <w:tcPr>
            <w:tcW w:w="5857" w:type="dxa"/>
            <w:tcBorders>
              <w:top w:val="double" w:color="auto" w:sz="4" w:space="0"/>
              <w:left w:val="single" w:color="auto" w:sz="4" w:space="0"/>
              <w:bottom w:val="double" w:color="auto" w:sz="4" w:space="0"/>
              <w:right w:val="double" w:color="auto" w:sz="4" w:space="0"/>
            </w:tcBorders>
            <w:noWrap w:val="0"/>
            <w:vAlign w:val="center"/>
          </w:tcPr>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pPr>
              <w:rPr>
                <w:rFonts w:hint="eastAsia"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pPr>
              <w:rPr>
                <w:rFonts w:hint="eastAsia" w:ascii="宋体" w:hAnsi="宋体" w:cs="宋体"/>
                <w:color w:val="auto"/>
                <w:szCs w:val="21"/>
                <w:highlight w:val="none"/>
              </w:rPr>
            </w:pPr>
            <w:r>
              <w:rPr>
                <w:rFonts w:hint="eastAsia" w:ascii="宋体" w:hAnsi="宋体" w:cs="宋体"/>
                <w:color w:val="auto"/>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07" w:hRule="atLeast"/>
        </w:trPr>
        <w:tc>
          <w:tcPr>
            <w:tcW w:w="702" w:type="dxa"/>
            <w:tcBorders>
              <w:top w:val="double" w:color="auto" w:sz="4" w:space="0"/>
              <w:left w:val="double" w:color="auto" w:sz="4" w:space="0"/>
              <w:bottom w:val="double" w:color="auto" w:sz="4" w:space="0"/>
              <w:right w:val="single" w:color="auto" w:sz="4" w:space="0"/>
            </w:tcBorders>
            <w:noWrap w:val="0"/>
            <w:vAlign w:val="center"/>
          </w:tcPr>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w:t>
            </w:r>
          </w:p>
        </w:tc>
        <w:tc>
          <w:tcPr>
            <w:tcW w:w="981" w:type="dxa"/>
            <w:tcBorders>
              <w:top w:val="doub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cs="宋体"/>
                <w:color w:val="auto"/>
                <w:szCs w:val="21"/>
                <w:highlight w:val="none"/>
              </w:rPr>
            </w:pPr>
          </w:p>
        </w:tc>
        <w:tc>
          <w:tcPr>
            <w:tcW w:w="1810" w:type="dxa"/>
            <w:tcBorders>
              <w:top w:val="doub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中标公示后中标单位提交投标文件要求</w:t>
            </w:r>
          </w:p>
        </w:tc>
        <w:tc>
          <w:tcPr>
            <w:tcW w:w="5857" w:type="dxa"/>
            <w:tcBorders>
              <w:top w:val="double" w:color="auto" w:sz="4" w:space="0"/>
              <w:left w:val="single" w:color="auto" w:sz="4" w:space="0"/>
              <w:bottom w:val="doub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bl>
    <w:p>
      <w:pPr>
        <w:spacing w:line="360" w:lineRule="auto"/>
        <w:rPr>
          <w:rFonts w:hint="eastAsia" w:ascii="宋体" w:hAnsi="宋体" w:cs="宋体"/>
          <w:strike/>
          <w:color w:val="auto"/>
          <w:sz w:val="24"/>
          <w:szCs w:val="24"/>
          <w:highlight w:val="none"/>
        </w:rPr>
      </w:pPr>
      <w:r>
        <w:rPr>
          <w:rFonts w:hint="eastAsia" w:ascii="宋体" w:hAnsi="宋体" w:cs="宋体"/>
          <w:strike/>
          <w:color w:val="auto"/>
          <w:sz w:val="24"/>
          <w:szCs w:val="24"/>
          <w:highlight w:val="none"/>
        </w:rPr>
        <w:t>注：</w:t>
      </w:r>
      <w:r>
        <w:rPr>
          <w:rFonts w:hint="eastAsia" w:ascii="宋体" w:hAnsi="宋体" w:cs="宋体"/>
          <w:strike/>
          <w:color w:val="auto"/>
          <w:sz w:val="24"/>
          <w:highlight w:val="none"/>
        </w:rPr>
        <w:t>企业</w:t>
      </w:r>
      <w:r>
        <w:rPr>
          <w:rFonts w:hint="eastAsia" w:ascii="宋体" w:hAnsi="宋体" w:cs="宋体"/>
          <w:strike/>
          <w:color w:val="auto"/>
          <w:kern w:val="0"/>
          <w:sz w:val="24"/>
          <w:highlight w:val="none"/>
        </w:rPr>
        <w:t>综合诚信评价得分即投标截止当日广州市工程招标代理行业协会网站（http://120.197.38.132:8080/）上公布的企业综合诚信评价60日诚信分，以下同。</w:t>
      </w:r>
    </w:p>
    <w:p>
      <w:pPr>
        <w:pStyle w:val="4"/>
        <w:spacing w:line="360" w:lineRule="auto"/>
        <w:rPr>
          <w:rFonts w:hint="eastAsia" w:ascii="宋体" w:hAnsi="宋体" w:cs="宋体"/>
          <w:color w:val="auto"/>
          <w:highlight w:val="none"/>
        </w:rPr>
      </w:pPr>
      <w:r>
        <w:rPr>
          <w:rFonts w:hint="eastAsia" w:ascii="宋体" w:hAnsi="宋体" w:cs="宋体"/>
          <w:strike/>
          <w:color w:val="auto"/>
          <w:highlight w:val="none"/>
        </w:rPr>
        <w:br w:type="page"/>
      </w:r>
      <w:bookmarkStart w:id="2" w:name="_Toc22220"/>
      <w:r>
        <w:rPr>
          <w:rFonts w:hint="eastAsia" w:ascii="宋体" w:hAnsi="宋体" w:cs="宋体"/>
          <w:color w:val="auto"/>
          <w:highlight w:val="none"/>
        </w:rPr>
        <w:t>二、投标须知修改表</w:t>
      </w:r>
      <w:bookmarkEnd w:id="2"/>
    </w:p>
    <w:p>
      <w:pPr>
        <w:pStyle w:val="48"/>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条款号：2.5                          修改类型：增加</w:t>
      </w:r>
    </w:p>
    <w:p>
      <w:pPr>
        <w:pBdr>
          <w:bottom w:val="single" w:color="auto" w:sz="6" w:space="1"/>
        </w:pBdr>
        <w:snapToGrid w:val="0"/>
        <w:spacing w:line="360" w:lineRule="auto"/>
        <w:ind w:firstLine="538" w:firstLineChars="224"/>
        <w:rPr>
          <w:rFonts w:hint="eastAsia" w:ascii="宋体" w:hAnsi="宋体" w:cs="宋体"/>
          <w:color w:val="auto"/>
          <w:sz w:val="21"/>
          <w:szCs w:val="21"/>
          <w:highlight w:val="none"/>
        </w:rPr>
      </w:pPr>
      <w:r>
        <w:rPr>
          <w:rFonts w:hint="eastAsia" w:ascii="宋体" w:hAnsi="宋体" w:cs="宋体"/>
          <w:b/>
          <w:color w:val="auto"/>
          <w:sz w:val="24"/>
          <w:szCs w:val="24"/>
          <w:highlight w:val="none"/>
        </w:rPr>
        <w:t>现文：</w:t>
      </w:r>
      <w:r>
        <w:rPr>
          <w:rFonts w:hint="eastAsia" w:ascii="宋体" w:hAnsi="宋体" w:cs="宋体"/>
          <w:color w:val="auto"/>
          <w:sz w:val="21"/>
          <w:szCs w:val="21"/>
          <w:highlight w:val="none"/>
        </w:rPr>
        <w:t>2.5根据《建设工程质量检测管理办法》（中华人民共和国住房和城乡建设部令第57号）第十六条规定</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rPr>
        <w:t>建设工程质量、安全检测业务应由建设单位依法委托，不列入本次招标范围。招标文件中与此条不一致的，以此条为准。</w:t>
      </w:r>
      <w:r>
        <w:rPr>
          <w:rFonts w:hint="eastAsia" w:ascii="宋体" w:hAnsi="宋体"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r>
        <w:rPr>
          <w:rFonts w:hint="eastAsia" w:ascii="宋体" w:hAnsi="宋体" w:cs="宋体"/>
          <w:color w:val="auto"/>
          <w:szCs w:val="21"/>
          <w:highlight w:val="none"/>
        </w:rPr>
        <w:t>。</w:t>
      </w:r>
    </w:p>
    <w:p>
      <w:pPr>
        <w:spacing w:line="360" w:lineRule="auto"/>
        <w:ind w:firstLine="48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条款号：5.1                          修改类型：修改</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条款号：8.1                           修改类型：修改</w:t>
      </w:r>
    </w:p>
    <w:p>
      <w:pPr>
        <w:pStyle w:val="48"/>
        <w:pBdr>
          <w:bottom w:val="single" w:color="auto" w:sz="6"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pPr>
        <w:pStyle w:val="48"/>
        <w:pBdr>
          <w:bottom w:val="single" w:color="auto" w:sz="6"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8.1投标人若对招标文件（包括招标图纸）中有疑问，采用</w:t>
      </w:r>
      <w:r>
        <w:rPr>
          <w:rFonts w:hint="eastAsia" w:ascii="宋体" w:hAnsi="宋体" w:cs="宋体"/>
          <w:color w:val="auto"/>
          <w:sz w:val="21"/>
          <w:szCs w:val="21"/>
          <w:highlight w:val="none"/>
          <w:u w:val="single"/>
        </w:rPr>
        <w:t>网上答疑方式</w:t>
      </w:r>
      <w:r>
        <w:rPr>
          <w:rFonts w:hint="eastAsia" w:ascii="宋体" w:hAnsi="宋体" w:cs="宋体"/>
          <w:color w:val="auto"/>
          <w:sz w:val="21"/>
          <w:szCs w:val="21"/>
          <w:highlight w:val="none"/>
        </w:rPr>
        <w:t>进行，详见本须知前附表第16项。招标人或招标代理人将于本须知前附表第16项指定的地点和时间对疑问进行答复。</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条款号：8.2                          修改类型：修改</w:t>
      </w:r>
    </w:p>
    <w:p>
      <w:pPr>
        <w:pStyle w:val="48"/>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 “项目答疑纪要”专区公开发布。答疑纪要一经在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pPr>
        <w:pStyle w:val="48"/>
        <w:pBdr>
          <w:bottom w:val="single" w:color="auto" w:sz="4"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w:t>
      </w:r>
      <w:r>
        <w:rPr>
          <w:rFonts w:hint="eastAsia" w:ascii="宋体" w:hAnsi="宋体" w:cs="宋体"/>
          <w:color w:val="auto"/>
          <w:sz w:val="21"/>
          <w:szCs w:val="21"/>
          <w:highlight w:val="none"/>
          <w:u w:val="single"/>
        </w:rPr>
        <w:t>在广州公共资源交易中心网站“</w:t>
      </w:r>
      <w:r>
        <w:rPr>
          <w:rFonts w:ascii="宋体" w:hAnsi="宋体" w:cs="宋体"/>
          <w:color w:val="auto"/>
          <w:sz w:val="21"/>
          <w:szCs w:val="21"/>
          <w:highlight w:val="none"/>
          <w:u w:val="single"/>
        </w:rPr>
        <w:fldChar w:fldCharType="begin"/>
      </w:r>
      <w:r>
        <w:rPr>
          <w:rFonts w:ascii="宋体" w:hAnsi="宋体" w:cs="宋体"/>
          <w:color w:val="auto"/>
          <w:sz w:val="21"/>
          <w:szCs w:val="21"/>
          <w:highlight w:val="none"/>
          <w:u w:val="single"/>
        </w:rPr>
        <w:instrText xml:space="preserve">HYPERLINK "http://ggzy.gz.gov.cn/xmcxjsgc/index.jhtml"</w:instrText>
      </w:r>
      <w:r>
        <w:rPr>
          <w:rFonts w:ascii="宋体" w:hAnsi="宋体" w:cs="宋体"/>
          <w:color w:val="auto"/>
          <w:sz w:val="21"/>
          <w:szCs w:val="21"/>
          <w:highlight w:val="none"/>
          <w:u w:val="single"/>
        </w:rPr>
        <w:fldChar w:fldCharType="separate"/>
      </w:r>
      <w:r>
        <w:rPr>
          <w:rFonts w:hint="eastAsia" w:ascii="宋体" w:hAnsi="宋体" w:cs="宋体"/>
          <w:color w:val="auto"/>
          <w:sz w:val="21"/>
          <w:szCs w:val="21"/>
          <w:highlight w:val="none"/>
          <w:u w:val="single"/>
        </w:rPr>
        <w:t>项目查询(日程安排、答疑纪要)</w:t>
      </w:r>
      <w:r>
        <w:rPr>
          <w:rFonts w:ascii="宋体" w:hAnsi="宋体" w:cs="宋体"/>
          <w:color w:val="auto"/>
          <w:sz w:val="21"/>
          <w:szCs w:val="21"/>
          <w:highlight w:val="none"/>
          <w:u w:val="single"/>
        </w:rPr>
        <w:fldChar w:fldCharType="end"/>
      </w:r>
      <w:r>
        <w:rPr>
          <w:rFonts w:hint="eastAsia" w:ascii="宋体" w:hAnsi="宋体" w:cs="宋体"/>
          <w:color w:val="auto"/>
          <w:sz w:val="21"/>
          <w:szCs w:val="21"/>
          <w:highlight w:val="none"/>
        </w:rPr>
        <w:t>”专区公开发布。答疑纪要一经</w:t>
      </w:r>
      <w:r>
        <w:rPr>
          <w:rFonts w:hint="eastAsia" w:ascii="宋体" w:hAnsi="宋体" w:cs="宋体"/>
          <w:color w:val="auto"/>
          <w:sz w:val="21"/>
          <w:szCs w:val="21"/>
          <w:highlight w:val="none"/>
          <w:u w:val="single"/>
        </w:rPr>
        <w:t>在广州公共资源交易中心</w:t>
      </w:r>
      <w:r>
        <w:rPr>
          <w:rFonts w:hint="eastAsia" w:ascii="宋体" w:hAnsi="宋体" w:cs="宋体"/>
          <w:color w:val="auto"/>
          <w:sz w:val="21"/>
          <w:szCs w:val="21"/>
          <w:highlight w:val="none"/>
        </w:rPr>
        <w:t>网站发布，视作已发放给所有投标人。</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条款号：9.2                          修改类型：修改</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w:t>
      </w:r>
      <w:r>
        <w:rPr>
          <w:rFonts w:hint="eastAsia" w:ascii="宋体" w:hAnsi="宋体" w:cs="宋体"/>
          <w:color w:val="auto"/>
          <w:szCs w:val="21"/>
          <w:highlight w:val="none"/>
          <w:u w:val="single"/>
        </w:rPr>
        <w:t>在广州公共资源交易中心</w:t>
      </w:r>
      <w:r>
        <w:rPr>
          <w:rFonts w:hint="eastAsia" w:ascii="宋体" w:hAnsi="宋体" w:cs="宋体"/>
          <w:color w:val="auto"/>
          <w:szCs w:val="21"/>
          <w:highlight w:val="none"/>
        </w:rPr>
        <w:t>交易平台“</w:t>
      </w:r>
      <w:r>
        <w:rPr>
          <w:rFonts w:ascii="宋体" w:hAnsi="宋体" w:cs="宋体"/>
          <w:color w:val="auto"/>
          <w:szCs w:val="21"/>
          <w:highlight w:val="none"/>
          <w:u w:val="single"/>
        </w:rPr>
        <w:fldChar w:fldCharType="begin"/>
      </w:r>
      <w:r>
        <w:rPr>
          <w:rFonts w:ascii="宋体" w:hAnsi="宋体" w:cs="宋体"/>
          <w:color w:val="auto"/>
          <w:szCs w:val="21"/>
          <w:highlight w:val="none"/>
          <w:u w:val="single"/>
        </w:rPr>
        <w:instrText xml:space="preserve">HYPERLINK "http://ggzy.gz.gov.cn/xmcxjsgc/index.jhtml"</w:instrText>
      </w:r>
      <w:r>
        <w:rPr>
          <w:rFonts w:ascii="宋体" w:hAnsi="宋体" w:cs="宋体"/>
          <w:color w:val="auto"/>
          <w:szCs w:val="21"/>
          <w:highlight w:val="none"/>
          <w:u w:val="single"/>
        </w:rPr>
        <w:fldChar w:fldCharType="separate"/>
      </w:r>
      <w:r>
        <w:rPr>
          <w:rFonts w:hint="eastAsia" w:ascii="宋体" w:hAnsi="宋体" w:cs="宋体"/>
          <w:color w:val="auto"/>
          <w:szCs w:val="21"/>
          <w:highlight w:val="none"/>
          <w:u w:val="single"/>
        </w:rPr>
        <w:t>项目查询(日程安排、答疑纪要)</w:t>
      </w:r>
      <w:r>
        <w:rPr>
          <w:rFonts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条款号：9.4                         修改类型：修改</w:t>
      </w:r>
    </w:p>
    <w:p>
      <w:pPr>
        <w:pStyle w:val="48"/>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 xml:space="preserve"> 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网上答疑公布</w:t>
      </w:r>
      <w:r>
        <w:rPr>
          <w:rFonts w:hint="eastAsia" w:ascii="宋体" w:hAnsi="宋体" w:cs="宋体"/>
          <w:color w:val="auto"/>
          <w:szCs w:val="21"/>
          <w:highlight w:val="none"/>
        </w:rPr>
        <w:t>的内容为准。当招标文件的澄清、修改、补充等在同一内容的表述不一致时，以最后发出的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（3）企业营业执照（取自</w:t>
      </w:r>
      <w:r>
        <w:rPr>
          <w:rFonts w:hint="eastAsia" w:ascii="宋体" w:hAnsi="宋体" w:eastAsia="宋体" w:cs="宋体"/>
          <w:bCs/>
          <w:color w:val="auto"/>
          <w:szCs w:val="21"/>
          <w:highlight w:val="none"/>
          <w:lang w:eastAsia="zh-CN"/>
        </w:rPr>
        <w:t>平台内</w:t>
      </w:r>
      <w:r>
        <w:rPr>
          <w:rFonts w:hint="eastAsia" w:ascii="宋体" w:hAnsi="宋体" w:cs="宋体"/>
          <w:bCs/>
          <w:color w:val="auto"/>
          <w:szCs w:val="21"/>
          <w:highlight w:val="none"/>
        </w:rPr>
        <w:t>上传件）；</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（4）企业资质证书（取自</w:t>
      </w:r>
      <w:r>
        <w:rPr>
          <w:rFonts w:hint="eastAsia" w:ascii="宋体" w:hAnsi="宋体" w:eastAsia="宋体" w:cs="宋体"/>
          <w:bCs/>
          <w:color w:val="auto"/>
          <w:szCs w:val="21"/>
          <w:highlight w:val="none"/>
          <w:lang w:eastAsia="zh-CN"/>
        </w:rPr>
        <w:t>平台内</w:t>
      </w:r>
      <w:r>
        <w:rPr>
          <w:rFonts w:hint="eastAsia" w:ascii="宋体" w:hAnsi="宋体" w:cs="宋体"/>
          <w:bCs/>
          <w:color w:val="auto"/>
          <w:szCs w:val="21"/>
          <w:highlight w:val="none"/>
        </w:rPr>
        <w:t>上传件）；</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（5）建筑施工企业安全生产许可证（取自</w:t>
      </w:r>
      <w:r>
        <w:rPr>
          <w:rFonts w:hint="eastAsia" w:ascii="宋体" w:hAnsi="宋体" w:eastAsia="宋体" w:cs="宋体"/>
          <w:bCs/>
          <w:color w:val="auto"/>
          <w:szCs w:val="21"/>
          <w:highlight w:val="none"/>
          <w:lang w:eastAsia="zh-CN"/>
        </w:rPr>
        <w:t>平台内</w:t>
      </w:r>
      <w:r>
        <w:rPr>
          <w:rFonts w:hint="eastAsia" w:ascii="宋体" w:hAnsi="宋体" w:cs="宋体"/>
          <w:bCs/>
          <w:color w:val="auto"/>
          <w:szCs w:val="21"/>
          <w:highlight w:val="none"/>
        </w:rPr>
        <w:t>上传件）；</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40" w:firstLineChars="200"/>
        <w:rPr>
          <w:rFonts w:hint="eastAsia" w:ascii="宋体" w:hAnsi="宋体" w:cs="宋体"/>
          <w:color w:val="auto"/>
          <w:kern w:val="0"/>
          <w:sz w:val="22"/>
          <w:highlight w:val="none"/>
        </w:rPr>
      </w:pPr>
      <w:r>
        <w:rPr>
          <w:rFonts w:hint="eastAsia" w:ascii="宋体" w:hAnsi="宋体" w:cs="宋体"/>
          <w:color w:val="auto"/>
          <w:kern w:val="0"/>
          <w:sz w:val="22"/>
          <w:highlight w:val="none"/>
        </w:rPr>
        <w:t>（9）拟委派项目负责人的建造师证书或二级注册建造师电子注册证书或小型项目负责人相关证明（取自</w:t>
      </w:r>
      <w:r>
        <w:rPr>
          <w:rFonts w:hint="eastAsia" w:ascii="宋体" w:hAnsi="宋体" w:eastAsia="宋体" w:cs="宋体"/>
          <w:color w:val="auto"/>
          <w:kern w:val="0"/>
          <w:sz w:val="22"/>
          <w:highlight w:val="none"/>
          <w:lang w:eastAsia="zh-CN"/>
        </w:rPr>
        <w:t>平台内</w:t>
      </w:r>
      <w:r>
        <w:rPr>
          <w:rFonts w:hint="eastAsia" w:ascii="宋体" w:hAnsi="宋体" w:cs="宋体"/>
          <w:color w:val="auto"/>
          <w:kern w:val="0"/>
          <w:sz w:val="22"/>
          <w:highlight w:val="none"/>
        </w:rPr>
        <w:t>上传件）</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（10）项目负责人安全</w:t>
      </w:r>
      <w:r>
        <w:rPr>
          <w:rFonts w:hint="eastAsia" w:ascii="宋体" w:hAnsi="宋体" w:eastAsia="宋体" w:cs="宋体"/>
          <w:bCs/>
          <w:color w:val="auto"/>
          <w:szCs w:val="21"/>
          <w:highlight w:val="none"/>
          <w:lang w:val="en-US" w:eastAsia="zh-CN"/>
        </w:rPr>
        <w:t>生产</w:t>
      </w:r>
      <w:r>
        <w:rPr>
          <w:rFonts w:hint="eastAsia" w:ascii="宋体" w:hAnsi="宋体" w:cs="宋体"/>
          <w:bCs/>
          <w:color w:val="auto"/>
          <w:szCs w:val="21"/>
          <w:highlight w:val="none"/>
        </w:rPr>
        <w:t>考核合格证明或在有效期内的安全考核合格证书（B类）或建筑施工企业项目负责人安全生产考核合格证书（取自平台内上传件）；</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11.2.3项目管理机构配备。</w:t>
      </w:r>
    </w:p>
    <w:p>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（3）其他辅助说明资料。</w:t>
      </w:r>
    </w:p>
    <w:p>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11.2.5施工组织设计或施工方案。</w:t>
      </w:r>
    </w:p>
    <w:p>
      <w:pPr>
        <w:tabs>
          <w:tab w:val="left" w:pos="1125"/>
        </w:tabs>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spacing w:line="360" w:lineRule="auto"/>
        <w:ind w:firstLine="535" w:firstLineChars="223"/>
        <w:rPr>
          <w:rFonts w:hint="eastAsia" w:ascii="宋体" w:hAnsi="宋体" w:cs="宋体"/>
          <w:b/>
          <w:color w:val="auto"/>
          <w:szCs w:val="21"/>
          <w:highlight w:val="none"/>
        </w:rPr>
      </w:pPr>
      <w:r>
        <w:rPr>
          <w:rFonts w:hint="eastAsia" w:ascii="宋体" w:hAnsi="宋体" w:cs="宋体"/>
          <w:b/>
          <w:color w:val="auto"/>
          <w:szCs w:val="21"/>
          <w:highlight w:val="none"/>
        </w:rPr>
        <w:t>现文：</w:t>
      </w:r>
    </w:p>
    <w:p>
      <w:pPr>
        <w:spacing w:line="360" w:lineRule="auto"/>
        <w:ind w:firstLine="537" w:firstLineChars="224"/>
        <w:rPr>
          <w:rFonts w:hint="eastAsia" w:ascii="宋体" w:hAnsi="宋体" w:cs="宋体"/>
          <w:b/>
          <w:color w:val="auto"/>
          <w:szCs w:val="21"/>
          <w:highlight w:val="none"/>
          <w:u w:val="single"/>
        </w:rPr>
      </w:pPr>
      <w:r>
        <w:rPr>
          <w:rFonts w:hint="eastAsia" w:ascii="宋体" w:hAnsi="宋体" w:cs="宋体"/>
          <w:color w:val="auto"/>
          <w:szCs w:val="21"/>
          <w:highlight w:val="none"/>
        </w:rPr>
        <w:t>11.2</w:t>
      </w:r>
      <w:r>
        <w:rPr>
          <w:rFonts w:hint="eastAsia" w:ascii="宋体" w:hAnsi="宋体" w:cs="宋体"/>
          <w:b/>
          <w:color w:val="auto"/>
          <w:szCs w:val="21"/>
          <w:highlight w:val="none"/>
        </w:rPr>
        <w:t xml:space="preserve"> 投标文件技术标部分</w:t>
      </w:r>
      <w:r>
        <w:rPr>
          <w:rFonts w:hint="eastAsia" w:ascii="宋体" w:hAnsi="宋体" w:cs="宋体"/>
          <w:b/>
          <w:color w:val="auto"/>
          <w:szCs w:val="21"/>
          <w:highlight w:val="none"/>
          <w:u w:val="single"/>
        </w:rPr>
        <w:t>（含资格审查文件）</w:t>
      </w:r>
      <w:r>
        <w:rPr>
          <w:rFonts w:hint="eastAsia" w:ascii="宋体" w:hAnsi="宋体" w:cs="宋体"/>
          <w:color w:val="auto"/>
          <w:szCs w:val="21"/>
          <w:highlight w:val="none"/>
        </w:rPr>
        <w:t>主要包括下列内容：</w:t>
      </w:r>
    </w:p>
    <w:p>
      <w:pPr>
        <w:spacing w:line="360" w:lineRule="auto"/>
        <w:ind w:firstLine="537" w:firstLineChars="224"/>
        <w:rPr>
          <w:rFonts w:hint="eastAsia" w:ascii="宋体" w:hAnsi="宋体" w:cs="宋体"/>
          <w:color w:val="auto"/>
          <w:szCs w:val="21"/>
          <w:highlight w:val="none"/>
        </w:rPr>
      </w:pPr>
      <w:r>
        <w:rPr>
          <w:rFonts w:hint="eastAsia" w:ascii="宋体" w:hAnsi="宋体" w:cs="宋体"/>
          <w:color w:val="auto"/>
          <w:szCs w:val="21"/>
          <w:highlight w:val="none"/>
        </w:rPr>
        <w:t>11.2.1</w:t>
      </w:r>
      <w:r>
        <w:rPr>
          <w:rFonts w:hint="eastAsia" w:ascii="宋体" w:hAnsi="宋体" w:cs="宋体"/>
          <w:color w:val="auto"/>
          <w:szCs w:val="21"/>
          <w:highlight w:val="none"/>
          <w:u w:val="single"/>
        </w:rPr>
        <w:t>广州建设工程施工招标投标书（技术标）</w:t>
      </w:r>
      <w:r>
        <w:rPr>
          <w:rFonts w:hint="eastAsia" w:ascii="宋体" w:hAnsi="宋体" w:cs="宋体"/>
          <w:color w:val="auto"/>
          <w:szCs w:val="21"/>
          <w:highlight w:val="none"/>
        </w:rPr>
        <w:t>(格式见技术标投标文件格式一)。</w:t>
      </w:r>
    </w:p>
    <w:p>
      <w:pPr>
        <w:spacing w:line="360" w:lineRule="auto"/>
        <w:ind w:firstLine="537" w:firstLineChars="224"/>
        <w:rPr>
          <w:rFonts w:hint="eastAsia" w:ascii="宋体" w:hAnsi="宋体" w:cs="宋体"/>
          <w:color w:val="auto"/>
          <w:szCs w:val="21"/>
          <w:highlight w:val="none"/>
        </w:rPr>
      </w:pPr>
      <w:r>
        <w:rPr>
          <w:rFonts w:hint="eastAsia" w:ascii="宋体" w:hAnsi="宋体" w:cs="宋体"/>
          <w:bCs/>
          <w:color w:val="auto"/>
          <w:szCs w:val="21"/>
          <w:highlight w:val="none"/>
          <w:u w:val="single"/>
        </w:rPr>
        <w:t>11.2.2 资格审查文件：</w:t>
      </w:r>
    </w:p>
    <w:p>
      <w:pPr>
        <w:adjustRightInd w:val="0"/>
        <w:spacing w:line="360" w:lineRule="auto"/>
        <w:ind w:firstLine="48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adjustRightInd w:val="0"/>
        <w:spacing w:line="360" w:lineRule="auto"/>
        <w:ind w:firstLine="48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adjustRightInd w:val="0"/>
        <w:spacing w:line="360" w:lineRule="auto"/>
        <w:ind w:firstLine="48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（3）企业营业执照扫描件；</w:t>
      </w:r>
    </w:p>
    <w:p>
      <w:pPr>
        <w:adjustRightInd w:val="0"/>
        <w:spacing w:line="360" w:lineRule="auto"/>
        <w:ind w:firstLine="48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（4）企业资质证书扫描件；</w:t>
      </w:r>
    </w:p>
    <w:p>
      <w:pPr>
        <w:adjustRightInd w:val="0"/>
        <w:spacing w:line="360" w:lineRule="auto"/>
        <w:ind w:firstLine="48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（5）建筑施工企业安全生产许可证书 扫描件；</w:t>
      </w:r>
    </w:p>
    <w:p>
      <w:pPr>
        <w:adjustRightInd w:val="0"/>
        <w:spacing w:line="360" w:lineRule="auto"/>
        <w:ind w:firstLine="48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 xml:space="preserve">（6）项目负责人（按网上投标登记时选择拟投标的项目负责人） </w:t>
      </w:r>
    </w:p>
    <w:p>
      <w:pPr>
        <w:adjustRightInd w:val="0"/>
        <w:spacing w:line="360" w:lineRule="auto"/>
        <w:ind w:firstLine="48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w:t>
      </w:r>
      <w:r>
        <w:rPr>
          <w:rFonts w:hint="eastAsia" w:ascii="宋体" w:hAnsi="宋体" w:cs="宋体"/>
          <w:bCs/>
          <w:color w:val="auto"/>
          <w:szCs w:val="21"/>
          <w:highlight w:val="none"/>
          <w:u w:val="single"/>
        </w:rPr>
        <w:t>扫描件；</w:t>
      </w:r>
    </w:p>
    <w:p>
      <w:pPr>
        <w:adjustRightInd w:val="0"/>
        <w:spacing w:line="360" w:lineRule="auto"/>
        <w:ind w:firstLine="48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（9）拟委派项目负责人资格证明资料扫描件；</w:t>
      </w:r>
    </w:p>
    <w:p>
      <w:pPr>
        <w:adjustRightInd w:val="0"/>
        <w:spacing w:line="360" w:lineRule="auto"/>
        <w:ind w:firstLine="48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（10）项目负责人安全</w:t>
      </w:r>
      <w:r>
        <w:rPr>
          <w:rFonts w:hint="eastAsia" w:ascii="宋体" w:hAnsi="宋体" w:eastAsia="宋体" w:cs="宋体"/>
          <w:bCs/>
          <w:color w:val="auto"/>
          <w:szCs w:val="21"/>
          <w:highlight w:val="none"/>
          <w:lang w:val="en-US" w:eastAsia="zh-CN"/>
        </w:rPr>
        <w:t>生产</w:t>
      </w:r>
      <w:r>
        <w:rPr>
          <w:rFonts w:hint="eastAsia" w:ascii="宋体" w:hAnsi="宋体" w:cs="宋体"/>
          <w:bCs/>
          <w:color w:val="auto"/>
          <w:szCs w:val="21"/>
          <w:highlight w:val="none"/>
        </w:rPr>
        <w:t>考核合格证明或在有效期内的安全考核合格证书（</w:t>
      </w:r>
      <w:r>
        <w:rPr>
          <w:rFonts w:ascii="宋体" w:hAnsi="宋体" w:cs="宋体"/>
          <w:bCs/>
          <w:color w:val="auto"/>
          <w:szCs w:val="21"/>
          <w:highlight w:val="none"/>
        </w:rPr>
        <w:t>B类）或建筑施工企业项目负责人安全生产考核合格证书</w:t>
      </w:r>
      <w:r>
        <w:rPr>
          <w:rFonts w:hint="eastAsia" w:ascii="宋体" w:hAnsi="宋体" w:cs="宋体"/>
          <w:bCs/>
          <w:color w:val="auto"/>
          <w:szCs w:val="21"/>
          <w:highlight w:val="none"/>
        </w:rPr>
        <w:t>扫描件；</w:t>
      </w:r>
    </w:p>
    <w:p>
      <w:pPr>
        <w:adjustRightInd w:val="0"/>
        <w:spacing w:line="360" w:lineRule="auto"/>
        <w:ind w:firstLine="48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w:t>
      </w:r>
      <w:r>
        <w:rPr>
          <w:rFonts w:ascii="宋体" w:hAnsi="宋体" w:cs="宋体"/>
          <w:bCs/>
          <w:color w:val="auto"/>
          <w:szCs w:val="21"/>
          <w:highlight w:val="none"/>
        </w:rPr>
        <w:t>C类）或建筑施工企业专职安全生产管理人员安全生产考核合格证书</w:t>
      </w:r>
      <w:r>
        <w:rPr>
          <w:rFonts w:hint="eastAsia" w:ascii="宋体" w:hAnsi="宋体" w:cs="宋体"/>
          <w:bCs/>
          <w:color w:val="auto"/>
          <w:szCs w:val="21"/>
          <w:highlight w:val="none"/>
        </w:rPr>
        <w:t>（C3类）扫描件；</w:t>
      </w:r>
    </w:p>
    <w:p>
      <w:pPr>
        <w:adjustRightInd w:val="0"/>
        <w:spacing w:line="360" w:lineRule="auto"/>
        <w:ind w:firstLine="480" w:firstLineChars="2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（12）投标登记前，</w:t>
      </w:r>
      <w:r>
        <w:rPr>
          <w:rFonts w:hint="eastAsia" w:ascii="宋体" w:hAnsi="宋体" w:cs="宋体"/>
          <w:color w:val="auto"/>
          <w:szCs w:val="21"/>
          <w:highlight w:val="none"/>
        </w:rPr>
        <w:t>投标人须在广州公共资源交易中心办理企业信息登记及拟担任本工程项目负责人、专职安全员须是本企业信息登记信息中的在册人员。企业诚信档案取自投标截止时间投标人在广州公共资源交易中心企业库内登记的信息，投标人无需提交相关资料，若招标人延长递交投标文件截止时间的，企业信息的评审时点也相应延长。（企业信息登记办理详见《施工类企业信息登记办事指引》，网址：</w:t>
      </w:r>
      <w:r>
        <w:rPr>
          <w:rFonts w:hint="eastAsia" w:ascii="宋体" w:hAnsi="宋体" w:cs="宋体"/>
          <w:color w:val="auto"/>
          <w:kern w:val="0"/>
          <w:szCs w:val="21"/>
          <w:highlight w:val="none"/>
        </w:rPr>
        <w:t>http://ggzy.gz.gov.cn/qyxxd1/508420.jhtml）</w:t>
      </w:r>
    </w:p>
    <w:p>
      <w:pPr>
        <w:spacing w:line="400" w:lineRule="exact"/>
        <w:ind w:firstLine="537" w:firstLineChars="224"/>
        <w:rPr>
          <w:rFonts w:hint="eastAsia" w:ascii="宋体" w:hAnsi="宋体" w:cs="宋体"/>
          <w:color w:val="auto"/>
          <w:szCs w:val="21"/>
          <w:highlight w:val="none"/>
          <w:u w:val="single"/>
          <w:shd w:val="clear" w:color="auto" w:fill="FFFFFF"/>
        </w:rPr>
      </w:pPr>
      <w:r>
        <w:rPr>
          <w:rFonts w:hint="eastAsia" w:ascii="宋体" w:hAnsi="宋体" w:cs="宋体"/>
          <w:bCs/>
          <w:color w:val="auto"/>
          <w:szCs w:val="21"/>
          <w:highlight w:val="none"/>
          <w:u w:val="single"/>
        </w:rPr>
        <w:t>（13）不良记录具体名单以资格审查时广州市黄埔区人民政府、广州开发区管委会网站的区住房和城乡建设局（广州开发区建设和交通局）网页“建筑活动不良行为记录”栏目（网址： http://www.hp.gov.cn/gzjg/qzfgwhgzbm/qzfhcxjsj10/jzhdblxwjl/）公布名单为准。若资格审查时网址有变化，以最新网址为准。</w:t>
      </w:r>
    </w:p>
    <w:p>
      <w:pPr>
        <w:ind w:firstLine="720" w:firstLineChars="300"/>
        <w:rPr>
          <w:rFonts w:hint="eastAsia" w:ascii="宋体" w:hAnsi="宋体" w:cs="宋体"/>
          <w:color w:val="auto"/>
          <w:kern w:val="0"/>
          <w:szCs w:val="21"/>
          <w:highlight w:val="none"/>
        </w:rPr>
      </w:pPr>
    </w:p>
    <w:p>
      <w:pPr>
        <w:spacing w:line="360" w:lineRule="auto"/>
        <w:ind w:firstLine="537" w:firstLineChars="224"/>
        <w:rPr>
          <w:rFonts w:hint="eastAsia" w:ascii="宋体" w:hAnsi="宋体" w:cs="宋体"/>
          <w:color w:val="auto"/>
          <w:szCs w:val="21"/>
          <w:highlight w:val="none"/>
        </w:rPr>
      </w:pPr>
      <w:r>
        <w:rPr>
          <w:rFonts w:hint="eastAsia" w:ascii="宋体" w:hAnsi="宋体" w:cs="宋体"/>
          <w:color w:val="auto"/>
          <w:szCs w:val="21"/>
          <w:highlight w:val="none"/>
        </w:rPr>
        <w:t>注：</w:t>
      </w:r>
    </w:p>
    <w:p>
      <w:pPr>
        <w:spacing w:line="360" w:lineRule="auto"/>
        <w:ind w:firstLine="777" w:firstLineChars="324"/>
        <w:rPr>
          <w:rFonts w:hint="eastAsia" w:ascii="宋体" w:hAnsi="宋体" w:cs="宋体"/>
          <w:bCs/>
          <w:color w:val="auto"/>
          <w:szCs w:val="21"/>
          <w:highlight w:val="none"/>
          <w:u w:val="single"/>
        </w:rPr>
      </w:pPr>
      <w:r>
        <w:rPr>
          <w:rFonts w:hint="eastAsia" w:ascii="宋体" w:hAnsi="宋体" w:cs="宋体"/>
          <w:color w:val="auto"/>
          <w:szCs w:val="21"/>
          <w:highlight w:val="none"/>
          <w:u w:val="single"/>
        </w:rPr>
        <w:t xml:space="preserve">1、上述第 </w:t>
      </w:r>
      <w:r>
        <w:rPr>
          <w:rFonts w:hint="eastAsia" w:ascii="宋体" w:hAnsi="宋体" w:cs="宋体"/>
          <w:bCs/>
          <w:color w:val="auto"/>
          <w:szCs w:val="21"/>
          <w:highlight w:val="none"/>
          <w:u w:val="single"/>
        </w:rPr>
        <w:t>11.2.2（1）—（13）条没有要求提交的资料，不作为资格审查不合格的依据。</w:t>
      </w:r>
    </w:p>
    <w:p>
      <w:pPr>
        <w:spacing w:line="400" w:lineRule="exact"/>
        <w:ind w:firstLine="537" w:firstLineChars="224"/>
        <w:rPr>
          <w:rFonts w:hint="eastAsia" w:ascii="宋体" w:hAnsi="宋体" w:cs="宋体"/>
          <w:color w:val="auto"/>
          <w:szCs w:val="21"/>
          <w:highlight w:val="none"/>
          <w:u w:val="single"/>
          <w:shd w:val="clear" w:color="auto" w:fill="FFFFFF"/>
        </w:rPr>
      </w:pPr>
      <w:r>
        <w:rPr>
          <w:rFonts w:hint="eastAsia" w:ascii="宋体" w:hAnsi="宋体" w:cs="宋体"/>
          <w:bCs/>
          <w:color w:val="auto"/>
          <w:szCs w:val="21"/>
          <w:highlight w:val="none"/>
          <w:u w:val="single"/>
        </w:rPr>
        <w:t>2</w:t>
      </w:r>
      <w:r>
        <w:rPr>
          <w:rFonts w:hint="eastAsia" w:ascii="宋体" w:hAnsi="宋体" w:cs="宋体"/>
          <w:color w:val="auto"/>
          <w:szCs w:val="21"/>
          <w:highlight w:val="none"/>
          <w:u w:val="single"/>
        </w:rPr>
        <w:t>、上述第（13）项的不良记录具体名单以资格审查时广州市黄埔区人民政府、广州开发区管委会网站的区住房和城乡建设局（广州开发区建设和交通局）网页“建筑活动不良行为记录”栏目（网址： http://www.hp.gov.cn/hp/jzhdblxwjl/zwzt_list.shtml）公布名单为准。若资格审查时网址有变化，以最新网址为准。</w:t>
      </w:r>
    </w:p>
    <w:p>
      <w:pPr>
        <w:spacing w:line="360" w:lineRule="auto"/>
        <w:ind w:firstLine="482" w:firstLineChars="201"/>
        <w:rPr>
          <w:rFonts w:hint="eastAsia" w:ascii="宋体" w:hAnsi="宋体" w:cs="宋体"/>
          <w:color w:val="auto"/>
          <w:szCs w:val="21"/>
          <w:highlight w:val="none"/>
          <w:u w:val="single"/>
        </w:rPr>
      </w:pPr>
      <w:r>
        <w:rPr>
          <w:rFonts w:hint="eastAsia" w:ascii="宋体" w:hAnsi="宋体" w:cs="宋体"/>
          <w:color w:val="auto"/>
          <w:szCs w:val="21"/>
          <w:highlight w:val="none"/>
          <w:u w:val="single"/>
        </w:rPr>
        <w:t>11.2.3《投标函》、《标函承诺书》、《项目负责人驻场承诺书》（格式见第四章）。</w:t>
      </w:r>
    </w:p>
    <w:p>
      <w:pPr>
        <w:spacing w:line="360" w:lineRule="auto"/>
        <w:ind w:firstLine="482" w:firstLineChars="201"/>
        <w:rPr>
          <w:rFonts w:hint="eastAsia" w:ascii="宋体" w:hAnsi="宋体" w:cs="宋体"/>
          <w:color w:val="auto"/>
          <w:szCs w:val="21"/>
          <w:highlight w:val="none"/>
          <w:u w:val="single"/>
        </w:rPr>
      </w:pPr>
      <w:r>
        <w:rPr>
          <w:rFonts w:hint="eastAsia" w:ascii="宋体" w:hAnsi="宋体" w:cs="宋体"/>
          <w:color w:val="auto"/>
          <w:szCs w:val="21"/>
          <w:highlight w:val="none"/>
          <w:u w:val="single"/>
        </w:rPr>
        <w:t>11.2.4《投入主要人员汇总表》、《主要人员简历表》（投标人需按相应表格备注要求提供相关资料）（格式见第四章）。</w:t>
      </w:r>
    </w:p>
    <w:p>
      <w:pPr>
        <w:spacing w:line="360" w:lineRule="auto"/>
        <w:ind w:firstLine="720" w:firstLineChars="300"/>
        <w:rPr>
          <w:rFonts w:hint="eastAsia" w:ascii="宋体" w:hAnsi="宋体" w:cs="宋体"/>
          <w:color w:val="auto"/>
          <w:szCs w:val="21"/>
          <w:highlight w:val="none"/>
          <w:u w:val="single"/>
        </w:rPr>
      </w:pPr>
      <w:r>
        <w:rPr>
          <w:rFonts w:hint="eastAsia" w:ascii="宋体" w:hAnsi="宋体" w:cs="宋体"/>
          <w:color w:val="auto"/>
          <w:szCs w:val="21"/>
          <w:highlight w:val="none"/>
          <w:u w:val="single"/>
        </w:rPr>
        <w:t>11.2.5企业资信的证明材料（按《技术标详细审查评分表》要求提交，招标文件有规定格式的，需按招标文件格式提供，无格式要求的，格式自拟）。</w:t>
      </w:r>
    </w:p>
    <w:p>
      <w:pPr>
        <w:spacing w:line="360" w:lineRule="auto"/>
        <w:ind w:firstLine="482" w:firstLineChars="201"/>
        <w:rPr>
          <w:rFonts w:hint="eastAsia" w:ascii="宋体" w:hAnsi="宋体" w:cs="宋体"/>
          <w:color w:val="auto"/>
          <w:szCs w:val="21"/>
          <w:highlight w:val="none"/>
          <w:u w:val="single"/>
        </w:rPr>
      </w:pPr>
      <w:r>
        <w:rPr>
          <w:rFonts w:hint="eastAsia" w:ascii="宋体" w:hAnsi="宋体" w:cs="宋体"/>
          <w:color w:val="auto"/>
          <w:szCs w:val="21"/>
          <w:highlight w:val="none"/>
          <w:u w:val="single"/>
        </w:rPr>
        <w:t>11.2.</w:t>
      </w:r>
      <w:r>
        <w:rPr>
          <w:rFonts w:hint="eastAsia" w:ascii="宋体" w:hAnsi="宋体" w:eastAsia="宋体" w:cs="宋体"/>
          <w:color w:val="auto"/>
          <w:szCs w:val="21"/>
          <w:highlight w:val="none"/>
          <w:u w:val="single"/>
          <w:lang w:val="en-US" w:eastAsia="zh-CN"/>
        </w:rPr>
        <w:t>6</w:t>
      </w:r>
      <w:r>
        <w:rPr>
          <w:rFonts w:hint="eastAsia" w:ascii="宋体" w:hAnsi="宋体" w:cs="宋体"/>
          <w:color w:val="auto"/>
          <w:szCs w:val="21"/>
          <w:highlight w:val="none"/>
          <w:u w:val="single"/>
        </w:rPr>
        <w:t>《危险性较大的分部分项工程安全管理措施》（格式见第四章）。</w:t>
      </w:r>
    </w:p>
    <w:p>
      <w:pPr>
        <w:spacing w:line="360" w:lineRule="auto"/>
        <w:ind w:firstLine="482" w:firstLineChars="201"/>
        <w:rPr>
          <w:rFonts w:hint="eastAsia" w:ascii="宋体" w:hAnsi="宋体" w:cs="宋体"/>
          <w:color w:val="auto"/>
          <w:szCs w:val="21"/>
          <w:highlight w:val="none"/>
        </w:rPr>
      </w:pPr>
      <w:r>
        <w:rPr>
          <w:rFonts w:hint="eastAsia" w:ascii="宋体" w:hAnsi="宋体" w:cs="宋体"/>
          <w:color w:val="auto"/>
          <w:szCs w:val="21"/>
          <w:highlight w:val="none"/>
          <w:u w:val="single"/>
        </w:rPr>
        <w:t>11.2.</w:t>
      </w:r>
      <w:r>
        <w:rPr>
          <w:rFonts w:hint="eastAsia" w:ascii="宋体" w:hAnsi="宋体" w:eastAsia="宋体" w:cs="宋体"/>
          <w:color w:val="auto"/>
          <w:szCs w:val="21"/>
          <w:highlight w:val="none"/>
          <w:u w:val="single"/>
          <w:lang w:val="en-US" w:eastAsia="zh-CN"/>
        </w:rPr>
        <w:t>7</w:t>
      </w:r>
      <w:r>
        <w:rPr>
          <w:rFonts w:hint="eastAsia" w:ascii="宋体" w:hAnsi="宋体" w:cs="宋体"/>
          <w:color w:val="auto"/>
          <w:szCs w:val="21"/>
          <w:highlight w:val="none"/>
          <w:u w:val="single"/>
        </w:rPr>
        <w:t>《参与编制技术标投标文件人员名单》（格式见第四章）</w:t>
      </w:r>
      <w:r>
        <w:rPr>
          <w:rFonts w:hint="eastAsia" w:ascii="宋体" w:hAnsi="宋体" w:cs="宋体"/>
          <w:color w:val="auto"/>
          <w:szCs w:val="21"/>
          <w:highlight w:val="none"/>
        </w:rPr>
        <w:t>。</w:t>
      </w:r>
    </w:p>
    <w:p>
      <w:pPr>
        <w:spacing w:line="360" w:lineRule="auto"/>
        <w:ind w:firstLine="482" w:firstLineChars="201"/>
        <w:rPr>
          <w:rFonts w:hint="eastAsia" w:ascii="宋体" w:hAnsi="宋体" w:cs="宋体"/>
          <w:color w:val="auto"/>
          <w:szCs w:val="21"/>
          <w:highlight w:val="none"/>
        </w:rPr>
      </w:pPr>
      <w:r>
        <w:rPr>
          <w:rFonts w:hint="eastAsia" w:ascii="宋体" w:hAnsi="宋体" w:cs="宋体"/>
          <w:color w:val="auto"/>
          <w:szCs w:val="21"/>
          <w:highlight w:val="none"/>
        </w:rPr>
        <w:t>11.2.</w:t>
      </w:r>
      <w:r>
        <w:rPr>
          <w:rFonts w:hint="eastAsia" w:ascii="宋体" w:hAnsi="宋体" w:eastAsia="宋体" w:cs="宋体"/>
          <w:color w:val="auto"/>
          <w:szCs w:val="21"/>
          <w:highlight w:val="none"/>
          <w:lang w:val="en-US" w:eastAsia="zh-CN"/>
        </w:rPr>
        <w:t>8</w:t>
      </w:r>
      <w:r>
        <w:rPr>
          <w:rFonts w:hint="eastAsia" w:ascii="宋体" w:hAnsi="宋体" w:cs="宋体"/>
          <w:color w:val="auto"/>
          <w:szCs w:val="21"/>
          <w:highlight w:val="none"/>
        </w:rPr>
        <w:t>投标保证金缴纳证明资料。</w:t>
      </w:r>
    </w:p>
    <w:p>
      <w:pPr>
        <w:pBdr>
          <w:bottom w:val="single" w:color="auto" w:sz="6" w:space="1"/>
        </w:pBdr>
        <w:adjustRightInd w:val="0"/>
        <w:spacing w:line="360" w:lineRule="auto"/>
        <w:ind w:firstLine="482" w:firstLineChars="201"/>
        <w:textAlignment w:val="baseline"/>
        <w:rPr>
          <w:rFonts w:hint="eastAsia" w:ascii="宋体" w:hAnsi="宋体" w:cs="宋体"/>
          <w:bCs/>
          <w:color w:val="auto"/>
          <w:szCs w:val="21"/>
          <w:highlight w:val="none"/>
          <w:u w:val="single"/>
        </w:rPr>
      </w:pPr>
      <w:r>
        <w:rPr>
          <w:rFonts w:hint="eastAsia" w:ascii="宋体" w:hAnsi="宋体" w:cs="宋体"/>
          <w:color w:val="auto"/>
          <w:szCs w:val="21"/>
          <w:highlight w:val="none"/>
          <w:u w:val="single"/>
        </w:rPr>
        <w:t>11.2.</w:t>
      </w:r>
      <w:r>
        <w:rPr>
          <w:rFonts w:hint="eastAsia" w:ascii="宋体" w:hAnsi="宋体" w:eastAsia="宋体" w:cs="宋体"/>
          <w:color w:val="auto"/>
          <w:szCs w:val="21"/>
          <w:highlight w:val="none"/>
          <w:u w:val="single"/>
          <w:lang w:val="en-US" w:eastAsia="zh-CN"/>
        </w:rPr>
        <w:t>9</w:t>
      </w:r>
      <w:r>
        <w:rPr>
          <w:rFonts w:hint="eastAsia" w:ascii="宋体" w:hAnsi="宋体" w:cs="宋体"/>
          <w:bCs/>
          <w:color w:val="auto"/>
          <w:szCs w:val="21"/>
          <w:highlight w:val="none"/>
          <w:u w:val="single"/>
        </w:rPr>
        <w:t>投标人认为应提供的其他资料。</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条款号：11.3.1                     修改类型：修改</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原文：11.3.1 经济投标文件(按招标文件的要求填写)。</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现文：11.3.1经济标招标投标书（格式见经济标投标文件格式</w:t>
      </w:r>
      <w:r>
        <w:rPr>
          <w:rFonts w:hint="eastAsia" w:ascii="宋体" w:hAnsi="宋体" w:eastAsia="宋体" w:cs="宋体"/>
          <w:b/>
          <w:color w:val="auto"/>
          <w:szCs w:val="21"/>
          <w:highlight w:val="none"/>
          <w:lang w:eastAsia="zh-CN"/>
        </w:rPr>
        <w:t>十</w:t>
      </w:r>
      <w:r>
        <w:rPr>
          <w:rFonts w:hint="eastAsia" w:ascii="宋体" w:hAnsi="宋体" w:eastAsia="宋体" w:cs="宋体"/>
          <w:b/>
          <w:color w:val="auto"/>
          <w:szCs w:val="21"/>
          <w:highlight w:val="none"/>
          <w:lang w:val="en-US" w:eastAsia="zh-CN"/>
        </w:rPr>
        <w:t>二</w:t>
      </w:r>
      <w:r>
        <w:rPr>
          <w:rFonts w:hint="eastAsia" w:ascii="宋体" w:hAnsi="宋体" w:cs="宋体"/>
          <w:b/>
          <w:color w:val="auto"/>
          <w:szCs w:val="21"/>
          <w:highlight w:val="none"/>
        </w:rPr>
        <w:t xml:space="preserve">《广州建设工程施工招标投标书（经济标）》）                                                                               </w:t>
      </w:r>
    </w:p>
    <w:p>
      <w:pPr>
        <w:spacing w:line="360" w:lineRule="auto"/>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                                                                               </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条款号：11.3.2                      修改类型：修改</w:t>
      </w:r>
    </w:p>
    <w:p>
      <w:pP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现文：</w:t>
      </w:r>
    </w:p>
    <w:p>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numPr>
          <w:ilvl w:val="0"/>
          <w:numId w:val="3"/>
        </w:numPr>
        <w:pBdr>
          <w:bottom w:val="single" w:color="auto" w:sz="6" w:space="1"/>
        </w:pBdr>
        <w:spacing w:line="360" w:lineRule="auto"/>
        <w:ind w:firstLine="352" w:firstLineChars="147"/>
        <w:rPr>
          <w:rFonts w:hint="eastAsia" w:ascii="宋体" w:hAnsi="宋体" w:cs="宋体"/>
          <w:color w:val="auto"/>
          <w:szCs w:val="21"/>
          <w:highlight w:val="none"/>
        </w:rPr>
      </w:pPr>
      <w:r>
        <w:rPr>
          <w:rFonts w:hint="eastAsia" w:ascii="宋体" w:hAnsi="宋体" w:cs="宋体"/>
          <w:color w:val="auto"/>
          <w:szCs w:val="21"/>
          <w:highlight w:val="none"/>
        </w:rPr>
        <w:t>投标总价封面、扉页</w:t>
      </w:r>
    </w:p>
    <w:p>
      <w:pPr>
        <w:numPr>
          <w:ilvl w:val="0"/>
          <w:numId w:val="3"/>
        </w:numPr>
        <w:pBdr>
          <w:bottom w:val="single" w:color="auto" w:sz="6" w:space="1"/>
        </w:pBdr>
        <w:spacing w:line="360" w:lineRule="auto"/>
        <w:ind w:firstLine="352" w:firstLineChars="147"/>
        <w:rPr>
          <w:rFonts w:hint="eastAsia" w:ascii="宋体" w:hAnsi="宋体" w:cs="宋体"/>
          <w:color w:val="auto"/>
          <w:szCs w:val="21"/>
          <w:highlight w:val="none"/>
        </w:rPr>
      </w:pPr>
      <w:r>
        <w:rPr>
          <w:rFonts w:hint="eastAsia" w:ascii="宋体" w:hAnsi="宋体" w:cs="宋体"/>
          <w:color w:val="auto"/>
          <w:szCs w:val="21"/>
          <w:highlight w:val="none"/>
        </w:rPr>
        <w:t>总说明；</w:t>
      </w:r>
    </w:p>
    <w:p>
      <w:pPr>
        <w:pBdr>
          <w:bottom w:val="single" w:color="auto" w:sz="6" w:space="1"/>
        </w:pBd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color w:val="auto"/>
          <w:szCs w:val="21"/>
          <w:highlight w:val="none"/>
          <w:u w:val="single"/>
        </w:rPr>
        <w:t>工程量清单报价表及综合单价分析表的相关内容及格式要求（相关表格的内容及格式要求以招标人发出的最新版电子招标文件中的相应内容及格式为准）；</w:t>
      </w:r>
    </w:p>
    <w:p>
      <w:pPr>
        <w:pBdr>
          <w:bottom w:val="single" w:color="auto" w:sz="6" w:space="1"/>
        </w:pBdr>
        <w:spacing w:line="360" w:lineRule="auto"/>
        <w:rPr>
          <w:rFonts w:hint="eastAsia" w:ascii="宋体" w:hAnsi="宋体" w:cs="宋体"/>
          <w:bCs/>
          <w:color w:val="auto"/>
          <w:szCs w:val="21"/>
          <w:highlight w:val="none"/>
          <w:u w:val="single"/>
        </w:rPr>
      </w:pPr>
      <w:r>
        <w:rPr>
          <w:rFonts w:hint="eastAsia" w:ascii="宋体" w:hAnsi="宋体" w:cs="宋体"/>
          <w:color w:val="auto"/>
          <w:szCs w:val="21"/>
          <w:highlight w:val="none"/>
        </w:rPr>
        <w:t xml:space="preserve">   （4）</w:t>
      </w:r>
      <w:r>
        <w:rPr>
          <w:rFonts w:hint="eastAsia" w:ascii="宋体" w:hAnsi="宋体" w:cs="宋体"/>
          <w:color w:val="auto"/>
          <w:szCs w:val="21"/>
          <w:highlight w:val="none"/>
          <w:u w:val="single"/>
        </w:rPr>
        <w:t>其它辅助说明资料</w:t>
      </w:r>
      <w:r>
        <w:rPr>
          <w:rFonts w:hint="eastAsia" w:ascii="宋体" w:hAnsi="宋体" w:cs="宋体"/>
          <w:color w:val="auto"/>
          <w:szCs w:val="21"/>
          <w:highlight w:val="none"/>
        </w:rPr>
        <w:t>。</w:t>
      </w:r>
    </w:p>
    <w:p>
      <w:pPr>
        <w:adjustRightInd w:val="0"/>
        <w:spacing w:line="360" w:lineRule="auto"/>
        <w:ind w:firstLine="538"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条款号：12.2                       修改类型：修改</w:t>
      </w:r>
    </w:p>
    <w:p>
      <w:pPr>
        <w:adjustRightInd w:val="0"/>
        <w:spacing w:line="360" w:lineRule="auto"/>
        <w:ind w:firstLine="538"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w:t>
      </w:r>
      <w:r>
        <w:rPr>
          <w:rFonts w:hint="eastAsia" w:ascii="宋体" w:hAnsi="宋体" w:cs="宋体"/>
          <w:color w:val="auto"/>
          <w:sz w:val="22"/>
          <w:highlight w:val="none"/>
        </w:rPr>
        <w:t>投标文件全部采用电子文档，投标文件所附证书证件均为原件扫描件，并采用单位数字证书，按招标文件要求在相应位置加盖电子印章。</w:t>
      </w:r>
      <w:r>
        <w:rPr>
          <w:rFonts w:hint="eastAsia" w:ascii="宋体" w:hAnsi="宋体" w:cs="宋体"/>
          <w:b/>
          <w:bCs/>
          <w:color w:val="auto"/>
          <w:sz w:val="22"/>
          <w:highlight w:val="none"/>
        </w:rPr>
        <w:t>投标文件中需个人签字或盖章的，应在线下完成后扫描上传。</w:t>
      </w:r>
      <w:r>
        <w:rPr>
          <w:rFonts w:hint="eastAsia" w:ascii="宋体" w:hAnsi="宋体" w:cs="宋体"/>
          <w:color w:val="auto"/>
          <w:sz w:val="22"/>
          <w:highlight w:val="none"/>
        </w:rPr>
        <w:t>按照交易平台关于全流程电子化项目的相关指南进行操作。详见：</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w:t>
      </w:r>
    </w:p>
    <w:p>
      <w:pPr>
        <w:pBdr>
          <w:bottom w:val="single" w:color="auto" w:sz="6" w:space="1"/>
        </w:pBdr>
        <w:adjustRightInd w:val="0"/>
        <w:spacing w:line="360" w:lineRule="auto"/>
        <w:ind w:firstLine="600" w:firstLineChars="25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w:t>
      </w:r>
      <w:r>
        <w:rPr>
          <w:rFonts w:hint="eastAsia" w:ascii="宋体" w:hAnsi="宋体" w:eastAsia="宋体" w:cs="宋体"/>
          <w:color w:val="auto"/>
          <w:szCs w:val="21"/>
          <w:highlight w:val="none"/>
        </w:rPr>
        <w:t>投标文件全部采用电子文档，投标文件</w:t>
      </w:r>
      <w:r>
        <w:rPr>
          <w:rFonts w:hint="eastAsia" w:ascii="宋体" w:hAnsi="宋体" w:eastAsia="宋体" w:cs="仿宋_GB2312"/>
          <w:b/>
          <w:color w:val="auto"/>
          <w:szCs w:val="21"/>
          <w:highlight w:val="none"/>
          <w:u w:val="single"/>
        </w:rPr>
        <w:t>（含</w:t>
      </w:r>
      <w:r>
        <w:rPr>
          <w:rFonts w:ascii="宋体" w:hAnsi="宋体" w:eastAsia="宋体" w:cs="仿宋_GB2312"/>
          <w:b/>
          <w:color w:val="auto"/>
          <w:szCs w:val="21"/>
          <w:highlight w:val="none"/>
          <w:u w:val="single"/>
        </w:rPr>
        <w:t>资格审查文件</w:t>
      </w:r>
      <w:r>
        <w:rPr>
          <w:rFonts w:hint="eastAsia" w:ascii="宋体" w:hAnsi="宋体" w:eastAsia="宋体" w:cs="仿宋_GB2312"/>
          <w:b/>
          <w:color w:val="auto"/>
          <w:szCs w:val="21"/>
          <w:highlight w:val="none"/>
          <w:u w:val="single"/>
        </w:rPr>
        <w:t>）</w:t>
      </w:r>
      <w:r>
        <w:rPr>
          <w:rFonts w:hint="eastAsia" w:ascii="宋体" w:hAnsi="宋体" w:eastAsia="宋体" w:cs="宋体"/>
          <w:color w:val="auto"/>
          <w:szCs w:val="21"/>
          <w:highlight w:val="none"/>
        </w:rPr>
        <w:t>所附证书证件均为原件清晰扫描件</w:t>
      </w:r>
      <w:r>
        <w:rPr>
          <w:rFonts w:hint="eastAsia" w:ascii="宋体" w:hAnsi="宋体" w:cs="宋体"/>
          <w:color w:val="auto"/>
          <w:szCs w:val="21"/>
          <w:highlight w:val="none"/>
        </w:rPr>
        <w:t>，并采用单位数字证书，按招标文件要求在相应位置加盖电子印章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投标文件（含资格审查文件</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需个人签字或盖章的，</w:t>
      </w:r>
      <w:r>
        <w:rPr>
          <w:rFonts w:hint="eastAsia" w:ascii="宋体" w:hAnsi="宋体" w:cs="宋体"/>
          <w:b/>
          <w:color w:val="auto"/>
          <w:szCs w:val="21"/>
          <w:highlight w:val="none"/>
        </w:rPr>
        <w:t>应加盖个人电子印章或在线下完成后扫描上传。</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交易平台关于全流程电子化项目的相关指南进行操作。详见：</w:t>
      </w:r>
      <w:r>
        <w:rPr>
          <w:rFonts w:hint="eastAsia" w:ascii="宋体" w:hAnsi="宋体" w:eastAsia="宋体" w:cs="宋体"/>
          <w:color w:val="auto"/>
          <w:szCs w:val="21"/>
          <w:highlight w:val="none"/>
          <w:u w:val="single"/>
          <w:lang w:eastAsia="zh-CN"/>
        </w:rPr>
        <w:t>广州公共资源交易中心最新指引</w:t>
      </w:r>
      <w:r>
        <w:rPr>
          <w:rFonts w:hint="eastAsia" w:ascii="宋体" w:hAnsi="宋体" w:eastAsia="宋体" w:cs="宋体"/>
          <w:color w:val="auto"/>
          <w:szCs w:val="21"/>
          <w:highlight w:val="none"/>
        </w:rPr>
        <w:t>。</w:t>
      </w:r>
    </w:p>
    <w:p>
      <w:pPr>
        <w:adjustRightInd w:val="0"/>
        <w:spacing w:line="360" w:lineRule="auto"/>
        <w:ind w:firstLine="538"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条款号：12.3                       修改类型：修改</w:t>
      </w:r>
    </w:p>
    <w:p>
      <w:pPr>
        <w:adjustRightInd w:val="0"/>
        <w:spacing w:line="360" w:lineRule="auto"/>
        <w:ind w:firstLine="538"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adjustRightInd w:val="0"/>
        <w:spacing w:line="360" w:lineRule="auto"/>
        <w:ind w:firstLine="600" w:firstLineChars="25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eastAsia="宋体" w:cs="宋体"/>
          <w:color w:val="auto"/>
          <w:szCs w:val="21"/>
          <w:highlight w:val="none"/>
          <w:u w:val="single"/>
          <w:lang w:eastAsia="zh-CN"/>
        </w:rPr>
        <w:t>广州公共资源交易中心最新指引</w:t>
      </w:r>
      <w:r>
        <w:rPr>
          <w:rFonts w:hint="eastAsia" w:ascii="宋体" w:hAnsi="宋体" w:cs="宋体"/>
          <w:color w:val="auto"/>
          <w:szCs w:val="21"/>
          <w:highlight w:val="none"/>
        </w:rPr>
        <w:t>。</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条款号：13.1                        修改类型：修改</w:t>
      </w:r>
    </w:p>
    <w:p>
      <w:pPr>
        <w:pBdr>
          <w:bottom w:val="single" w:color="auto" w:sz="6" w:space="1"/>
        </w:pBdr>
        <w:spacing w:line="360" w:lineRule="auto"/>
        <w:ind w:firstLine="538"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 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投标文件中的大写金额和小写金额不一致的，以大写金额为准。投标报价（含单价及总价）精确到“分”。</w:t>
      </w:r>
    </w:p>
    <w:p>
      <w:pPr>
        <w:spacing w:line="360" w:lineRule="auto"/>
        <w:ind w:firstLine="538" w:firstLineChars="224"/>
        <w:rPr>
          <w:rFonts w:ascii="Calibri" w:hAnsi="Calibri"/>
          <w:b/>
          <w:color w:val="auto"/>
          <w:szCs w:val="21"/>
          <w:highlight w:val="none"/>
        </w:rPr>
      </w:pPr>
      <w:r>
        <w:rPr>
          <w:rFonts w:hint="eastAsia" w:ascii="Calibri" w:hAnsi="Calibri"/>
          <w:b/>
          <w:color w:val="auto"/>
          <w:szCs w:val="21"/>
          <w:highlight w:val="none"/>
        </w:rPr>
        <w:t>条款号：</w:t>
      </w:r>
      <w:r>
        <w:rPr>
          <w:rFonts w:hint="eastAsia" w:ascii="宋体" w:hAnsi="宋体" w:cs="宋体"/>
          <w:b/>
          <w:color w:val="auto"/>
          <w:szCs w:val="21"/>
          <w:highlight w:val="none"/>
        </w:rPr>
        <w:t>13.3</w:t>
      </w:r>
      <w:r>
        <w:rPr>
          <w:rFonts w:hint="eastAsia" w:ascii="Calibri" w:hAnsi="Calibri"/>
          <w:b/>
          <w:color w:val="auto"/>
          <w:szCs w:val="21"/>
          <w:highlight w:val="none"/>
        </w:rPr>
        <w:t xml:space="preserve">                        修改类型：修改</w:t>
      </w:r>
    </w:p>
    <w:p>
      <w:pPr>
        <w:spacing w:line="360" w:lineRule="auto"/>
        <w:ind w:firstLine="538" w:firstLineChars="224"/>
        <w:rPr>
          <w:rFonts w:ascii="Calibri" w:hAnsi="Calibri"/>
          <w:b/>
          <w:color w:val="auto"/>
          <w:szCs w:val="21"/>
          <w:highlight w:val="none"/>
        </w:rPr>
      </w:pPr>
      <w:r>
        <w:rPr>
          <w:rFonts w:hint="eastAsia" w:ascii="Calibri" w:hAnsi="Calibri"/>
          <w:b/>
          <w:color w:val="auto"/>
          <w:szCs w:val="21"/>
          <w:highlight w:val="none"/>
        </w:rPr>
        <w:t>原文：</w:t>
      </w:r>
      <w:r>
        <w:rPr>
          <w:rFonts w:hint="eastAsia" w:ascii="宋体" w:hAnsi="宋体" w:cs="宋体"/>
          <w:color w:val="auto"/>
          <w:szCs w:val="21"/>
          <w:highlight w:val="none"/>
        </w:rPr>
        <w:t>13.3</w:t>
      </w:r>
      <w:r>
        <w:rPr>
          <w:rFonts w:hint="eastAsia" w:ascii="宋体" w:hAnsi="宋体"/>
          <w:color w:val="auto"/>
          <w:szCs w:val="21"/>
          <w:highlight w:val="none"/>
        </w:rPr>
        <w:t>投标人的投标报价，应是按照投标须知前附表第</w:t>
      </w:r>
      <w:r>
        <w:rPr>
          <w:rFonts w:ascii="宋体" w:hAnsi="宋体"/>
          <w:color w:val="auto"/>
          <w:szCs w:val="21"/>
          <w:highlight w:val="none"/>
        </w:rPr>
        <w:t>8</w:t>
      </w:r>
      <w:r>
        <w:rPr>
          <w:rFonts w:hint="eastAsia" w:ascii="宋体" w:hAnsi="宋体"/>
          <w:color w:val="auto"/>
          <w:szCs w:val="21"/>
          <w:highlight w:val="none"/>
        </w:rPr>
        <w:t>项的工期要求，在投标须知前附表第</w:t>
      </w:r>
      <w:r>
        <w:rPr>
          <w:rFonts w:ascii="宋体" w:hAnsi="宋体"/>
          <w:color w:val="auto"/>
          <w:szCs w:val="21"/>
          <w:highlight w:val="none"/>
        </w:rPr>
        <w:t>3</w:t>
      </w:r>
      <w:r>
        <w:rPr>
          <w:rFonts w:hint="eastAsia" w:ascii="宋体" w:hAnsi="宋体"/>
          <w:color w:val="auto"/>
          <w:szCs w:val="21"/>
          <w:highlight w:val="none"/>
        </w:rPr>
        <w:t>项的建设地点，完成投标须知前附表第</w:t>
      </w:r>
      <w:r>
        <w:rPr>
          <w:rFonts w:ascii="宋体" w:hAnsi="宋体"/>
          <w:color w:val="auto"/>
          <w:szCs w:val="21"/>
          <w:highlight w:val="none"/>
        </w:rPr>
        <w:t>7</w:t>
      </w:r>
      <w:r>
        <w:rPr>
          <w:rFonts w:hint="eastAsia" w:ascii="宋体" w:hAnsi="宋体"/>
          <w:color w:val="auto"/>
          <w:szCs w:val="21"/>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600" w:firstLineChars="250"/>
        <w:rPr>
          <w:rFonts w:ascii="Calibri" w:hAnsi="Calibri"/>
          <w:color w:val="auto"/>
          <w:highlight w:val="none"/>
        </w:rPr>
      </w:pPr>
      <w:r>
        <w:rPr>
          <w:rFonts w:hint="eastAsia" w:ascii="Calibri" w:hAnsi="Calibri"/>
          <w:b/>
          <w:color w:val="auto"/>
          <w:szCs w:val="21"/>
          <w:highlight w:val="none"/>
        </w:rPr>
        <w:t>现文：</w:t>
      </w:r>
      <w:r>
        <w:rPr>
          <w:rFonts w:hint="eastAsia" w:ascii="宋体" w:hAnsi="宋体" w:cs="宋体"/>
          <w:color w:val="auto"/>
          <w:szCs w:val="21"/>
          <w:highlight w:val="none"/>
        </w:rPr>
        <w:t>13.3</w:t>
      </w:r>
      <w:r>
        <w:rPr>
          <w:rFonts w:hint="eastAsia" w:ascii="宋体" w:hAnsi="宋体"/>
          <w:color w:val="auto"/>
          <w:szCs w:val="21"/>
          <w:highlight w:val="none"/>
        </w:rPr>
        <w:t>投标人的投标报价，应是按照投标须知前附表第</w:t>
      </w:r>
      <w:r>
        <w:rPr>
          <w:rFonts w:ascii="宋体" w:hAnsi="宋体"/>
          <w:color w:val="auto"/>
          <w:szCs w:val="21"/>
          <w:highlight w:val="none"/>
        </w:rPr>
        <w:t>8</w:t>
      </w:r>
      <w:r>
        <w:rPr>
          <w:rFonts w:hint="eastAsia" w:ascii="宋体" w:hAnsi="宋体"/>
          <w:color w:val="auto"/>
          <w:szCs w:val="21"/>
          <w:highlight w:val="none"/>
        </w:rPr>
        <w:t>项的工期要求，在投标须知前附表第</w:t>
      </w:r>
      <w:r>
        <w:rPr>
          <w:rFonts w:ascii="宋体" w:hAnsi="宋体"/>
          <w:color w:val="auto"/>
          <w:szCs w:val="21"/>
          <w:highlight w:val="none"/>
        </w:rPr>
        <w:t>3</w:t>
      </w:r>
      <w:r>
        <w:rPr>
          <w:rFonts w:hint="eastAsia" w:ascii="宋体" w:hAnsi="宋体"/>
          <w:color w:val="auto"/>
          <w:szCs w:val="21"/>
          <w:highlight w:val="none"/>
        </w:rPr>
        <w:t>项的建设地点，完成投标须知前附表第</w:t>
      </w:r>
      <w:r>
        <w:rPr>
          <w:rFonts w:ascii="宋体" w:hAnsi="宋体"/>
          <w:color w:val="auto"/>
          <w:szCs w:val="21"/>
          <w:highlight w:val="none"/>
        </w:rPr>
        <w:t>7</w:t>
      </w:r>
      <w:r>
        <w:rPr>
          <w:rFonts w:hint="eastAsia" w:ascii="宋体" w:hAnsi="宋体"/>
          <w:color w:val="auto"/>
          <w:szCs w:val="21"/>
          <w:highlight w:val="none"/>
        </w:rPr>
        <w:t>项的招标范围内已由招标人</w:t>
      </w:r>
      <w:r>
        <w:rPr>
          <w:rFonts w:hint="eastAsia" w:ascii="宋体" w:hAnsi="宋体"/>
          <w:color w:val="auto"/>
          <w:szCs w:val="21"/>
          <w:highlight w:val="none"/>
          <w:u w:val="single"/>
        </w:rPr>
        <w:t>提供的招标图纸（包括有关于本项目招标的相关资料）及</w:t>
      </w:r>
      <w:r>
        <w:rPr>
          <w:rFonts w:hint="eastAsia" w:ascii="宋体" w:hAnsi="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条款号：13.4                         修改类型：修改</w:t>
      </w:r>
    </w:p>
    <w:p>
      <w:pPr>
        <w:pStyle w:val="48"/>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8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13.4投标人一旦中标，投标人对招标人提供的工程量清单中列出的工程项目所报出的综合单价和措施项目费（措施项目费必须单列，没有单独列出的，视为已经包含在投标报价中），</w:t>
      </w:r>
      <w:r>
        <w:rPr>
          <w:rFonts w:hint="eastAsia" w:ascii="宋体" w:hAnsi="宋体" w:cs="宋体"/>
          <w:color w:val="auto"/>
          <w:szCs w:val="21"/>
          <w:highlight w:val="none"/>
          <w:u w:val="single"/>
        </w:rPr>
        <w:t>在工程结算时，按招标文件第三章合同条款相关约定调整。</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条款号：13.5                         修改类型：修改</w:t>
      </w:r>
    </w:p>
    <w:p>
      <w:pPr>
        <w:pStyle w:val="48"/>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48"/>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pPr>
        <w:pStyle w:val="48"/>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48"/>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spacing w:line="360" w:lineRule="auto"/>
        <w:ind w:firstLine="470" w:firstLineChars="196"/>
        <w:rPr>
          <w:rFonts w:hint="eastAsia" w:ascii="宋体" w:hAnsi="宋体" w:cs="宋体"/>
          <w:color w:val="auto"/>
          <w:szCs w:val="21"/>
          <w:highlight w:val="non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pPr>
        <w:spacing w:line="360" w:lineRule="auto"/>
        <w:ind w:firstLine="471" w:firstLineChars="196"/>
        <w:rPr>
          <w:rFonts w:hint="eastAsia"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pBdr>
          <w:top w:val="single" w:color="auto" w:sz="4" w:space="1"/>
        </w:pBd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条款号：13.6.2                      修改类型：修改</w:t>
      </w:r>
    </w:p>
    <w:p>
      <w:pPr>
        <w:spacing w:line="360" w:lineRule="auto"/>
        <w:ind w:firstLine="471" w:firstLineChars="196"/>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13.6.2在工程实施中，</w:t>
      </w:r>
      <w:r>
        <w:rPr>
          <w:rFonts w:hint="eastAsia" w:ascii="宋体" w:hAnsi="宋体" w:cs="宋体"/>
          <w:color w:val="auto"/>
          <w:szCs w:val="21"/>
          <w:highlight w:val="none"/>
          <w:u w:val="single"/>
        </w:rPr>
        <w:t>暂列金额、暂估价</w:t>
      </w:r>
      <w:r>
        <w:rPr>
          <w:rFonts w:hint="eastAsia" w:ascii="宋体" w:hAnsi="宋体" w:cs="宋体"/>
          <w:color w:val="auto"/>
          <w:szCs w:val="21"/>
          <w:highlight w:val="none"/>
        </w:rPr>
        <w:t>所包含的工作范围和图纸、标准深化固定后，按照工程专业、设备、材料类别等分类汇总的金额，</w:t>
      </w:r>
      <w:r>
        <w:rPr>
          <w:rFonts w:hint="eastAsia" w:ascii="宋体" w:hAnsi="宋体" w:cs="宋体"/>
          <w:color w:val="auto"/>
          <w:szCs w:val="21"/>
          <w:highlight w:val="none"/>
          <w:u w:val="single"/>
        </w:rPr>
        <w:t>达到法定招标范围标准的应由招标人招标确定承包人和承包价格。</w:t>
      </w:r>
    </w:p>
    <w:p>
      <w:pPr>
        <w:spacing w:line="360" w:lineRule="auto"/>
        <w:ind w:firstLine="48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条款号：13.6.4                      修改类型：修改</w:t>
      </w:r>
    </w:p>
    <w:p>
      <w:pP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48"/>
        <w:pBdr>
          <w:bottom w:val="single" w:color="auto" w:sz="6" w:space="1"/>
        </w:pBdr>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 w:val="21"/>
          <w:szCs w:val="21"/>
          <w:highlight w:val="none"/>
          <w:u w:val="single"/>
        </w:rPr>
        <w:t>经发包人同意</w:t>
      </w:r>
      <w:r>
        <w:rPr>
          <w:rFonts w:hint="eastAsia" w:ascii="宋体" w:hAnsi="宋体" w:cs="宋体"/>
          <w:color w:val="auto"/>
          <w:sz w:val="21"/>
          <w:szCs w:val="21"/>
          <w:highlight w:val="none"/>
        </w:rPr>
        <w:t>，承包人有法定的承包资格的，由承包人承包，承包人无法定的承包资格但有法定的分包权的，由承包人分包，招标人同承包人结算的价格按本投标须知13.5款规定确定。</w:t>
      </w:r>
    </w:p>
    <w:p>
      <w:pPr>
        <w:spacing w:line="360" w:lineRule="auto"/>
        <w:ind w:firstLine="471" w:firstLineChars="196"/>
        <w:rPr>
          <w:rFonts w:hint="eastAsia" w:ascii="宋体" w:hAnsi="宋体" w:cs="宋体"/>
          <w:b/>
          <w:strike w:val="0"/>
          <w:color w:val="auto"/>
          <w:szCs w:val="21"/>
          <w:highlight w:val="none"/>
        </w:rPr>
      </w:pPr>
      <w:r>
        <w:rPr>
          <w:rFonts w:hint="eastAsia" w:ascii="宋体" w:hAnsi="宋体" w:cs="宋体"/>
          <w:b/>
          <w:strike w:val="0"/>
          <w:color w:val="auto"/>
          <w:szCs w:val="21"/>
          <w:highlight w:val="none"/>
        </w:rPr>
        <w:t>条款号：13.8                         修改类型：修改</w:t>
      </w:r>
    </w:p>
    <w:p>
      <w:pPr>
        <w:pStyle w:val="48"/>
        <w:spacing w:after="0" w:line="360" w:lineRule="auto"/>
        <w:ind w:firstLine="422" w:firstLineChars="200"/>
        <w:rPr>
          <w:rFonts w:hint="eastAsia" w:ascii="宋体" w:hAnsi="宋体" w:cs="宋体"/>
          <w:strike w:val="0"/>
          <w:color w:val="auto"/>
          <w:sz w:val="21"/>
          <w:szCs w:val="21"/>
          <w:highlight w:val="none"/>
        </w:rPr>
      </w:pPr>
      <w:r>
        <w:rPr>
          <w:rFonts w:hint="eastAsia" w:ascii="宋体" w:hAnsi="宋体" w:cs="宋体"/>
          <w:b/>
          <w:strike w:val="0"/>
          <w:color w:val="auto"/>
          <w:sz w:val="21"/>
          <w:szCs w:val="21"/>
          <w:highlight w:val="none"/>
        </w:rPr>
        <w:t>原文：</w:t>
      </w:r>
      <w:r>
        <w:rPr>
          <w:rFonts w:hint="eastAsia" w:ascii="宋体" w:hAnsi="宋体" w:cs="宋体"/>
          <w:strike w:val="0"/>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spacing w:line="360" w:lineRule="auto"/>
        <w:ind w:firstLine="480"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13.8</w:t>
      </w:r>
      <w:r>
        <w:rPr>
          <w:rFonts w:hint="eastAsia" w:ascii="宋体" w:hAnsi="宋体" w:cs="宋体"/>
          <w:color w:val="auto"/>
          <w:szCs w:val="21"/>
          <w:highlight w:val="none"/>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pPr>
        <w:pBdr>
          <w:top w:val="single" w:color="auto" w:sz="4" w:space="1"/>
        </w:pBd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条款号：13.10                         修改类型：增加</w:t>
      </w:r>
    </w:p>
    <w:p>
      <w:pPr>
        <w:spacing w:line="360" w:lineRule="auto"/>
        <w:ind w:left="873" w:leftChars="256" w:hanging="259" w:hangingChars="108"/>
        <w:rPr>
          <w:rFonts w:hint="eastAsia" w:ascii="宋体" w:hAnsi="宋体" w:eastAsia="Times New Roman" w:cs="宋体"/>
          <w:b w:val="0"/>
          <w:bCs/>
          <w:color w:val="auto"/>
          <w:sz w:val="24"/>
          <w:szCs w:val="21"/>
          <w:highlight w:val="none"/>
        </w:rPr>
      </w:pPr>
      <w:r>
        <w:rPr>
          <w:rFonts w:hint="eastAsia" w:ascii="宋体" w:hAnsi="宋体" w:cs="宋体"/>
          <w:b/>
          <w:color w:val="auto"/>
          <w:szCs w:val="21"/>
          <w:highlight w:val="none"/>
        </w:rPr>
        <w:t>现文：</w:t>
      </w:r>
      <w:r>
        <w:rPr>
          <w:rFonts w:hint="eastAsia" w:ascii="宋体" w:hAnsi="宋体" w:eastAsia="Times New Roman" w:cs="宋体"/>
          <w:b w:val="0"/>
          <w:bCs/>
          <w:color w:val="auto"/>
          <w:sz w:val="24"/>
          <w:szCs w:val="21"/>
          <w:highlight w:val="none"/>
        </w:rPr>
        <w:t>13.10工程量清单报价中有关问题的说明：</w:t>
      </w:r>
    </w:p>
    <w:p>
      <w:pPr>
        <w:spacing w:line="360" w:lineRule="auto"/>
        <w:ind w:left="12" w:leftChars="5" w:firstLine="600" w:firstLineChars="250"/>
        <w:rPr>
          <w:rFonts w:hint="eastAsia" w:ascii="宋体" w:hAnsi="宋体" w:cs="宋体"/>
          <w:b w:val="0"/>
          <w:bCs/>
          <w:color w:val="auto"/>
          <w:szCs w:val="21"/>
          <w:highlight w:val="none"/>
        </w:rPr>
      </w:pPr>
      <w:r>
        <w:rPr>
          <w:rFonts w:hint="eastAsia" w:ascii="宋体" w:hAnsi="宋体" w:eastAsia="Times New Roman" w:cs="宋体"/>
          <w:b w:val="0"/>
          <w:bCs/>
          <w:color w:val="auto"/>
          <w:sz w:val="24"/>
          <w:szCs w:val="21"/>
          <w:highlight w:val="none"/>
        </w:rPr>
        <w:t>①</w:t>
      </w:r>
      <w:r>
        <w:rPr>
          <w:rFonts w:hint="eastAsia" w:ascii="宋体" w:hAnsi="宋体" w:eastAsia="Times New Roman" w:cs="宋体"/>
          <w:b w:val="0"/>
          <w:bCs/>
          <w:color w:val="auto"/>
          <w:sz w:val="24"/>
          <w:szCs w:val="21"/>
          <w:highlight w:val="none"/>
          <w:lang w:val="en-US" w:eastAsia="zh-CN"/>
        </w:rPr>
        <w:t>工</w:t>
      </w:r>
      <w:r>
        <w:rPr>
          <w:rFonts w:hint="eastAsia" w:ascii="宋体" w:hAnsi="宋体" w:eastAsia="Times New Roman" w:cs="宋体"/>
          <w:b w:val="0"/>
          <w:bCs/>
          <w:color w:val="auto"/>
          <w:sz w:val="24"/>
          <w:szCs w:val="21"/>
          <w:highlight w:val="none"/>
        </w:rPr>
        <w:t>程量清单中的标志杆等设施基础中的土方开挖、运输、外运等费用包含在相应项目中，不包含在土石方工程的相关项目中；</w:t>
      </w:r>
      <w:r>
        <w:rPr>
          <w:rFonts w:hint="eastAsia" w:ascii="宋体" w:hAnsi="宋体" w:eastAsia="Times New Roman" w:cs="宋体"/>
          <w:b w:val="0"/>
          <w:bCs/>
          <w:color w:val="auto"/>
          <w:sz w:val="24"/>
          <w:szCs w:val="21"/>
          <w:highlight w:val="none"/>
        </w:rPr>
        <w:br w:type="textWrapping"/>
      </w:r>
      <w:r>
        <w:rPr>
          <w:rFonts w:hint="eastAsia" w:ascii="宋体" w:hAnsi="宋体" w:eastAsia="宋体" w:cs="宋体"/>
          <w:b w:val="0"/>
          <w:bCs/>
          <w:color w:val="auto"/>
          <w:sz w:val="24"/>
          <w:szCs w:val="21"/>
          <w:highlight w:val="none"/>
          <w:lang w:val="en-US" w:eastAsia="zh-CN"/>
        </w:rPr>
        <w:t xml:space="preserve">     </w:t>
      </w:r>
      <w:r>
        <w:rPr>
          <w:rFonts w:hint="eastAsia" w:ascii="宋体" w:hAnsi="宋体" w:eastAsia="Times New Roman" w:cs="宋体"/>
          <w:b w:val="0"/>
          <w:bCs/>
          <w:color w:val="auto"/>
          <w:sz w:val="24"/>
          <w:szCs w:val="21"/>
          <w:highlight w:val="none"/>
        </w:rPr>
        <w:t>②投标时,场地平整单位工程中的土方单价，按照《广州开发区、萝岗区财政投资土地平整工程实施细则》（穗开环建〔2012〕197号）及广州开发区管委会办公室《关于调整我区土地平整项目土方单价的复函》（穗开内收【2016】58号）文控制：（1）土地平整综合单价按3公里内13.2元／立方米进行控制，运距超出3公里后每增加1公里运距的运土综合单价为2.14元／立方米，运距最高计算至15公里，若选定的弃土点超出该地块15公里范围之外的，仍按15公里计算的综合单价38.88元/立方米包干。此综合单价包含挖填、运输、推平、压实、地块内清表、临时排水、临时道路、修坡工程费用及措施费、规费、税金。（2）场地平整单位工程内的石方工程，距离厂房、民房、桥梁及高速公路等建、构筑物50米范围内的控制爆破炸石综合单价按70元／立方米进行控制，50米至300米范围内的控制爆破炸石综合单价按60元／立方米进行控制；在高压线（1万伏以上供电线路）周围300米范围内控制爆破炸石综合单价按70元／立方米进行控制，在高压线（1万伏以上供电线路）周围300至500米范围内控制爆破炸石综合单价按60元／立方米进行控制，其他范围内的炸石综合单价按40元／立方米进行控制，此综合单价包含挖土露石、炸石及土石方清运等综合费用，石方工程量按爆破前的天然密实体积计算。（因清表、树木砍伐和地上附着物的清理及土方工程中不能利用产生的余泥渣土排放由承包人按照有关规定进行外运，费用不另行计算）；（3）其他单位工程中：土方的挖运单价按定额计算，土方的弃运距离暂按15km内考虑，超过15km按15km计算，结算时按招标人确认的实际运距计算,实际运距超过15公里时，按15公里包干。</w:t>
      </w:r>
      <w:r>
        <w:rPr>
          <w:rFonts w:hint="eastAsia" w:ascii="宋体" w:hAnsi="宋体" w:eastAsia="Times New Roman" w:cs="宋体"/>
          <w:b w:val="0"/>
          <w:bCs/>
          <w:color w:val="auto"/>
          <w:sz w:val="24"/>
          <w:szCs w:val="21"/>
          <w:highlight w:val="none"/>
        </w:rPr>
        <w:br w:type="textWrapping"/>
      </w:r>
      <w:r>
        <w:rPr>
          <w:rFonts w:hint="eastAsia" w:ascii="宋体" w:hAnsi="宋体" w:eastAsia="宋体" w:cs="宋体"/>
          <w:b w:val="0"/>
          <w:bCs/>
          <w:color w:val="auto"/>
          <w:sz w:val="24"/>
          <w:szCs w:val="21"/>
          <w:highlight w:val="none"/>
          <w:lang w:val="en-US" w:eastAsia="zh-CN"/>
        </w:rPr>
        <w:t xml:space="preserve">     </w:t>
      </w:r>
      <w:r>
        <w:rPr>
          <w:rFonts w:hint="eastAsia" w:ascii="宋体" w:hAnsi="宋体" w:eastAsia="Times New Roman" w:cs="宋体"/>
          <w:b w:val="0"/>
          <w:bCs/>
          <w:color w:val="auto"/>
          <w:sz w:val="24"/>
          <w:szCs w:val="21"/>
          <w:highlight w:val="none"/>
        </w:rPr>
        <w:t>③工程量清单中措施项目清单费计价表中的绿色施工安全防护措施费执行《广东省住房和城乡建设厅关于印发&lt;广东省建设工程计价依据（2018)&gt;的通知》（穗建市〔2019〕6号）文，绿色施工安全防护措施费按建设业主公布的本工程招标控制价中的绿色施工安全防护措施费计取，作为非竞争费用，在投标报价中单列，不参与投标竞价，该费用从工程施工中标价中提取，专款专用。</w:t>
      </w:r>
    </w:p>
    <w:p>
      <w:pPr>
        <w:pBdr>
          <w:top w:val="single" w:color="auto" w:sz="4" w:space="1"/>
        </w:pBd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条款号：13.11                          修改类型：增加</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13.11</w:t>
      </w:r>
      <w:r>
        <w:rPr>
          <w:rFonts w:hint="eastAsia" w:ascii="宋体" w:hAnsi="宋体" w:cs="宋体"/>
          <w:color w:val="auto"/>
          <w:szCs w:val="21"/>
          <w:highlight w:val="none"/>
          <w:u w:val="single"/>
        </w:rPr>
        <w:t>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w:t>
      </w:r>
      <w:r>
        <w:rPr>
          <w:rFonts w:hint="eastAsia" w:ascii="宋体" w:hAnsi="宋体" w:cs="宋体"/>
          <w:color w:val="auto"/>
          <w:szCs w:val="21"/>
          <w:highlight w:val="none"/>
        </w:rPr>
        <w:t>，结算时按发包人批准的实施方案，再按合同约定结算。</w:t>
      </w:r>
      <w:r>
        <w:rPr>
          <w:rFonts w:hint="eastAsia" w:ascii="宋体" w:hAnsi="宋体" w:cs="宋体"/>
          <w:color w:val="auto"/>
          <w:szCs w:val="21"/>
          <w:highlight w:val="none"/>
          <w:u w:val="single"/>
        </w:rPr>
        <w:t>如果中标人不及时按要求设置，业主可以另行委托实施，业主按实际发生的费用在工程款中扣除，中标人不得有任何异议。</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条款号：13.12                          修改类型：增加</w:t>
      </w:r>
    </w:p>
    <w:p>
      <w:pPr>
        <w:spacing w:line="360" w:lineRule="auto"/>
        <w:ind w:firstLine="48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13.12承包人应加强周边学校、居民住宅的环境保护，制定绿色施工安全防护措施（包括防尘、防噪音、施工围蔽等），施工现场严格按照《广州市建设工程文明施工管理规定》（广州市人民政府令62号）、《广州市建设工程现场文明施工管理办法》（穗建质【2008】937号）实施，施工围蔽严格按照《关于进一步加强我区建设工地文明施工管理的通知》（穗开规建[2006]74号）、广州市建委《关于进一步规范建设工程施工现场围蔽的通知》（穗建质[2008]1008号）、《关于完善广州市建设工程施工围蔽管理提升实施技术要求和标准图集的通知》（穗建质[2016]1085号）、《关于对知识城九龙大道沿线建设工地施工围蔽规范整改的通知》（穗开建环知函[2016]11号）、《关于进一步提升黄埔区广州开发区建设工程施工围蔽管理的通知》（穗开建[ 2017]2号）、《关于进一步提升中新广州知识城建设工程施工围蔽管理的通知》（穗开建环知函〔2017〕127号）、广州开发区建设和交通局《关于在全区建设项目推广使用封闭式外脚手架金属防护网的通知》（房建工程及桥梁工程要求使用）、广州市住房和城乡建设委员会关于《广州市建设工程绿色施工围蔽指导图集(V2.0拭行版 )》(穂建质〔 2020〕1号)及《广州市住房和城乡建设委员会关于印发建设工程扬尘防治“6个100%”管理标准细化措施的通知》（穗建质〔2018〕1394号）的相关文件要求的标准实施。以上文件要求不一致的，以后发布文件为准，若相关部门发布有关施工围蔽新文件规定的，按新规定执行。如中标人未及时按要求做好围蔽等绿色施工安全文明施工措施，建设业主可另行委托单位实施，建设业主按实际发生的费用在绿色施工安全防护措施费中扣除。</w:t>
      </w:r>
    </w:p>
    <w:p>
      <w:pPr>
        <w:pBdr>
          <w:bottom w:val="single" w:color="auto" w:sz="4" w:space="1"/>
        </w:pBdr>
        <w:spacing w:line="360" w:lineRule="auto"/>
        <w:rPr>
          <w:rFonts w:hint="eastAsia" w:ascii="宋体" w:hAnsi="宋体" w:cs="宋体"/>
          <w:b/>
          <w:color w:val="auto"/>
          <w:szCs w:val="21"/>
          <w:highlight w:val="none"/>
        </w:rPr>
      </w:pPr>
    </w:p>
    <w:p>
      <w:pPr>
        <w:pBdr>
          <w:bottom w:val="single" w:color="auto" w:sz="6" w:space="1"/>
        </w:pBdr>
        <w:spacing w:line="360" w:lineRule="auto"/>
        <w:ind w:firstLine="48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条款号：13.13                            修改类型：增加</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13.13</w:t>
      </w:r>
      <w:r>
        <w:rPr>
          <w:rFonts w:hint="eastAsia" w:ascii="宋体" w:hAnsi="宋体" w:cs="宋体"/>
          <w:color w:val="auto"/>
          <w:szCs w:val="21"/>
          <w:highlight w:val="none"/>
          <w:u w:val="single"/>
        </w:rPr>
        <w:t>本工程中标人通过现场考察，提出具体施工方案，无论在工程施工期间或是在质量保修期内，若因施工而引起的一切索赔、赔偿、诉讼费用和其他开支，由中标人承担全部责任。该项费用包含在总投标报价中，不另行计费。中标人不得以任何理由要求业主另行增加该部分费用（中标人要充分考虑最不利因素影响而采用的施工方案所需的费用）。</w:t>
      </w:r>
    </w:p>
    <w:p>
      <w:pPr>
        <w:pBdr>
          <w:top w:val="single" w:color="auto" w:sz="4" w:space="1"/>
          <w:bottom w:val="single" w:color="auto" w:sz="6" w:space="1"/>
        </w:pBdr>
        <w:spacing w:line="360" w:lineRule="auto"/>
        <w:ind w:firstLine="48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条款号：13.14                             修改类型：增加</w:t>
      </w:r>
    </w:p>
    <w:p>
      <w:pPr>
        <w:pBdr>
          <w:top w:val="single" w:color="auto" w:sz="4" w:space="1"/>
          <w:bottom w:val="single" w:color="auto" w:sz="6" w:space="1"/>
        </w:pBdr>
        <w:spacing w:line="360" w:lineRule="auto"/>
        <w:ind w:firstLine="48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13.14</w:t>
      </w:r>
      <w:r>
        <w:rPr>
          <w:rFonts w:hint="eastAsia" w:ascii="宋体" w:hAnsi="宋体" w:cs="宋体"/>
          <w:color w:val="auto"/>
          <w:szCs w:val="21"/>
          <w:highlight w:val="none"/>
          <w:u w:val="single"/>
        </w:rPr>
        <w:t>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条款号：13.15                             修改类型：增加</w:t>
      </w:r>
    </w:p>
    <w:p>
      <w:pPr>
        <w:pBdr>
          <w:bottom w:val="single" w:color="auto" w:sz="6" w:space="1"/>
        </w:pBdr>
        <w:spacing w:line="360" w:lineRule="auto"/>
        <w:ind w:firstLine="48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13.15</w:t>
      </w:r>
      <w:r>
        <w:rPr>
          <w:rFonts w:hint="eastAsia" w:ascii="宋体" w:hAnsi="宋体" w:cs="宋体"/>
          <w:color w:val="auto"/>
          <w:szCs w:val="21"/>
          <w:highlight w:val="none"/>
          <w:u w:val="single"/>
        </w:rPr>
        <w:t>投标单位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条款号：13.16                              修改类型：增加</w:t>
      </w:r>
    </w:p>
    <w:p>
      <w:pPr>
        <w:pBdr>
          <w:bottom w:val="single" w:color="auto" w:sz="6" w:space="1"/>
        </w:pBdr>
        <w:spacing w:line="360" w:lineRule="auto"/>
        <w:ind w:firstLine="48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13.16</w:t>
      </w:r>
      <w:r>
        <w:rPr>
          <w:rFonts w:hint="eastAsia" w:ascii="宋体" w:hAnsi="宋体" w:cs="宋体"/>
          <w:color w:val="auto"/>
          <w:szCs w:val="21"/>
          <w:highlight w:val="none"/>
          <w:u w:val="single"/>
        </w:rPr>
        <w:t>中标人应使用绿色生产达标企业生产的混凝土，若不遵守承诺，自愿按不履行合同约定处理。</w:t>
      </w:r>
    </w:p>
    <w:p>
      <w:pPr>
        <w:spacing w:line="360" w:lineRule="auto"/>
        <w:ind w:firstLine="48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条款号：13.17                              修改类型：增加</w:t>
      </w:r>
    </w:p>
    <w:p>
      <w:pPr>
        <w:spacing w:line="360" w:lineRule="auto"/>
        <w:ind w:firstLine="480"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13.17中标人应按有关规定协助建设业主完成公共排水设施竣工图纸备案工作。</w:t>
      </w:r>
    </w:p>
    <w:p>
      <w:pPr>
        <w:pBdr>
          <w:bottom w:val="single" w:color="auto" w:sz="6" w:space="1"/>
        </w:pBdr>
        <w:spacing w:line="360" w:lineRule="auto"/>
        <w:ind w:firstLine="360" w:firstLineChars="150"/>
        <w:rPr>
          <w:rFonts w:hint="eastAsia" w:ascii="宋体" w:hAnsi="宋体" w:eastAsia="宋体" w:cs="宋体"/>
          <w:color w:val="auto"/>
          <w:szCs w:val="21"/>
          <w:highlight w:val="none"/>
          <w:u w:val="single"/>
          <w:lang w:eastAsia="zh-CN"/>
        </w:rPr>
      </w:pPr>
    </w:p>
    <w:p>
      <w:pPr>
        <w:spacing w:line="360" w:lineRule="auto"/>
        <w:ind w:firstLine="48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 16.4                    修改类型：修改</w:t>
      </w:r>
    </w:p>
    <w:p>
      <w:pPr>
        <w:spacing w:line="360" w:lineRule="auto"/>
        <w:ind w:firstLine="480" w:firstLineChars="200"/>
        <w:rPr>
          <w:rFonts w:hint="eastAsia" w:ascii="宋体" w:hAnsi="宋体" w:cs="宋体"/>
          <w:b w:val="0"/>
          <w:bCs/>
          <w:color w:val="auto"/>
          <w:szCs w:val="21"/>
          <w:highlight w:val="none"/>
        </w:rPr>
      </w:pPr>
      <w:r>
        <w:rPr>
          <w:rFonts w:hint="eastAsia" w:ascii="宋体" w:hAnsi="宋体" w:cs="宋体"/>
          <w:b/>
          <w:color w:val="auto"/>
          <w:szCs w:val="21"/>
          <w:highlight w:val="none"/>
        </w:rPr>
        <w:t>原文：</w:t>
      </w:r>
      <w:r>
        <w:rPr>
          <w:rFonts w:hint="eastAsia" w:ascii="宋体" w:hAnsi="宋体" w:cs="宋体"/>
          <w:b w:val="0"/>
          <w:bCs/>
          <w:color w:val="auto"/>
          <w:szCs w:val="21"/>
          <w:highlight w:val="none"/>
        </w:rPr>
        <w:t>16.4 如有下列情况之一的，招标人可以不予退还投标保证金（是否退还投标保证金由招标人在招标文件中规定）：</w:t>
      </w:r>
    </w:p>
    <w:p>
      <w:pPr>
        <w:spacing w:line="360" w:lineRule="auto"/>
        <w:ind w:firstLine="48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16.4.1因投标人原因造成投标文件未解密的；</w:t>
      </w:r>
    </w:p>
    <w:p>
      <w:pPr>
        <w:spacing w:line="360" w:lineRule="auto"/>
        <w:ind w:firstLine="48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16.4.2投标人在投标有效期内撤销投标文件；</w:t>
      </w:r>
    </w:p>
    <w:p>
      <w:pPr>
        <w:spacing w:line="360" w:lineRule="auto"/>
        <w:ind w:firstLine="48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16.4.3中标人未能在规定期限内按要求提交履约担保；</w:t>
      </w:r>
    </w:p>
    <w:p>
      <w:pPr>
        <w:spacing w:line="360" w:lineRule="auto"/>
        <w:ind w:firstLine="480" w:firstLineChars="200"/>
        <w:rPr>
          <w:rFonts w:hint="eastAsia" w:ascii="宋体" w:hAnsi="宋体" w:cs="宋体"/>
          <w:color w:val="auto"/>
          <w:szCs w:val="21"/>
          <w:highlight w:val="none"/>
        </w:rPr>
      </w:pPr>
      <w:r>
        <w:rPr>
          <w:rFonts w:hint="eastAsia" w:ascii="宋体" w:hAnsi="宋体" w:cs="宋体"/>
          <w:b w:val="0"/>
          <w:bCs/>
          <w:color w:val="auto"/>
          <w:szCs w:val="21"/>
          <w:highlight w:val="none"/>
        </w:rPr>
        <w:t>16.4.4中标人未能在规定期限内签署合同协议。</w:t>
      </w:r>
    </w:p>
    <w:p>
      <w:pPr>
        <w:spacing w:line="360" w:lineRule="auto"/>
        <w:ind w:firstLine="480"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16.4如有下列情况之一的，招标人可以不予退还投标保证金：</w:t>
      </w:r>
    </w:p>
    <w:p>
      <w:pPr>
        <w:spacing w:line="360" w:lineRule="auto"/>
        <w:ind w:firstLine="48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16.</w:t>
      </w:r>
      <w:r>
        <w:rPr>
          <w:rFonts w:hint="eastAsia" w:ascii="宋体" w:hAnsi="宋体" w:cs="宋体"/>
          <w:color w:val="auto"/>
          <w:szCs w:val="21"/>
          <w:highlight w:val="none"/>
        </w:rPr>
        <w:t>4</w:t>
      </w:r>
      <w:r>
        <w:rPr>
          <w:rFonts w:hint="eastAsia" w:ascii="宋体" w:hAnsi="宋体" w:cs="宋体"/>
          <w:color w:val="auto"/>
          <w:szCs w:val="21"/>
          <w:highlight w:val="none"/>
          <w:u w:val="none"/>
        </w:rPr>
        <w:t>.1因投标人原因造成投标文件未解密的；</w:t>
      </w:r>
    </w:p>
    <w:p>
      <w:pPr>
        <w:spacing w:line="360" w:lineRule="auto"/>
        <w:ind w:firstLine="48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16.</w:t>
      </w:r>
      <w:r>
        <w:rPr>
          <w:rFonts w:hint="eastAsia" w:ascii="宋体" w:hAnsi="宋体" w:cs="宋体"/>
          <w:color w:val="auto"/>
          <w:szCs w:val="21"/>
          <w:highlight w:val="none"/>
        </w:rPr>
        <w:t>4</w:t>
      </w:r>
      <w:r>
        <w:rPr>
          <w:rFonts w:hint="eastAsia" w:ascii="宋体" w:hAnsi="宋体" w:cs="宋体"/>
          <w:color w:val="auto"/>
          <w:szCs w:val="21"/>
          <w:highlight w:val="none"/>
          <w:u w:val="none"/>
        </w:rPr>
        <w:t>.2投标人在投标有效期内撤销投标文件</w:t>
      </w:r>
      <w:r>
        <w:rPr>
          <w:rFonts w:hint="eastAsia" w:ascii="宋体" w:hAnsi="宋体" w:cs="宋体"/>
          <w:color w:val="auto"/>
          <w:szCs w:val="21"/>
          <w:highlight w:val="none"/>
          <w:u w:val="single"/>
        </w:rPr>
        <w:t>或放弃中标资格的；</w:t>
      </w:r>
    </w:p>
    <w:p>
      <w:pPr>
        <w:spacing w:line="360" w:lineRule="auto"/>
        <w:ind w:firstLine="480" w:firstLineChars="200"/>
        <w:rPr>
          <w:rFonts w:hint="eastAsia" w:ascii="宋体" w:hAnsi="宋体" w:cs="宋体"/>
          <w:b/>
          <w:color w:val="auto"/>
          <w:szCs w:val="21"/>
          <w:highlight w:val="none"/>
          <w:u w:val="none"/>
        </w:rPr>
      </w:pPr>
      <w:r>
        <w:rPr>
          <w:rFonts w:hint="eastAsia" w:ascii="宋体" w:hAnsi="宋体" w:cs="宋体"/>
          <w:color w:val="auto"/>
          <w:szCs w:val="21"/>
          <w:highlight w:val="none"/>
          <w:u w:val="none"/>
        </w:rPr>
        <w:t>16.</w:t>
      </w:r>
      <w:r>
        <w:rPr>
          <w:rFonts w:hint="eastAsia" w:ascii="宋体" w:hAnsi="宋体" w:cs="宋体"/>
          <w:color w:val="auto"/>
          <w:szCs w:val="21"/>
          <w:highlight w:val="none"/>
        </w:rPr>
        <w:t>4</w:t>
      </w:r>
      <w:r>
        <w:rPr>
          <w:rFonts w:hint="eastAsia" w:ascii="宋体" w:hAnsi="宋体" w:cs="宋体"/>
          <w:color w:val="auto"/>
          <w:szCs w:val="21"/>
          <w:highlight w:val="none"/>
          <w:u w:val="none"/>
        </w:rPr>
        <w:t>.3中标人未能在规定期限内签署合同协议；</w:t>
      </w:r>
    </w:p>
    <w:p>
      <w:pPr>
        <w:pBdr>
          <w:bottom w:val="single" w:color="auto" w:sz="6" w:space="1"/>
        </w:pBdr>
        <w:spacing w:line="360" w:lineRule="auto"/>
        <w:ind w:firstLine="480" w:firstLineChars="200"/>
        <w:rPr>
          <w:rFonts w:hint="eastAsia" w:ascii="宋体" w:hAnsi="宋体" w:cs="宋体"/>
          <w:b/>
          <w:color w:val="auto"/>
          <w:szCs w:val="21"/>
          <w:highlight w:val="none"/>
        </w:rPr>
      </w:pPr>
      <w:r>
        <w:rPr>
          <w:rFonts w:hint="eastAsia" w:ascii="宋体" w:hAnsi="宋体" w:cs="宋体"/>
          <w:color w:val="auto"/>
          <w:szCs w:val="21"/>
          <w:highlight w:val="none"/>
          <w:u w:val="none"/>
        </w:rPr>
        <w:t>16.</w:t>
      </w:r>
      <w:r>
        <w:rPr>
          <w:rFonts w:hint="eastAsia" w:ascii="宋体" w:hAnsi="宋体" w:cs="宋体"/>
          <w:color w:val="auto"/>
          <w:szCs w:val="21"/>
          <w:highlight w:val="none"/>
        </w:rPr>
        <w:t>4</w:t>
      </w:r>
      <w:r>
        <w:rPr>
          <w:rFonts w:hint="eastAsia" w:ascii="宋体" w:hAnsi="宋体" w:cs="宋体"/>
          <w:color w:val="auto"/>
          <w:szCs w:val="21"/>
          <w:highlight w:val="none"/>
          <w:u w:val="none"/>
        </w:rPr>
        <w:t>.4</w:t>
      </w:r>
      <w:r>
        <w:rPr>
          <w:rFonts w:hint="eastAsia" w:ascii="宋体" w:hAnsi="宋体" w:cs="宋体"/>
          <w:color w:val="auto"/>
          <w:szCs w:val="21"/>
          <w:highlight w:val="none"/>
          <w:u w:val="single"/>
        </w:rPr>
        <w:t>投标人弄虚作假骗取中标的</w:t>
      </w:r>
      <w:r>
        <w:rPr>
          <w:rFonts w:hint="eastAsia" w:ascii="宋体" w:hAnsi="宋体" w:cs="宋体"/>
          <w:color w:val="auto"/>
          <w:szCs w:val="21"/>
          <w:highlight w:val="none"/>
        </w:rPr>
        <w:t>。</w:t>
      </w:r>
    </w:p>
    <w:p>
      <w:pPr>
        <w:spacing w:line="360" w:lineRule="auto"/>
        <w:ind w:firstLine="48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 16.5                   修改类型：修改</w:t>
      </w:r>
    </w:p>
    <w:p>
      <w:pPr>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原文：</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16.5投标人如存在下列情况之一的，将被拒绝在一定时期内参与招标人后续工程投标（拒绝时限需在招标文件中明确）：</w:t>
      </w:r>
    </w:p>
    <w:p>
      <w:pPr>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kern w:val="0"/>
          <w:sz w:val="24"/>
          <w:szCs w:val="24"/>
          <w:highlight w:val="none"/>
        </w:rPr>
        <w:t>投标人如存在下列情况之一的，将被拒绝在3个月内参与招标人后续工程投标：</w:t>
      </w:r>
    </w:p>
    <w:p>
      <w:pPr>
        <w:spacing w:line="360" w:lineRule="auto"/>
        <w:ind w:left="480" w:leftChars="200"/>
        <w:rPr>
          <w:rFonts w:hint="eastAsia" w:ascii="宋体" w:hAnsi="宋体" w:cs="宋体"/>
          <w:b/>
          <w:color w:val="auto"/>
          <w:szCs w:val="21"/>
          <w:highlight w:val="none"/>
        </w:rPr>
      </w:pPr>
    </w:p>
    <w:p>
      <w:pPr>
        <w:spacing w:line="360" w:lineRule="auto"/>
        <w:ind w:left="480" w:leftChars="200"/>
        <w:rPr>
          <w:rFonts w:hint="eastAsia" w:ascii="宋体" w:hAnsi="宋体" w:eastAsia="宋体" w:cs="宋体"/>
          <w:color w:val="auto"/>
          <w:szCs w:val="21"/>
          <w:highlight w:val="none"/>
          <w:lang w:eastAsia="zh-CN"/>
        </w:rPr>
      </w:pPr>
      <w:r>
        <w:rPr>
          <w:rFonts w:hint="eastAsia" w:ascii="宋体" w:hAnsi="宋体" w:cs="宋体"/>
          <w:b/>
          <w:color w:val="auto"/>
          <w:szCs w:val="21"/>
          <w:highlight w:val="none"/>
        </w:rPr>
        <w:t>条款号：</w:t>
      </w:r>
      <w:r>
        <w:rPr>
          <w:rFonts w:hint="eastAsia" w:hAnsi="宋体" w:cs="宋体"/>
          <w:b/>
          <w:bCs/>
          <w:color w:val="auto"/>
          <w:kern w:val="0"/>
          <w:sz w:val="20"/>
          <w:szCs w:val="20"/>
          <w:highlight w:val="none"/>
        </w:rPr>
        <w:t>1</w:t>
      </w:r>
      <w:r>
        <w:rPr>
          <w:rFonts w:hint="eastAsia" w:ascii="宋体" w:hAnsi="宋体" w:cs="宋体"/>
          <w:b/>
          <w:bCs/>
          <w:color w:val="auto"/>
          <w:kern w:val="0"/>
          <w:sz w:val="20"/>
          <w:szCs w:val="20"/>
          <w:highlight w:val="none"/>
        </w:rPr>
        <w:t>6.5.3</w:t>
      </w: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w:t>
      </w:r>
      <w:r>
        <w:rPr>
          <w:rFonts w:hint="eastAsia" w:ascii="宋体" w:hAnsi="宋体" w:eastAsia="宋体" w:cs="宋体"/>
          <w:b/>
          <w:color w:val="auto"/>
          <w:szCs w:val="21"/>
          <w:highlight w:val="none"/>
          <w:lang w:val="en-US" w:eastAsia="zh-CN"/>
        </w:rPr>
        <w:t>删除</w:t>
      </w:r>
    </w:p>
    <w:p>
      <w:pPr>
        <w:pBdr>
          <w:bottom w:val="single" w:color="auto" w:sz="6" w:space="1"/>
        </w:pBdr>
        <w:spacing w:line="360" w:lineRule="auto"/>
        <w:ind w:firstLine="360" w:firstLineChars="150"/>
        <w:rPr>
          <w:rFonts w:hint="eastAsia" w:ascii="宋体" w:hAnsi="宋体" w:cs="宋体"/>
          <w:bCs/>
          <w:color w:val="auto"/>
          <w:szCs w:val="21"/>
          <w:highlight w:val="none"/>
        </w:rPr>
      </w:pPr>
      <w:r>
        <w:rPr>
          <w:rFonts w:hint="eastAsia" w:ascii="宋体" w:hAnsi="宋体" w:cs="宋体"/>
          <w:b/>
          <w:bCs w:val="0"/>
          <w:color w:val="auto"/>
          <w:szCs w:val="21"/>
          <w:highlight w:val="none"/>
        </w:rPr>
        <w:t>原文：</w:t>
      </w:r>
      <w:r>
        <w:rPr>
          <w:rFonts w:hint="eastAsia" w:ascii="宋体" w:hAnsi="宋体" w:cs="宋体"/>
          <w:bCs/>
          <w:color w:val="auto"/>
          <w:szCs w:val="21"/>
          <w:highlight w:val="none"/>
        </w:rPr>
        <w:t>16.5.3按招标文件要求免于提供投标保证金的投标人存在16.4条款所列情形，且未按招标人要求补交投标保证金的；</w:t>
      </w:r>
    </w:p>
    <w:p>
      <w:pPr>
        <w:pBdr>
          <w:bottom w:val="single" w:color="auto" w:sz="6" w:space="1"/>
        </w:pBdr>
        <w:spacing w:line="360" w:lineRule="auto"/>
        <w:ind w:firstLine="360" w:firstLineChars="150"/>
        <w:rPr>
          <w:rFonts w:hint="eastAsia" w:ascii="宋体" w:hAnsi="宋体" w:cs="宋体"/>
          <w:bCs/>
          <w:color w:val="auto"/>
          <w:szCs w:val="21"/>
          <w:highlight w:val="none"/>
        </w:rPr>
      </w:pPr>
      <w:r>
        <w:rPr>
          <w:rFonts w:hint="eastAsia" w:ascii="宋体" w:hAnsi="宋体" w:cs="宋体"/>
          <w:bCs/>
          <w:color w:val="auto"/>
          <w:szCs w:val="21"/>
          <w:highlight w:val="none"/>
        </w:rPr>
        <w:t>16.5.3按招标文件要求免于提供投标保证金的投标人存在16.4条款所列情形的。</w:t>
      </w:r>
    </w:p>
    <w:p>
      <w:pPr>
        <w:pBdr>
          <w:bottom w:val="single" w:color="auto" w:sz="6" w:space="1"/>
        </w:pBdr>
        <w:spacing w:line="360" w:lineRule="auto"/>
        <w:ind w:firstLine="360" w:firstLineChars="150"/>
        <w:rPr>
          <w:rFonts w:hint="eastAsia" w:ascii="宋体" w:hAnsi="宋体" w:cs="宋体"/>
          <w:color w:val="auto"/>
          <w:spacing w:val="-1"/>
          <w:szCs w:val="21"/>
          <w:highlight w:val="none"/>
        </w:rPr>
      </w:pPr>
      <w:r>
        <w:rPr>
          <w:rFonts w:hint="eastAsia" w:ascii="宋体" w:hAnsi="宋体" w:cs="宋体"/>
          <w:bCs/>
          <w:color w:val="auto"/>
          <w:szCs w:val="21"/>
          <w:highlight w:val="none"/>
        </w:rPr>
        <w:t>注：16.5.3款由招标人二选一，需在招标文件中明确。</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bCs/>
          <w:color w:val="auto"/>
          <w:szCs w:val="21"/>
          <w:highlight w:val="none"/>
        </w:rPr>
        <w:t>16.5.3按招标文件要求免于提供投标保证金的投标人存在16.4条款所列情形，且未按招标人要求补交投标保证金的</w:t>
      </w:r>
      <w:r>
        <w:rPr>
          <w:rFonts w:hint="eastAsia" w:ascii="宋体" w:hAnsi="宋体" w:cs="宋体"/>
          <w:color w:val="auto"/>
          <w:szCs w:val="21"/>
          <w:highlight w:val="none"/>
        </w:rPr>
        <w:t>。</w:t>
      </w:r>
    </w:p>
    <w:p>
      <w:pPr>
        <w:spacing w:line="480" w:lineRule="auto"/>
        <w:ind w:firstLine="480" w:firstLineChars="200"/>
        <w:rPr>
          <w:rFonts w:hint="eastAsia" w:ascii="宋体" w:hAnsi="宋体" w:cs="宋体"/>
          <w:b/>
          <w:color w:val="auto"/>
          <w:szCs w:val="21"/>
          <w:highlight w:val="none"/>
        </w:rPr>
      </w:pPr>
    </w:p>
    <w:p>
      <w:pPr>
        <w:pStyle w:val="48"/>
        <w:spacing w:after="0" w:line="360" w:lineRule="auto"/>
        <w:ind w:firstLine="40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 w:val="24"/>
          <w:szCs w:val="24"/>
          <w:highlight w:val="none"/>
        </w:rPr>
        <w:t>17．</w:t>
      </w:r>
      <w:r>
        <w:rPr>
          <w:rFonts w:hint="eastAsia" w:ascii="宋体" w:hAnsi="宋体" w:cs="宋体"/>
          <w:b/>
          <w:color w:val="auto"/>
          <w:szCs w:val="21"/>
          <w:highlight w:val="none"/>
        </w:rPr>
        <w:t>投标文件的签署    修改类型：修改</w:t>
      </w:r>
    </w:p>
    <w:p>
      <w:pPr>
        <w:spacing w:line="360" w:lineRule="auto"/>
        <w:ind w:firstLine="480"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 w:val="24"/>
          <w:szCs w:val="24"/>
          <w:highlight w:val="none"/>
        </w:rPr>
        <w:t>17．</w:t>
      </w:r>
      <w:r>
        <w:rPr>
          <w:rFonts w:hint="eastAsia" w:ascii="宋体" w:hAnsi="宋体" w:cs="宋体"/>
          <w:b/>
          <w:color w:val="auto"/>
          <w:sz w:val="20"/>
          <w:szCs w:val="21"/>
          <w:highlight w:val="none"/>
        </w:rPr>
        <w:t>投标文件的签署</w:t>
      </w:r>
      <w:r>
        <w:rPr>
          <w:rFonts w:hint="eastAsia" w:ascii="宋体" w:hAnsi="宋体" w:cs="宋体"/>
          <w:b/>
          <w:color w:val="auto"/>
          <w:szCs w:val="21"/>
          <w:highlight w:val="none"/>
        </w:rPr>
        <w:t xml:space="preserve">   </w:t>
      </w:r>
    </w:p>
    <w:p>
      <w:pPr>
        <w:spacing w:line="360" w:lineRule="auto"/>
        <w:ind w:firstLine="480" w:firstLineChars="200"/>
        <w:rPr>
          <w:rFonts w:hint="eastAsia" w:ascii="宋体" w:hAnsi="宋体" w:cs="宋体"/>
          <w:color w:val="auto"/>
          <w:kern w:val="0"/>
          <w:sz w:val="22"/>
          <w:highlight w:val="none"/>
        </w:rPr>
      </w:pPr>
      <w:r>
        <w:rPr>
          <w:rFonts w:hint="eastAsia" w:ascii="宋体" w:hAnsi="宋体" w:cs="宋体"/>
          <w:color w:val="auto"/>
          <w:szCs w:val="21"/>
          <w:highlight w:val="none"/>
        </w:rPr>
        <w:t>17.1</w:t>
      </w:r>
      <w:r>
        <w:rPr>
          <w:rFonts w:hint="eastAsia" w:ascii="宋体" w:hAnsi="宋体" w:cs="宋体"/>
          <w:color w:val="auto"/>
          <w:kern w:val="0"/>
          <w:sz w:val="22"/>
          <w:highlight w:val="none"/>
        </w:rPr>
        <w:t>投标人应采用单位数字证书，按招标文件要求在相应位置加盖电子印章。</w:t>
      </w:r>
      <w:r>
        <w:rPr>
          <w:rFonts w:hint="eastAsia" w:ascii="宋体" w:hAnsi="宋体" w:cs="宋体"/>
          <w:b/>
          <w:bCs/>
          <w:color w:val="auto"/>
          <w:kern w:val="0"/>
          <w:sz w:val="22"/>
          <w:highlight w:val="none"/>
        </w:rPr>
        <w:t>投标文件中需个人签字或盖章的，应在线下完成后扫描上传。</w:t>
      </w:r>
      <w:r>
        <w:rPr>
          <w:rFonts w:hint="eastAsia" w:ascii="宋体" w:hAnsi="宋体" w:cs="宋体"/>
          <w:color w:val="auto"/>
          <w:kern w:val="0"/>
          <w:sz w:val="22"/>
          <w:highlight w:val="none"/>
        </w:rPr>
        <w:t>按照交易平台关于全流程电子化项目的相关指南进行操作。详见：</w:t>
      </w:r>
      <w:r>
        <w:rPr>
          <w:rFonts w:hint="eastAsia" w:ascii="宋体" w:hAnsi="宋体" w:cs="宋体"/>
          <w:color w:val="auto"/>
          <w:kern w:val="0"/>
          <w:sz w:val="22"/>
          <w:highlight w:val="none"/>
          <w:u w:val="single"/>
        </w:rPr>
        <w:t xml:space="preserve">             </w:t>
      </w:r>
      <w:r>
        <w:rPr>
          <w:rFonts w:hint="eastAsia" w:ascii="宋体" w:hAnsi="宋体" w:cs="宋体"/>
          <w:color w:val="auto"/>
          <w:kern w:val="0"/>
          <w:sz w:val="22"/>
          <w:highlight w:val="none"/>
        </w:rPr>
        <w:t>。</w:t>
      </w:r>
    </w:p>
    <w:p>
      <w:pPr>
        <w:pBdr>
          <w:bottom w:val="single" w:color="auto" w:sz="6" w:space="1"/>
        </w:pBdr>
        <w:spacing w:line="360" w:lineRule="auto"/>
        <w:ind w:firstLine="480" w:firstLineChars="200"/>
        <w:rPr>
          <w:rFonts w:hint="eastAsia" w:ascii="宋体" w:hAnsi="宋体" w:cs="宋体"/>
          <w:b/>
          <w:color w:val="auto"/>
          <w:sz w:val="20"/>
          <w:szCs w:val="21"/>
          <w:highlight w:val="none"/>
        </w:rPr>
      </w:pPr>
      <w:r>
        <w:rPr>
          <w:rFonts w:hint="eastAsia" w:ascii="宋体" w:hAnsi="宋体" w:cs="宋体"/>
          <w:b/>
          <w:color w:val="auto"/>
          <w:szCs w:val="21"/>
          <w:highlight w:val="none"/>
        </w:rPr>
        <w:t>现文：</w:t>
      </w:r>
      <w:r>
        <w:rPr>
          <w:rFonts w:hint="eastAsia" w:ascii="宋体" w:hAnsi="宋体" w:cs="宋体"/>
          <w:b/>
          <w:bCs/>
          <w:color w:val="auto"/>
          <w:sz w:val="24"/>
          <w:szCs w:val="24"/>
          <w:highlight w:val="none"/>
        </w:rPr>
        <w:t>17．</w:t>
      </w:r>
      <w:r>
        <w:rPr>
          <w:rFonts w:hint="eastAsia" w:ascii="宋体" w:hAnsi="宋体" w:cs="宋体"/>
          <w:b/>
          <w:color w:val="auto"/>
          <w:sz w:val="20"/>
          <w:szCs w:val="21"/>
          <w:highlight w:val="none"/>
        </w:rPr>
        <w:t>投标文件的签署及份数</w:t>
      </w:r>
    </w:p>
    <w:p>
      <w:pPr>
        <w:pBdr>
          <w:bottom w:val="single" w:color="auto" w:sz="6" w:space="1"/>
        </w:pBd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17.1</w:t>
      </w:r>
      <w:r>
        <w:rPr>
          <w:rFonts w:hint="eastAsia" w:ascii="宋体" w:hAnsi="宋体" w:eastAsia="Times New Roman" w:cs="宋体"/>
          <w:bCs w:val="0"/>
          <w:color w:val="auto"/>
          <w:kern w:val="0"/>
          <w:sz w:val="22"/>
          <w:highlight w:val="none"/>
        </w:rPr>
        <w:t>投标人应采用单位数字证书，按招标文件要求在相应位置加盖电子印章。投标文件中需个人签字或盖章的，</w:t>
      </w:r>
      <w:r>
        <w:rPr>
          <w:rFonts w:hint="eastAsia" w:ascii="宋体" w:hAnsi="宋体" w:eastAsia="Times New Roman" w:cs="宋体"/>
          <w:b/>
          <w:bCs/>
          <w:color w:val="auto"/>
          <w:kern w:val="0"/>
          <w:sz w:val="22"/>
          <w:highlight w:val="none"/>
        </w:rPr>
        <w:t>应加盖个人电子印章或在线下完成后扫描上传</w:t>
      </w:r>
      <w:r>
        <w:rPr>
          <w:rFonts w:hint="eastAsia" w:ascii="宋体" w:hAnsi="宋体" w:eastAsia="Times New Roman" w:cs="宋体"/>
          <w:b w:val="0"/>
          <w:color w:val="auto"/>
          <w:kern w:val="0"/>
          <w:sz w:val="22"/>
          <w:highlight w:val="none"/>
        </w:rPr>
        <w:t>。</w:t>
      </w:r>
      <w:r>
        <w:rPr>
          <w:rFonts w:hint="eastAsia" w:ascii="宋体" w:hAnsi="宋体" w:eastAsia="Times New Roman" w:cs="宋体"/>
          <w:bCs w:val="0"/>
          <w:color w:val="auto"/>
          <w:kern w:val="0"/>
          <w:sz w:val="22"/>
          <w:highlight w:val="none"/>
        </w:rPr>
        <w:t>按照交易平台关于全流程电子化项目的相关指南进行操作。</w:t>
      </w:r>
      <w:r>
        <w:rPr>
          <w:rFonts w:hint="eastAsia" w:ascii="宋体" w:hAnsi="宋体" w:cs="宋体"/>
          <w:color w:val="auto"/>
          <w:szCs w:val="21"/>
          <w:highlight w:val="none"/>
        </w:rPr>
        <w:t>详见：</w:t>
      </w:r>
      <w:r>
        <w:rPr>
          <w:rFonts w:hint="eastAsia" w:ascii="宋体" w:hAnsi="宋体" w:eastAsia="宋体" w:cs="宋体"/>
          <w:color w:val="auto"/>
          <w:szCs w:val="21"/>
          <w:highlight w:val="none"/>
          <w:u w:val="single"/>
          <w:lang w:eastAsia="zh-CN"/>
        </w:rPr>
        <w:t>广州公共资源交易中心最新指引</w:t>
      </w:r>
      <w:r>
        <w:rPr>
          <w:rFonts w:hint="eastAsia" w:ascii="宋体" w:hAnsi="宋体" w:cs="宋体"/>
          <w:color w:val="auto"/>
          <w:szCs w:val="21"/>
          <w:highlight w:val="none"/>
        </w:rPr>
        <w:t>。</w:t>
      </w:r>
    </w:p>
    <w:p>
      <w:pPr>
        <w:pBdr>
          <w:bottom w:val="single" w:color="auto" w:sz="6" w:space="1"/>
        </w:pBdr>
        <w:spacing w:line="360" w:lineRule="auto"/>
        <w:ind w:firstLine="480" w:firstLineChars="200"/>
        <w:rPr>
          <w:rFonts w:hint="eastAsia" w:ascii="宋体" w:hAnsi="宋体" w:cs="宋体"/>
          <w:b/>
          <w:color w:val="auto"/>
          <w:szCs w:val="21"/>
          <w:highlight w:val="none"/>
        </w:rPr>
      </w:pPr>
      <w:r>
        <w:rPr>
          <w:rFonts w:hint="eastAsia" w:ascii="宋体" w:hAnsi="宋体" w:cs="宋体"/>
          <w:color w:val="auto"/>
          <w:szCs w:val="21"/>
          <w:highlight w:val="none"/>
        </w:rPr>
        <w:t>17.2</w:t>
      </w:r>
      <w:r>
        <w:rPr>
          <w:rFonts w:hint="eastAsia" w:ascii="宋体" w:hAnsi="宋体" w:cs="仿宋_GB2312"/>
          <w:color w:val="auto"/>
          <w:highlight w:val="none"/>
        </w:rPr>
        <w:t>投标文件份数为含电子印章的加密电子投标文件</w:t>
      </w:r>
      <w:r>
        <w:rPr>
          <w:rFonts w:ascii="宋体" w:hAnsi="宋体" w:cs="仿宋_GB2312"/>
          <w:color w:val="auto"/>
          <w:highlight w:val="none"/>
        </w:rPr>
        <w:t>1</w:t>
      </w:r>
      <w:r>
        <w:rPr>
          <w:rFonts w:hint="eastAsia" w:ascii="宋体" w:hAnsi="宋体" w:cs="仿宋_GB2312"/>
          <w:color w:val="auto"/>
          <w:highlight w:val="none"/>
        </w:rPr>
        <w:t>套。</w:t>
      </w:r>
      <w:r>
        <w:rPr>
          <w:rFonts w:hint="eastAsia" w:ascii="宋体" w:hAnsi="宋体" w:cs="仿宋_GB2312"/>
          <w:color w:val="auto"/>
          <w:highlight w:val="none"/>
          <w:u w:val="single"/>
        </w:rPr>
        <w:t>中标人在签订合同前需向招标人另行提供与投标递交的电子标书一致且加盖单位公章的纸质投标文件（含投标人须知</w:t>
      </w:r>
      <w:r>
        <w:rPr>
          <w:rFonts w:ascii="宋体" w:hAnsi="宋体" w:cs="仿宋_GB2312"/>
          <w:color w:val="auto"/>
          <w:highlight w:val="none"/>
          <w:u w:val="single"/>
        </w:rPr>
        <w:t>11.3列表明细包含的所有工程量清单报价表）4份及电子文件1份（不用生成投标书；包括用Microsoft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eastAsia="宋体" w:cs="宋体"/>
          <w:color w:val="auto"/>
          <w:szCs w:val="21"/>
          <w:highlight w:val="none"/>
          <w:u w:val="single"/>
          <w:lang w:eastAsia="zh-CN"/>
        </w:rPr>
        <w:t>广州公共资源交易中心最新指引</w:t>
      </w:r>
      <w:r>
        <w:rPr>
          <w:rFonts w:hint="eastAsia" w:ascii="宋体" w:hAnsi="宋体" w:cs="宋体"/>
          <w:color w:val="auto"/>
          <w:szCs w:val="21"/>
          <w:highlight w:val="none"/>
        </w:rPr>
        <w:t>。</w:t>
      </w:r>
    </w:p>
    <w:p>
      <w:pPr>
        <w:adjustRightInd w:val="0"/>
        <w:spacing w:line="360" w:lineRule="auto"/>
        <w:ind w:firstLine="538"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条款号：18.2                                修改类型：修改</w:t>
      </w:r>
    </w:p>
    <w:p>
      <w:pPr>
        <w:adjustRightInd w:val="0"/>
        <w:spacing w:line="360" w:lineRule="auto"/>
        <w:ind w:firstLine="480" w:firstLineChars="20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bottom w:val="single" w:color="auto" w:sz="6" w:space="1"/>
        </w:pBdr>
        <w:adjustRightInd w:val="0"/>
        <w:spacing w:line="360" w:lineRule="auto"/>
        <w:ind w:firstLine="480" w:firstLineChars="20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adjustRightInd w:val="0"/>
        <w:spacing w:line="360" w:lineRule="auto"/>
        <w:ind w:firstLine="538"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条款号：19.1                                修改类型：修改</w:t>
      </w:r>
    </w:p>
    <w:p>
      <w:pPr>
        <w:adjustRightInd w:val="0"/>
        <w:spacing w:line="360" w:lineRule="auto"/>
        <w:ind w:firstLine="480" w:firstLineChars="20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pBdr>
          <w:bottom w:val="single" w:color="auto" w:sz="6" w:space="1"/>
        </w:pBdr>
        <w:adjustRightInd w:val="0"/>
        <w:spacing w:line="360" w:lineRule="auto"/>
        <w:ind w:firstLine="480" w:firstLineChars="20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条款号：19                                   修改类型：修改</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19.投标文件的提交和接收</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w:t>
      </w:r>
      <w:r>
        <w:rPr>
          <w:rFonts w:hint="eastAsia" w:ascii="宋体" w:hAnsi="宋体" w:cs="宋体"/>
          <w:color w:val="auto"/>
          <w:szCs w:val="21"/>
          <w:highlight w:val="none"/>
          <w:u w:val="single"/>
        </w:rPr>
        <w:t>投标登记和</w:t>
      </w:r>
      <w:r>
        <w:rPr>
          <w:rFonts w:hint="eastAsia" w:ascii="宋体" w:hAnsi="宋体" w:cs="宋体"/>
          <w:color w:val="auto"/>
          <w:szCs w:val="21"/>
          <w:highlight w:val="none"/>
        </w:rPr>
        <w:t>投标文件的提交和接收</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条款号：19.1                                  修改类型：修改</w:t>
      </w:r>
    </w:p>
    <w:p>
      <w:pPr>
        <w:spacing w:line="360" w:lineRule="auto"/>
        <w:ind w:firstLine="480"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adjustRightInd w:val="0"/>
        <w:spacing w:line="360" w:lineRule="auto"/>
        <w:ind w:firstLine="538"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条款号：19.2                                  修改类型：修改</w:t>
      </w:r>
    </w:p>
    <w:p>
      <w:pPr>
        <w:adjustRightInd w:val="0"/>
        <w:spacing w:line="360" w:lineRule="auto"/>
        <w:ind w:firstLine="538"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adjustRightInd w:val="0"/>
        <w:spacing w:line="360" w:lineRule="auto"/>
        <w:ind w:firstLine="600" w:firstLineChars="25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adjustRightInd w:val="0"/>
        <w:spacing w:line="360" w:lineRule="auto"/>
        <w:ind w:firstLine="538"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条款号：19.3                                  修改类型：修改</w:t>
      </w:r>
    </w:p>
    <w:p>
      <w:pPr>
        <w:adjustRightInd w:val="0"/>
        <w:spacing w:line="360" w:lineRule="auto"/>
        <w:ind w:firstLine="480" w:firstLineChars="200"/>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adjustRightInd w:val="0"/>
        <w:spacing w:line="360" w:lineRule="auto"/>
        <w:ind w:firstLine="480" w:firstLineChars="20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adjustRightInd w:val="0"/>
        <w:spacing w:line="360" w:lineRule="auto"/>
        <w:ind w:firstLine="538"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条款号：19.5                                   修改类型：修改</w:t>
      </w:r>
    </w:p>
    <w:p>
      <w:pPr>
        <w:adjustRightInd w:val="0"/>
        <w:spacing w:line="360" w:lineRule="auto"/>
        <w:ind w:firstLine="538"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pBdr>
          <w:bottom w:val="single" w:color="auto" w:sz="6" w:space="1"/>
        </w:pBdr>
        <w:adjustRightInd w:val="0"/>
        <w:spacing w:line="360" w:lineRule="auto"/>
        <w:ind w:firstLine="600" w:firstLineChars="250"/>
        <w:textAlignment w:val="baseline"/>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如技术标和经济标先后分别开启，</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交易平台将按招标文件规定的时间分别开启技术标和经济标。</w:t>
      </w:r>
    </w:p>
    <w:p>
      <w:pPr>
        <w:adjustRightInd w:val="0"/>
        <w:spacing w:line="360" w:lineRule="auto"/>
        <w:ind w:firstLine="538"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条款号：19.6                        修改类型：删除</w:t>
      </w:r>
    </w:p>
    <w:p>
      <w:pPr>
        <w:adjustRightInd w:val="0"/>
        <w:spacing w:line="360" w:lineRule="auto"/>
        <w:ind w:firstLine="538" w:firstLineChars="224"/>
        <w:textAlignment w:val="baseline"/>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pBdr>
          <w:bottom w:val="single" w:color="auto" w:sz="6" w:space="1"/>
        </w:pBdr>
        <w:adjustRightInd w:val="0"/>
        <w:spacing w:line="360" w:lineRule="auto"/>
        <w:ind w:firstLine="600" w:firstLineChars="250"/>
        <w:textAlignment w:val="baseline"/>
        <w:rPr>
          <w:rFonts w:hint="eastAsia" w:ascii="宋体" w:hAnsi="宋体" w:cs="宋体"/>
          <w:color w:val="auto"/>
          <w:szCs w:val="21"/>
          <w:highlight w:val="none"/>
        </w:rPr>
      </w:pP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条款号：20.3                                   修改类型：修改</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20.3 到投标截止时间止，招标人收到的投标文件少于3家的，招标人将重新组织招标。</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条款号：21.1                                    修改类型：修改</w:t>
      </w:r>
    </w:p>
    <w:p>
      <w:pP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71" w:firstLineChars="196"/>
        <w:rPr>
          <w:rFonts w:hint="eastAsia" w:ascii="宋体" w:hAnsi="宋体" w:cs="宋体"/>
          <w:color w:val="auto"/>
          <w:szCs w:val="21"/>
          <w:highlight w:val="none"/>
        </w:rPr>
      </w:pPr>
      <w:r>
        <w:rPr>
          <w:rFonts w:hint="eastAsia" w:ascii="宋体" w:hAnsi="宋体" w:cs="宋体"/>
          <w:b/>
          <w:color w:val="auto"/>
          <w:szCs w:val="21"/>
          <w:highlight w:val="none"/>
        </w:rPr>
        <w:t xml:space="preserve">条款号：27.1  </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pPr>
        <w:pStyle w:val="19"/>
        <w:tabs>
          <w:tab w:val="left" w:pos="3327"/>
          <w:tab w:val="left" w:pos="6137"/>
          <w:tab w:val="left" w:pos="8967"/>
        </w:tabs>
        <w:kinsoku w:val="0"/>
        <w:overflowPunct w:val="0"/>
        <w:spacing w:before="36"/>
        <w:ind w:right="151" w:firstLine="480"/>
        <w:rPr>
          <w:rFonts w:hint="eastAsia" w:ascii="仿宋" w:hAnsi="仿宋" w:eastAsia="仿宋" w:cs="宋体"/>
          <w:b/>
          <w:bCs/>
          <w:color w:val="auto"/>
          <w:kern w:val="0"/>
          <w:sz w:val="22"/>
          <w:highlight w:val="none"/>
        </w:rPr>
      </w:pPr>
      <w:r>
        <w:rPr>
          <w:rFonts w:hint="eastAsia" w:ascii="宋体" w:hAnsi="宋体" w:cs="宋体"/>
          <w:b/>
          <w:bCs/>
          <w:color w:val="auto"/>
          <w:sz w:val="21"/>
          <w:szCs w:val="21"/>
          <w:highlight w:val="none"/>
        </w:rPr>
        <w:t>原文：</w:t>
      </w:r>
      <w:r>
        <w:rPr>
          <w:rFonts w:hint="eastAsia" w:ascii="仿宋" w:hAnsi="仿宋" w:eastAsia="仿宋" w:cs="宋体"/>
          <w:bCs/>
          <w:color w:val="auto"/>
          <w:kern w:val="0"/>
          <w:sz w:val="22"/>
          <w:highlight w:val="none"/>
        </w:rPr>
        <w:t>27.1招标人将在</w:t>
      </w:r>
      <w:r>
        <w:rPr>
          <w:rFonts w:hint="eastAsia" w:ascii="仿宋" w:hAnsi="仿宋" w:eastAsia="仿宋" w:cs="宋体"/>
          <w:bCs/>
          <w:color w:val="auto"/>
          <w:kern w:val="0"/>
          <w:sz w:val="22"/>
          <w:highlight w:val="none"/>
          <w:u w:val="single"/>
        </w:rPr>
        <w:t xml:space="preserve">        </w:t>
      </w:r>
      <w:r>
        <w:rPr>
          <w:rFonts w:hint="eastAsia" w:ascii="仿宋" w:hAnsi="仿宋" w:eastAsia="仿宋" w:cs="宋体"/>
          <w:bCs/>
          <w:color w:val="auto"/>
          <w:kern w:val="0"/>
          <w:sz w:val="22"/>
          <w:highlight w:val="none"/>
        </w:rPr>
        <w:t>交易平台、广东省招标投标监管网和中国招标投标公共服务平台公示中标候选人，公示期为三天。</w:t>
      </w:r>
      <w:r>
        <w:rPr>
          <w:rFonts w:hint="eastAsia" w:ascii="仿宋" w:hAnsi="仿宋" w:eastAsia="仿宋" w:cs="宋体"/>
          <w:b/>
          <w:bCs/>
          <w:color w:val="auto"/>
          <w:kern w:val="0"/>
          <w:sz w:val="22"/>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Style w:val="19"/>
        <w:tabs>
          <w:tab w:val="left" w:pos="3327"/>
          <w:tab w:val="left" w:pos="6137"/>
          <w:tab w:val="left" w:pos="8967"/>
        </w:tabs>
        <w:kinsoku w:val="0"/>
        <w:overflowPunct w:val="0"/>
        <w:spacing w:before="36"/>
        <w:ind w:right="151" w:firstLine="480"/>
        <w:rPr>
          <w:rFonts w:hint="eastAsia" w:ascii="仿宋" w:hAnsi="仿宋" w:eastAsia="仿宋" w:cs="宋体"/>
          <w:b/>
          <w:bCs/>
          <w:color w:val="auto"/>
          <w:kern w:val="0"/>
          <w:sz w:val="22"/>
          <w:highlight w:val="none"/>
        </w:rPr>
      </w:pPr>
      <w:r>
        <w:rPr>
          <w:rFonts w:hint="eastAsia" w:ascii="宋体" w:hAnsi="宋体" w:cs="宋体"/>
          <w:b/>
          <w:bCs/>
          <w:color w:val="auto"/>
          <w:sz w:val="21"/>
          <w:szCs w:val="21"/>
          <w:highlight w:val="none"/>
        </w:rPr>
        <w:t>现文</w:t>
      </w:r>
      <w:r>
        <w:rPr>
          <w:rFonts w:hint="eastAsia" w:ascii="宋体" w:hAnsi="宋体" w:cs="宋体"/>
          <w:color w:val="auto"/>
          <w:sz w:val="21"/>
          <w:szCs w:val="21"/>
          <w:highlight w:val="none"/>
        </w:rPr>
        <w:t>：27.1</w:t>
      </w:r>
      <w:r>
        <w:rPr>
          <w:rFonts w:hint="eastAsia" w:ascii="宋体" w:hAnsi="宋体" w:cs="宋体"/>
          <w:color w:val="auto"/>
          <w:spacing w:val="-61"/>
          <w:sz w:val="21"/>
          <w:szCs w:val="21"/>
          <w:highlight w:val="none"/>
        </w:rPr>
        <w:t xml:space="preserve"> </w:t>
      </w:r>
      <w:r>
        <w:rPr>
          <w:rFonts w:hint="eastAsia" w:ascii="宋体" w:hAnsi="宋体" w:cs="宋体"/>
          <w:color w:val="auto"/>
          <w:sz w:val="21"/>
          <w:szCs w:val="21"/>
          <w:highlight w:val="none"/>
        </w:rPr>
        <w:t>招标人将在</w:t>
      </w:r>
      <w:r>
        <w:rPr>
          <w:rFonts w:hint="eastAsia" w:ascii="宋体" w:hAnsi="宋体" w:cs="宋体"/>
          <w:color w:val="auto"/>
          <w:spacing w:val="-1"/>
          <w:sz w:val="21"/>
          <w:szCs w:val="21"/>
          <w:highlight w:val="none"/>
          <w:u w:val="single"/>
        </w:rPr>
        <w:t>广州公共资源交易中心</w:t>
      </w:r>
      <w:r>
        <w:rPr>
          <w:rFonts w:hint="eastAsia" w:ascii="宋体" w:hAnsi="宋体" w:cs="宋体"/>
          <w:color w:val="auto"/>
          <w:spacing w:val="-5"/>
          <w:sz w:val="21"/>
          <w:szCs w:val="21"/>
          <w:highlight w:val="none"/>
        </w:rPr>
        <w:t>交易平台、广东省招标投标监管网和中国招标投标公共服</w:t>
      </w:r>
      <w:r>
        <w:rPr>
          <w:rFonts w:hint="eastAsia" w:ascii="宋体" w:hAnsi="宋体" w:cs="宋体"/>
          <w:color w:val="auto"/>
          <w:sz w:val="21"/>
          <w:szCs w:val="21"/>
          <w:highlight w:val="none"/>
        </w:rPr>
        <w:t xml:space="preserve"> 务平台公示中标候选人，公示期为三天。</w:t>
      </w:r>
      <w:r>
        <w:rPr>
          <w:rFonts w:hint="eastAsia" w:ascii="仿宋" w:hAnsi="仿宋" w:eastAsia="仿宋" w:cs="宋体"/>
          <w:b/>
          <w:bCs/>
          <w:color w:val="auto"/>
          <w:kern w:val="0"/>
          <w:sz w:val="22"/>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Style w:val="19"/>
        <w:tabs>
          <w:tab w:val="left" w:pos="3327"/>
          <w:tab w:val="left" w:pos="6137"/>
          <w:tab w:val="left" w:pos="8967"/>
        </w:tabs>
        <w:kinsoku w:val="0"/>
        <w:overflowPunct w:val="0"/>
        <w:spacing w:before="36" w:line="357" w:lineRule="auto"/>
        <w:ind w:right="151"/>
        <w:rPr>
          <w:rFonts w:hint="eastAsia" w:ascii="宋体" w:hAnsi="宋体" w:cs="宋体"/>
          <w:b/>
          <w:color w:val="auto"/>
          <w:szCs w:val="21"/>
          <w:highlight w:val="none"/>
        </w:rPr>
      </w:pPr>
      <w:r>
        <w:rPr>
          <w:rFonts w:hint="eastAsia" w:ascii="宋体" w:hAnsi="宋体" w:cs="宋体"/>
          <w:b/>
          <w:color w:val="auto"/>
          <w:szCs w:val="21"/>
          <w:highlight w:val="none"/>
          <w:u w:val="single"/>
        </w:rPr>
        <w:t xml:space="preserve">                                                                                        </w:t>
      </w:r>
    </w:p>
    <w:p>
      <w:pPr>
        <w:rPr>
          <w:rFonts w:hint="eastAsia" w:ascii="宋体" w:hAnsi="宋体" w:cs="宋体"/>
          <w:color w:val="auto"/>
          <w:spacing w:val="-1"/>
          <w:szCs w:val="21"/>
          <w:highlight w:val="none"/>
        </w:rPr>
      </w:pPr>
      <w:r>
        <w:rPr>
          <w:rFonts w:hint="eastAsia" w:ascii="宋体" w:hAnsi="宋体" w:cs="宋体"/>
          <w:b/>
          <w:color w:val="auto"/>
          <w:szCs w:val="21"/>
          <w:highlight w:val="none"/>
        </w:rPr>
        <w:t xml:space="preserve"> 条款号：27.4</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pPr>
        <w:pStyle w:val="19"/>
        <w:tabs>
          <w:tab w:val="left" w:pos="6329"/>
        </w:tabs>
        <w:kinsoku w:val="0"/>
        <w:overflowPunct w:val="0"/>
        <w:spacing w:before="36"/>
        <w:ind w:right="148" w:firstLine="480"/>
        <w:rPr>
          <w:rFonts w:hint="eastAsia"/>
          <w:color w:val="auto"/>
          <w:sz w:val="21"/>
          <w:szCs w:val="21"/>
          <w:highlight w:val="none"/>
        </w:rPr>
      </w:pPr>
      <w:r>
        <w:rPr>
          <w:rFonts w:hint="eastAsia" w:ascii="宋体" w:hAnsi="宋体" w:cs="宋体"/>
          <w:b/>
          <w:bCs/>
          <w:color w:val="auto"/>
          <w:spacing w:val="-1"/>
          <w:sz w:val="21"/>
          <w:szCs w:val="21"/>
          <w:highlight w:val="none"/>
        </w:rPr>
        <w:t>原文：</w:t>
      </w:r>
      <w:r>
        <w:rPr>
          <w:rFonts w:hint="eastAsia"/>
          <w:color w:val="auto"/>
          <w:sz w:val="21"/>
          <w:szCs w:val="21"/>
          <w:highlight w:val="none"/>
        </w:rPr>
        <w:t>27.4</w:t>
      </w:r>
      <w:r>
        <w:rPr>
          <w:rFonts w:hint="eastAsia"/>
          <w:color w:val="auto"/>
          <w:spacing w:val="-37"/>
          <w:sz w:val="21"/>
          <w:szCs w:val="21"/>
          <w:highlight w:val="none"/>
        </w:rPr>
        <w:t xml:space="preserve"> </w:t>
      </w:r>
      <w:r>
        <w:rPr>
          <w:rFonts w:hint="eastAsia"/>
          <w:color w:val="auto"/>
          <w:spacing w:val="-4"/>
          <w:sz w:val="21"/>
          <w:szCs w:val="21"/>
          <w:highlight w:val="none"/>
        </w:rPr>
        <w:t>在产生中标候选人后，招标人将中标候选人的投标文件商务部分文件的所有内</w:t>
      </w:r>
      <w:r>
        <w:rPr>
          <w:rFonts w:hint="eastAsia"/>
          <w:color w:val="auto"/>
          <w:sz w:val="21"/>
          <w:szCs w:val="21"/>
          <w:highlight w:val="none"/>
        </w:rPr>
        <w:t xml:space="preserve"> </w:t>
      </w:r>
      <w:r>
        <w:rPr>
          <w:rFonts w:hint="eastAsia"/>
          <w:color w:val="auto"/>
          <w:spacing w:val="-3"/>
          <w:sz w:val="21"/>
          <w:szCs w:val="21"/>
          <w:highlight w:val="none"/>
        </w:rPr>
        <w:t>容（包括人员、业绩、奖项等资料）在</w:t>
      </w:r>
      <w:r>
        <w:rPr>
          <w:rFonts w:eastAsia="Times New Roman"/>
          <w:color w:val="auto"/>
          <w:spacing w:val="-3"/>
          <w:sz w:val="21"/>
          <w:szCs w:val="21"/>
          <w:highlight w:val="none"/>
          <w:u w:val="single"/>
        </w:rPr>
        <w:tab/>
      </w:r>
      <w:r>
        <w:rPr>
          <w:rFonts w:hint="eastAsia"/>
          <w:color w:val="auto"/>
          <w:sz w:val="21"/>
          <w:szCs w:val="21"/>
          <w:highlight w:val="none"/>
        </w:rPr>
        <w:t>交易平台和广东省招标投标 监管网公开。</w:t>
      </w:r>
    </w:p>
    <w:p>
      <w:pPr>
        <w:pStyle w:val="19"/>
        <w:tabs>
          <w:tab w:val="left" w:pos="6329"/>
        </w:tabs>
        <w:kinsoku w:val="0"/>
        <w:overflowPunct w:val="0"/>
        <w:spacing w:before="36"/>
        <w:ind w:right="148" w:firstLine="480"/>
        <w:rPr>
          <w:rFonts w:hint="eastAsia" w:ascii="宋体" w:hAnsi="宋体" w:cs="宋体"/>
          <w:color w:val="auto"/>
          <w:sz w:val="21"/>
          <w:szCs w:val="21"/>
          <w:highlight w:val="none"/>
        </w:rPr>
      </w:pPr>
      <w:r>
        <w:rPr>
          <w:rFonts w:hint="eastAsia" w:ascii="宋体" w:hAnsi="宋体" w:cs="宋体"/>
          <w:b/>
          <w:bCs/>
          <w:color w:val="auto"/>
          <w:sz w:val="21"/>
          <w:szCs w:val="21"/>
          <w:highlight w:val="none"/>
        </w:rPr>
        <w:t>现文</w:t>
      </w:r>
      <w:r>
        <w:rPr>
          <w:rFonts w:hint="eastAsia" w:ascii="宋体" w:hAnsi="宋体" w:cs="宋体"/>
          <w:color w:val="auto"/>
          <w:sz w:val="21"/>
          <w:szCs w:val="21"/>
          <w:highlight w:val="none"/>
        </w:rPr>
        <w:t>：27.4</w:t>
      </w:r>
      <w:r>
        <w:rPr>
          <w:rFonts w:hint="eastAsia" w:ascii="宋体" w:hAnsi="宋体" w:cs="宋体"/>
          <w:color w:val="auto"/>
          <w:spacing w:val="-37"/>
          <w:sz w:val="21"/>
          <w:szCs w:val="21"/>
          <w:highlight w:val="none"/>
        </w:rPr>
        <w:t xml:space="preserve"> </w:t>
      </w:r>
      <w:r>
        <w:rPr>
          <w:rFonts w:hint="eastAsia" w:ascii="宋体" w:hAnsi="宋体" w:cs="宋体"/>
          <w:color w:val="auto"/>
          <w:spacing w:val="-4"/>
          <w:sz w:val="21"/>
          <w:szCs w:val="21"/>
          <w:highlight w:val="none"/>
        </w:rPr>
        <w:t>在产生中标候选人后，招标人将中标候选人的投标文件商务部分文件的所有内</w:t>
      </w:r>
      <w:r>
        <w:rPr>
          <w:rFonts w:hint="eastAsia" w:ascii="宋体" w:hAnsi="宋体" w:cs="宋体"/>
          <w:color w:val="auto"/>
          <w:sz w:val="21"/>
          <w:szCs w:val="21"/>
          <w:highlight w:val="none"/>
        </w:rPr>
        <w:t xml:space="preserve"> </w:t>
      </w:r>
      <w:r>
        <w:rPr>
          <w:rFonts w:hint="eastAsia" w:ascii="宋体" w:hAnsi="宋体" w:cs="宋体"/>
          <w:color w:val="auto"/>
          <w:spacing w:val="-3"/>
          <w:sz w:val="21"/>
          <w:szCs w:val="21"/>
          <w:highlight w:val="none"/>
        </w:rPr>
        <w:t>容（包括人员、业绩、奖项等资料）在</w:t>
      </w:r>
      <w:r>
        <w:rPr>
          <w:rFonts w:hint="eastAsia" w:ascii="宋体" w:hAnsi="宋体" w:cs="宋体"/>
          <w:color w:val="auto"/>
          <w:spacing w:val="-1"/>
          <w:sz w:val="21"/>
          <w:szCs w:val="21"/>
          <w:highlight w:val="none"/>
          <w:u w:val="single"/>
        </w:rPr>
        <w:t>广州公共资源交易中心</w:t>
      </w:r>
      <w:r>
        <w:rPr>
          <w:rFonts w:hint="eastAsia" w:ascii="宋体" w:hAnsi="宋体" w:cs="宋体"/>
          <w:color w:val="auto"/>
          <w:sz w:val="21"/>
          <w:szCs w:val="21"/>
          <w:highlight w:val="none"/>
        </w:rPr>
        <w:t>交易平台和广东省招标投标监管网公开。</w:t>
      </w:r>
    </w:p>
    <w:p>
      <w:pPr>
        <w:pStyle w:val="19"/>
        <w:tabs>
          <w:tab w:val="left" w:pos="3327"/>
          <w:tab w:val="left" w:pos="6137"/>
          <w:tab w:val="left" w:pos="8967"/>
        </w:tabs>
        <w:kinsoku w:val="0"/>
        <w:overflowPunct w:val="0"/>
        <w:spacing w:before="36" w:line="357" w:lineRule="auto"/>
        <w:ind w:right="151"/>
        <w:rPr>
          <w:rFonts w:hint="eastAsia" w:ascii="宋体" w:hAnsi="宋体" w:cs="宋体"/>
          <w:color w:val="auto"/>
          <w:sz w:val="21"/>
          <w:szCs w:val="21"/>
          <w:highlight w:val="none"/>
        </w:rPr>
      </w:pPr>
      <w:r>
        <w:rPr>
          <w:rFonts w:hint="eastAsia" w:ascii="宋体" w:hAnsi="宋体" w:cs="宋体"/>
          <w:b/>
          <w:color w:val="auto"/>
          <w:szCs w:val="21"/>
          <w:highlight w:val="none"/>
          <w:u w:val="single"/>
        </w:rPr>
        <w:t xml:space="preserve">                                                                                            </w:t>
      </w:r>
    </w:p>
    <w:p>
      <w:pPr>
        <w:spacing w:line="360" w:lineRule="auto"/>
        <w:ind w:firstLine="485" w:firstLineChars="202"/>
        <w:contextualSpacing/>
        <w:rPr>
          <w:rFonts w:hint="eastAsia" w:ascii="宋体" w:hAnsi="宋体" w:cs="宋体"/>
          <w:b/>
          <w:color w:val="auto"/>
          <w:szCs w:val="21"/>
          <w:highlight w:val="none"/>
        </w:rPr>
      </w:pPr>
      <w:r>
        <w:rPr>
          <w:rFonts w:hint="eastAsia" w:ascii="宋体" w:hAnsi="宋体" w:cs="宋体"/>
          <w:b/>
          <w:color w:val="auto"/>
          <w:szCs w:val="21"/>
          <w:highlight w:val="none"/>
        </w:rPr>
        <w:t>条款号：28.5                                    修改类型：增加</w:t>
      </w:r>
    </w:p>
    <w:p>
      <w:pPr>
        <w:pBdr>
          <w:bottom w:val="single" w:color="auto" w:sz="6" w:space="1"/>
        </w:pBdr>
        <w:spacing w:line="360" w:lineRule="auto"/>
        <w:ind w:firstLine="480"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本工程由代建单位作为发包人与中标人签订合同</w:t>
      </w:r>
      <w:r>
        <w:rPr>
          <w:rFonts w:hint="eastAsia" w:ascii="宋体" w:hAnsi="宋体" w:cs="宋体"/>
          <w:color w:val="auto"/>
          <w:szCs w:val="21"/>
          <w:highlight w:val="none"/>
        </w:rPr>
        <w:t>。</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条款号：29.1                                    修改类型：修改</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w:t>
      </w:r>
      <w:r>
        <w:rPr>
          <w:rFonts w:hint="eastAsia" w:ascii="宋体" w:hAnsi="宋体" w:cs="宋体"/>
          <w:color w:val="auto"/>
          <w:kern w:val="0"/>
          <w:sz w:val="22"/>
          <w:highlight w:val="none"/>
        </w:rPr>
        <w:t>在收到中标通知书后的15日内，中标人应按本须知前附表第20项的规定向招标人提交履约担保</w:t>
      </w:r>
      <w:r>
        <w:rPr>
          <w:rFonts w:hint="eastAsia" w:ascii="宋体" w:hAnsi="宋体" w:cs="宋体"/>
          <w:color w:val="auto"/>
          <w:szCs w:val="21"/>
          <w:highlight w:val="none"/>
        </w:rPr>
        <w:t>。</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w:t>
      </w:r>
      <w:r>
        <w:rPr>
          <w:rFonts w:hint="eastAsia" w:ascii="宋体" w:hAnsi="宋体" w:cs="宋体"/>
          <w:color w:val="auto"/>
          <w:szCs w:val="21"/>
          <w:highlight w:val="none"/>
          <w:u w:val="single"/>
        </w:rPr>
        <w:t>合同正式签订之日后的30日内</w:t>
      </w:r>
      <w:r>
        <w:rPr>
          <w:rFonts w:hint="eastAsia" w:ascii="宋体" w:hAnsi="宋体" w:cs="宋体"/>
          <w:color w:val="auto"/>
          <w:szCs w:val="21"/>
          <w:highlight w:val="none"/>
        </w:rPr>
        <w:t>，</w:t>
      </w:r>
      <w:r>
        <w:rPr>
          <w:rFonts w:hint="eastAsia" w:ascii="宋体" w:hAnsi="宋体" w:cs="宋体"/>
          <w:color w:val="auto"/>
          <w:kern w:val="0"/>
          <w:sz w:val="22"/>
          <w:highlight w:val="none"/>
        </w:rPr>
        <w:t>中标人应按本须知前附表第20项的规定向招标人提交履约担保</w:t>
      </w:r>
      <w:r>
        <w:rPr>
          <w:rFonts w:hint="eastAsia" w:ascii="宋体" w:hAnsi="宋体" w:cs="宋体"/>
          <w:color w:val="auto"/>
          <w:szCs w:val="21"/>
          <w:highlight w:val="none"/>
        </w:rPr>
        <w:t>。</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条款号：29.2                                    修改类型：修改</w:t>
      </w:r>
    </w:p>
    <w:p>
      <w:pPr>
        <w:spacing w:line="360" w:lineRule="auto"/>
        <w:ind w:firstLine="471" w:firstLineChars="196"/>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合同正式签订之日后的30日内</w:t>
      </w:r>
      <w:r>
        <w:rPr>
          <w:rFonts w:hint="eastAsia" w:ascii="宋体" w:hAnsi="宋体" w:cs="宋体"/>
          <w:color w:val="auto"/>
          <w:szCs w:val="21"/>
          <w:highlight w:val="none"/>
        </w:rPr>
        <w:t>，中标人未按上款的规定递交履约担保，招标人将解除中标通知书，原中标人的投标担保不予退还，且依法承担相应法律责任。原中标人给招标人造成的损失超过投标担保数额的，还应当对超过部分予以赔偿。原中标人有异议的，可以向人民法院起诉。</w:t>
      </w:r>
    </w:p>
    <w:p>
      <w:pPr>
        <w:spacing w:line="360" w:lineRule="auto"/>
        <w:ind w:firstLine="471" w:firstLineChars="196"/>
        <w:rPr>
          <w:rFonts w:hint="eastAsia" w:ascii="宋体" w:hAnsi="宋体" w:cs="宋体"/>
          <w:b/>
          <w:color w:val="auto"/>
          <w:szCs w:val="21"/>
          <w:highlight w:val="none"/>
        </w:rPr>
      </w:pPr>
      <w:r>
        <w:rPr>
          <w:rFonts w:hint="eastAsia" w:ascii="宋体" w:hAnsi="宋体" w:cs="宋体"/>
          <w:b/>
          <w:color w:val="auto"/>
          <w:szCs w:val="21"/>
          <w:highlight w:val="none"/>
        </w:rPr>
        <w:t>条款号：30.1                                    修改类型：修改</w:t>
      </w:r>
    </w:p>
    <w:p>
      <w:pP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80"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30.1合同双方全权代表在合同协议书上签字，并分别加盖双方单位的公章</w:t>
      </w:r>
      <w:r>
        <w:rPr>
          <w:rFonts w:hint="eastAsia" w:ascii="宋体" w:hAnsi="宋体" w:cs="宋体"/>
          <w:color w:val="auto"/>
          <w:szCs w:val="21"/>
          <w:highlight w:val="none"/>
          <w:u w:val="single"/>
        </w:rPr>
        <w:t>且承包人提交履约担保后，合同正式生效。</w:t>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 xml:space="preserve">    条款号：31                                      修改类型：修改</w:t>
      </w:r>
    </w:p>
    <w:p>
      <w:pPr>
        <w:pBdr>
          <w:bottom w:val="single" w:color="auto" w:sz="6" w:space="1"/>
        </w:pBdr>
        <w:spacing w:line="360" w:lineRule="auto"/>
        <w:ind w:firstLine="48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原文：其它费用</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：31中标人应交纳交易服务费，该费用包含在投标价中。</w:t>
      </w:r>
    </w:p>
    <w:p>
      <w:pPr>
        <w:pStyle w:val="25"/>
        <w:rPr>
          <w:rFonts w:hint="eastAsia"/>
          <w:color w:val="auto"/>
          <w:highlight w:val="none"/>
        </w:rPr>
      </w:pPr>
    </w:p>
    <w:p>
      <w:pPr>
        <w:spacing w:line="360" w:lineRule="auto"/>
        <w:ind w:firstLine="240" w:firstLineChars="100"/>
        <w:rPr>
          <w:rFonts w:hint="eastAsia"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（以下无正文）</w:t>
      </w:r>
    </w:p>
    <w:p>
      <w:pPr>
        <w:pStyle w:val="4"/>
        <w:spacing w:line="360" w:lineRule="auto"/>
        <w:rPr>
          <w:rFonts w:hint="eastAsia" w:ascii="宋体" w:hAnsi="宋体" w:cs="宋体"/>
          <w:color w:val="auto"/>
          <w:highlight w:val="none"/>
        </w:rPr>
      </w:pPr>
      <w:r>
        <w:rPr>
          <w:rFonts w:hint="eastAsia" w:ascii="宋体" w:hAnsi="宋体" w:cs="宋体"/>
          <w:color w:val="auto"/>
          <w:highlight w:val="none"/>
        </w:rPr>
        <w:br w:type="page"/>
      </w:r>
      <w:bookmarkStart w:id="3" w:name="_Toc17403"/>
      <w:r>
        <w:rPr>
          <w:rFonts w:hint="eastAsia" w:ascii="宋体" w:hAnsi="宋体" w:cs="宋体"/>
          <w:color w:val="auto"/>
          <w:highlight w:val="none"/>
        </w:rPr>
        <w:t>三、投标须知通用条款</w:t>
      </w:r>
      <w:bookmarkEnd w:id="3"/>
    </w:p>
    <w:p>
      <w:pPr>
        <w:pStyle w:val="6"/>
        <w:spacing w:before="156" w:after="156" w:line="360" w:lineRule="auto"/>
        <w:rPr>
          <w:rFonts w:hint="eastAsia" w:cs="宋体"/>
          <w:color w:val="auto"/>
          <w:sz w:val="24"/>
          <w:szCs w:val="24"/>
          <w:highlight w:val="none"/>
        </w:rPr>
      </w:pPr>
      <w:bookmarkStart w:id="4" w:name="_Toc15750"/>
      <w:r>
        <w:rPr>
          <w:rFonts w:hint="eastAsia" w:cs="宋体"/>
          <w:color w:val="auto"/>
          <w:sz w:val="24"/>
          <w:szCs w:val="24"/>
          <w:highlight w:val="none"/>
        </w:rPr>
        <w:t>（一）总则</w:t>
      </w:r>
      <w:bookmarkEnd w:id="4"/>
    </w:p>
    <w:p>
      <w:pPr>
        <w:pStyle w:val="48"/>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1、定义</w:t>
      </w:r>
    </w:p>
    <w:p>
      <w:pPr>
        <w:pStyle w:val="48"/>
        <w:spacing w:after="0"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本招标文件使用的下列词语具有如下规定的意义：</w:t>
      </w:r>
    </w:p>
    <w:p>
      <w:pPr>
        <w:pStyle w:val="48"/>
        <w:spacing w:after="0" w:line="360" w:lineRule="auto"/>
        <w:ind w:firstLine="480" w:firstLineChars="200"/>
        <w:rPr>
          <w:rFonts w:hint="eastAsia" w:ascii="宋体" w:hAnsi="宋体" w:cs="宋体"/>
          <w:b/>
          <w:bCs/>
          <w:color w:val="auto"/>
          <w:sz w:val="24"/>
          <w:szCs w:val="24"/>
          <w:highlight w:val="none"/>
          <w:u w:val="single"/>
        </w:rPr>
      </w:pPr>
      <w:r>
        <w:rPr>
          <w:rFonts w:hint="eastAsia" w:ascii="宋体" w:hAnsi="宋体" w:cs="宋体"/>
          <w:color w:val="auto"/>
          <w:sz w:val="24"/>
          <w:szCs w:val="24"/>
          <w:highlight w:val="none"/>
        </w:rPr>
        <w:t>（1）“招标人”（即发包人）、“项目建设管理单位”（或称“项目代建单位”）、“招标代理”、“设计单位”、“监理单位”均已在投标须知前附表中列明。</w:t>
      </w:r>
    </w:p>
    <w:p>
      <w:pPr>
        <w:pStyle w:val="48"/>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（2）“投标人”指向招标人提交投标文件的当事人。   </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（3）“承包人”指其投标被招标人接受并与其签订承包合同的当事人。</w:t>
      </w:r>
    </w:p>
    <w:p>
      <w:pPr>
        <w:pStyle w:val="48"/>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（4）“招标文件”指由招标代理发出的本文件（包括全部章节、附件）及招标答疑会会议纪要和</w:t>
      </w:r>
      <w:r>
        <w:rPr>
          <w:rFonts w:hint="eastAsia" w:ascii="宋体" w:hAnsi="宋体" w:cs="宋体"/>
          <w:bCs/>
          <w:color w:val="auto"/>
          <w:sz w:val="24"/>
          <w:szCs w:val="24"/>
          <w:highlight w:val="none"/>
        </w:rPr>
        <w:t>招标文件的澄清与修改</w:t>
      </w:r>
      <w:r>
        <w:rPr>
          <w:rFonts w:hint="eastAsia" w:ascii="宋体" w:hAnsi="宋体" w:cs="宋体"/>
          <w:color w:val="auto"/>
          <w:sz w:val="24"/>
          <w:szCs w:val="24"/>
          <w:highlight w:val="none"/>
        </w:rPr>
        <w:t>文件。</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（5）“投标文件”指投标人根据本项目招标文件向招标人提交的全部文件。</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（6）“书面形式”指打字或印刷的文件和数据电文（包括电报、电传、传真、电子数据交换和电子邮件）。</w:t>
      </w:r>
    </w:p>
    <w:p>
      <w:pPr>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2、招标说明</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2.2工程名称、建设地点、建设规模、承包方式、质量标准、招标范围、工期要求等均在投标须知前附表中列明。</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2.3设计说明：详见招标图纸。</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2.4工程施工特点：详见招标图纸。</w:t>
      </w:r>
    </w:p>
    <w:p>
      <w:pPr>
        <w:tabs>
          <w:tab w:val="left" w:pos="105"/>
        </w:tabs>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3．资金来源</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3.1本招标工程项目资金来源见投标须知前附表第9项</w:t>
      </w:r>
    </w:p>
    <w:p>
      <w:pPr>
        <w:tabs>
          <w:tab w:val="left" w:pos="105"/>
        </w:tabs>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4．合格投标人的条件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4.1详见本项目招标公告</w:t>
      </w:r>
    </w:p>
    <w:p>
      <w:pPr>
        <w:tabs>
          <w:tab w:val="left" w:pos="105"/>
        </w:tabs>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5．踏勘现场</w:t>
      </w:r>
    </w:p>
    <w:p>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5.1 投标人应按本投标须知前附表第15项所述时间和要求对工程现场及周围环境进行踏勘，</w:t>
      </w:r>
      <w:r>
        <w:rPr>
          <w:rFonts w:hint="eastAsia" w:ascii="宋体" w:hAnsi="宋体" w:cs="宋体"/>
          <w:color w:val="auto"/>
          <w:sz w:val="24"/>
          <w:szCs w:val="24"/>
          <w:highlight w:val="none"/>
        </w:rPr>
        <w:t>投标人应充分重视和仔细地进行这种考察，</w:t>
      </w:r>
      <w:r>
        <w:rPr>
          <w:rFonts w:hint="eastAsia" w:ascii="宋体" w:hAnsi="宋体" w:cs="宋体"/>
          <w:bCs/>
          <w:color w:val="auto"/>
          <w:sz w:val="24"/>
          <w:szCs w:val="24"/>
          <w:highlight w:val="none"/>
        </w:rPr>
        <w:t>以便投标人获取</w:t>
      </w:r>
      <w:r>
        <w:rPr>
          <w:rFonts w:hint="eastAsia" w:ascii="宋体" w:hAnsi="宋体" w:cs="宋体"/>
          <w:color w:val="auto"/>
          <w:sz w:val="24"/>
          <w:szCs w:val="24"/>
          <w:highlight w:val="none"/>
        </w:rPr>
        <w:t>那些须投标人自己负责的</w:t>
      </w:r>
      <w:r>
        <w:rPr>
          <w:rFonts w:hint="eastAsia" w:ascii="宋体" w:hAnsi="宋体" w:cs="宋体"/>
          <w:bCs/>
          <w:color w:val="auto"/>
          <w:sz w:val="24"/>
          <w:szCs w:val="24"/>
          <w:highlight w:val="none"/>
        </w:rPr>
        <w:t>有关编制投标文件和签署合同所涉及现场所有的资料。</w:t>
      </w:r>
      <w:r>
        <w:rPr>
          <w:rFonts w:hint="eastAsia" w:ascii="宋体" w:hAnsi="宋体" w:cs="宋体"/>
          <w:color w:val="auto"/>
          <w:sz w:val="24"/>
          <w:szCs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5.3 经招标人允许，投标人可为踏勘目的进入招标人的项目现场。</w:t>
      </w:r>
      <w:r>
        <w:rPr>
          <w:rFonts w:hint="eastAsia" w:ascii="宋体" w:hAnsi="宋体" w:cs="宋体"/>
          <w:color w:val="auto"/>
          <w:sz w:val="24"/>
          <w:szCs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 w:val="24"/>
          <w:szCs w:val="24"/>
          <w:highlight w:val="none"/>
        </w:rPr>
        <w:t>投标人不得因此使招标人承担有关的责任和蒙受损失。</w:t>
      </w:r>
    </w:p>
    <w:p>
      <w:pPr>
        <w:tabs>
          <w:tab w:val="left" w:pos="105"/>
        </w:tabs>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6．投标费用</w:t>
      </w:r>
    </w:p>
    <w:p>
      <w:pPr>
        <w:tabs>
          <w:tab w:val="left" w:pos="105"/>
        </w:tabs>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6.1</w:t>
      </w:r>
      <w:r>
        <w:rPr>
          <w:rFonts w:hint="eastAsia" w:ascii="宋体" w:hAnsi="宋体" w:cs="宋体"/>
          <w:color w:val="auto"/>
          <w:sz w:val="24"/>
          <w:szCs w:val="24"/>
          <w:highlight w:val="none"/>
        </w:rPr>
        <w:t>不论投标结果如何，投标人应承担</w:t>
      </w:r>
      <w:r>
        <w:rPr>
          <w:rFonts w:hint="eastAsia" w:ascii="宋体" w:hAnsi="宋体" w:cs="宋体"/>
          <w:bCs/>
          <w:color w:val="auto"/>
          <w:sz w:val="24"/>
          <w:szCs w:val="24"/>
          <w:highlight w:val="none"/>
        </w:rPr>
        <w:t>自身</w:t>
      </w:r>
      <w:r>
        <w:rPr>
          <w:rFonts w:hint="eastAsia" w:ascii="宋体" w:hAnsi="宋体" w:cs="宋体"/>
          <w:color w:val="auto"/>
          <w:sz w:val="24"/>
          <w:szCs w:val="24"/>
          <w:highlight w:val="none"/>
        </w:rPr>
        <w:t>因投标文件编制、递交及其他</w:t>
      </w:r>
      <w:r>
        <w:rPr>
          <w:rFonts w:hint="eastAsia" w:ascii="宋体" w:hAnsi="宋体" w:cs="宋体"/>
          <w:bCs/>
          <w:color w:val="auto"/>
          <w:sz w:val="24"/>
          <w:szCs w:val="24"/>
          <w:highlight w:val="none"/>
        </w:rPr>
        <w:t>参加本招标活动</w:t>
      </w:r>
      <w:r>
        <w:rPr>
          <w:rFonts w:hint="eastAsia" w:ascii="宋体" w:hAnsi="宋体" w:cs="宋体"/>
          <w:color w:val="auto"/>
          <w:sz w:val="24"/>
          <w:szCs w:val="24"/>
          <w:highlight w:val="none"/>
        </w:rPr>
        <w:t>所涉及的一切费用，招标人对上述费用不负任何责任。</w:t>
      </w:r>
    </w:p>
    <w:p>
      <w:pPr>
        <w:pStyle w:val="6"/>
        <w:spacing w:before="156" w:after="156" w:line="360" w:lineRule="auto"/>
        <w:rPr>
          <w:rFonts w:hint="eastAsia" w:cs="宋体"/>
          <w:color w:val="auto"/>
          <w:sz w:val="24"/>
          <w:szCs w:val="24"/>
          <w:highlight w:val="none"/>
        </w:rPr>
      </w:pPr>
      <w:bookmarkStart w:id="5" w:name="_Toc10643"/>
      <w:r>
        <w:rPr>
          <w:rFonts w:hint="eastAsia" w:cs="宋体"/>
          <w:color w:val="auto"/>
          <w:sz w:val="24"/>
          <w:szCs w:val="24"/>
          <w:highlight w:val="none"/>
        </w:rPr>
        <w:t>（二）招标文件</w:t>
      </w:r>
      <w:bookmarkEnd w:id="5"/>
    </w:p>
    <w:p>
      <w:pPr>
        <w:tabs>
          <w:tab w:val="left" w:pos="105"/>
        </w:tabs>
        <w:spacing w:line="360" w:lineRule="auto"/>
        <w:ind w:firstLine="480"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7.招标文件的组成</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7.1</w:t>
      </w:r>
      <w:r>
        <w:rPr>
          <w:rFonts w:hint="eastAsia" w:ascii="宋体" w:hAnsi="宋体" w:cs="宋体"/>
          <w:color w:val="auto"/>
          <w:sz w:val="24"/>
          <w:szCs w:val="24"/>
          <w:highlight w:val="none"/>
        </w:rPr>
        <w:t>本招标文件包括下列文件，以及所有按本须知第8条发出的招标答疑会会议纪要和按本须知第9条发出的澄清或修改：</w:t>
      </w:r>
    </w:p>
    <w:p>
      <w:pPr>
        <w:pStyle w:val="48"/>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第一章  </w:t>
      </w:r>
      <w:r>
        <w:rPr>
          <w:rFonts w:hint="eastAsia" w:ascii="宋体" w:hAnsi="宋体" w:cs="宋体"/>
          <w:color w:val="auto"/>
          <w:sz w:val="24"/>
          <w:szCs w:val="24"/>
          <w:highlight w:val="none"/>
        </w:rPr>
        <w:t>投标须知</w:t>
      </w:r>
    </w:p>
    <w:p>
      <w:pPr>
        <w:pStyle w:val="48"/>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第二章  </w:t>
      </w:r>
      <w:r>
        <w:rPr>
          <w:rFonts w:hint="eastAsia" w:ascii="宋体" w:hAnsi="宋体" w:cs="宋体"/>
          <w:color w:val="auto"/>
          <w:sz w:val="24"/>
          <w:szCs w:val="24"/>
          <w:highlight w:val="none"/>
        </w:rPr>
        <w:t>开标、评标及定标办法</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第三章  合同条款</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第四章  </w:t>
      </w:r>
      <w:r>
        <w:rPr>
          <w:rFonts w:hint="eastAsia" w:ascii="宋体" w:hAnsi="宋体" w:cs="宋体"/>
          <w:color w:val="auto"/>
          <w:sz w:val="24"/>
          <w:szCs w:val="24"/>
          <w:highlight w:val="none"/>
        </w:rPr>
        <w:t>投标文件格式</w:t>
      </w:r>
    </w:p>
    <w:p>
      <w:pPr>
        <w:pStyle w:val="48"/>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第五章  </w:t>
      </w:r>
      <w:r>
        <w:rPr>
          <w:rFonts w:hint="eastAsia" w:ascii="宋体" w:hAnsi="宋体" w:cs="宋体"/>
          <w:color w:val="auto"/>
          <w:sz w:val="24"/>
          <w:szCs w:val="24"/>
          <w:highlight w:val="none"/>
        </w:rPr>
        <w:t>技术条件（工程建设标准）（另册）</w:t>
      </w:r>
    </w:p>
    <w:p>
      <w:pPr>
        <w:pStyle w:val="48"/>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 xml:space="preserve">第六章  </w:t>
      </w:r>
      <w:r>
        <w:rPr>
          <w:rFonts w:hint="eastAsia" w:ascii="宋体" w:hAnsi="宋体" w:cs="宋体"/>
          <w:color w:val="auto"/>
          <w:sz w:val="24"/>
          <w:szCs w:val="24"/>
          <w:highlight w:val="none"/>
        </w:rPr>
        <w:t>图纸及勘察资料（另册）</w:t>
      </w:r>
    </w:p>
    <w:p>
      <w:pPr>
        <w:pStyle w:val="48"/>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第七章  招标</w:t>
      </w:r>
      <w:r>
        <w:rPr>
          <w:rFonts w:hint="eastAsia" w:ascii="宋体" w:hAnsi="宋体" w:cs="宋体"/>
          <w:color w:val="auto"/>
          <w:sz w:val="24"/>
          <w:szCs w:val="24"/>
          <w:highlight w:val="none"/>
        </w:rPr>
        <w:t>工程量清单（另册）</w:t>
      </w:r>
    </w:p>
    <w:p>
      <w:pPr>
        <w:pStyle w:val="48"/>
        <w:spacing w:after="0" w:line="360" w:lineRule="auto"/>
        <w:ind w:left="-2"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第八章  最高投标限价</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 投标人一旦中标，招标文件的内容对招标人和中标人双方均有约束力。</w:t>
      </w:r>
    </w:p>
    <w:p>
      <w:pPr>
        <w:pStyle w:val="48"/>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8．招标答疑</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 投标人若对招标文件（包括招标图纸）中有疑问，可以书面形式通过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交易平台提交给招标人或招标代理人，提交形式见本须知前附表第16项。</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8.2招标答疑会会议纪要将在提交投标文件截止时间15日前在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 “项目答疑纪要”专区公开发布。答疑纪要一经在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交易平台发布，视作已发放给所有投标人。</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8.3答疑会会议纪要为招标文件的一部分。</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8.4若招标答疑会会议纪要与招标文件有矛盾，以答疑会议纪要最后发出的书面形式的文件为准。</w:t>
      </w:r>
    </w:p>
    <w:p>
      <w:pPr>
        <w:pStyle w:val="48"/>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9.招标文件的澄清与修改</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9.1招标文件发出后,在提交投标文件截止时间15日前，招标人可对招标文件进行必要的澄清或修改。</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9.2招标文件的澄清或修改将在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交易平台“项目答疑纪要”专区公开发布。答疑纪要一经在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交易平台发布，视作已发放给所有投标人，以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交易平台上网发布时间作为送达时间。</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9.3招标文件的修改内容为招标文件的组成部分。</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9.4招标文件的澄清或修改均以书面形式明确的内容为准。当招标文件的澄清、修改、补充等在同一内容的表述不一致时，以最后发出的书面形式的文件为准。</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6"/>
        <w:spacing w:before="156" w:after="156" w:line="360" w:lineRule="auto"/>
        <w:rPr>
          <w:rFonts w:hint="eastAsia" w:cs="宋体"/>
          <w:color w:val="auto"/>
          <w:sz w:val="24"/>
          <w:szCs w:val="24"/>
          <w:highlight w:val="none"/>
        </w:rPr>
      </w:pPr>
      <w:bookmarkStart w:id="6" w:name="_Toc18324"/>
      <w:r>
        <w:rPr>
          <w:rFonts w:hint="eastAsia" w:cs="宋体"/>
          <w:color w:val="auto"/>
          <w:sz w:val="24"/>
          <w:szCs w:val="24"/>
          <w:highlight w:val="none"/>
        </w:rPr>
        <w:t>（三）投标文件的编制</w:t>
      </w:r>
      <w:bookmarkEnd w:id="6"/>
    </w:p>
    <w:p>
      <w:pPr>
        <w:pStyle w:val="48"/>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10．投标文件的语言及度量衡单位</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10.1 投标文件和与投标有关的所有文件均应使用中文。</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10.2 除工程规范另有规定外，投标文件使用的度量衡单位，均采用中华人民共和国法定计量单位。</w:t>
      </w:r>
    </w:p>
    <w:p>
      <w:pPr>
        <w:pStyle w:val="48"/>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11．投标文件的组成</w:t>
      </w:r>
    </w:p>
    <w:p>
      <w:pPr>
        <w:pStyle w:val="48"/>
        <w:spacing w:after="0"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11.1 投标文件由技术部分（含资格审查文件）和经济部分二部分投标文件组成</w:t>
      </w:r>
      <w:r>
        <w:rPr>
          <w:rFonts w:hint="eastAsia" w:ascii="宋体" w:hAnsi="宋体" w:cs="宋体"/>
          <w:b/>
          <w:color w:val="auto"/>
          <w:sz w:val="24"/>
          <w:szCs w:val="24"/>
          <w:highlight w:val="none"/>
        </w:rPr>
        <w:t>。</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11.2投标文件技术标部分主要包括下列内容:</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11.2.1 技术投标文件</w:t>
      </w:r>
      <w:r>
        <w:rPr>
          <w:rFonts w:hint="eastAsia" w:ascii="宋体" w:hAnsi="宋体" w:cs="宋体"/>
          <w:color w:val="auto"/>
          <w:sz w:val="24"/>
          <w:szCs w:val="24"/>
          <w:highlight w:val="none"/>
        </w:rPr>
        <w:t>(按招标文件的要求填写)</w:t>
      </w:r>
      <w:r>
        <w:rPr>
          <w:rFonts w:hint="eastAsia" w:ascii="宋体" w:hAnsi="宋体" w:cs="宋体"/>
          <w:bCs/>
          <w:color w:val="auto"/>
          <w:sz w:val="24"/>
          <w:szCs w:val="24"/>
          <w:highlight w:val="none"/>
        </w:rPr>
        <w:t>；</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11.2.2 资格审查文件：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（1）投标人声明； </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（2）法定代表人证明书、法定代表人签字或盖章的本投标文件授权委托证明书；</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（3）企业营业执照（取自</w:t>
      </w:r>
      <w:r>
        <w:rPr>
          <w:rFonts w:hint="eastAsia" w:ascii="宋体" w:hAnsi="宋体" w:eastAsia="宋体" w:cs="宋体"/>
          <w:bCs/>
          <w:color w:val="auto"/>
          <w:sz w:val="24"/>
          <w:szCs w:val="24"/>
          <w:highlight w:val="none"/>
          <w:lang w:eastAsia="zh-CN"/>
        </w:rPr>
        <w:t>平台内</w:t>
      </w:r>
      <w:r>
        <w:rPr>
          <w:rFonts w:hint="eastAsia" w:ascii="宋体" w:hAnsi="宋体" w:cs="宋体"/>
          <w:bCs/>
          <w:color w:val="auto"/>
          <w:sz w:val="24"/>
          <w:szCs w:val="24"/>
          <w:highlight w:val="none"/>
        </w:rPr>
        <w:t>上传件）；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（4）企业资质证书（取自</w:t>
      </w:r>
      <w:r>
        <w:rPr>
          <w:rFonts w:hint="eastAsia" w:ascii="宋体" w:hAnsi="宋体" w:eastAsia="宋体" w:cs="宋体"/>
          <w:bCs/>
          <w:color w:val="auto"/>
          <w:sz w:val="24"/>
          <w:szCs w:val="24"/>
          <w:highlight w:val="none"/>
          <w:lang w:eastAsia="zh-CN"/>
        </w:rPr>
        <w:t>平台内</w:t>
      </w:r>
      <w:r>
        <w:rPr>
          <w:rFonts w:hint="eastAsia" w:ascii="宋体" w:hAnsi="宋体" w:cs="宋体"/>
          <w:bCs/>
          <w:color w:val="auto"/>
          <w:sz w:val="24"/>
          <w:szCs w:val="24"/>
          <w:highlight w:val="none"/>
        </w:rPr>
        <w:t>上传件）；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（5）建筑施工企业安全生产许可证（取自</w:t>
      </w:r>
      <w:r>
        <w:rPr>
          <w:rFonts w:hint="eastAsia" w:ascii="宋体" w:hAnsi="宋体" w:eastAsia="宋体" w:cs="宋体"/>
          <w:bCs/>
          <w:color w:val="auto"/>
          <w:sz w:val="24"/>
          <w:szCs w:val="24"/>
          <w:highlight w:val="none"/>
          <w:lang w:eastAsia="zh-CN"/>
        </w:rPr>
        <w:t>平台内</w:t>
      </w:r>
      <w:r>
        <w:rPr>
          <w:rFonts w:hint="eastAsia" w:ascii="宋体" w:hAnsi="宋体" w:cs="宋体"/>
          <w:bCs/>
          <w:color w:val="auto"/>
          <w:sz w:val="24"/>
          <w:szCs w:val="24"/>
          <w:highlight w:val="none"/>
        </w:rPr>
        <w:t>上传件）；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（6）项目负责人（按网上投标登记时选择拟投标的项目负责人）</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（7）专职安全员（按网上投标登记时选择拟投标的专职安全员）</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（8）拟委托技术负责人的相关证书、资料（具体要求由招标人明确）</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（9）拟委派项目负责人的建造师证书或二级注册建造师电子注册证书或小型项目负责人相关证明（取自</w:t>
      </w:r>
      <w:r>
        <w:rPr>
          <w:rFonts w:hint="eastAsia" w:ascii="宋体" w:hAnsi="宋体" w:eastAsia="宋体" w:cs="宋体"/>
          <w:bCs/>
          <w:color w:val="auto"/>
          <w:sz w:val="24"/>
          <w:szCs w:val="24"/>
          <w:highlight w:val="none"/>
          <w:lang w:eastAsia="zh-CN"/>
        </w:rPr>
        <w:t>平台内</w:t>
      </w:r>
      <w:r>
        <w:rPr>
          <w:rFonts w:hint="eastAsia" w:ascii="宋体" w:hAnsi="宋体" w:cs="宋体"/>
          <w:bCs/>
          <w:color w:val="auto"/>
          <w:sz w:val="24"/>
          <w:szCs w:val="24"/>
          <w:highlight w:val="none"/>
        </w:rPr>
        <w:t xml:space="preserve">上传件） </w:t>
      </w:r>
    </w:p>
    <w:p>
      <w:pPr>
        <w:spacing w:line="360" w:lineRule="auto"/>
        <w:ind w:firstLine="480" w:firstLineChars="200"/>
        <w:rPr>
          <w:rFonts w:hint="eastAsia" w:ascii="宋体" w:hAnsi="宋体" w:eastAsia="Times New Roman" w:cs="宋体"/>
          <w:bCs/>
          <w:color w:val="auto"/>
          <w:kern w:val="0"/>
          <w:sz w:val="24"/>
          <w:highlight w:val="none"/>
        </w:rPr>
      </w:pPr>
      <w:r>
        <w:rPr>
          <w:rFonts w:hint="eastAsia" w:ascii="宋体" w:hAnsi="宋体" w:eastAsia="Times New Roman" w:cs="宋体"/>
          <w:bCs/>
          <w:color w:val="auto"/>
          <w:szCs w:val="24"/>
          <w:highlight w:val="none"/>
        </w:rPr>
        <w:t>（10）</w:t>
      </w:r>
      <w:r>
        <w:rPr>
          <w:rFonts w:hint="eastAsia" w:ascii="宋体" w:hAnsi="宋体" w:eastAsia="Times New Roman" w:cs="宋体"/>
          <w:bCs/>
          <w:color w:val="auto"/>
          <w:kern w:val="0"/>
          <w:sz w:val="24"/>
          <w:highlight w:val="none"/>
        </w:rPr>
        <w:t>项目负责人安全</w:t>
      </w:r>
      <w:r>
        <w:rPr>
          <w:rFonts w:hint="eastAsia" w:ascii="宋体" w:hAnsi="宋体" w:eastAsia="宋体" w:cs="宋体"/>
          <w:bCs/>
          <w:color w:val="auto"/>
          <w:kern w:val="0"/>
          <w:sz w:val="24"/>
          <w:highlight w:val="none"/>
          <w:lang w:val="en-US" w:eastAsia="zh-CN"/>
        </w:rPr>
        <w:t>生产</w:t>
      </w:r>
      <w:r>
        <w:rPr>
          <w:rFonts w:hint="eastAsia" w:ascii="宋体" w:hAnsi="宋体" w:eastAsia="Times New Roman" w:cs="宋体"/>
          <w:bCs/>
          <w:color w:val="auto"/>
          <w:kern w:val="0"/>
          <w:sz w:val="24"/>
          <w:highlight w:val="none"/>
        </w:rPr>
        <w:t>考核合格证明或在有效期内的安全考核合格证书（B类）</w:t>
      </w:r>
      <w:r>
        <w:rPr>
          <w:rFonts w:hint="eastAsia" w:ascii="宋体" w:hAnsi="宋体" w:eastAsia="Times New Roman" w:cs="宋体"/>
          <w:b w:val="0"/>
          <w:bCs/>
          <w:color w:val="auto"/>
          <w:kern w:val="0"/>
          <w:sz w:val="24"/>
          <w:highlight w:val="none"/>
        </w:rPr>
        <w:t>或建筑施工企业项目负责人安全生产考核合格证书</w:t>
      </w:r>
      <w:r>
        <w:rPr>
          <w:rFonts w:hint="eastAsia" w:ascii="宋体" w:hAnsi="宋体" w:eastAsia="Times New Roman" w:cs="宋体"/>
          <w:bCs/>
          <w:color w:val="auto"/>
          <w:kern w:val="0"/>
          <w:sz w:val="24"/>
          <w:highlight w:val="none"/>
        </w:rPr>
        <w:t>（取自</w:t>
      </w:r>
      <w:r>
        <w:rPr>
          <w:rFonts w:hint="eastAsia" w:ascii="宋体" w:hAnsi="宋体" w:eastAsia="Times New Roman" w:cs="宋体"/>
          <w:b w:val="0"/>
          <w:bCs/>
          <w:color w:val="auto"/>
          <w:kern w:val="0"/>
          <w:sz w:val="24"/>
          <w:highlight w:val="none"/>
        </w:rPr>
        <w:t>平台内</w:t>
      </w:r>
      <w:r>
        <w:rPr>
          <w:rFonts w:hint="eastAsia" w:ascii="宋体" w:hAnsi="宋体" w:eastAsia="Times New Roman" w:cs="宋体"/>
          <w:bCs/>
          <w:color w:val="auto"/>
          <w:kern w:val="0"/>
          <w:sz w:val="24"/>
          <w:highlight w:val="none"/>
        </w:rPr>
        <w:t>上传件）；</w:t>
      </w:r>
    </w:p>
    <w:p>
      <w:pPr>
        <w:spacing w:line="360" w:lineRule="auto"/>
        <w:ind w:firstLine="480" w:firstLineChars="200"/>
        <w:rPr>
          <w:rFonts w:hint="eastAsia" w:ascii="宋体" w:hAnsi="宋体" w:eastAsia="Times New Roman" w:cs="宋体"/>
          <w:bCs/>
          <w:color w:val="auto"/>
          <w:kern w:val="0"/>
          <w:sz w:val="24"/>
          <w:highlight w:val="none"/>
        </w:rPr>
      </w:pPr>
      <w:r>
        <w:rPr>
          <w:rFonts w:hint="eastAsia" w:ascii="宋体" w:hAnsi="宋体" w:eastAsia="Times New Roman" w:cs="宋体"/>
          <w:bCs/>
          <w:color w:val="auto"/>
          <w:szCs w:val="24"/>
          <w:highlight w:val="none"/>
        </w:rPr>
        <w:t>（11）</w:t>
      </w:r>
      <w:r>
        <w:rPr>
          <w:rFonts w:hint="eastAsia" w:ascii="宋体" w:hAnsi="宋体" w:eastAsia="Times New Roman" w:cs="宋体"/>
          <w:bCs/>
          <w:color w:val="auto"/>
          <w:kern w:val="0"/>
          <w:sz w:val="24"/>
          <w:highlight w:val="none"/>
        </w:rPr>
        <w:t>专职安全员须具有在有效期内的安全考核合格证书（C类）</w:t>
      </w:r>
      <w:r>
        <w:rPr>
          <w:rFonts w:hint="eastAsia" w:ascii="宋体" w:hAnsi="宋体" w:eastAsia="Times New Roman" w:cs="宋体"/>
          <w:b w:val="0"/>
          <w:bCs/>
          <w:color w:val="auto"/>
          <w:kern w:val="0"/>
          <w:sz w:val="24"/>
          <w:highlight w:val="none"/>
        </w:rPr>
        <w:t>或建筑施工企业专职安全生产管理人员安全生产考核合格证书（</w:t>
      </w:r>
      <w:r>
        <w:rPr>
          <w:rFonts w:hint="eastAsia" w:ascii="宋体" w:hAnsi="宋体" w:eastAsia="Times New Roman" w:cs="宋体"/>
          <w:bCs/>
          <w:color w:val="auto"/>
          <w:kern w:val="0"/>
          <w:sz w:val="24"/>
          <w:highlight w:val="none"/>
        </w:rPr>
        <w:t>取自</w:t>
      </w:r>
      <w:r>
        <w:rPr>
          <w:rFonts w:hint="eastAsia" w:ascii="宋体" w:hAnsi="宋体" w:eastAsia="Times New Roman" w:cs="宋体"/>
          <w:b w:val="0"/>
          <w:bCs/>
          <w:color w:val="auto"/>
          <w:kern w:val="0"/>
          <w:sz w:val="24"/>
          <w:highlight w:val="none"/>
        </w:rPr>
        <w:t>平台内</w:t>
      </w:r>
      <w:r>
        <w:rPr>
          <w:rFonts w:hint="eastAsia" w:ascii="宋体" w:hAnsi="宋体" w:eastAsia="Times New Roman" w:cs="宋体"/>
          <w:bCs/>
          <w:color w:val="auto"/>
          <w:kern w:val="0"/>
          <w:sz w:val="24"/>
          <w:highlight w:val="none"/>
        </w:rPr>
        <w:t>上传件）；</w:t>
      </w:r>
    </w:p>
    <w:p>
      <w:pPr>
        <w:spacing w:line="360" w:lineRule="auto"/>
        <w:ind w:firstLine="480" w:firstLineChars="200"/>
        <w:rPr>
          <w:rFonts w:hint="eastAsia" w:ascii="宋体" w:hAnsi="宋体" w:eastAsia="Times New Roman" w:cs="宋体"/>
          <w:bCs/>
          <w:color w:val="auto"/>
          <w:szCs w:val="24"/>
          <w:highlight w:val="none"/>
        </w:rPr>
      </w:pPr>
      <w:r>
        <w:rPr>
          <w:rFonts w:hint="eastAsia" w:ascii="宋体" w:hAnsi="宋体" w:eastAsia="Times New Roman" w:cs="宋体"/>
          <w:bCs/>
          <w:color w:val="auto"/>
          <w:szCs w:val="24"/>
          <w:highlight w:val="none"/>
        </w:rPr>
        <w:t>（12）用于资格审查的业绩（设置业绩要求时选择此项，投标人须提供类似工程业绩的项目名称及项目编号，具体格式由招标人自定）；</w:t>
      </w:r>
    </w:p>
    <w:p>
      <w:pPr>
        <w:spacing w:line="360" w:lineRule="auto"/>
        <w:ind w:firstLine="480" w:firstLineChars="200"/>
        <w:rPr>
          <w:rFonts w:hint="eastAsia" w:ascii="宋体" w:hAnsi="宋体" w:eastAsia="Times New Roman" w:cs="宋体"/>
          <w:bCs/>
          <w:color w:val="auto"/>
          <w:szCs w:val="24"/>
          <w:highlight w:val="none"/>
        </w:rPr>
      </w:pPr>
      <w:r>
        <w:rPr>
          <w:rFonts w:hint="eastAsia" w:ascii="宋体" w:hAnsi="宋体" w:eastAsia="Times New Roman" w:cs="宋体"/>
          <w:bCs/>
          <w:color w:val="auto"/>
          <w:szCs w:val="24"/>
          <w:highlight w:val="none"/>
        </w:rPr>
        <w:t>（13）</w:t>
      </w:r>
      <w:r>
        <w:rPr>
          <w:rFonts w:hint="eastAsia" w:ascii="宋体" w:hAnsi="宋体" w:eastAsia="Times New Roman" w:cs="宋体"/>
          <w:bCs/>
          <w:color w:val="auto"/>
          <w:kern w:val="0"/>
          <w:sz w:val="24"/>
          <w:highlight w:val="none"/>
        </w:rPr>
        <w:t>资格审查前，投标人须在</w:t>
      </w:r>
      <w:r>
        <w:rPr>
          <w:rFonts w:hint="eastAsia" w:ascii="宋体" w:hAnsi="宋体" w:eastAsia="Times New Roman" w:cs="宋体"/>
          <w:b w:val="0"/>
          <w:bCs/>
          <w:color w:val="auto"/>
          <w:kern w:val="0"/>
          <w:sz w:val="24"/>
          <w:highlight w:val="none"/>
        </w:rPr>
        <w:t>广州市住房和城乡建设局建立企业信用档案，</w:t>
      </w:r>
      <w:r>
        <w:rPr>
          <w:rFonts w:hint="eastAsia" w:ascii="宋体" w:hAnsi="宋体" w:eastAsia="Times New Roman" w:cs="宋体"/>
          <w:bCs/>
          <w:color w:val="auto"/>
          <w:kern w:val="0"/>
          <w:sz w:val="24"/>
          <w:highlight w:val="none"/>
        </w:rPr>
        <w:t>拟担任本工程项目负责人</w:t>
      </w:r>
      <w:r>
        <w:rPr>
          <w:rFonts w:hint="eastAsia" w:ascii="宋体" w:hAnsi="宋体" w:eastAsia="Times New Roman" w:cs="宋体"/>
          <w:b w:val="0"/>
          <w:bCs/>
          <w:color w:val="auto"/>
          <w:kern w:val="0"/>
          <w:sz w:val="24"/>
          <w:highlight w:val="none"/>
        </w:rPr>
        <w:t>、专职安全员</w:t>
      </w:r>
      <w:r>
        <w:rPr>
          <w:rFonts w:hint="eastAsia" w:ascii="宋体" w:hAnsi="宋体" w:eastAsia="Times New Roman" w:cs="宋体"/>
          <w:bCs/>
          <w:color w:val="auto"/>
          <w:kern w:val="0"/>
          <w:sz w:val="24"/>
          <w:highlight w:val="none"/>
        </w:rPr>
        <w:t>须是本企业</w:t>
      </w:r>
      <w:r>
        <w:rPr>
          <w:rFonts w:hint="eastAsia" w:ascii="宋体" w:hAnsi="宋体" w:eastAsia="Times New Roman" w:cs="宋体"/>
          <w:b w:val="0"/>
          <w:bCs/>
          <w:color w:val="auto"/>
          <w:kern w:val="0"/>
          <w:sz w:val="24"/>
          <w:highlight w:val="none"/>
        </w:rPr>
        <w:t>信用档案</w:t>
      </w:r>
      <w:r>
        <w:rPr>
          <w:rFonts w:hint="eastAsia" w:ascii="宋体" w:hAnsi="宋体" w:eastAsia="Times New Roman" w:cs="宋体"/>
          <w:bCs/>
          <w:color w:val="auto"/>
          <w:kern w:val="0"/>
          <w:sz w:val="24"/>
          <w:highlight w:val="none"/>
        </w:rPr>
        <w:t>中的在册人员。</w:t>
      </w:r>
    </w:p>
    <w:p>
      <w:pPr>
        <w:spacing w:line="360" w:lineRule="auto"/>
        <w:ind w:firstLine="480" w:firstLineChars="200"/>
        <w:rPr>
          <w:rFonts w:hint="eastAsia" w:ascii="宋体" w:hAnsi="宋体" w:eastAsia="Times New Roman" w:cs="宋体"/>
          <w:bCs/>
          <w:color w:val="auto"/>
          <w:kern w:val="0"/>
          <w:sz w:val="24"/>
          <w:highlight w:val="none"/>
        </w:rPr>
      </w:pPr>
      <w:r>
        <w:rPr>
          <w:rFonts w:hint="eastAsia" w:ascii="宋体" w:hAnsi="宋体" w:eastAsia="Times New Roman" w:cs="宋体"/>
          <w:bCs/>
          <w:color w:val="auto"/>
          <w:szCs w:val="24"/>
          <w:highlight w:val="none"/>
        </w:rPr>
        <w:t>（14）</w:t>
      </w:r>
      <w:r>
        <w:rPr>
          <w:rFonts w:hint="eastAsia" w:ascii="宋体" w:hAnsi="宋体" w:eastAsia="Times New Roman" w:cs="宋体"/>
          <w:bCs/>
          <w:color w:val="auto"/>
          <w:kern w:val="0"/>
          <w:sz w:val="24"/>
          <w:highlight w:val="none"/>
        </w:rPr>
        <w:t>列明主办单位的联合体工作协议（采用联合体投标时需递交，投标人拟任本工程项目负责人应为联合体主办方</w:t>
      </w:r>
      <w:r>
        <w:rPr>
          <w:rFonts w:hint="eastAsia" w:ascii="宋体" w:hAnsi="宋体" w:eastAsia="Times New Roman" w:cs="宋体"/>
          <w:b w:val="0"/>
          <w:bCs/>
          <w:color w:val="auto"/>
          <w:kern w:val="0"/>
          <w:sz w:val="24"/>
          <w:highlight w:val="none"/>
        </w:rPr>
        <w:t>信用档案</w:t>
      </w:r>
      <w:r>
        <w:rPr>
          <w:rFonts w:hint="eastAsia" w:ascii="宋体" w:hAnsi="宋体" w:eastAsia="Times New Roman" w:cs="宋体"/>
          <w:bCs/>
          <w:color w:val="auto"/>
          <w:kern w:val="0"/>
          <w:sz w:val="24"/>
          <w:highlight w:val="none"/>
        </w:rPr>
        <w:t>中的在册人员，联合体工作协议应明确约定各方拟承担的工作和责任）；</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（15）</w:t>
      </w:r>
      <w:r>
        <w:rPr>
          <w:rFonts w:hint="eastAsia" w:ascii="宋体" w:hAnsi="宋体" w:cs="宋体"/>
          <w:color w:val="auto"/>
          <w:sz w:val="24"/>
          <w:szCs w:val="24"/>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11.2.3项目管理机构配备。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（1）投标人应列出该项目工程的施工组织机构构成和画出机构框架图及其负责人；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（3）其他辅助说明资料。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11.2.5施工组织设计或施工方案。</w:t>
      </w:r>
    </w:p>
    <w:p>
      <w:pPr>
        <w:tabs>
          <w:tab w:val="left" w:pos="112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11.2.6按照</w:t>
      </w:r>
      <w:r>
        <w:rPr>
          <w:rFonts w:hint="eastAsia" w:ascii="宋体" w:hAnsi="宋体" w:cs="宋体"/>
          <w:bCs/>
          <w:color w:val="auto"/>
          <w:sz w:val="24"/>
          <w:szCs w:val="24"/>
          <w:highlight w:val="none"/>
        </w:rPr>
        <w:t>招标文件要求</w:t>
      </w:r>
      <w:r>
        <w:rPr>
          <w:rFonts w:hint="eastAsia" w:ascii="宋体" w:hAnsi="宋体" w:cs="宋体"/>
          <w:color w:val="auto"/>
          <w:sz w:val="24"/>
          <w:szCs w:val="24"/>
          <w:highlight w:val="none"/>
        </w:rPr>
        <w:t>填写的《参与编制技术标投标文件人员名单》。</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11.3 经济部分投标文件主要包括下列内容：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11.3.1 经济投标文件(按招标文件的要求填写)。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（1）投标总价封面、扉页；</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（2）总说明</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（3）工程项目投标报价汇总表；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（4）单项工程投标报价汇总表；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（5）单位工程投标报价汇总表；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（6）分部分项工程清单与计价表；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（7）单价措施项目清单与计价表；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（8）总价措施项目清单与计价表；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（9）综合单价分析表；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（10）其他项目清单与计价汇总表；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（11）暂列金额明细表；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（12）材料（工程设备）暂估价明细表；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（13）专业工程暂估价明细表；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（14）计日工表；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（15）总承包服务计价表；</w:t>
      </w:r>
    </w:p>
    <w:p>
      <w:pPr>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（16）规费和税金项目计价表；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（17）人工、主要材料和设备一览表</w:t>
      </w:r>
    </w:p>
    <w:p>
      <w:pPr>
        <w:tabs>
          <w:tab w:val="left" w:pos="112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11.3.3按照</w:t>
      </w:r>
      <w:r>
        <w:rPr>
          <w:rFonts w:hint="eastAsia" w:ascii="宋体" w:hAnsi="宋体" w:cs="宋体"/>
          <w:bCs/>
          <w:color w:val="auto"/>
          <w:sz w:val="24"/>
          <w:szCs w:val="24"/>
          <w:highlight w:val="none"/>
        </w:rPr>
        <w:t>招标文件要求</w:t>
      </w:r>
      <w:r>
        <w:rPr>
          <w:rFonts w:hint="eastAsia" w:ascii="宋体" w:hAnsi="宋体" w:cs="宋体"/>
          <w:color w:val="auto"/>
          <w:sz w:val="24"/>
          <w:szCs w:val="24"/>
          <w:highlight w:val="none"/>
        </w:rPr>
        <w:t>填写的《参与编制经济标投标文件人员名单》。</w:t>
      </w:r>
    </w:p>
    <w:p>
      <w:pPr>
        <w:tabs>
          <w:tab w:val="left" w:pos="112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pPr>
        <w:pStyle w:val="48"/>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12．投标文件格式</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投标文件包括本须知第11条中规定的内容，投标人提交的投标文件应当使用招标文件所提供的投标文件全部格式（表格可以按同样格式扩展）。</w:t>
      </w:r>
    </w:p>
    <w:p>
      <w:pPr>
        <w:pStyle w:val="48"/>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bCs w:val="0"/>
          <w:color w:val="auto"/>
          <w:sz w:val="24"/>
          <w:szCs w:val="24"/>
          <w:highlight w:val="none"/>
        </w:rPr>
        <w:t>投标文件全部采用电子文档，投标文件所附证书证件均为原件扫描件，并采用单位数字证书，按招标文件要求在相应位置加盖电子印章。投标文件中需个人签字或盖章的，</w:t>
      </w:r>
      <w:r>
        <w:rPr>
          <w:rFonts w:hint="eastAsia" w:ascii="宋体" w:hAnsi="宋体" w:eastAsia="宋体" w:cs="宋体"/>
          <w:b w:val="0"/>
          <w:color w:val="auto"/>
          <w:sz w:val="24"/>
          <w:szCs w:val="24"/>
          <w:highlight w:val="none"/>
        </w:rPr>
        <w:t>应加盖个人电子印章或在线下完成后扫描上传。</w:t>
      </w:r>
      <w:r>
        <w:rPr>
          <w:rFonts w:hint="eastAsia" w:ascii="宋体" w:hAnsi="宋体" w:eastAsia="宋体" w:cs="宋体"/>
          <w:bCs w:val="0"/>
          <w:color w:val="auto"/>
          <w:sz w:val="24"/>
          <w:szCs w:val="24"/>
          <w:highlight w:val="none"/>
        </w:rPr>
        <w:t>按照交易平台关于全流程电子化项目的相关指南进行操作。详见：</w:t>
      </w:r>
      <w:r>
        <w:rPr>
          <w:rFonts w:hint="eastAsia" w:ascii="宋体" w:hAnsi="宋体" w:eastAsia="宋体" w:cs="宋体"/>
          <w:bCs w:val="0"/>
          <w:color w:val="auto"/>
          <w:sz w:val="24"/>
          <w:szCs w:val="24"/>
          <w:highlight w:val="none"/>
          <w:u w:val="single"/>
        </w:rPr>
        <w:t xml:space="preserve">             </w:t>
      </w:r>
      <w:r>
        <w:rPr>
          <w:rFonts w:hint="eastAsia" w:ascii="宋体" w:hAnsi="宋体" w:eastAsia="宋体" w:cs="宋体"/>
          <w:bCs w:val="0"/>
          <w:color w:val="auto"/>
          <w:sz w:val="24"/>
          <w:szCs w:val="24"/>
          <w:highlight w:val="none"/>
        </w:rPr>
        <w:t>。</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12.3 </w:t>
      </w:r>
      <w:r>
        <w:rPr>
          <w:rFonts w:hint="eastAsia" w:ascii="宋体" w:hAnsi="宋体" w:cs="宋体"/>
          <w:bCs/>
          <w:color w:val="auto"/>
          <w:sz w:val="24"/>
          <w:szCs w:val="24"/>
          <w:highlight w:val="none"/>
        </w:rPr>
        <w:t>投标文件应按</w:t>
      </w:r>
      <w:r>
        <w:rPr>
          <w:rFonts w:hint="eastAsia" w:ascii="宋体" w:hAnsi="宋体" w:cs="宋体"/>
          <w:color w:val="auto"/>
          <w:sz w:val="24"/>
          <w:szCs w:val="24"/>
          <w:highlight w:val="none"/>
        </w:rPr>
        <w:t>照交易平台关于全流程电子化项目的相关指南进行编制，详见：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pStyle w:val="48"/>
        <w:spacing w:after="0" w:line="360" w:lineRule="auto"/>
        <w:ind w:firstLine="0"/>
        <w:rPr>
          <w:rFonts w:hint="eastAsia" w:ascii="宋体" w:hAnsi="宋体" w:cs="宋体"/>
          <w:color w:val="auto"/>
          <w:sz w:val="24"/>
          <w:szCs w:val="24"/>
          <w:highlight w:val="none"/>
        </w:rPr>
      </w:pPr>
      <w:r>
        <w:rPr>
          <w:rFonts w:hint="eastAsia" w:ascii="宋体" w:hAnsi="宋体" w:cs="宋体"/>
          <w:bCs/>
          <w:color w:val="auto"/>
          <w:sz w:val="24"/>
          <w:szCs w:val="24"/>
          <w:highlight w:val="none"/>
        </w:rPr>
        <w:t>如不按上述要求编制引起系统无法检索、读取相关信息的，其后果由投标人承担。</w:t>
      </w:r>
    </w:p>
    <w:p>
      <w:pPr>
        <w:pStyle w:val="48"/>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13．投标报价及造价承包和变更结算方式</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 本工程的投标报价采用投标须知前附表第12项所规定的方式。投标报价（含单价及总价）精确到“分”。</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13.5.1中标的投标文件工程量清单中已有相同项目的适用综合单价，则沿用；</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13.5.4 如相关定额没有相应子目的，其计价方式由招标人在本招标文件第三章中另行规定。未规定的，中标后双方协商约定。</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13.6暂列金额、暂估价</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暂估价是指招标人在工程量清单中提供的用于支付必然发生但暂时不能确定价格的材料的单价以及专业工程的金额。</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48"/>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14．投标货币</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 本工程投标报价采用的币种为人民币。</w:t>
      </w:r>
    </w:p>
    <w:p>
      <w:pPr>
        <w:pStyle w:val="48"/>
        <w:spacing w:after="0"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15．投标有效期</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 投标有效期见投标须知前附表第13项所规定的期限，在此期限内，凡符合本招标文件要求的投标文件均保持有效。</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48"/>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16．投标保证金</w:t>
      </w:r>
    </w:p>
    <w:p>
      <w:pPr>
        <w:spacing w:after="120"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pPr>
        <w:spacing w:after="120"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16.1.1 采用现金或者支票形式提交的，投标保证金须从投标人的银行基本账户转出。</w:t>
      </w:r>
    </w:p>
    <w:p>
      <w:pPr>
        <w:spacing w:after="120"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after="120"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16.1.3 采用电子形式的保函、担保或保证保险提交投标保证金的，应在招标文件中明确电子递交途径。</w:t>
      </w:r>
    </w:p>
    <w:p>
      <w:pPr>
        <w:spacing w:after="120"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16.3投标保证金应依据法律法规的相关规定退还。</w:t>
      </w:r>
    </w:p>
    <w:p>
      <w:pPr>
        <w:spacing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16.4如有下列情况之一的，招标人可以不予退还投标保证金（是否退还投标保证金由招标人在招标文件中规定）：</w:t>
      </w:r>
    </w:p>
    <w:p>
      <w:pPr>
        <w:spacing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16.4.1因投标人原因造成投标文件未解密的；</w:t>
      </w:r>
    </w:p>
    <w:p>
      <w:pPr>
        <w:spacing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16.4.2投标人在投标有效期内撤销投标文件；</w:t>
      </w:r>
    </w:p>
    <w:p>
      <w:pPr>
        <w:spacing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16.4.3中标人未能在规定期限内按要求提交履约担保；</w:t>
      </w:r>
    </w:p>
    <w:p>
      <w:pPr>
        <w:spacing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16.4.4中标人未能在规定期限内签署合同协议。</w:t>
      </w:r>
    </w:p>
    <w:p>
      <w:pPr>
        <w:spacing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16.5投标人如存在下列情况之一的，将被拒绝在一定时期内参与招标人后续工程投标（拒绝时限需在招标文件中明确）：</w:t>
      </w:r>
    </w:p>
    <w:p>
      <w:pPr>
        <w:spacing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16.5.1投标人存在16.4条款所列情形且投标人提交的保函、担保或保证保险无法兑付的；</w:t>
      </w:r>
    </w:p>
    <w:p>
      <w:pPr>
        <w:spacing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16.5.3按招标文件要求免于提供投标保证金的投标人存在16.4条款所列情形，且未按招标人要求补交投标保证金的；</w:t>
      </w:r>
    </w:p>
    <w:p>
      <w:pPr>
        <w:spacing w:line="360" w:lineRule="auto"/>
        <w:ind w:firstLine="475" w:firstLineChars="198"/>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16.5.3按招标文件要求免于提供投标保证金的投标人存在16.4条款所列情形的。</w:t>
      </w:r>
    </w:p>
    <w:p>
      <w:pPr>
        <w:spacing w:line="360" w:lineRule="auto"/>
        <w:ind w:firstLine="475" w:firstLineChars="198"/>
        <w:rPr>
          <w:rFonts w:hint="eastAsia" w:ascii="宋体" w:hAnsi="宋体" w:cs="宋体"/>
          <w:color w:val="auto"/>
          <w:kern w:val="0"/>
          <w:sz w:val="22"/>
          <w:highlight w:val="none"/>
        </w:rPr>
      </w:pPr>
      <w:r>
        <w:rPr>
          <w:rFonts w:hint="eastAsia" w:ascii="宋体" w:hAnsi="宋体" w:cs="宋体"/>
          <w:color w:val="auto"/>
          <w:kern w:val="0"/>
          <w:sz w:val="24"/>
          <w:szCs w:val="24"/>
          <w:highlight w:val="none"/>
        </w:rPr>
        <w:t>注：16.5.3款由招标人二选一，需在招标文件中明确。</w:t>
      </w:r>
    </w:p>
    <w:p>
      <w:pPr>
        <w:pStyle w:val="48"/>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17．投标文件的签署</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pStyle w:val="6"/>
        <w:spacing w:before="156" w:after="156" w:line="360" w:lineRule="auto"/>
        <w:rPr>
          <w:rFonts w:hint="eastAsia" w:cs="宋体"/>
          <w:color w:val="auto"/>
          <w:sz w:val="24"/>
          <w:szCs w:val="24"/>
          <w:highlight w:val="none"/>
        </w:rPr>
      </w:pPr>
      <w:bookmarkStart w:id="7" w:name="_Toc17031"/>
      <w:r>
        <w:rPr>
          <w:rFonts w:hint="eastAsia" w:cs="宋体"/>
          <w:color w:val="auto"/>
          <w:sz w:val="24"/>
          <w:szCs w:val="24"/>
          <w:highlight w:val="none"/>
        </w:rPr>
        <w:t>（四）投标文件的提交</w:t>
      </w:r>
      <w:bookmarkEnd w:id="7"/>
    </w:p>
    <w:p>
      <w:pPr>
        <w:pStyle w:val="48"/>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w:t>
      </w:r>
      <w:r>
        <w:rPr>
          <w:rFonts w:hint="eastAsia" w:ascii="宋体" w:hAnsi="宋体" w:cs="宋体"/>
          <w:b/>
          <w:color w:val="auto"/>
          <w:sz w:val="24"/>
          <w:szCs w:val="24"/>
          <w:highlight w:val="none"/>
        </w:rPr>
        <w:t>投标文件的密封和标记</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18.1递交的电子投标文件（不含备用光盘）必须进行加密。按照交易平台关于</w:t>
      </w:r>
      <w:r>
        <w:rPr>
          <w:rFonts w:hint="eastAsia" w:ascii="宋体" w:hAnsi="宋体" w:cs="宋体"/>
          <w:color w:val="auto"/>
          <w:sz w:val="24"/>
          <w:szCs w:val="24"/>
          <w:highlight w:val="none"/>
        </w:rPr>
        <w:t>全流程电子化项目的相关指南进行操作。详见：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18.2 未按要求加密的投标文件，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w:t>
      </w:r>
      <w:r>
        <w:rPr>
          <w:rFonts w:hint="eastAsia" w:ascii="宋体" w:hAnsi="宋体" w:cs="宋体"/>
          <w:bCs/>
          <w:color w:val="auto"/>
          <w:sz w:val="24"/>
          <w:szCs w:val="24"/>
          <w:highlight w:val="none"/>
        </w:rPr>
        <w:t>将予以拒收。</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19．投标文件的递交和接收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19.1投标人通过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交易平台递交电子投标文件。</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19.2投标人完成电子</w:t>
      </w:r>
      <w:r>
        <w:rPr>
          <w:rFonts w:hint="eastAsia" w:ascii="宋体" w:hAnsi="宋体" w:cs="宋体"/>
          <w:color w:val="auto"/>
          <w:sz w:val="24"/>
          <w:szCs w:val="24"/>
          <w:highlight w:val="none"/>
        </w:rPr>
        <w:t>投标文件</w:t>
      </w:r>
      <w:r>
        <w:rPr>
          <w:rFonts w:hint="eastAsia" w:ascii="宋体" w:hAnsi="宋体" w:cs="宋体"/>
          <w:bCs/>
          <w:color w:val="auto"/>
          <w:sz w:val="24"/>
          <w:szCs w:val="24"/>
          <w:highlight w:val="none"/>
        </w:rPr>
        <w:t>上传后，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交易平台即时向投标人发出递交回执通知。递交时间以递交回执通知载明的传输完成时间为准。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19.3逾期送达的电子投标文件，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交易平台将予以拒收。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19.4 投标截止前，招标人拒绝接收符合条件的投标文件，投标人可向招标投标监督机构投诉。</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19.5如技术标和经济标先后分别开启，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交易平台将按招标文件规定的时间分别开启技术标和经济标。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20．投标文件提交的截止时间</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20.1投标人应在投标须知前附表第17项所述的时间前提交投标文件。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20.3 到投标截止时间止，招标人收到的投标文件少于3家的，招标人将重新组织招标（当N个标段同时招标且不允许兼中时，若有效投标人不足N+2家，则重新组织招标）。</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21．迟交的投标文件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 本须知前附表第17项规定的投标截止时间</w:t>
      </w:r>
      <w:r>
        <w:rPr>
          <w:rFonts w:hint="eastAsia" w:ascii="宋体" w:hAnsi="宋体" w:cs="宋体"/>
          <w:bCs/>
          <w:color w:val="auto"/>
          <w:sz w:val="24"/>
          <w:szCs w:val="24"/>
          <w:highlight w:val="none"/>
        </w:rPr>
        <w:t>后送达的电子投标文件，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交易平台将予以拒收。</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22．投标文件的修改与撤回</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22.1在规定的投标截止时间前，投标人可以修改或撤回已递交的投标文件，但应以书面形式通知招标人。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22.2投标人修改或撤回已递交的投标文件，需在交易平台发出修改或撤回通知，并按要求加盖电子印章。</w:t>
      </w:r>
      <w:r>
        <w:rPr>
          <w:rFonts w:hint="eastAsia" w:ascii="宋体" w:hAnsi="宋体" w:cs="宋体"/>
          <w:bCs/>
          <w:iCs/>
          <w:color w:val="auto"/>
          <w:sz w:val="24"/>
          <w:szCs w:val="24"/>
          <w:highlight w:val="none"/>
        </w:rPr>
        <w:t>电子招标投标交易平台收到通知后，</w:t>
      </w:r>
      <w:r>
        <w:rPr>
          <w:rFonts w:hint="eastAsia" w:ascii="宋体" w:hAnsi="宋体" w:cs="宋体"/>
          <w:color w:val="auto"/>
          <w:sz w:val="24"/>
          <w:szCs w:val="24"/>
          <w:highlight w:val="none"/>
        </w:rPr>
        <w:t>即时向投标人发出确认回执通知。</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22.3修改后再次递交的，按19点的规定执行。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22.4 在投标截止时间之后，投标人不得补充、修改和更换投标文件。</w:t>
      </w:r>
    </w:p>
    <w:p>
      <w:pPr>
        <w:pStyle w:val="6"/>
        <w:spacing w:before="156" w:after="156" w:line="360" w:lineRule="auto"/>
        <w:rPr>
          <w:rFonts w:hint="eastAsia" w:cs="宋体"/>
          <w:color w:val="auto"/>
          <w:sz w:val="24"/>
          <w:szCs w:val="24"/>
          <w:highlight w:val="none"/>
        </w:rPr>
      </w:pPr>
      <w:bookmarkStart w:id="8" w:name="_Toc8312"/>
      <w:r>
        <w:rPr>
          <w:rFonts w:hint="eastAsia" w:cs="宋体"/>
          <w:color w:val="auto"/>
          <w:sz w:val="24"/>
          <w:szCs w:val="24"/>
          <w:highlight w:val="none"/>
        </w:rPr>
        <w:t>（五）开标、评标、定标及合同签定</w:t>
      </w:r>
      <w:bookmarkEnd w:id="8"/>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23、开标。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详见第二章开标、评标及定标办法</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24．评标过程的保密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25．投标文件的澄清，计算错误的修正</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详见招标文件第二章开标、评标及定标办法</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26．投标文件的评审、比较和否决</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详见招标文件第二章开标、评标及定标办法。</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27．中标通知书</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27.1招标人将在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27.3中标人必须在收到中标通知书后24小时之内以书面形式回复招标人，确认收到。</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27.4在产生中标候选人后，招标人将中标候选人的投标文件商务部分文件的所有内容（包括</w:t>
      </w:r>
      <w:r>
        <w:rPr>
          <w:rFonts w:hint="eastAsia" w:ascii="宋体" w:hAnsi="宋体" w:eastAsia="宋体" w:cs="宋体"/>
          <w:strike w:val="0"/>
          <w:color w:val="auto"/>
          <w:sz w:val="24"/>
          <w:szCs w:val="24"/>
          <w:highlight w:val="none"/>
          <w:lang w:val="en-US" w:eastAsia="zh-CN"/>
        </w:rPr>
        <w:t xml:space="preserve"> </w:t>
      </w:r>
      <w:r>
        <w:rPr>
          <w:rFonts w:hint="eastAsia" w:ascii="宋体" w:hAnsi="宋体" w:cs="宋体"/>
          <w:color w:val="auto"/>
          <w:sz w:val="24"/>
          <w:szCs w:val="24"/>
          <w:highlight w:val="none"/>
        </w:rPr>
        <w:t>人员、业绩、奖项等资料）在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交易平台和广东省招标投标监管网公开。</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28．合同协议书的签订</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28.4 招标人支付工程款时，中标人应按规定开具发票。</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29．履约担保</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29.1 在收到中标通知书后的15日内，中标人应按本须知前附表第20项的规定向招标人提交履约担保。</w:t>
      </w:r>
    </w:p>
    <w:p>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30．合同生效</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30.1在合同双方全权代表在合同协议书上签字，并分别加盖双方单位的公章后，合同正式生效。</w:t>
      </w:r>
    </w:p>
    <w:p>
      <w:pPr>
        <w:spacing w:line="360" w:lineRule="auto"/>
        <w:ind w:firstLine="480"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31．其它费用</w:t>
      </w:r>
    </w:p>
    <w:p>
      <w:pPr>
        <w:pStyle w:val="48"/>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32．腐败与欺诈行为</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在招标和合同实施期间，招标人要求投标人和承包人遵守最高的道德标准。</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32．1对本条款的规定，特定义如下词汇：</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1）、“腐败行为”是指在招标或合同执行期间，通过提供、给予、接受或索要任何有价值的东西，从而影响招标人有关人员工作的行为；</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32．2如果投标人被认定在本招标的竞争中有腐败或欺诈行为，则会被取消投标资格。</w:t>
      </w:r>
    </w:p>
    <w:p>
      <w:pPr>
        <w:pStyle w:val="48"/>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32.3投标人如在本项目中存在串通投标、弄虚作假骗取中标、行贿情形的，中标无效，行政监督部门将对其违法行为进行政处罚并通报。该投标人将被招标人列入黑名单并限制其参与招标人后续项目的投标。</w:t>
      </w:r>
    </w:p>
    <w:p>
      <w:pPr>
        <w:pStyle w:val="48"/>
        <w:spacing w:after="0" w:line="360" w:lineRule="auto"/>
        <w:ind w:firstLine="480" w:firstLineChars="200"/>
        <w:rPr>
          <w:rFonts w:hint="eastAsia" w:ascii="宋体" w:hAnsi="宋体" w:cs="宋体"/>
          <w:strike/>
          <w:color w:val="auto"/>
          <w:sz w:val="24"/>
          <w:szCs w:val="24"/>
          <w:highlight w:val="none"/>
          <w:u w:val="none"/>
        </w:rPr>
      </w:pPr>
    </w:p>
    <w:p>
      <w:pPr>
        <w:pStyle w:val="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9" w:name="_Toc28987"/>
      <w:r>
        <w:rPr>
          <w:rFonts w:hint="eastAsia" w:ascii="宋体" w:hAnsi="宋体" w:cs="宋体"/>
          <w:color w:val="auto"/>
          <w:sz w:val="24"/>
          <w:szCs w:val="24"/>
          <w:highlight w:val="none"/>
        </w:rPr>
        <w:t>第二章  开标、评标及定标办法</w:t>
      </w:r>
      <w:bookmarkEnd w:id="9"/>
    </w:p>
    <w:p>
      <w:pPr>
        <w:pStyle w:val="4"/>
        <w:spacing w:line="360" w:lineRule="auto"/>
        <w:rPr>
          <w:rFonts w:hint="eastAsia" w:ascii="宋体" w:hAnsi="宋体" w:cs="宋体"/>
          <w:color w:val="auto"/>
          <w:highlight w:val="none"/>
        </w:rPr>
      </w:pPr>
      <w:bookmarkStart w:id="10" w:name="_Toc31330"/>
      <w:r>
        <w:rPr>
          <w:rFonts w:hint="eastAsia" w:ascii="宋体" w:hAnsi="宋体" w:cs="宋体"/>
          <w:color w:val="auto"/>
          <w:highlight w:val="none"/>
        </w:rPr>
        <w:t>一、开标、评标及定标办法修改表</w:t>
      </w:r>
      <w:bookmarkEnd w:id="10"/>
    </w:p>
    <w:p>
      <w:pPr>
        <w:pStyle w:val="48"/>
        <w:spacing w:after="0"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HYPERLINK "http://www.gzcc.gov.cn/）下载GZZB2018-3"</w:instrText>
      </w:r>
      <w:r>
        <w:rPr>
          <w:rFonts w:hint="eastAsia" w:ascii="宋体" w:hAnsi="宋体" w:cs="宋体"/>
          <w:color w:val="auto"/>
          <w:sz w:val="21"/>
          <w:szCs w:val="21"/>
          <w:highlight w:val="none"/>
        </w:rPr>
        <w:fldChar w:fldCharType="separate"/>
      </w:r>
      <w:r>
        <w:rPr>
          <w:rStyle w:val="57"/>
          <w:rFonts w:hint="eastAsia" w:ascii="宋体" w:hAnsi="宋体" w:cs="宋体"/>
          <w:b/>
          <w:color w:val="auto"/>
          <w:sz w:val="21"/>
          <w:szCs w:val="21"/>
          <w:highlight w:val="none"/>
        </w:rPr>
        <w:t>http://www.gzcc.gov.cn/）下载GZZB2018-3</w:t>
      </w:r>
      <w:r>
        <w:rPr>
          <w:rFonts w:hint="eastAsia" w:ascii="宋体" w:hAnsi="宋体" w:cs="宋体"/>
          <w:color w:val="auto"/>
          <w:sz w:val="21"/>
          <w:szCs w:val="21"/>
          <w:highlight w:val="none"/>
        </w:rPr>
        <w:fldChar w:fldCharType="end"/>
      </w:r>
      <w:r>
        <w:rPr>
          <w:rFonts w:hint="eastAsia" w:ascii="宋体" w:hAnsi="宋体" w:cs="宋体"/>
          <w:b/>
          <w:color w:val="auto"/>
          <w:sz w:val="21"/>
          <w:szCs w:val="21"/>
          <w:highlight w:val="none"/>
        </w:rPr>
        <w:t>范本查阅。</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条款号：36.3                              修改类型：删除</w:t>
      </w:r>
    </w:p>
    <w:p>
      <w:pPr>
        <w:pBdr>
          <w:bottom w:val="single" w:color="auto" w:sz="6" w:space="1"/>
        </w:pBd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5"/>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条款号：36.4                              修改类型：修改</w:t>
      </w:r>
    </w:p>
    <w:p>
      <w:pP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36.4若递交投标文件的投标人或通过资格审查的合格投标人不足3家，则重新组织招标。</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600"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eastAsia="宋体" w:cs="宋体"/>
          <w:color w:val="auto"/>
          <w:szCs w:val="21"/>
          <w:highlight w:val="none"/>
          <w:u w:val="single"/>
        </w:rPr>
        <w:t>或招标代理</w:t>
      </w:r>
      <w:r>
        <w:rPr>
          <w:rFonts w:hint="eastAsia" w:ascii="宋体" w:hAnsi="宋体" w:cs="宋体"/>
          <w:color w:val="auto"/>
          <w:szCs w:val="21"/>
          <w:highlight w:val="none"/>
        </w:rPr>
        <w:t>进行解密，解密完成后，公布招标项目名称、投标人名称、投标保证金的递交情况、投标报价、工期及其他内容；</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条款号：38.1                               修改类型：修改</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w:t>
      </w:r>
      <w:r>
        <w:rPr>
          <w:rFonts w:hint="eastAsia" w:ascii="宋体" w:hAnsi="宋体" w:cs="宋体"/>
          <w:color w:val="auto"/>
          <w:szCs w:val="21"/>
          <w:highlight w:val="none"/>
          <w:u w:val="single"/>
        </w:rPr>
        <w:t>对投标文件含义不明确、对同类问题表述不一致、有明显文字和计算错误的内容以及细微偏差的内容</w:t>
      </w:r>
      <w:r>
        <w:rPr>
          <w:rFonts w:hint="eastAsia" w:ascii="宋体" w:hAnsi="宋体" w:cs="宋体"/>
          <w:color w:val="auto"/>
          <w:szCs w:val="21"/>
          <w:highlight w:val="none"/>
        </w:rPr>
        <w:t>作出澄清。</w:t>
      </w:r>
    </w:p>
    <w:p>
      <w:pPr>
        <w:spacing w:line="360" w:lineRule="auto"/>
        <w:ind w:firstLine="48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条款号：39.3                                修改类型：修改</w:t>
      </w:r>
    </w:p>
    <w:p>
      <w:pP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600"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39.3排名第一的中标候选人放弃中标、</w:t>
      </w:r>
      <w:r>
        <w:rPr>
          <w:rFonts w:hint="eastAsia" w:ascii="宋体" w:hAnsi="宋体" w:cs="宋体"/>
          <w:color w:val="auto"/>
          <w:szCs w:val="21"/>
          <w:highlight w:val="none"/>
          <w:u w:val="single"/>
        </w:rPr>
        <w:t>或因不可抗力不能履行合同，</w:t>
      </w:r>
      <w:r>
        <w:rPr>
          <w:rFonts w:hint="eastAsia" w:ascii="宋体" w:hAnsi="宋体" w:cs="宋体"/>
          <w:color w:val="auto"/>
          <w:szCs w:val="21"/>
          <w:highlight w:val="none"/>
        </w:rPr>
        <w:t>或者招标文件规定应当提交履约担保而在规定的期限内未能提交的，</w:t>
      </w:r>
      <w:r>
        <w:rPr>
          <w:rFonts w:hint="eastAsia" w:ascii="宋体" w:hAnsi="宋体" w:eastAsia="宋体"/>
          <w:bCs/>
          <w:color w:val="auto"/>
          <w:szCs w:val="21"/>
          <w:highlight w:val="none"/>
          <w:u w:val="single"/>
        </w:rPr>
        <w:t>或经核查发现委派的项目负责人已在其他在建项目中任本职的，或者被查实存在影响中标结果的违法行为等情形，不符合中标条件的，</w:t>
      </w:r>
      <w:r>
        <w:rPr>
          <w:rFonts w:hint="eastAsia" w:ascii="宋体" w:hAnsi="宋体" w:cs="宋体"/>
          <w:color w:val="auto"/>
          <w:szCs w:val="21"/>
          <w:highlight w:val="none"/>
        </w:rPr>
        <w:t>招标人可以确定排名第二的中标候选人为中标人。</w:t>
      </w:r>
    </w:p>
    <w:p>
      <w:pP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b/>
          <w:bCs/>
          <w:color w:val="auto"/>
          <w:szCs w:val="21"/>
          <w:highlight w:val="none"/>
        </w:rPr>
        <w:t>（二）开标评标办法程序和细则</w:t>
      </w:r>
      <w:r>
        <w:rPr>
          <w:rFonts w:hint="eastAsia" w:ascii="宋体" w:hAnsi="宋体" w:cs="宋体"/>
          <w:b/>
          <w:color w:val="auto"/>
          <w:szCs w:val="21"/>
          <w:highlight w:val="none"/>
        </w:rPr>
        <w:t xml:space="preserve">    </w:t>
      </w:r>
      <w:r>
        <w:rPr>
          <w:rFonts w:hint="eastAsia" w:ascii="宋体" w:hAnsi="宋体" w:cs="宋体"/>
          <w:b/>
          <w:bCs/>
          <w:color w:val="auto"/>
          <w:szCs w:val="21"/>
          <w:highlight w:val="none"/>
        </w:rPr>
        <w:t>注：</w:t>
      </w:r>
      <w:r>
        <w:rPr>
          <w:rFonts w:hint="eastAsia" w:ascii="宋体" w:hAnsi="宋体" w:cs="宋体"/>
          <w:b/>
          <w:color w:val="auto"/>
          <w:szCs w:val="21"/>
          <w:highlight w:val="none"/>
        </w:rPr>
        <w:t xml:space="preserve">          修改类型：删除</w:t>
      </w:r>
    </w:p>
    <w:p>
      <w:pPr>
        <w:pStyle w:val="6"/>
        <w:spacing w:before="156" w:after="156" w:line="360" w:lineRule="auto"/>
        <w:ind w:firstLine="422" w:firstLineChars="200"/>
        <w:rPr>
          <w:rFonts w:hint="eastAsia" w:cs="宋体"/>
          <w:color w:val="auto"/>
          <w:sz w:val="21"/>
          <w:szCs w:val="21"/>
          <w:highlight w:val="none"/>
        </w:rPr>
      </w:pPr>
      <w:bookmarkStart w:id="11" w:name="_Toc31497"/>
      <w:r>
        <w:rPr>
          <w:rFonts w:hint="eastAsia" w:cs="宋体"/>
          <w:b/>
          <w:bCs/>
          <w:color w:val="auto"/>
          <w:sz w:val="21"/>
          <w:szCs w:val="21"/>
          <w:highlight w:val="none"/>
        </w:rPr>
        <w:t>原文：</w:t>
      </w:r>
      <w:r>
        <w:rPr>
          <w:rFonts w:hint="eastAsia" w:cs="宋体"/>
          <w:color w:val="auto"/>
          <w:sz w:val="21"/>
          <w:szCs w:val="21"/>
          <w:highlight w:val="none"/>
        </w:rPr>
        <w:t>注：以下</w:t>
      </w:r>
      <w:r>
        <w:rPr>
          <w:rFonts w:hint="default" w:cs="宋体"/>
          <w:color w:val="auto"/>
          <w:sz w:val="21"/>
          <w:szCs w:val="21"/>
          <w:highlight w:val="none"/>
          <w:lang w:val="en-US"/>
        </w:rPr>
        <w:t>七</w:t>
      </w:r>
      <w:r>
        <w:rPr>
          <w:rFonts w:hint="eastAsia" w:cs="宋体"/>
          <w:color w:val="auto"/>
          <w:sz w:val="21"/>
          <w:szCs w:val="21"/>
          <w:highlight w:val="none"/>
        </w:rPr>
        <w:t>种评标办法所述企业综合诚信评价分数即投标截止当日广州市工程招标代理行业协会网站上公布的企业综合诚信评价60日诚信分。</w:t>
      </w:r>
      <w:bookmarkEnd w:id="11"/>
    </w:p>
    <w:p>
      <w:pPr>
        <w:pBdr>
          <w:bottom w:val="single" w:color="auto" w:sz="6" w:space="1"/>
        </w:pBdr>
        <w:spacing w:line="360" w:lineRule="auto"/>
        <w:ind w:firstLine="537" w:firstLineChars="224"/>
        <w:rPr>
          <w:rFonts w:hint="eastAsia" w:ascii="宋体" w:hAnsi="宋体" w:cs="宋体"/>
          <w:color w:val="auto"/>
          <w:szCs w:val="21"/>
          <w:highlight w:val="none"/>
        </w:rPr>
      </w:pP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可选办法二（适合综合评分法一，技术标与经济标同时开启）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可选办法四（适合综合评分法二，技术标与经济标同时开启）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538"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可选办法六（适合综合评分法三，技术标与经济标同时开启）</w:t>
      </w:r>
      <w:r>
        <w:rPr>
          <w:rFonts w:hint="eastAsia" w:ascii="宋体" w:hAnsi="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删除</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pStyle w:val="25"/>
        <w:rPr>
          <w:rFonts w:hint="eastAsia"/>
          <w:color w:val="auto"/>
          <w:highlight w:val="none"/>
        </w:rPr>
      </w:pPr>
    </w:p>
    <w:p>
      <w:pPr>
        <w:spacing w:line="360" w:lineRule="auto"/>
        <w:ind w:firstLine="538"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可选办法七（适合综合评分法四，技术标与经济标同时开启）</w:t>
      </w:r>
      <w:r>
        <w:rPr>
          <w:rFonts w:hint="eastAsia" w:ascii="宋体" w:hAnsi="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修改</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可选办法七（适合综合评分法四，技术标与经济标同时开启）</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综合评分法</w:t>
      </w:r>
    </w:p>
    <w:p>
      <w:pPr>
        <w:pStyle w:val="25"/>
        <w:rPr>
          <w:rFonts w:hint="eastAsia"/>
          <w:color w:val="auto"/>
          <w:highlight w:val="none"/>
        </w:rPr>
      </w:pP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 w:val="18"/>
          <w:szCs w:val="18"/>
          <w:highlight w:val="none"/>
        </w:rPr>
        <w:t xml:space="preserve">可选办法八（适合经评审的最低投标价法，技术标与经济标同时开启）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条款号：41.1                                修改类型：修改</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600"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w:t>
      </w:r>
      <w:r>
        <w:rPr>
          <w:rFonts w:hint="eastAsia" w:ascii="宋体" w:hAnsi="宋体" w:cs="宋体"/>
          <w:color w:val="auto"/>
          <w:szCs w:val="21"/>
          <w:highlight w:val="none"/>
          <w:u w:val="single"/>
        </w:rPr>
        <w:t>[包括技术标（含资格审查文件）、经济标投标文件]</w:t>
      </w:r>
      <w:r>
        <w:rPr>
          <w:rFonts w:hint="eastAsia" w:ascii="宋体" w:hAnsi="宋体" w:cs="宋体"/>
          <w:color w:val="auto"/>
          <w:szCs w:val="21"/>
          <w:highlight w:val="none"/>
        </w:rPr>
        <w:t>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spacing w:line="360" w:lineRule="auto"/>
        <w:ind w:firstLine="538"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条款号：41.2.2                      修改类型：</w:t>
      </w:r>
      <w:r>
        <w:rPr>
          <w:rFonts w:hint="eastAsia" w:ascii="宋体" w:hAnsi="宋体" w:eastAsia="宋体" w:cs="宋体"/>
          <w:b/>
          <w:color w:val="auto"/>
          <w:szCs w:val="21"/>
          <w:highlight w:val="none"/>
          <w:lang w:val="en-US" w:eastAsia="zh-CN"/>
        </w:rPr>
        <w:t>删除</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spacing w:line="360" w:lineRule="auto"/>
        <w:ind w:firstLine="54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xml:space="preserve">                        修改类型：修改</w:t>
      </w:r>
    </w:p>
    <w:p>
      <w:pPr>
        <w:spacing w:line="360" w:lineRule="auto"/>
        <w:ind w:firstLine="48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评标委员会的组成：方式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方式一：评标委员会为综合评标委员会，负责评标工作。</w:t>
      </w:r>
    </w:p>
    <w:p>
      <w:pPr>
        <w:pBdr>
          <w:bottom w:val="single" w:color="auto" w:sz="6" w:space="1"/>
        </w:pBd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方式二：评标委员会由技术评审组和经济评审组组成。其中：资格审查、技术评审由技术评标组负责，经济评审由经济评审组负责</w:t>
      </w:r>
    </w:p>
    <w:p>
      <w:pPr>
        <w:pBdr>
          <w:bottom w:val="single" w:color="auto" w:sz="6" w:space="1"/>
        </w:pBdr>
        <w:spacing w:line="360" w:lineRule="auto"/>
        <w:ind w:firstLine="482" w:firstLineChars="200"/>
        <w:rPr>
          <w:rFonts w:hint="eastAsia" w:ascii="宋体" w:hAnsi="宋体" w:eastAsia="宋体"/>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评标委员会的组成：方式</w:t>
      </w:r>
      <w:r>
        <w:rPr>
          <w:rFonts w:hint="eastAsia" w:ascii="宋体" w:hAnsi="宋体" w:eastAsia="宋体" w:cs="宋体"/>
          <w:color w:val="auto"/>
          <w:szCs w:val="21"/>
          <w:highlight w:val="none"/>
          <w:u w:val="single"/>
        </w:rPr>
        <w:t>一：评标委员会为综合评标委员会，负责资格审查及评标工作。评标委员会</w:t>
      </w:r>
      <w:r>
        <w:rPr>
          <w:rFonts w:hint="eastAsia" w:ascii="宋体" w:hAnsi="宋体" w:eastAsia="宋体"/>
          <w:color w:val="auto"/>
          <w:szCs w:val="21"/>
          <w:highlight w:val="none"/>
          <w:u w:val="single"/>
        </w:rPr>
        <w:t>由技术及经济专业专家组成，均由广东省综合评标评审专家库随机抽取，评标委员会人数为五人以上单数，其中技术方面的专家不得少于成员总数的三分之二。</w:t>
      </w:r>
    </w:p>
    <w:p>
      <w:pPr>
        <w:spacing w:line="360" w:lineRule="auto"/>
        <w:ind w:firstLine="540" w:firstLineChars="224"/>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条款号：4</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6                      修改类型：修改</w:t>
      </w:r>
    </w:p>
    <w:p>
      <w:pPr>
        <w:widowControl/>
        <w:spacing w:line="360" w:lineRule="auto"/>
        <w:ind w:firstLine="482" w:firstLineChars="200"/>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.6资格审查合格的投标人少于3名的（当N个标段同时招标且不允许兼中时，资格审查合格的投标人少于N+2名），则本项目招标失败。</w:t>
      </w:r>
    </w:p>
    <w:p>
      <w:pPr>
        <w:pBdr>
          <w:bottom w:val="single" w:color="auto" w:sz="6" w:space="1"/>
        </w:pBdr>
        <w:spacing w:line="360" w:lineRule="auto"/>
        <w:ind w:firstLine="540" w:firstLineChars="224"/>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u w:val="single"/>
        </w:rPr>
        <w:t>若满足资格审查合格条件（投标人合格条件）的投标申请人不足3名，则重新招标。</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条款号：45                        修改类型：修改</w:t>
      </w:r>
    </w:p>
    <w:p>
      <w:pPr>
        <w:widowControl/>
        <w:spacing w:line="360" w:lineRule="auto"/>
        <w:ind w:firstLine="480" w:firstLineChars="200"/>
        <w:jc w:val="left"/>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45．经济标评审和得分汇总</w:t>
      </w:r>
    </w:p>
    <w:p>
      <w:pPr>
        <w:widowControl/>
        <w:spacing w:line="360" w:lineRule="auto"/>
        <w:ind w:firstLine="480" w:firstLineChars="200"/>
        <w:jc w:val="left"/>
        <w:rPr>
          <w:rFonts w:ascii="宋体" w:hAnsi="宋体" w:cs="宋体"/>
          <w:color w:val="auto"/>
          <w:szCs w:val="21"/>
          <w:highlight w:val="none"/>
        </w:rPr>
      </w:pP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widowControl/>
        <w:spacing w:line="360" w:lineRule="auto"/>
        <w:ind w:firstLine="48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45.2按方法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widowControl/>
        <w:spacing w:line="360" w:lineRule="auto"/>
        <w:ind w:firstLine="480"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方法一：加权平均法</w:t>
      </w:r>
    </w:p>
    <w:p>
      <w:pPr>
        <w:widowControl/>
        <w:spacing w:line="360" w:lineRule="auto"/>
        <w:ind w:firstLine="480" w:firstLineChars="200"/>
        <w:jc w:val="left"/>
        <w:rPr>
          <w:rFonts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w:t>
      </w:r>
      <w:r>
        <w:rPr>
          <w:rFonts w:ascii="宋体" w:hAnsi="宋体" w:cs="宋体"/>
          <w:color w:val="auto"/>
          <w:szCs w:val="21"/>
          <w:highlight w:val="none"/>
        </w:rPr>
        <w:t>N</w:t>
      </w:r>
      <w:r>
        <w:rPr>
          <w:rFonts w:hint="eastAsia" w:ascii="宋体" w:hAnsi="宋体" w:cs="宋体"/>
          <w:color w:val="auto"/>
          <w:szCs w:val="21"/>
          <w:highlight w:val="none"/>
        </w:rPr>
        <w:t>名（N≥5，具体由招标人自定）的经济报价加权平均，计算评标参考价。公式如下：</w:t>
      </w:r>
    </w:p>
    <w:p>
      <w:pPr>
        <w:widowControl/>
        <w:spacing w:line="360" w:lineRule="auto"/>
        <w:ind w:firstLine="480" w:firstLineChars="200"/>
        <w:jc w:val="left"/>
        <w:rPr>
          <w:rFonts w:ascii="宋体" w:hAnsi="宋体" w:cs="宋体"/>
          <w:color w:val="auto"/>
          <w:szCs w:val="21"/>
          <w:highlight w:val="none"/>
        </w:rPr>
      </w:pPr>
      <w:r>
        <w:rPr>
          <w:rFonts w:hint="eastAsia" w:ascii="宋体" w:hAnsi="宋体" w:cs="宋体"/>
          <w:color w:val="auto"/>
          <w:szCs w:val="21"/>
          <w:highlight w:val="none"/>
        </w:rPr>
        <w:t>评标参考价</w:t>
      </w:r>
      <w:r>
        <w:rPr>
          <w:rFonts w:ascii="宋体" w:hAnsi="宋体" w:cs="宋体"/>
          <w:color w:val="auto"/>
          <w:szCs w:val="21"/>
          <w:highlight w:val="none"/>
        </w:rPr>
        <w:t>=</w:t>
      </w:r>
      <w:r>
        <w:rPr>
          <w:rFonts w:hint="eastAsia" w:ascii="宋体" w:hAnsi="宋体" w:cs="宋体"/>
          <w:color w:val="auto"/>
          <w:szCs w:val="21"/>
          <w:highlight w:val="none"/>
        </w:rPr>
        <w:t>Σ（投标人的投标报价</w:t>
      </w:r>
      <w:r>
        <w:rPr>
          <w:rFonts w:ascii="宋体" w:hAnsi="宋体" w:cs="宋体"/>
          <w:color w:val="auto"/>
          <w:szCs w:val="21"/>
          <w:highlight w:val="none"/>
        </w:rPr>
        <w:t>*</w:t>
      </w:r>
      <w:r>
        <w:rPr>
          <w:rFonts w:hint="eastAsia" w:ascii="宋体" w:hAnsi="宋体" w:cs="宋体"/>
          <w:color w:val="auto"/>
          <w:szCs w:val="21"/>
          <w:highlight w:val="none"/>
        </w:rPr>
        <w:t>报价权重）。</w:t>
      </w:r>
    </w:p>
    <w:p>
      <w:pPr>
        <w:widowControl/>
        <w:spacing w:line="360" w:lineRule="auto"/>
        <w:ind w:firstLine="480" w:firstLineChars="200"/>
        <w:jc w:val="left"/>
        <w:rPr>
          <w:rFonts w:ascii="宋体" w:hAnsi="宋体" w:cs="宋体"/>
          <w:color w:val="auto"/>
          <w:szCs w:val="21"/>
          <w:highlight w:val="none"/>
        </w:rPr>
      </w:pPr>
      <w:r>
        <w:rPr>
          <w:rFonts w:hint="eastAsia" w:ascii="宋体" w:hAnsi="宋体" w:cs="宋体"/>
          <w:color w:val="auto"/>
          <w:szCs w:val="21"/>
          <w:highlight w:val="none"/>
        </w:rPr>
        <w:t>其中：报价权重的计算方法为：将</w:t>
      </w:r>
      <w:r>
        <w:rPr>
          <w:rFonts w:ascii="宋体" w:hAnsi="宋体" w:cs="宋体"/>
          <w:color w:val="auto"/>
          <w:szCs w:val="21"/>
          <w:highlight w:val="none"/>
        </w:rPr>
        <w:t>N</w:t>
      </w:r>
      <w:r>
        <w:rPr>
          <w:rFonts w:hint="eastAsia" w:ascii="宋体" w:hAnsi="宋体" w:cs="宋体"/>
          <w:color w:val="auto"/>
          <w:szCs w:val="21"/>
          <w:highlight w:val="none"/>
        </w:rPr>
        <w:t>名投标人按技术分由高至低进行排序，第一名投标人的权重为（</w:t>
      </w:r>
      <w:r>
        <w:rPr>
          <w:rFonts w:ascii="宋体" w:hAnsi="宋体" w:cs="宋体"/>
          <w:color w:val="auto"/>
          <w:szCs w:val="21"/>
          <w:highlight w:val="none"/>
        </w:rPr>
        <w:fldChar w:fldCharType="begin"/>
      </w:r>
      <w:r>
        <w:rPr>
          <w:rFonts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114300" distR="114300">
            <wp:extent cx="381000" cy="447675"/>
            <wp:effectExtent l="0" t="0" r="0" b="8890"/>
            <wp:docPr id="1"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0"/>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fldChar w:fldCharType="separate"/>
      </w:r>
      <w:r>
        <w:rPr>
          <w:rFonts w:ascii="宋体" w:hAnsi="宋体" w:cs="宋体"/>
          <w:color w:val="auto"/>
          <w:szCs w:val="21"/>
          <w:highlight w:val="none"/>
        </w:rPr>
        <w:drawing>
          <wp:inline distT="0" distB="0" distL="114300" distR="114300">
            <wp:extent cx="381000" cy="447675"/>
            <wp:effectExtent l="0" t="0" r="0" b="8890"/>
            <wp:docPr id="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ascii="宋体" w:hAnsi="宋体" w:cs="宋体"/>
          <w:color w:val="auto"/>
          <w:szCs w:val="21"/>
          <w:highlight w:val="none"/>
        </w:rPr>
        <w:fldChar w:fldCharType="begin"/>
      </w:r>
      <w:r>
        <w:rPr>
          <w:rFonts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114300" distR="114300">
            <wp:extent cx="323850" cy="400050"/>
            <wp:effectExtent l="0" t="0" r="0" b="0"/>
            <wp:docPr id="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2"/>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szCs w:val="21"/>
          <w:highlight w:val="none"/>
        </w:rPr>
        <w:fldChar w:fldCharType="separate"/>
      </w:r>
      <w:r>
        <w:rPr>
          <w:rFonts w:ascii="宋体" w:hAnsi="宋体" w:cs="宋体"/>
          <w:color w:val="auto"/>
          <w:szCs w:val="21"/>
          <w:highlight w:val="none"/>
        </w:rPr>
        <w:drawing>
          <wp:inline distT="0" distB="0" distL="114300" distR="114300">
            <wp:extent cx="323850" cy="400050"/>
            <wp:effectExtent l="0" t="0" r="0" b="0"/>
            <wp:docPr id="4"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ascii="宋体" w:hAnsi="宋体" w:cs="宋体"/>
          <w:color w:val="auto"/>
          <w:szCs w:val="21"/>
          <w:highlight w:val="none"/>
        </w:rPr>
        <w:fldChar w:fldCharType="begin"/>
      </w:r>
      <w:r>
        <w:rPr>
          <w:rFonts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114300" distR="114300">
            <wp:extent cx="323850" cy="400050"/>
            <wp:effectExtent l="0" t="0" r="0" b="0"/>
            <wp:docPr id="5"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szCs w:val="21"/>
          <w:highlight w:val="none"/>
        </w:rPr>
        <w:fldChar w:fldCharType="separate"/>
      </w:r>
      <w:r>
        <w:rPr>
          <w:rFonts w:ascii="宋体" w:hAnsi="宋体" w:cs="宋体"/>
          <w:color w:val="auto"/>
          <w:szCs w:val="21"/>
          <w:highlight w:val="none"/>
        </w:rPr>
        <w:drawing>
          <wp:inline distT="0" distB="0" distL="114300" distR="114300">
            <wp:extent cx="323850" cy="400050"/>
            <wp:effectExtent l="0" t="0" r="0" b="0"/>
            <wp:docPr id="6"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5"/>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80"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方法二：区间抽取法</w:t>
      </w:r>
    </w:p>
    <w:p>
      <w:pPr>
        <w:widowControl/>
        <w:spacing w:line="360" w:lineRule="auto"/>
        <w:ind w:firstLine="480" w:firstLineChars="200"/>
        <w:jc w:val="left"/>
        <w:rPr>
          <w:rFonts w:ascii="宋体" w:hAnsi="宋体" w:cs="宋体"/>
          <w:color w:val="auto"/>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360" w:lineRule="auto"/>
        <w:ind w:firstLine="480" w:firstLineChars="200"/>
        <w:jc w:val="left"/>
        <w:rPr>
          <w:rFonts w:ascii="宋体" w:hAnsi="宋体" w:cs="宋体"/>
          <w:color w:val="auto"/>
          <w:szCs w:val="21"/>
          <w:highlight w:val="none"/>
          <w:vertAlign w:val="subscript"/>
        </w:rPr>
      </w:pPr>
      <w:r>
        <w:rPr>
          <w:rFonts w:hint="eastAsia" w:ascii="宋体" w:hAnsi="宋体" w:cs="宋体"/>
          <w:color w:val="auto"/>
          <w:szCs w:val="21"/>
          <w:highlight w:val="none"/>
        </w:rPr>
        <w:t>评标参考价</w:t>
      </w:r>
      <w:r>
        <w:rPr>
          <w:rFonts w:ascii="宋体" w:hAnsi="宋体" w:cs="宋体"/>
          <w:color w:val="auto"/>
          <w:szCs w:val="21"/>
          <w:highlight w:val="none"/>
        </w:rPr>
        <w:t>=</w:t>
      </w:r>
      <w:r>
        <w:rPr>
          <w:rFonts w:hint="eastAsia" w:ascii="宋体" w:hAnsi="宋体" w:cs="宋体"/>
          <w:color w:val="auto"/>
          <w:szCs w:val="21"/>
          <w:highlight w:val="none"/>
        </w:rPr>
        <w:t>（</w:t>
      </w:r>
      <w:r>
        <w:rPr>
          <w:rFonts w:ascii="宋体" w:hAnsi="宋体" w:cs="宋体"/>
          <w:color w:val="auto"/>
          <w:szCs w:val="21"/>
          <w:highlight w:val="none"/>
        </w:rPr>
        <w:t>Q</w:t>
      </w:r>
      <w:r>
        <w:rPr>
          <w:rFonts w:hint="eastAsia" w:ascii="宋体" w:hAnsi="宋体" w:cs="宋体"/>
          <w:color w:val="auto"/>
          <w:szCs w:val="21"/>
          <w:highlight w:val="none"/>
          <w:vertAlign w:val="subscript"/>
        </w:rPr>
        <w:t>高</w:t>
      </w:r>
      <w:r>
        <w:rPr>
          <w:rFonts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w:t>
      </w:r>
      <w:r>
        <w:rPr>
          <w:rFonts w:ascii="宋体" w:hAnsi="宋体" w:cs="宋体"/>
          <w:color w:val="auto"/>
          <w:szCs w:val="21"/>
          <w:highlight w:val="none"/>
        </w:rPr>
        <w:t>/100*</w:t>
      </w:r>
      <w:r>
        <w:rPr>
          <w:rFonts w:hint="eastAsia" w:ascii="宋体" w:hAnsi="宋体" w:cs="宋体"/>
          <w:color w:val="auto"/>
          <w:szCs w:val="21"/>
          <w:highlight w:val="none"/>
        </w:rPr>
        <w:t>Ｘ</w:t>
      </w:r>
      <w:r>
        <w:rPr>
          <w:rFonts w:ascii="宋体" w:hAnsi="宋体" w:cs="宋体"/>
          <w:color w:val="auto"/>
          <w:szCs w:val="21"/>
          <w:highlight w:val="none"/>
        </w:rPr>
        <w:t>+Q</w:t>
      </w:r>
      <w:r>
        <w:rPr>
          <w:rFonts w:hint="eastAsia" w:ascii="宋体" w:hAnsi="宋体" w:cs="宋体"/>
          <w:color w:val="auto"/>
          <w:szCs w:val="21"/>
          <w:highlight w:val="none"/>
          <w:vertAlign w:val="subscript"/>
        </w:rPr>
        <w:t>低</w:t>
      </w:r>
    </w:p>
    <w:p>
      <w:pPr>
        <w:widowControl/>
        <w:spacing w:line="360" w:lineRule="auto"/>
        <w:ind w:firstLine="480" w:firstLineChars="200"/>
        <w:jc w:val="left"/>
        <w:rPr>
          <w:rFonts w:ascii="宋体" w:hAnsi="宋体" w:cs="宋体"/>
          <w:color w:val="auto"/>
          <w:szCs w:val="21"/>
          <w:highlight w:val="none"/>
        </w:rPr>
      </w:pPr>
      <w:r>
        <w:rPr>
          <w:rFonts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widowControl/>
        <w:spacing w:line="360" w:lineRule="auto"/>
        <w:ind w:firstLine="480" w:firstLineChars="200"/>
        <w:jc w:val="left"/>
        <w:rPr>
          <w:rFonts w:ascii="宋体" w:hAnsi="宋体" w:cs="宋体"/>
          <w:color w:val="auto"/>
          <w:szCs w:val="21"/>
          <w:highlight w:val="none"/>
        </w:rPr>
      </w:pPr>
      <w:r>
        <w:rPr>
          <w:rFonts w:ascii="宋体" w:hAnsi="宋体" w:cs="宋体"/>
          <w:color w:val="auto"/>
          <w:szCs w:val="21"/>
          <w:highlight w:val="none"/>
        </w:rPr>
        <w:t>Q</w:t>
      </w:r>
      <w:r>
        <w:rPr>
          <w:rFonts w:hint="eastAsia" w:ascii="宋体" w:hAnsi="宋体" w:cs="宋体"/>
          <w:color w:val="auto"/>
          <w:szCs w:val="21"/>
          <w:highlight w:val="none"/>
          <w:vertAlign w:val="subscript"/>
        </w:rPr>
        <w:t>高</w:t>
      </w:r>
      <w:r>
        <w:rPr>
          <w:rFonts w:hint="eastAsia" w:ascii="宋体" w:hAnsi="宋体" w:cs="宋体"/>
          <w:color w:val="auto"/>
          <w:szCs w:val="21"/>
          <w:highlight w:val="none"/>
        </w:rPr>
        <w:t>：为（最高投标限价</w:t>
      </w:r>
      <w:r>
        <w:rPr>
          <w:rFonts w:ascii="宋体" w:hAnsi="宋体" w:cs="宋体"/>
          <w:color w:val="auto"/>
          <w:szCs w:val="21"/>
          <w:highlight w:val="none"/>
        </w:rPr>
        <w:t>*D%</w:t>
      </w:r>
      <w:r>
        <w:rPr>
          <w:rFonts w:hint="eastAsia" w:ascii="宋体" w:hAnsi="宋体" w:cs="宋体"/>
          <w:color w:val="auto"/>
          <w:szCs w:val="21"/>
          <w:highlight w:val="none"/>
        </w:rPr>
        <w:t>）（</w:t>
      </w:r>
      <w:r>
        <w:rPr>
          <w:rFonts w:ascii="宋体" w:hAnsi="宋体" w:cs="宋体"/>
          <w:color w:val="auto"/>
          <w:szCs w:val="21"/>
          <w:highlight w:val="none"/>
        </w:rPr>
        <w:t>D</w:t>
      </w:r>
      <w:r>
        <w:rPr>
          <w:rFonts w:hint="eastAsia" w:ascii="宋体" w:hAnsi="宋体" w:cs="宋体"/>
          <w:color w:val="auto"/>
          <w:szCs w:val="21"/>
          <w:highlight w:val="none"/>
        </w:rPr>
        <w:t>的取值范围为</w:t>
      </w:r>
      <w:r>
        <w:rPr>
          <w:rFonts w:ascii="宋体" w:hAnsi="宋体" w:cs="宋体"/>
          <w:color w:val="auto"/>
          <w:szCs w:val="21"/>
          <w:highlight w:val="none"/>
        </w:rPr>
        <w:t>[94,100],</w:t>
      </w:r>
      <w:r>
        <w:rPr>
          <w:rFonts w:hint="eastAsia" w:ascii="宋体" w:hAnsi="宋体" w:cs="宋体"/>
          <w:color w:val="auto"/>
          <w:szCs w:val="21"/>
          <w:highlight w:val="none"/>
        </w:rPr>
        <w:t>由招标人自定）</w:t>
      </w:r>
    </w:p>
    <w:p>
      <w:pPr>
        <w:widowControl/>
        <w:spacing w:line="360" w:lineRule="auto"/>
        <w:ind w:firstLine="480" w:firstLineChars="200"/>
        <w:jc w:val="left"/>
        <w:rPr>
          <w:rFonts w:hint="eastAsia" w:ascii="宋体" w:hAnsi="宋体" w:cs="宋体"/>
          <w:color w:val="auto"/>
          <w:szCs w:val="21"/>
          <w:highlight w:val="none"/>
        </w:rPr>
      </w:pPr>
      <w:r>
        <w:rPr>
          <w:rFonts w:ascii="宋体" w:hAnsi="宋体" w:cs="宋体"/>
          <w:color w:val="auto"/>
          <w:szCs w:val="21"/>
          <w:highlight w:val="none"/>
        </w:rPr>
        <w:t>X：为等分值点，在开标前从[0,100]整数中随机抽取。</w:t>
      </w:r>
    </w:p>
    <w:p>
      <w:pPr>
        <w:widowControl/>
        <w:spacing w:line="360" w:lineRule="auto"/>
        <w:ind w:firstLine="480" w:firstLineChars="200"/>
        <w:jc w:val="left"/>
        <w:rPr>
          <w:rFonts w:ascii="宋体" w:hAnsi="宋体" w:cs="宋体"/>
          <w:color w:val="auto"/>
          <w:szCs w:val="21"/>
          <w:highlight w:val="none"/>
        </w:rPr>
      </w:pPr>
      <w:r>
        <w:rPr>
          <w:rFonts w:hint="eastAsia" w:ascii="宋体" w:hAnsi="宋体" w:cs="宋体"/>
          <w:color w:val="auto"/>
          <w:szCs w:val="21"/>
          <w:highlight w:val="none"/>
        </w:rPr>
        <w:t>45.3当标价等于评标参考价时得</w:t>
      </w:r>
      <w:r>
        <w:rPr>
          <w:rFonts w:ascii="宋体" w:hAnsi="宋体" w:cs="宋体"/>
          <w:color w:val="auto"/>
          <w:szCs w:val="21"/>
          <w:highlight w:val="none"/>
        </w:rPr>
        <w:t>100</w:t>
      </w:r>
      <w:r>
        <w:rPr>
          <w:rFonts w:hint="eastAsia" w:ascii="宋体" w:hAnsi="宋体" w:cs="宋体"/>
          <w:color w:val="auto"/>
          <w:szCs w:val="21"/>
          <w:highlight w:val="none"/>
        </w:rPr>
        <w:t>分，标价每高于评标参考价</w:t>
      </w:r>
      <w:r>
        <w:rPr>
          <w:rFonts w:ascii="宋体" w:hAnsi="宋体" w:cs="宋体"/>
          <w:color w:val="auto"/>
          <w:szCs w:val="21"/>
          <w:highlight w:val="none"/>
        </w:rPr>
        <w:t>1%</w:t>
      </w:r>
      <w:r>
        <w:rPr>
          <w:rFonts w:hint="eastAsia" w:ascii="宋体" w:hAnsi="宋体" w:cs="宋体"/>
          <w:color w:val="auto"/>
          <w:szCs w:val="21"/>
          <w:highlight w:val="none"/>
        </w:rPr>
        <w:t>，扣</w:t>
      </w:r>
      <w:r>
        <w:rPr>
          <w:rFonts w:ascii="宋体" w:hAnsi="宋体" w:cs="宋体"/>
          <w:color w:val="auto"/>
          <w:szCs w:val="21"/>
          <w:highlight w:val="none"/>
        </w:rPr>
        <w:t>1.5</w:t>
      </w:r>
      <w:r>
        <w:rPr>
          <w:rFonts w:hint="eastAsia" w:ascii="宋体" w:hAnsi="宋体" w:cs="宋体"/>
          <w:color w:val="auto"/>
          <w:szCs w:val="21"/>
          <w:highlight w:val="none"/>
        </w:rPr>
        <w:t>分，每低于评标参考价</w:t>
      </w:r>
      <w:r>
        <w:rPr>
          <w:rFonts w:ascii="宋体" w:hAnsi="宋体" w:cs="宋体"/>
          <w:color w:val="auto"/>
          <w:szCs w:val="21"/>
          <w:highlight w:val="none"/>
        </w:rPr>
        <w:t>1%</w:t>
      </w:r>
      <w:r>
        <w:rPr>
          <w:rFonts w:hint="eastAsia" w:ascii="宋体" w:hAnsi="宋体" w:cs="宋体"/>
          <w:color w:val="auto"/>
          <w:szCs w:val="21"/>
          <w:highlight w:val="none"/>
        </w:rPr>
        <w:t>，扣</w:t>
      </w:r>
      <w:r>
        <w:rPr>
          <w:rFonts w:ascii="宋体" w:hAnsi="宋体" w:cs="宋体"/>
          <w:color w:val="auto"/>
          <w:szCs w:val="21"/>
          <w:highlight w:val="none"/>
        </w:rPr>
        <w:t>1</w:t>
      </w:r>
      <w:r>
        <w:rPr>
          <w:rFonts w:hint="eastAsia" w:ascii="宋体" w:hAnsi="宋体" w:cs="宋体"/>
          <w:color w:val="auto"/>
          <w:szCs w:val="21"/>
          <w:highlight w:val="none"/>
        </w:rPr>
        <w:t>分，扣至</w:t>
      </w:r>
      <w:r>
        <w:rPr>
          <w:rFonts w:ascii="宋体" w:hAnsi="宋体" w:cs="宋体"/>
          <w:color w:val="auto"/>
          <w:szCs w:val="21"/>
          <w:highlight w:val="none"/>
        </w:rPr>
        <w:t>0</w:t>
      </w:r>
      <w:r>
        <w:rPr>
          <w:rFonts w:hint="eastAsia" w:ascii="宋体" w:hAnsi="宋体" w:cs="宋体"/>
          <w:color w:val="auto"/>
          <w:szCs w:val="21"/>
          <w:highlight w:val="none"/>
        </w:rPr>
        <w:t>分为止，得出经济分，精确到小数点后两位。</w:t>
      </w:r>
    </w:p>
    <w:p>
      <w:pPr>
        <w:widowControl/>
        <w:spacing w:line="360" w:lineRule="auto"/>
        <w:ind w:firstLine="480" w:firstLineChars="200"/>
        <w:jc w:val="left"/>
        <w:rPr>
          <w:rFonts w:hint="eastAsia" w:ascii="宋体" w:hAnsi="宋体" w:cs="宋体"/>
          <w:color w:val="auto"/>
          <w:szCs w:val="21"/>
          <w:highlight w:val="none"/>
        </w:rPr>
      </w:pPr>
      <w:r>
        <w:rPr>
          <w:rFonts w:hint="eastAsia" w:ascii="宋体" w:hAnsi="宋体" w:cs="宋体"/>
          <w:color w:val="auto"/>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widowControl/>
        <w:spacing w:line="360" w:lineRule="auto"/>
        <w:ind w:firstLine="480"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现文：</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45.1若通过技术标有效性审查的投标人中有投标报价均大于等于最高投标限价*D%（D的取值范围为[97],由招标人自主确定）的（具体金额为：</w:t>
      </w:r>
      <w:r>
        <w:rPr>
          <w:rFonts w:hint="eastAsia" w:ascii="宋体" w:hAnsi="宋体" w:eastAsia="宋体"/>
          <w:color w:val="auto"/>
          <w:sz w:val="24"/>
          <w:szCs w:val="24"/>
          <w:highlight w:val="none"/>
          <w:u w:val="single"/>
          <w:lang w:val="en-US" w:eastAsia="zh-CN"/>
        </w:rPr>
        <w:t>20937678.46</w:t>
      </w:r>
      <w:r>
        <w:rPr>
          <w:rFonts w:hint="eastAsia" w:ascii="宋体" w:hAnsi="宋体"/>
          <w:color w:val="auto"/>
          <w:sz w:val="24"/>
          <w:szCs w:val="24"/>
          <w:highlight w:val="none"/>
        </w:rPr>
        <w:t>元），则本项目招标失败，由招标人依法重新招标。</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45.2按方法</w:t>
      </w:r>
      <w:r>
        <w:rPr>
          <w:rFonts w:hint="eastAsia" w:ascii="宋体" w:hAnsi="宋体" w:eastAsia="宋体"/>
          <w:color w:val="auto"/>
          <w:sz w:val="24"/>
          <w:szCs w:val="24"/>
          <w:highlight w:val="none"/>
          <w:u w:val="single"/>
          <w:lang w:val="en-US" w:eastAsia="zh-CN"/>
        </w:rPr>
        <w:t xml:space="preserve"> 一 </w:t>
      </w:r>
      <w:r>
        <w:rPr>
          <w:rFonts w:hint="eastAsia" w:ascii="宋体" w:hAnsi="宋体"/>
          <w:color w:val="auto"/>
          <w:sz w:val="24"/>
          <w:szCs w:val="24"/>
          <w:highlight w:val="none"/>
        </w:rPr>
        <w:t>计算评标参考价：</w:t>
      </w:r>
    </w:p>
    <w:p>
      <w:pPr>
        <w:widowControl/>
        <w:spacing w:line="360" w:lineRule="auto"/>
        <w:ind w:firstLine="480" w:firstLineChars="200"/>
        <w:jc w:val="left"/>
        <w:rPr>
          <w:rFonts w:ascii="宋体" w:hAnsi="宋体" w:cs="宋体"/>
          <w:b/>
          <w:bCs/>
          <w:color w:val="auto"/>
          <w:szCs w:val="21"/>
          <w:highlight w:val="none"/>
        </w:rPr>
      </w:pPr>
      <w:r>
        <w:rPr>
          <w:rFonts w:hint="eastAsia" w:ascii="宋体" w:hAnsi="宋体" w:cs="宋体"/>
          <w:b/>
          <w:bCs/>
          <w:color w:val="auto"/>
          <w:szCs w:val="21"/>
          <w:highlight w:val="none"/>
        </w:rPr>
        <w:t>方法一：加权平均法</w:t>
      </w:r>
    </w:p>
    <w:p>
      <w:pPr>
        <w:widowControl/>
        <w:spacing w:line="360" w:lineRule="auto"/>
        <w:ind w:firstLine="480" w:firstLineChars="200"/>
        <w:jc w:val="left"/>
        <w:rPr>
          <w:rFonts w:ascii="宋体" w:hAnsi="宋体" w:cs="宋体"/>
          <w:color w:val="auto"/>
          <w:szCs w:val="21"/>
          <w:highlight w:val="none"/>
        </w:rPr>
      </w:pPr>
      <w:r>
        <w:rPr>
          <w:rFonts w:hint="eastAsia" w:ascii="宋体" w:hAnsi="宋体" w:cs="宋体"/>
          <w:color w:val="auto"/>
          <w:szCs w:val="21"/>
          <w:highlight w:val="none"/>
        </w:rPr>
        <w:t>技术标得分前</w:t>
      </w:r>
      <w:r>
        <w:rPr>
          <w:rFonts w:ascii="宋体" w:hAnsi="宋体" w:cs="宋体"/>
          <w:color w:val="auto"/>
          <w:szCs w:val="21"/>
          <w:highlight w:val="none"/>
        </w:rPr>
        <w:t>N</w:t>
      </w:r>
      <w:r>
        <w:rPr>
          <w:rFonts w:hint="eastAsia" w:ascii="宋体" w:hAnsi="宋体" w:cs="宋体"/>
          <w:color w:val="auto"/>
          <w:szCs w:val="21"/>
          <w:highlight w:val="none"/>
        </w:rPr>
        <w:t>名（当通过技术标有效性审查的投标人家数大于等于3家且小于5家的，N取通过技术标有效性审查的全部家数；当通过技术标有效性审查的投标人家数大于或等于5家的，N=5）的经济报价加权平均，计算评标参考价。公式如下：</w:t>
      </w:r>
    </w:p>
    <w:p>
      <w:pPr>
        <w:widowControl/>
        <w:spacing w:line="360" w:lineRule="auto"/>
        <w:ind w:firstLine="480" w:firstLineChars="200"/>
        <w:jc w:val="left"/>
        <w:rPr>
          <w:rFonts w:ascii="宋体" w:hAnsi="宋体" w:cs="宋体"/>
          <w:color w:val="auto"/>
          <w:szCs w:val="21"/>
          <w:highlight w:val="none"/>
        </w:rPr>
      </w:pPr>
      <w:r>
        <w:rPr>
          <w:rFonts w:hint="eastAsia" w:ascii="宋体" w:hAnsi="宋体" w:cs="宋体"/>
          <w:color w:val="auto"/>
          <w:szCs w:val="21"/>
          <w:highlight w:val="none"/>
        </w:rPr>
        <w:t>评标参考价</w:t>
      </w:r>
      <w:r>
        <w:rPr>
          <w:rFonts w:ascii="宋体" w:hAnsi="宋体" w:cs="宋体"/>
          <w:color w:val="auto"/>
          <w:szCs w:val="21"/>
          <w:highlight w:val="none"/>
        </w:rPr>
        <w:t>=</w:t>
      </w:r>
      <w:r>
        <w:rPr>
          <w:rFonts w:hint="eastAsia" w:ascii="宋体" w:hAnsi="宋体" w:cs="宋体"/>
          <w:color w:val="auto"/>
          <w:szCs w:val="21"/>
          <w:highlight w:val="none"/>
        </w:rPr>
        <w:t>Σ（投标人的投标报价</w:t>
      </w:r>
      <w:r>
        <w:rPr>
          <w:rFonts w:ascii="宋体" w:hAnsi="宋体" w:cs="宋体"/>
          <w:color w:val="auto"/>
          <w:szCs w:val="21"/>
          <w:highlight w:val="none"/>
        </w:rPr>
        <w:t>*</w:t>
      </w:r>
      <w:r>
        <w:rPr>
          <w:rFonts w:hint="eastAsia" w:ascii="宋体" w:hAnsi="宋体" w:cs="宋体"/>
          <w:color w:val="auto"/>
          <w:szCs w:val="21"/>
          <w:highlight w:val="none"/>
        </w:rPr>
        <w:t>报价权重）。</w:t>
      </w:r>
    </w:p>
    <w:p>
      <w:pPr>
        <w:widowControl/>
        <w:spacing w:line="360" w:lineRule="auto"/>
        <w:ind w:firstLine="480" w:firstLineChars="200"/>
        <w:jc w:val="left"/>
        <w:rPr>
          <w:rFonts w:ascii="宋体" w:hAnsi="宋体" w:cs="宋体"/>
          <w:color w:val="auto"/>
          <w:szCs w:val="21"/>
          <w:highlight w:val="none"/>
        </w:rPr>
      </w:pPr>
      <w:r>
        <w:rPr>
          <w:rFonts w:hint="eastAsia" w:ascii="宋体" w:hAnsi="宋体" w:cs="宋体"/>
          <w:color w:val="auto"/>
          <w:szCs w:val="21"/>
          <w:highlight w:val="none"/>
        </w:rPr>
        <w:t>其中：报价权重的计算方法为：将</w:t>
      </w:r>
      <w:r>
        <w:rPr>
          <w:rFonts w:ascii="宋体" w:hAnsi="宋体" w:cs="宋体"/>
          <w:color w:val="auto"/>
          <w:szCs w:val="21"/>
          <w:highlight w:val="none"/>
        </w:rPr>
        <w:t>N</w:t>
      </w:r>
      <w:r>
        <w:rPr>
          <w:rFonts w:hint="eastAsia" w:ascii="宋体" w:hAnsi="宋体" w:cs="宋体"/>
          <w:color w:val="auto"/>
          <w:szCs w:val="21"/>
          <w:highlight w:val="none"/>
        </w:rPr>
        <w:t>名投标人按技术分由高至低进行排序，第一名投标人的权重为（</w:t>
      </w:r>
      <w:r>
        <w:rPr>
          <w:rFonts w:ascii="宋体" w:hAnsi="宋体" w:cs="宋体"/>
          <w:color w:val="auto"/>
          <w:szCs w:val="21"/>
          <w:highlight w:val="none"/>
        </w:rPr>
        <w:fldChar w:fldCharType="begin"/>
      </w:r>
      <w:r>
        <w:rPr>
          <w:rFonts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114300" distR="114300">
            <wp:extent cx="381000" cy="447675"/>
            <wp:effectExtent l="0" t="0" r="0" b="8890"/>
            <wp:docPr id="7"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fldChar w:fldCharType="separate"/>
      </w:r>
      <w:r>
        <w:rPr>
          <w:rFonts w:ascii="宋体" w:hAnsi="宋体" w:cs="宋体"/>
          <w:color w:val="auto"/>
          <w:szCs w:val="21"/>
          <w:highlight w:val="none"/>
        </w:rPr>
        <w:drawing>
          <wp:inline distT="0" distB="0" distL="114300" distR="114300">
            <wp:extent cx="381000" cy="447675"/>
            <wp:effectExtent l="0" t="0" r="0" b="8890"/>
            <wp:docPr id="8"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3"/>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ascii="宋体" w:hAnsi="宋体" w:cs="宋体"/>
          <w:color w:val="auto"/>
          <w:szCs w:val="21"/>
          <w:highlight w:val="none"/>
        </w:rPr>
        <w:fldChar w:fldCharType="begin"/>
      </w:r>
      <w:r>
        <w:rPr>
          <w:rFonts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114300" distR="114300">
            <wp:extent cx="323850" cy="400050"/>
            <wp:effectExtent l="0" t="0" r="0" b="0"/>
            <wp:docPr id="9"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4"/>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szCs w:val="21"/>
          <w:highlight w:val="none"/>
        </w:rPr>
        <w:fldChar w:fldCharType="separate"/>
      </w:r>
      <w:r>
        <w:rPr>
          <w:rFonts w:ascii="宋体" w:hAnsi="宋体" w:cs="宋体"/>
          <w:color w:val="auto"/>
          <w:szCs w:val="21"/>
          <w:highlight w:val="none"/>
        </w:rPr>
        <w:drawing>
          <wp:inline distT="0" distB="0" distL="114300" distR="114300">
            <wp:extent cx="323850" cy="400050"/>
            <wp:effectExtent l="0" t="0" r="0" b="0"/>
            <wp:docPr id="10"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5"/>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ascii="宋体" w:hAnsi="宋体" w:cs="宋体"/>
          <w:color w:val="auto"/>
          <w:szCs w:val="21"/>
          <w:highlight w:val="none"/>
        </w:rPr>
        <w:fldChar w:fldCharType="begin"/>
      </w:r>
      <w:r>
        <w:rPr>
          <w:rFonts w:ascii="宋体" w:hAnsi="宋体" w:cs="宋体"/>
          <w:color w:val="auto"/>
          <w:szCs w:val="21"/>
          <w:highlight w:val="none"/>
        </w:rPr>
        <w:instrText xml:space="preserve"> QUOTE </w:instrText>
      </w:r>
      <w:r>
        <w:rPr>
          <w:rFonts w:ascii="宋体" w:hAnsi="宋体" w:cs="宋体"/>
          <w:color w:val="auto"/>
          <w:szCs w:val="21"/>
          <w:highlight w:val="none"/>
        </w:rPr>
        <w:drawing>
          <wp:inline distT="0" distB="0" distL="114300" distR="114300">
            <wp:extent cx="323850" cy="400050"/>
            <wp:effectExtent l="0" t="0" r="0" b="0"/>
            <wp:docPr id="11"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6"/>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szCs w:val="21"/>
          <w:highlight w:val="none"/>
        </w:rPr>
        <w:fldChar w:fldCharType="separate"/>
      </w:r>
      <w:r>
        <w:rPr>
          <w:rFonts w:ascii="宋体" w:hAnsi="宋体" w:cs="宋体"/>
          <w:color w:val="auto"/>
          <w:szCs w:val="21"/>
          <w:highlight w:val="none"/>
        </w:rPr>
        <w:drawing>
          <wp:inline distT="0" distB="0" distL="114300" distR="114300">
            <wp:extent cx="323850" cy="400050"/>
            <wp:effectExtent l="0" t="0" r="0" b="0"/>
            <wp:docPr id="12"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7"/>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szCs w:val="21"/>
          <w:highlight w:val="none"/>
        </w:rPr>
        <w:fldChar w:fldCharType="end"/>
      </w:r>
      <w:r>
        <w:rPr>
          <w:rFonts w:hint="eastAsia" w:ascii="宋体" w:hAnsi="宋体" w:cs="宋体"/>
          <w:color w:val="auto"/>
          <w:szCs w:val="21"/>
          <w:highlight w:val="none"/>
        </w:rPr>
        <w:t>）。</w:t>
      </w:r>
    </w:p>
    <w:p>
      <w:pPr>
        <w:widowControl/>
        <w:spacing w:line="360" w:lineRule="auto"/>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若投标人技术分相同的，则以投标总报价较低的排前；投标总报价仍相同的，则对具有相同情况的投标人，由评标委员会采用记名投票方式，确定投标人技术分名次的排序。</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ascii="宋体" w:hAnsi="宋体"/>
          <w:color w:val="auto"/>
          <w:sz w:val="24"/>
          <w:szCs w:val="24"/>
          <w:highlight w:val="none"/>
        </w:rPr>
        <w:t>当</w:t>
      </w:r>
      <w:r>
        <w:rPr>
          <w:rFonts w:ascii="宋体" w:hAnsi="宋体"/>
          <w:color w:val="auto"/>
          <w:sz w:val="24"/>
          <w:szCs w:val="24"/>
          <w:highlight w:val="none"/>
          <w:u w:val="single"/>
        </w:rPr>
        <w:t>投标总报价</w:t>
      </w:r>
      <w:r>
        <w:rPr>
          <w:rFonts w:ascii="宋体" w:hAnsi="宋体"/>
          <w:color w:val="auto"/>
          <w:sz w:val="24"/>
          <w:szCs w:val="24"/>
          <w:highlight w:val="none"/>
        </w:rPr>
        <w:t>等于评标参考价时得100分，</w:t>
      </w:r>
      <w:r>
        <w:rPr>
          <w:rFonts w:ascii="宋体" w:hAnsi="宋体"/>
          <w:color w:val="auto"/>
          <w:sz w:val="24"/>
          <w:szCs w:val="24"/>
          <w:highlight w:val="none"/>
          <w:u w:val="single"/>
        </w:rPr>
        <w:t>投标总报价</w:t>
      </w:r>
      <w:r>
        <w:rPr>
          <w:rFonts w:ascii="宋体" w:hAnsi="宋体"/>
          <w:color w:val="auto"/>
          <w:sz w:val="24"/>
          <w:szCs w:val="24"/>
          <w:highlight w:val="none"/>
        </w:rPr>
        <w:t>每高于评标参考价1%，扣</w:t>
      </w:r>
      <w:r>
        <w:rPr>
          <w:rFonts w:hint="eastAsia" w:ascii="宋体" w:hAnsi="宋体" w:eastAsia="宋体"/>
          <w:color w:val="auto"/>
          <w:sz w:val="24"/>
          <w:szCs w:val="24"/>
          <w:highlight w:val="none"/>
          <w:lang w:val="en-US" w:eastAsia="zh-CN"/>
        </w:rPr>
        <w:t>0.3</w:t>
      </w:r>
      <w:r>
        <w:rPr>
          <w:rFonts w:ascii="宋体" w:hAnsi="宋体"/>
          <w:color w:val="auto"/>
          <w:sz w:val="24"/>
          <w:szCs w:val="24"/>
          <w:highlight w:val="none"/>
        </w:rPr>
        <w:t>分，每低于评标参考价1%，扣</w:t>
      </w:r>
      <w:r>
        <w:rPr>
          <w:rFonts w:hint="eastAsia" w:ascii="宋体" w:hAnsi="宋体"/>
          <w:color w:val="auto"/>
          <w:sz w:val="24"/>
          <w:szCs w:val="24"/>
          <w:highlight w:val="none"/>
        </w:rPr>
        <w:t>0.</w:t>
      </w:r>
      <w:r>
        <w:rPr>
          <w:rFonts w:hint="eastAsia" w:ascii="宋体" w:hAnsi="宋体" w:eastAsia="宋体"/>
          <w:color w:val="auto"/>
          <w:sz w:val="24"/>
          <w:szCs w:val="24"/>
          <w:highlight w:val="none"/>
          <w:lang w:val="en-US" w:eastAsia="zh-CN"/>
        </w:rPr>
        <w:t>2</w:t>
      </w:r>
      <w:r>
        <w:rPr>
          <w:rFonts w:ascii="宋体" w:hAnsi="宋体"/>
          <w:color w:val="auto"/>
          <w:sz w:val="24"/>
          <w:szCs w:val="24"/>
          <w:highlight w:val="none"/>
        </w:rPr>
        <w:t>分，扣至0分为止，得出经济分，精确到小数点后两位。</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经济得分×经济得分权重。技术、经济得分权重按投标须知前附表的规定执行。总得分四舍五入保留两位小数。</w:t>
      </w:r>
    </w:p>
    <w:p>
      <w:pPr>
        <w:widowControl/>
        <w:spacing w:line="360" w:lineRule="auto"/>
        <w:ind w:firstLine="480" w:firstLineChars="200"/>
        <w:jc w:val="left"/>
        <w:rPr>
          <w:rFonts w:hint="eastAsia" w:ascii="宋体" w:hAnsi="宋体" w:cs="宋体"/>
          <w:color w:val="auto"/>
          <w:kern w:val="0"/>
          <w:szCs w:val="21"/>
          <w:highlight w:val="none"/>
          <w:u w:val="single"/>
        </w:rPr>
      </w:pPr>
      <w:r>
        <w:rPr>
          <w:color w:val="auto"/>
          <w:highlight w:val="none"/>
        </w:rPr>
        <w:t>4</w:t>
      </w:r>
      <w:r>
        <w:rPr>
          <w:color w:val="auto"/>
          <w:highlight w:val="none"/>
          <w:u w:val="single"/>
        </w:rPr>
        <w:t>5.5 总得分相同情况下的排序方法：总分相同的，以技术得分高的排前；总分与技术得分均相同，以投标总报价低的排前；如仍存在相同情况，则对具有相同情况的投标人，按中标候选人数量规定，由评标委员会采用记名投票方式，确定中标候选人的排序。</w:t>
      </w:r>
    </w:p>
    <w:p>
      <w:pPr>
        <w:pBdr>
          <w:top w:val="single" w:color="auto" w:sz="4" w:space="1"/>
        </w:pBdr>
        <w:spacing w:line="360" w:lineRule="auto"/>
        <w:ind w:firstLine="538" w:firstLineChars="224"/>
        <w:rPr>
          <w:rFonts w:hint="eastAsia" w:ascii="宋体" w:hAnsi="宋体" w:cs="宋体"/>
          <w:b/>
          <w:color w:val="auto"/>
          <w:szCs w:val="21"/>
          <w:highlight w:val="none"/>
        </w:rPr>
      </w:pPr>
    </w:p>
    <w:p>
      <w:pPr>
        <w:spacing w:line="360" w:lineRule="auto"/>
        <w:ind w:firstLine="48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条款号：49                        修改类型：删除</w:t>
      </w:r>
    </w:p>
    <w:p>
      <w:pPr>
        <w:pBdr>
          <w:bottom w:val="single" w:color="auto" w:sz="6" w:space="1"/>
        </w:pBdr>
        <w:spacing w:line="360" w:lineRule="auto"/>
        <w:ind w:firstLine="538"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ascii="宋体" w:hAnsi="宋体" w:cs="宋体"/>
          <w:color w:val="auto"/>
          <w:szCs w:val="21"/>
          <w:highlight w:val="none"/>
        </w:rPr>
        <w:t>4</w:t>
      </w:r>
      <w:r>
        <w:rPr>
          <w:rFonts w:hint="eastAsia" w:ascii="宋体" w:hAnsi="宋体" w:cs="宋体"/>
          <w:color w:val="auto"/>
          <w:szCs w:val="21"/>
          <w:highlight w:val="none"/>
        </w:rPr>
        <w:t>9. 若通过经济标有效性审查的投标人不足三家，应当依法重新招标。（当</w:t>
      </w:r>
      <w:r>
        <w:rPr>
          <w:rFonts w:ascii="宋体" w:hAnsi="宋体" w:cs="宋体"/>
          <w:color w:val="auto"/>
          <w:szCs w:val="21"/>
          <w:highlight w:val="none"/>
        </w:rPr>
        <w:t>N</w:t>
      </w:r>
      <w:r>
        <w:rPr>
          <w:rFonts w:hint="eastAsia" w:ascii="宋体" w:hAnsi="宋体" w:cs="宋体"/>
          <w:color w:val="auto"/>
          <w:szCs w:val="21"/>
          <w:highlight w:val="none"/>
        </w:rPr>
        <w:t>个标段同时招标且不允许兼中时，若有效投标人不足</w:t>
      </w:r>
      <w:r>
        <w:rPr>
          <w:rFonts w:ascii="宋体" w:hAnsi="宋体" w:cs="宋体"/>
          <w:color w:val="auto"/>
          <w:szCs w:val="21"/>
          <w:highlight w:val="none"/>
        </w:rPr>
        <w:t>N+2</w:t>
      </w:r>
      <w:r>
        <w:rPr>
          <w:rFonts w:hint="eastAsia" w:ascii="宋体" w:hAnsi="宋体" w:cs="宋体"/>
          <w:color w:val="auto"/>
          <w:szCs w:val="21"/>
          <w:highlight w:val="none"/>
        </w:rPr>
        <w:t>家，应当依法重新招标）</w:t>
      </w:r>
    </w:p>
    <w:p>
      <w:pPr>
        <w:pStyle w:val="25"/>
        <w:rPr>
          <w:rFonts w:hint="eastAsia"/>
          <w:color w:val="auto"/>
          <w:highlight w:val="none"/>
        </w:rPr>
      </w:pPr>
    </w:p>
    <w:p>
      <w:pPr>
        <w:pBdr>
          <w:top w:val="single" w:color="auto" w:sz="4" w:space="1"/>
        </w:pBd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538"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538" w:firstLineChars="224"/>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见后附：附表一《资格审查表》</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条款号：附表二 《技术标有效性审查表》             修改类型：修改</w:t>
      </w:r>
    </w:p>
    <w:p>
      <w:pPr>
        <w:spacing w:line="360" w:lineRule="auto"/>
        <w:ind w:firstLine="538"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48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见后附：附表二《技术标有效性审查表》</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见后附：附表三《经济标有效性审查表》</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 xml:space="preserve">条款号：附表四《技术标详细审查评分表》            修改类型：修改  </w:t>
      </w:r>
    </w:p>
    <w:p>
      <w:pPr>
        <w:spacing w:line="360" w:lineRule="auto"/>
        <w:ind w:firstLine="538"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见后附：附表四《技术标详细审查评分表》</w:t>
      </w:r>
    </w:p>
    <w:p>
      <w:pPr>
        <w:spacing w:line="360" w:lineRule="auto"/>
        <w:ind w:firstLine="538" w:firstLineChars="224"/>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条款号：附表五《经济标评分表》                    修改类型：</w:t>
      </w:r>
      <w:r>
        <w:rPr>
          <w:rFonts w:hint="default" w:ascii="宋体" w:hAnsi="宋体" w:cs="宋体"/>
          <w:b/>
          <w:color w:val="auto"/>
          <w:szCs w:val="21"/>
          <w:highlight w:val="none"/>
          <w:lang w:val="en-US"/>
        </w:rPr>
        <w:t>修改</w:t>
      </w:r>
    </w:p>
    <w:p>
      <w:pP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详见GZZB2018-3招标文件范本</w:t>
      </w:r>
    </w:p>
    <w:p>
      <w:pPr>
        <w:pBdr>
          <w:bottom w:val="single" w:color="auto" w:sz="6" w:space="1"/>
        </w:pBdr>
        <w:spacing w:line="360" w:lineRule="auto"/>
        <w:ind w:firstLine="538"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见后附：附表五《经济标评分表》</w:t>
      </w:r>
    </w:p>
    <w:p>
      <w:pPr>
        <w:spacing w:line="360" w:lineRule="auto"/>
        <w:ind w:firstLine="240" w:firstLineChars="100"/>
        <w:rPr>
          <w:rFonts w:hint="eastAsia" w:ascii="宋体" w:hAnsi="宋体" w:cs="宋体"/>
          <w:b/>
          <w:strike/>
          <w:color w:val="auto"/>
          <w:szCs w:val="21"/>
          <w:highlight w:val="none"/>
        </w:rPr>
      </w:pPr>
      <w:r>
        <w:rPr>
          <w:rFonts w:hint="eastAsia" w:ascii="宋体" w:hAnsi="宋体" w:cs="宋体"/>
          <w:b/>
          <w:strike/>
          <w:color w:val="auto"/>
          <w:szCs w:val="21"/>
          <w:highlight w:val="none"/>
        </w:rPr>
        <w:t>注：以上修改，仅限于本范本中有可供选择条款的情形。</w:t>
      </w:r>
    </w:p>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（以下无正文）</w:t>
      </w:r>
    </w:p>
    <w:p>
      <w:pPr>
        <w:pStyle w:val="5"/>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pStyle w:val="4"/>
        <w:spacing w:line="360" w:lineRule="auto"/>
        <w:ind w:firstLine="525"/>
        <w:rPr>
          <w:rFonts w:hint="eastAsia" w:ascii="宋体" w:hAnsi="宋体" w:cs="宋体"/>
          <w:color w:val="auto"/>
          <w:highlight w:val="none"/>
        </w:rPr>
      </w:pPr>
      <w:bookmarkStart w:id="12" w:name="_Toc14701"/>
      <w:r>
        <w:rPr>
          <w:rFonts w:hint="eastAsia" w:ascii="宋体" w:hAnsi="宋体" w:cs="宋体"/>
          <w:color w:val="auto"/>
          <w:highlight w:val="none"/>
        </w:rPr>
        <w:t>二、开标、评标及定标办法通用条款</w:t>
      </w:r>
      <w:bookmarkEnd w:id="12"/>
    </w:p>
    <w:p>
      <w:pPr>
        <w:pStyle w:val="6"/>
        <w:spacing w:line="360" w:lineRule="auto"/>
        <w:ind w:firstLine="480" w:firstLineChars="200"/>
        <w:rPr>
          <w:rFonts w:hint="eastAsia" w:cs="宋体"/>
          <w:color w:val="auto"/>
          <w:sz w:val="24"/>
          <w:szCs w:val="24"/>
          <w:highlight w:val="none"/>
        </w:rPr>
      </w:pPr>
      <w:bookmarkStart w:id="13" w:name="_Toc16168"/>
      <w:r>
        <w:rPr>
          <w:rFonts w:hint="eastAsia" w:cs="宋体"/>
          <w:color w:val="auto"/>
          <w:sz w:val="24"/>
          <w:szCs w:val="24"/>
          <w:highlight w:val="none"/>
        </w:rPr>
        <w:t>（一）总则</w:t>
      </w:r>
      <w:bookmarkEnd w:id="13"/>
    </w:p>
    <w:p>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35 开标、评标及定标所依据的规则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35.1《中华人民共和国招标投标法》；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35.2《中华人民共和国招标投标法实施条例》；</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35.3《评标委员会和评标方法暂行规定》（七部委第12号令）</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35.4《工程建设项目施工招标投标办法》（七部委2003年第30号令）</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35.5《广东省实施〈中华人民共和国招标投标法〉办法》；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35.6《房屋建筑和市政基础设施工程施工招标投标管理办法》（建设部令第89号）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35.7《广东省加强建设工程招标投标监督管理的若干规定》（粤发[2004]4号）；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35.8《广州市工程建设项目招标投标管理办法》（穗府办规〔2017〕5号）。</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35.9本项目招标文件。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36．开标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36.5按下列程序进行开标：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36.5.1在投标截止时间后半小时内，投标人通过</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36.5.2备用光盘的读取按投标须知前附表第36项的规定执行；</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36.5.4开标结束。</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37．评标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37.1评标委员会由招标人依法组建。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37.2评标委员会的职责及守则：</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37.2.1根据评标细则，对投标文件进行认真评审，完成评审报告；</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37.2.2向招标人报告评审意见，推荐合格的中标候选人。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sz w:val="24"/>
          <w:szCs w:val="24"/>
          <w:highlight w:val="none"/>
        </w:rPr>
        <w:t>37.2.3</w:t>
      </w:r>
      <w:r>
        <w:rPr>
          <w:rFonts w:hint="eastAsia" w:ascii="宋体" w:hAnsi="宋体" w:cs="宋体"/>
          <w:b/>
          <w:bCs/>
          <w:color w:val="auto"/>
          <w:sz w:val="24"/>
          <w:szCs w:val="24"/>
          <w:highlight w:val="none"/>
        </w:rPr>
        <w:t xml:space="preserve"> </w:t>
      </w:r>
      <w:r>
        <w:rPr>
          <w:rFonts w:hint="eastAsia" w:ascii="宋体" w:hAnsi="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37.2.4全体参与评标人员：</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37.2.4.1 必须遵守评标纪律、不得泄密；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37.2.4.2 必须公正、不得循私；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37.2.4.3 必须科学、不得草率；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37.2.4.4 必须客观、不得带有成见；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37.2.4.5 必须平等、不得强加于人；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37.2.4.6 必须严谨、不得随意马虎。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37.3 评标结束后，评标委员会递交评标报告并依法推荐中标候选人。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38．投标文件的澄清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39．定标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39.1 招标人根据评标委员会递交的评标报告，最终审定中标人。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39.2 依法必须进行公开招标的项目，招标人应当确定排名第一的中标候选人为中标人。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6"/>
        <w:spacing w:before="156" w:after="156" w:line="360" w:lineRule="auto"/>
        <w:ind w:firstLine="480" w:firstLineChars="200"/>
        <w:rPr>
          <w:rFonts w:hint="eastAsia" w:cs="宋体"/>
          <w:color w:val="auto"/>
          <w:sz w:val="24"/>
          <w:szCs w:val="24"/>
          <w:highlight w:val="none"/>
        </w:rPr>
      </w:pPr>
      <w:bookmarkStart w:id="14" w:name="_Toc9581"/>
      <w:r>
        <w:rPr>
          <w:rFonts w:hint="eastAsia" w:cs="宋体"/>
          <w:color w:val="auto"/>
          <w:sz w:val="24"/>
          <w:szCs w:val="24"/>
          <w:highlight w:val="none"/>
        </w:rPr>
        <w:t>（二）开标评标办法程序和细则</w:t>
      </w:r>
      <w:bookmarkEnd w:id="14"/>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注：以下八种评标办法所述企业综合诚信评价分数即投标截止当日广州市住房和城乡建设局网站上公布的企业综合诚信评价60日诚信分。</w:t>
      </w:r>
    </w:p>
    <w:p>
      <w:pPr>
        <w:snapToGrid w:val="0"/>
        <w:spacing w:line="360" w:lineRule="auto"/>
        <w:ind w:firstLine="480" w:firstLineChars="200"/>
        <w:rPr>
          <w:rFonts w:ascii="宋体" w:hAnsi="Calibri"/>
          <w:color w:val="auto"/>
          <w:sz w:val="24"/>
          <w:szCs w:val="24"/>
          <w:highlight w:val="none"/>
        </w:rPr>
      </w:pPr>
      <w:bookmarkStart w:id="15" w:name="_Toc2272564"/>
      <w:bookmarkStart w:id="16" w:name="_Toc7597"/>
      <w:r>
        <w:rPr>
          <w:rFonts w:hint="eastAsia" w:ascii="宋体" w:hAnsi="Calibri"/>
          <w:color w:val="auto"/>
          <w:sz w:val="24"/>
          <w:szCs w:val="24"/>
          <w:highlight w:val="none"/>
        </w:rPr>
        <w:t>40．开标和评标程序</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40.1技术标（含资格审查文件）与经济标投标文件同时公开开标；</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40.2由评标委员会对所有已公开开标的投标人进行资格审查；</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40.3技术标投标文件有效性审查；</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40.4技术标详细审查评分；</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40.5经济标详细审查评分；</w:t>
      </w:r>
      <w:r>
        <w:rPr>
          <w:rFonts w:ascii="宋体" w:hAnsi="Calibri"/>
          <w:color w:val="auto"/>
          <w:sz w:val="24"/>
          <w:szCs w:val="24"/>
          <w:highlight w:val="none"/>
        </w:rPr>
        <w:t xml:space="preserve"> </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40.6评标委员会按照投标人总得分由高至低排序；</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40.7经济标投标文件有效性审查；</w:t>
      </w:r>
    </w:p>
    <w:p>
      <w:pPr>
        <w:snapToGrid w:val="0"/>
        <w:spacing w:line="360" w:lineRule="auto"/>
        <w:ind w:firstLine="480" w:firstLineChars="200"/>
        <w:rPr>
          <w:rFonts w:ascii="宋体" w:hAnsi="Calibri"/>
          <w:color w:val="auto"/>
          <w:szCs w:val="21"/>
          <w:highlight w:val="none"/>
        </w:rPr>
      </w:pPr>
      <w:r>
        <w:rPr>
          <w:rFonts w:hint="eastAsia" w:ascii="宋体" w:hAnsi="Calibri"/>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41．开标细则</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41.1开标由招标人主持；</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41.2 细则</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41.2.1投标截止期前，各投标人递交投标文件（包括技术标投标文件、经济标投标文件）至</w:t>
      </w:r>
      <w:r>
        <w:rPr>
          <w:rFonts w:hint="eastAsia" w:ascii="宋体" w:hAnsi="Calibri"/>
          <w:color w:val="auto"/>
          <w:sz w:val="24"/>
          <w:szCs w:val="24"/>
          <w:highlight w:val="none"/>
          <w:u w:val="single"/>
        </w:rPr>
        <w:t xml:space="preserve">        </w:t>
      </w:r>
      <w:r>
        <w:rPr>
          <w:rFonts w:hint="eastAsia" w:ascii="宋体" w:hAnsi="Calibri"/>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hAnsi="Calibri"/>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41.4 招标人将上述符合要求的投标文件，送至评标委员会进行评审。</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pPr>
        <w:snapToGrid w:val="0"/>
        <w:spacing w:line="360" w:lineRule="auto"/>
        <w:ind w:firstLine="480" w:firstLineChars="200"/>
        <w:rPr>
          <w:rFonts w:ascii="宋体" w:hAnsi="Calibri"/>
          <w:color w:val="auto"/>
          <w:sz w:val="24"/>
          <w:szCs w:val="24"/>
          <w:highlight w:val="none"/>
        </w:rPr>
      </w:pPr>
      <w:r>
        <w:rPr>
          <w:rFonts w:hint="eastAsia" w:ascii="宋体" w:hAnsi="Calibri"/>
          <w:color w:val="auto"/>
          <w:sz w:val="24"/>
          <w:szCs w:val="24"/>
          <w:highlight w:val="none"/>
        </w:rPr>
        <w:t>方式一：评标委员会为综合评标委员会，负责资格审查及评标工作。</w:t>
      </w:r>
    </w:p>
    <w:p>
      <w:pPr>
        <w:tabs>
          <w:tab w:val="left" w:pos="7380"/>
        </w:tabs>
        <w:snapToGrid w:val="0"/>
        <w:spacing w:line="360" w:lineRule="auto"/>
        <w:ind w:firstLine="420"/>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评委发现投标文件中含义不明确、对同类问题表述不一致、有明显文字和计算错误的，应当要求投标人作必要的澄清、说明后再判定投标人是否通过有效性审查，不得直接否决投标。</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114300" distR="114300">
            <wp:extent cx="381000" cy="447675"/>
            <wp:effectExtent l="0" t="0" r="0" b="8890"/>
            <wp:docPr id="13"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114300" distR="114300">
            <wp:extent cx="381000" cy="447675"/>
            <wp:effectExtent l="0" t="0" r="0" b="8890"/>
            <wp:docPr id="14"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7"/>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15"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8"/>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16"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9"/>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114300" distR="114300">
            <wp:extent cx="323850" cy="400050"/>
            <wp:effectExtent l="0" t="0" r="0" b="0"/>
            <wp:docPr id="17"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0"/>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114300" distR="114300">
            <wp:extent cx="323850" cy="400050"/>
            <wp:effectExtent l="0" t="0" r="0" b="0"/>
            <wp:docPr id="18"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1"/>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w:t>
      </w:r>
      <w:r>
        <w:rPr>
          <w:rFonts w:hint="eastAsia" w:ascii="仿宋" w:hAnsi="仿宋" w:eastAsia="仿宋" w:cs="宋体"/>
          <w:b/>
          <w:bCs/>
          <w:color w:val="auto"/>
          <w:kern w:val="0"/>
          <w:sz w:val="22"/>
          <w:highlight w:val="none"/>
        </w:rPr>
        <w:t>在开标前</w:t>
      </w:r>
      <w:r>
        <w:rPr>
          <w:rFonts w:hint="eastAsia" w:ascii="宋体" w:hAnsi="宋体" w:cs="仿宋"/>
          <w:color w:val="auto"/>
          <w:sz w:val="24"/>
          <w:szCs w:val="24"/>
          <w:highlight w:val="none"/>
        </w:rPr>
        <w:t>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tabs>
          <w:tab w:val="left" w:pos="7380"/>
        </w:tabs>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pPr>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bookmarkEnd w:id="15"/>
    <w:bookmarkEnd w:id="16"/>
    <w:p>
      <w:pPr>
        <w:spacing w:line="360" w:lineRule="auto"/>
        <w:rPr>
          <w:rFonts w:hint="eastAsia" w:ascii="宋体" w:hAnsi="宋体" w:cs="宋体"/>
          <w:color w:val="auto"/>
          <w:sz w:val="24"/>
          <w:szCs w:val="24"/>
          <w:highlight w:val="none"/>
        </w:rPr>
      </w:pPr>
    </w:p>
    <w:p>
      <w:pPr>
        <w:widowControl/>
        <w:snapToGrid w:val="0"/>
        <w:spacing w:line="360" w:lineRule="auto"/>
        <w:ind w:right="102"/>
        <w:jc w:val="left"/>
        <w:rPr>
          <w:rFonts w:hint="eastAsia" w:ascii="宋体" w:hAnsi="宋体" w:cs="宋体"/>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364" w:left="1418" w:header="851" w:footer="907" w:gutter="0"/>
          <w:cols w:space="720" w:num="1"/>
          <w:titlePg/>
          <w:docGrid w:type="lines" w:linePitch="312" w:charSpace="0"/>
        </w:sectPr>
      </w:pPr>
    </w:p>
    <w:p>
      <w:pPr>
        <w:widowControl/>
        <w:snapToGrid w:val="0"/>
        <w:spacing w:line="360" w:lineRule="auto"/>
        <w:ind w:right="102"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附表一：</w:t>
      </w:r>
    </w:p>
    <w:p>
      <w:pPr>
        <w:spacing w:line="360" w:lineRule="auto"/>
        <w:ind w:firstLine="480" w:firstLineChars="20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资格审查表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工程名称：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投标人名称：</w:t>
      </w:r>
    </w:p>
    <w:tbl>
      <w:tblPr>
        <w:tblStyle w:val="49"/>
        <w:tblW w:w="0" w:type="auto"/>
        <w:jc w:val="center"/>
        <w:tblLayout w:type="fixed"/>
        <w:tblCellMar>
          <w:top w:w="0" w:type="dxa"/>
          <w:left w:w="108" w:type="dxa"/>
          <w:bottom w:w="0" w:type="dxa"/>
          <w:right w:w="108" w:type="dxa"/>
        </w:tblCellMar>
      </w:tblPr>
      <w:tblGrid>
        <w:gridCol w:w="457"/>
        <w:gridCol w:w="6154"/>
        <w:gridCol w:w="6228"/>
        <w:gridCol w:w="1061"/>
      </w:tblGrid>
      <w:tr>
        <w:tblPrEx>
          <w:tblCellMar>
            <w:top w:w="0" w:type="dxa"/>
            <w:left w:w="108" w:type="dxa"/>
            <w:bottom w:w="0" w:type="dxa"/>
            <w:right w:w="108" w:type="dxa"/>
          </w:tblCellMar>
        </w:tblPrEx>
        <w:trPr>
          <w:trHeight w:val="706"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序号</w:t>
            </w:r>
          </w:p>
        </w:tc>
        <w:tc>
          <w:tcPr>
            <w:tcW w:w="6154"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审查项目</w:t>
            </w:r>
          </w:p>
        </w:tc>
        <w:tc>
          <w:tcPr>
            <w:tcW w:w="622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须审查的资料</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审查结果</w:t>
            </w:r>
          </w:p>
        </w:tc>
      </w:tr>
      <w:tr>
        <w:tblPrEx>
          <w:tblCellMar>
            <w:top w:w="0" w:type="dxa"/>
            <w:left w:w="108" w:type="dxa"/>
            <w:bottom w:w="0" w:type="dxa"/>
            <w:right w:w="108" w:type="dxa"/>
          </w:tblCellMar>
        </w:tblPrEx>
        <w:trPr>
          <w:trHeight w:val="703"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6154" w:type="dxa"/>
            <w:tcBorders>
              <w:top w:val="single" w:color="000000" w:sz="8" w:space="0"/>
              <w:left w:val="nil"/>
              <w:bottom w:val="single" w:color="000000" w:sz="8" w:space="0"/>
              <w:right w:val="single" w:color="000000" w:sz="8" w:space="0"/>
            </w:tcBorders>
            <w:noWrap w:val="0"/>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投标人参加投标的意思表达清楚，投标人代表被授权有效</w:t>
            </w:r>
          </w:p>
        </w:tc>
        <w:tc>
          <w:tcPr>
            <w:tcW w:w="6228"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投标人声明、法定代表人证明书；委托投标的还应提供法人授权委托证明书</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567"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6154" w:type="dxa"/>
            <w:tcBorders>
              <w:top w:val="single" w:color="000000" w:sz="8" w:space="0"/>
              <w:left w:val="nil"/>
              <w:bottom w:val="single" w:color="000000" w:sz="8" w:space="0"/>
              <w:right w:val="single" w:color="000000" w:sz="8" w:space="0"/>
            </w:tcBorders>
            <w:noWrap w:val="0"/>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投标人均具有独立法人资格，按国家法律经营</w:t>
            </w:r>
          </w:p>
        </w:tc>
        <w:tc>
          <w:tcPr>
            <w:tcW w:w="6228"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营业执照扫描件</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944"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6154" w:type="dxa"/>
            <w:tcBorders>
              <w:top w:val="single" w:color="000000" w:sz="8" w:space="0"/>
              <w:left w:val="nil"/>
              <w:bottom w:val="single" w:color="000000" w:sz="8" w:space="0"/>
              <w:right w:val="single" w:color="000000" w:sz="8" w:space="0"/>
            </w:tcBorders>
            <w:noWrap w:val="0"/>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投标人均持有建设行政主管部门颁发的企业资质证书及安全生产许可证；投标人资质符合公告要求</w:t>
            </w:r>
          </w:p>
        </w:tc>
        <w:tc>
          <w:tcPr>
            <w:tcW w:w="6228"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color w:val="auto"/>
                <w:szCs w:val="24"/>
                <w:highlight w:val="none"/>
              </w:rPr>
            </w:pPr>
            <w:r>
              <w:rPr>
                <w:rStyle w:val="144"/>
                <w:rFonts w:hint="eastAsia" w:ascii="宋体" w:hAnsi="宋体" w:eastAsia="宋体" w:cs="宋体"/>
                <w:color w:val="auto"/>
                <w:sz w:val="24"/>
                <w:szCs w:val="24"/>
                <w:highlight w:val="none"/>
              </w:rPr>
              <w:t>资质证书及安全生产许可证扫描件；</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1213"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6154" w:type="dxa"/>
            <w:tcBorders>
              <w:top w:val="single" w:color="000000" w:sz="8" w:space="0"/>
              <w:left w:val="nil"/>
              <w:bottom w:val="single" w:color="000000" w:sz="8" w:space="0"/>
              <w:right w:val="single" w:color="000000" w:sz="8" w:space="0"/>
            </w:tcBorders>
            <w:noWrap w:val="0"/>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投标人拟担任本工程项目负责人符合公告要求</w:t>
            </w:r>
          </w:p>
        </w:tc>
        <w:tc>
          <w:tcPr>
            <w:tcW w:w="6228"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color w:val="auto"/>
                <w:szCs w:val="24"/>
                <w:highlight w:val="none"/>
                <w:lang w:eastAsia="zh-CN"/>
              </w:rPr>
            </w:pPr>
            <w:r>
              <w:rPr>
                <w:rFonts w:hint="eastAsia" w:ascii="宋体" w:hAnsi="宋体" w:eastAsia="宋体" w:cs="宋体"/>
                <w:color w:val="auto"/>
                <w:kern w:val="0"/>
                <w:sz w:val="24"/>
                <w:highlight w:val="none"/>
                <w:lang w:val="en-US" w:eastAsia="zh-CN"/>
              </w:rPr>
              <w:t>注册</w:t>
            </w:r>
            <w:r>
              <w:rPr>
                <w:rFonts w:hint="eastAsia" w:ascii="宋体" w:hAnsi="宋体" w:eastAsia="宋体" w:cs="宋体"/>
                <w:color w:val="auto"/>
                <w:kern w:val="0"/>
                <w:sz w:val="24"/>
                <w:highlight w:val="none"/>
              </w:rPr>
              <w:t>建造师电子注册证书相关证明扫描件（注：打印建造师电子证书后，应在个人签名处手写本人签名，未手写签名或与签名图像笔迹不一致的，该电子证书无效。</w:t>
            </w:r>
            <w:r>
              <w:rPr>
                <w:rFonts w:hint="eastAsia" w:ascii="宋体" w:hAnsi="宋体" w:eastAsia="宋体" w:cs="宋体"/>
                <w:color w:val="auto"/>
                <w:kern w:val="0"/>
                <w:sz w:val="24"/>
                <w:highlight w:val="none"/>
                <w:lang w:eastAsia="zh-CN"/>
              </w:rPr>
              <w:t>）</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1142"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6154" w:type="dxa"/>
            <w:tcBorders>
              <w:top w:val="single" w:color="000000" w:sz="8" w:space="0"/>
              <w:left w:val="nil"/>
              <w:bottom w:val="single" w:color="000000" w:sz="8" w:space="0"/>
              <w:right w:val="single" w:color="000000" w:sz="8" w:space="0"/>
            </w:tcBorders>
            <w:noWrap w:val="0"/>
            <w:vAlign w:val="center"/>
          </w:tcPr>
          <w:p>
            <w:pPr>
              <w:rPr>
                <w:rFonts w:hint="eastAsia" w:ascii="宋体" w:hAnsi="宋体" w:eastAsia="宋体" w:cs="宋体"/>
                <w:color w:val="auto"/>
                <w:szCs w:val="24"/>
                <w:highlight w:val="none"/>
                <w:lang w:eastAsia="zh-CN"/>
              </w:rPr>
            </w:pPr>
            <w:r>
              <w:rPr>
                <w:rFonts w:hint="eastAsia" w:ascii="宋体" w:hAnsi="宋体" w:eastAsia="宋体" w:cs="宋体"/>
                <w:bCs/>
                <w:color w:val="auto"/>
                <w:kern w:val="0"/>
                <w:sz w:val="24"/>
                <w:highlight w:val="none"/>
              </w:rPr>
              <w:t>持有项目负责人安全</w:t>
            </w:r>
            <w:r>
              <w:rPr>
                <w:rFonts w:hint="eastAsia" w:ascii="宋体" w:hAnsi="宋体" w:eastAsia="宋体" w:cs="宋体"/>
                <w:bCs/>
                <w:color w:val="auto"/>
                <w:kern w:val="0"/>
                <w:sz w:val="24"/>
                <w:highlight w:val="none"/>
                <w:lang w:val="en-US" w:eastAsia="zh-CN"/>
              </w:rPr>
              <w:t>生产</w:t>
            </w:r>
            <w:r>
              <w:rPr>
                <w:rFonts w:hint="eastAsia" w:ascii="宋体" w:hAnsi="宋体" w:eastAsia="宋体" w:cs="宋体"/>
                <w:bCs/>
                <w:color w:val="auto"/>
                <w:kern w:val="0"/>
                <w:sz w:val="24"/>
                <w:highlight w:val="none"/>
              </w:rPr>
              <w:t>考核合格证（B类）或</w:t>
            </w:r>
            <w:r>
              <w:rPr>
                <w:rFonts w:hint="eastAsia" w:ascii="宋体" w:hAnsi="宋体" w:eastAsia="宋体" w:cs="宋体"/>
                <w:b/>
                <w:color w:val="auto"/>
                <w:kern w:val="0"/>
                <w:sz w:val="24"/>
                <w:highlight w:val="none"/>
              </w:rPr>
              <w:t>建筑施工企业项目负责人安全生产考核合格证</w:t>
            </w:r>
          </w:p>
        </w:tc>
        <w:tc>
          <w:tcPr>
            <w:tcW w:w="6228"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持有项目负责人安全</w:t>
            </w:r>
            <w:r>
              <w:rPr>
                <w:rFonts w:hint="eastAsia" w:ascii="宋体" w:hAnsi="宋体" w:eastAsia="宋体" w:cs="宋体"/>
                <w:color w:val="auto"/>
                <w:szCs w:val="24"/>
                <w:highlight w:val="none"/>
                <w:lang w:val="en-US" w:eastAsia="zh-CN"/>
              </w:rPr>
              <w:t>生产</w:t>
            </w:r>
            <w:r>
              <w:rPr>
                <w:rFonts w:hint="eastAsia" w:ascii="宋体" w:hAnsi="宋体" w:eastAsia="宋体" w:cs="宋体"/>
                <w:color w:val="auto"/>
                <w:szCs w:val="24"/>
                <w:highlight w:val="none"/>
              </w:rPr>
              <w:t>考核合格证（B类）或建筑施工企业项目负责人安全生产考核合格证</w:t>
            </w:r>
            <w:r>
              <w:rPr>
                <w:rFonts w:hint="eastAsia" w:ascii="宋体" w:hAnsi="宋体" w:eastAsia="宋体" w:cs="宋体"/>
                <w:color w:val="auto"/>
                <w:szCs w:val="24"/>
                <w:highlight w:val="none"/>
                <w:lang w:val="en-US" w:eastAsia="zh-CN"/>
              </w:rPr>
              <w:t xml:space="preserve"> </w:t>
            </w:r>
            <w:r>
              <w:rPr>
                <w:rStyle w:val="144"/>
                <w:rFonts w:hint="eastAsia" w:ascii="宋体" w:hAnsi="宋体" w:eastAsia="宋体" w:cs="宋体"/>
                <w:color w:val="auto"/>
                <w:sz w:val="24"/>
                <w:szCs w:val="24"/>
                <w:highlight w:val="none"/>
              </w:rPr>
              <w:t>扫描件</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705"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6154" w:type="dxa"/>
            <w:tcBorders>
              <w:top w:val="single" w:color="000000" w:sz="8" w:space="0"/>
              <w:left w:val="nil"/>
              <w:bottom w:val="single" w:color="000000" w:sz="8" w:space="0"/>
              <w:right w:val="single" w:color="000000" w:sz="8" w:space="0"/>
            </w:tcBorders>
            <w:noWrap w:val="0"/>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投标人拟担任本工程技术负责人符合公告要求</w:t>
            </w:r>
          </w:p>
        </w:tc>
        <w:tc>
          <w:tcPr>
            <w:tcW w:w="6228"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strike/>
                <w:color w:val="auto"/>
                <w:szCs w:val="24"/>
                <w:highlight w:val="none"/>
              </w:rPr>
            </w:pPr>
            <w:r>
              <w:rPr>
                <w:rFonts w:hint="eastAsia" w:ascii="宋体" w:hAnsi="宋体" w:eastAsia="宋体" w:cs="宋体"/>
                <w:color w:val="auto"/>
                <w:szCs w:val="24"/>
                <w:highlight w:val="none"/>
              </w:rPr>
              <w:t>技术负责人的职称证书扫描件</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1264"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6154" w:type="dxa"/>
            <w:tcBorders>
              <w:top w:val="single" w:color="000000" w:sz="8" w:space="0"/>
              <w:left w:val="nil"/>
              <w:bottom w:val="single" w:color="000000" w:sz="8" w:space="0"/>
              <w:right w:val="single" w:color="000000" w:sz="8" w:space="0"/>
            </w:tcBorders>
            <w:noWrap w:val="0"/>
            <w:vAlign w:val="center"/>
          </w:tcPr>
          <w:p>
            <w:pPr>
              <w:rPr>
                <w:rFonts w:hint="eastAsia" w:ascii="宋体" w:hAnsi="宋体" w:eastAsia="宋体" w:cs="宋体"/>
                <w:color w:val="auto"/>
                <w:szCs w:val="24"/>
                <w:highlight w:val="none"/>
                <w:lang w:eastAsia="zh-CN"/>
              </w:rPr>
            </w:pPr>
            <w:r>
              <w:rPr>
                <w:rFonts w:hint="eastAsia" w:ascii="宋体" w:hAnsi="宋体" w:eastAsia="宋体" w:cs="宋体"/>
                <w:bCs/>
                <w:color w:val="auto"/>
                <w:kern w:val="0"/>
                <w:sz w:val="24"/>
                <w:highlight w:val="none"/>
              </w:rPr>
              <w:t>专职安全员须具有安全生产考核合格证（C证）或</w:t>
            </w:r>
            <w:r>
              <w:rPr>
                <w:rFonts w:hint="eastAsia" w:ascii="宋体" w:hAnsi="宋体" w:eastAsia="宋体" w:cs="宋体"/>
                <w:b/>
                <w:color w:val="auto"/>
                <w:kern w:val="0"/>
                <w:sz w:val="24"/>
                <w:highlight w:val="none"/>
              </w:rPr>
              <w:t>建筑施工企业专职安全生产管理人员安全生产考核合格证</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lang w:val="en-US" w:eastAsia="zh-CN"/>
              </w:rPr>
              <w:t>C3类</w:t>
            </w:r>
            <w:r>
              <w:rPr>
                <w:rFonts w:hint="eastAsia" w:ascii="宋体" w:hAnsi="宋体" w:eastAsia="宋体" w:cs="宋体"/>
                <w:b/>
                <w:color w:val="auto"/>
                <w:kern w:val="0"/>
                <w:sz w:val="24"/>
                <w:highlight w:val="none"/>
                <w:lang w:eastAsia="zh-CN"/>
              </w:rPr>
              <w:t>）</w:t>
            </w:r>
          </w:p>
        </w:tc>
        <w:tc>
          <w:tcPr>
            <w:tcW w:w="6228"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专职安全员须具有安全生产考核合格证（C证）或建筑施工企业专职安全生产管理人员安全生产考核合格证</w:t>
            </w:r>
            <w:r>
              <w:rPr>
                <w:rStyle w:val="144"/>
                <w:rFonts w:hint="eastAsia" w:ascii="宋体" w:hAnsi="宋体" w:eastAsia="宋体" w:cs="宋体"/>
                <w:color w:val="auto"/>
                <w:sz w:val="24"/>
                <w:szCs w:val="24"/>
                <w:highlight w:val="none"/>
              </w:rPr>
              <w:t>扫描件</w:t>
            </w:r>
            <w:r>
              <w:rPr>
                <w:rStyle w:val="144"/>
                <w:rFonts w:hint="eastAsia" w:ascii="宋体" w:hAnsi="宋体" w:eastAsia="宋体" w:cs="宋体"/>
                <w:color w:val="auto"/>
                <w:sz w:val="24"/>
                <w:szCs w:val="24"/>
                <w:highlight w:val="none"/>
                <w:lang w:val="en-US" w:eastAsia="zh-CN"/>
              </w:rPr>
              <w:t>(C3类)</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567"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6154" w:type="dxa"/>
            <w:tcBorders>
              <w:top w:val="single" w:color="000000" w:sz="8" w:space="0"/>
              <w:left w:val="nil"/>
              <w:bottom w:val="single" w:color="000000" w:sz="8" w:space="0"/>
              <w:right w:val="single" w:color="000000" w:sz="8" w:space="0"/>
            </w:tcBorders>
            <w:noWrap w:val="0"/>
            <w:vAlign w:val="center"/>
          </w:tcPr>
          <w:p>
            <w:pPr>
              <w:rPr>
                <w:rFonts w:hint="eastAsia" w:ascii="宋体" w:hAnsi="宋体" w:eastAsia="宋体" w:cs="宋体"/>
                <w:strike/>
                <w:color w:val="auto"/>
                <w:szCs w:val="24"/>
                <w:highlight w:val="none"/>
              </w:rPr>
            </w:pPr>
            <w:r>
              <w:rPr>
                <w:rFonts w:hint="eastAsia" w:ascii="宋体" w:hAnsi="宋体" w:eastAsia="宋体" w:cs="宋体"/>
                <w:strike/>
                <w:color w:val="auto"/>
                <w:szCs w:val="24"/>
                <w:highlight w:val="none"/>
              </w:rPr>
              <w:t>投标人完成过的类似工程业绩符合公告要求</w:t>
            </w:r>
          </w:p>
        </w:tc>
        <w:tc>
          <w:tcPr>
            <w:tcW w:w="6228"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strike/>
                <w:color w:val="auto"/>
                <w:szCs w:val="24"/>
                <w:highlight w:val="none"/>
              </w:rPr>
            </w:pPr>
            <w:r>
              <w:rPr>
                <w:rFonts w:hint="eastAsia" w:ascii="宋体" w:hAnsi="宋体" w:eastAsia="宋体" w:cs="宋体"/>
                <w:strike/>
                <w:color w:val="auto"/>
                <w:szCs w:val="24"/>
                <w:highlight w:val="none"/>
              </w:rPr>
              <w:t>业绩资料盖章扫描件</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567"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6154" w:type="dxa"/>
            <w:tcBorders>
              <w:top w:val="single" w:color="000000" w:sz="8" w:space="0"/>
              <w:left w:val="nil"/>
              <w:bottom w:val="single" w:color="000000" w:sz="8" w:space="0"/>
              <w:right w:val="single" w:color="000000" w:sz="8" w:space="0"/>
            </w:tcBorders>
            <w:noWrap w:val="0"/>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投标人提供的投标人声明符合公告要求</w:t>
            </w:r>
          </w:p>
        </w:tc>
        <w:tc>
          <w:tcPr>
            <w:tcW w:w="622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投标人声明</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1142"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6154" w:type="dxa"/>
            <w:tcBorders>
              <w:top w:val="single" w:color="000000" w:sz="8" w:space="0"/>
              <w:left w:val="nil"/>
              <w:bottom w:val="single" w:color="000000" w:sz="8" w:space="0"/>
              <w:right w:val="single" w:color="000000" w:sz="8" w:space="0"/>
            </w:tcBorders>
            <w:noWrap w:val="0"/>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投标人声明中签字的项目负责人和技术负责人与本项目拟派的项目负责人和技术负责人一致</w:t>
            </w:r>
          </w:p>
        </w:tc>
        <w:tc>
          <w:tcPr>
            <w:tcW w:w="622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网上投标时选择拟投标的项目负责人、资格审查文件中拟委派的技术负责人及投标人声明</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1002"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6154"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strike/>
                <w:color w:val="auto"/>
                <w:szCs w:val="24"/>
                <w:highlight w:val="none"/>
              </w:rPr>
            </w:pPr>
            <w:r>
              <w:rPr>
                <w:rStyle w:val="199"/>
                <w:rFonts w:hint="eastAsia" w:ascii="宋体" w:hAnsi="宋体" w:eastAsia="宋体" w:cs="宋体"/>
                <w:color w:val="auto"/>
                <w:sz w:val="24"/>
                <w:szCs w:val="24"/>
                <w:highlight w:val="none"/>
              </w:rPr>
              <w:t>关于联合体投标：本项目不接受联合体投标。</w:t>
            </w:r>
          </w:p>
        </w:tc>
        <w:tc>
          <w:tcPr>
            <w:tcW w:w="622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投标人没有以联合体投标登记。本项没有须审查的资料。</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1396"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strike/>
                <w:color w:val="auto"/>
                <w:szCs w:val="24"/>
                <w:highlight w:val="none"/>
              </w:rPr>
            </w:pPr>
            <w:r>
              <w:rPr>
                <w:rFonts w:hint="eastAsia" w:ascii="宋体" w:hAnsi="宋体" w:eastAsia="宋体" w:cs="宋体"/>
                <w:strike/>
                <w:color w:val="auto"/>
                <w:szCs w:val="24"/>
                <w:highlight w:val="none"/>
              </w:rPr>
              <w:t>12</w:t>
            </w:r>
          </w:p>
        </w:tc>
        <w:tc>
          <w:tcPr>
            <w:tcW w:w="6154"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strike/>
                <w:color w:val="auto"/>
                <w:szCs w:val="24"/>
                <w:highlight w:val="none"/>
              </w:rPr>
            </w:pPr>
            <w:r>
              <w:rPr>
                <w:rFonts w:hint="eastAsia" w:ascii="宋体" w:hAnsi="宋体" w:eastAsia="宋体" w:cs="宋体"/>
                <w:color w:val="auto"/>
                <w:szCs w:val="24"/>
                <w:highlight w:val="none"/>
              </w:rPr>
              <w:t>投标登记前，投标人及拟担任本工程项目负责人、专职安全员已在广州公共资源交易中心办理企业信息登记，及拟担任本工程项目负责人、专职安全员须是本企业在广州公共资源交易中心企业信息登记中的在册人员</w:t>
            </w:r>
          </w:p>
        </w:tc>
        <w:tc>
          <w:tcPr>
            <w:tcW w:w="622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strike/>
                <w:color w:val="auto"/>
                <w:szCs w:val="24"/>
                <w:highlight w:val="none"/>
              </w:rPr>
            </w:pPr>
            <w:r>
              <w:rPr>
                <w:rFonts w:hint="eastAsia" w:ascii="宋体" w:hAnsi="宋体" w:eastAsia="宋体" w:cs="宋体"/>
                <w:color w:val="auto"/>
                <w:szCs w:val="24"/>
                <w:highlight w:val="none"/>
                <w:shd w:val="clear" w:color="auto" w:fill="FFFFFF"/>
              </w:rPr>
              <w:t>投标人在广州公共资源交易中心企业信息登记的企业和人员信息</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988"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6154"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未在以往工程中因不诚信行为或不充分履约行为被本项目招标人书面拒绝投标的。</w:t>
            </w:r>
          </w:p>
        </w:tc>
        <w:tc>
          <w:tcPr>
            <w:tcW w:w="622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暂无拒绝投标单位名单</w:t>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1704"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6154" w:type="dxa"/>
            <w:tcBorders>
              <w:top w:val="single" w:color="000000" w:sz="8" w:space="0"/>
              <w:left w:val="nil"/>
              <w:bottom w:val="single" w:color="000000" w:sz="8" w:space="0"/>
              <w:right w:val="single" w:color="000000" w:sz="8" w:space="0"/>
            </w:tcBorders>
            <w:noWrap w:val="0"/>
            <w:vAlign w:val="center"/>
          </w:tcPr>
          <w:p>
            <w:pPr>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均按不符合投标人合格条件处理。</w:t>
            </w:r>
          </w:p>
        </w:tc>
        <w:tc>
          <w:tcPr>
            <w:tcW w:w="6228"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投标人声明</w:t>
            </w:r>
            <w:r>
              <w:rPr>
                <w:rFonts w:hint="eastAsia" w:ascii="宋体" w:hAnsi="宋体" w:eastAsia="宋体" w:cs="宋体"/>
                <w:color w:val="auto"/>
                <w:szCs w:val="24"/>
                <w:highlight w:val="none"/>
              </w:rPr>
              <w:tab/>
            </w: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r>
        <w:tblPrEx>
          <w:tblCellMar>
            <w:top w:w="0" w:type="dxa"/>
            <w:left w:w="108" w:type="dxa"/>
            <w:bottom w:w="0" w:type="dxa"/>
            <w:right w:w="108" w:type="dxa"/>
          </w:tblCellMar>
        </w:tblPrEx>
        <w:trPr>
          <w:trHeight w:val="2799" w:hRule="exact"/>
          <w:jc w:val="center"/>
        </w:trPr>
        <w:tc>
          <w:tcPr>
            <w:tcW w:w="457"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6154" w:type="dxa"/>
            <w:tcBorders>
              <w:top w:val="single" w:color="000000" w:sz="8" w:space="0"/>
              <w:left w:val="nil"/>
              <w:bottom w:val="single" w:color="000000" w:sz="8" w:space="0"/>
              <w:right w:val="single" w:color="000000" w:sz="8" w:space="0"/>
            </w:tcBorders>
            <w:noWrap w:val="0"/>
            <w:vAlign w:val="center"/>
          </w:tcPr>
          <w:p>
            <w:pPr>
              <w:spacing w:line="400" w:lineRule="exact"/>
              <w:ind w:firstLine="537" w:firstLineChars="224"/>
              <w:rPr>
                <w:rStyle w:val="199"/>
                <w:rFonts w:hint="eastAsia" w:ascii="宋体" w:hAnsi="宋体" w:eastAsia="宋体" w:cs="宋体"/>
                <w:color w:val="auto"/>
                <w:sz w:val="24"/>
                <w:szCs w:val="24"/>
                <w:highlight w:val="none"/>
              </w:rPr>
            </w:pPr>
            <w:r>
              <w:rPr>
                <w:rStyle w:val="199"/>
                <w:rFonts w:hint="eastAsia" w:ascii="宋体" w:hAnsi="宋体" w:eastAsia="宋体" w:cs="宋体"/>
                <w:color w:val="auto"/>
                <w:sz w:val="24"/>
                <w:szCs w:val="24"/>
                <w:highlight w:val="none"/>
              </w:rPr>
              <w:t>未被列入我区不良记录的单位或个人（指项目负责人）投标，不良记录具体名单以资格审查时广州市黄埔区人民政府、广州开发区管委会网站的区住房和城乡建设局</w:t>
            </w:r>
            <w:r>
              <w:rPr>
                <w:rFonts w:hint="eastAsia" w:ascii="宋体" w:hAnsi="宋体" w:eastAsia="宋体" w:cs="宋体"/>
                <w:color w:val="auto"/>
                <w:sz w:val="24"/>
                <w:szCs w:val="24"/>
                <w:highlight w:val="none"/>
                <w:u w:val="single"/>
                <w:shd w:val="clear" w:color="auto" w:fill="FFFFFF"/>
              </w:rPr>
              <w:t>广州开发区建设和交通局）</w:t>
            </w:r>
            <w:r>
              <w:rPr>
                <w:rStyle w:val="199"/>
                <w:rFonts w:hint="eastAsia" w:ascii="宋体" w:hAnsi="宋体" w:eastAsia="宋体" w:cs="宋体"/>
                <w:color w:val="auto"/>
                <w:sz w:val="24"/>
                <w:szCs w:val="24"/>
                <w:highlight w:val="none"/>
              </w:rPr>
              <w:t xml:space="preserve">网页“建筑活动不良行为记录”栏目（网址： </w:t>
            </w:r>
            <w:r>
              <w:rPr>
                <w:rFonts w:hint="eastAsia" w:ascii="宋体" w:hAnsi="宋体" w:eastAsia="宋体" w:cs="宋体"/>
                <w:color w:val="auto"/>
                <w:sz w:val="24"/>
                <w:szCs w:val="24"/>
                <w:highlight w:val="none"/>
                <w:u w:val="single"/>
                <w:shd w:val="clear" w:color="auto" w:fill="FFFFFF"/>
              </w:rPr>
              <w:t>http://www.hp.gov.cn/gzjg/qzfgwhgzbm/qzfhcxjsj10/jzhdblxwjl/</w:t>
            </w:r>
            <w:r>
              <w:rPr>
                <w:rStyle w:val="199"/>
                <w:rFonts w:hint="eastAsia" w:ascii="宋体" w:hAnsi="宋体" w:eastAsia="宋体" w:cs="宋体"/>
                <w:color w:val="auto"/>
                <w:sz w:val="24"/>
                <w:szCs w:val="24"/>
                <w:highlight w:val="none"/>
              </w:rPr>
              <w:t>）公布名单为准。若资格审查时网址有变化，以最新网址为准。</w:t>
            </w:r>
          </w:p>
          <w:p>
            <w:pPr>
              <w:jc w:val="left"/>
              <w:rPr>
                <w:rStyle w:val="199"/>
                <w:rFonts w:hint="eastAsia" w:ascii="宋体" w:hAnsi="宋体" w:eastAsia="宋体" w:cs="宋体"/>
                <w:color w:val="auto"/>
                <w:sz w:val="24"/>
                <w:szCs w:val="24"/>
                <w:highlight w:val="none"/>
              </w:rPr>
            </w:pPr>
          </w:p>
        </w:tc>
        <w:tc>
          <w:tcPr>
            <w:tcW w:w="6228" w:type="dxa"/>
            <w:tcBorders>
              <w:top w:val="single" w:color="000000" w:sz="8" w:space="0"/>
              <w:left w:val="nil"/>
              <w:bottom w:val="single" w:color="000000" w:sz="8" w:space="0"/>
              <w:right w:val="single" w:color="000000" w:sz="8" w:space="0"/>
            </w:tcBorders>
            <w:noWrap w:val="0"/>
            <w:vAlign w:val="center"/>
          </w:tcPr>
          <w:p>
            <w:pPr>
              <w:spacing w:line="400" w:lineRule="exact"/>
              <w:ind w:firstLine="537" w:firstLineChars="224"/>
              <w:rPr>
                <w:rStyle w:val="199"/>
                <w:rFonts w:hint="eastAsia" w:ascii="宋体" w:hAnsi="宋体" w:eastAsia="宋体" w:cs="宋体"/>
                <w:color w:val="auto"/>
                <w:sz w:val="24"/>
                <w:szCs w:val="24"/>
                <w:highlight w:val="none"/>
              </w:rPr>
            </w:pPr>
            <w:r>
              <w:rPr>
                <w:rStyle w:val="199"/>
                <w:rFonts w:hint="eastAsia" w:ascii="宋体" w:hAnsi="宋体" w:eastAsia="宋体" w:cs="宋体"/>
                <w:color w:val="auto"/>
                <w:sz w:val="24"/>
                <w:szCs w:val="24"/>
                <w:highlight w:val="none"/>
              </w:rPr>
              <w:t>以资格审查时广州市黄埔区人民政府、广州开发区管委会网站的区住房和城乡建设局</w:t>
            </w:r>
            <w:r>
              <w:rPr>
                <w:rStyle w:val="199"/>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shd w:val="clear" w:color="auto" w:fill="FFFFFF"/>
              </w:rPr>
              <w:t>广州开发区建设和交通局）</w:t>
            </w:r>
            <w:r>
              <w:rPr>
                <w:rStyle w:val="199"/>
                <w:rFonts w:hint="eastAsia" w:ascii="宋体" w:hAnsi="宋体" w:eastAsia="宋体" w:cs="宋体"/>
                <w:color w:val="auto"/>
                <w:sz w:val="24"/>
                <w:szCs w:val="24"/>
                <w:highlight w:val="none"/>
              </w:rPr>
              <w:t>网页“建筑活动不良行为记录”栏目（网址：http://www.hp.gov.cn/gzjg/qzfgwhgzbm/qzfhcxjsj10/jzhdblxwjl/）公布名单为准。若资格审查时网址有变化，以最新网址为准。</w:t>
            </w:r>
          </w:p>
          <w:p>
            <w:pPr>
              <w:jc w:val="center"/>
              <w:rPr>
                <w:rFonts w:hint="eastAsia" w:ascii="宋体" w:hAnsi="宋体" w:eastAsia="宋体" w:cs="宋体"/>
                <w:color w:val="auto"/>
                <w:szCs w:val="24"/>
                <w:highlight w:val="none"/>
                <w:u w:val="single"/>
              </w:rPr>
            </w:pPr>
          </w:p>
        </w:tc>
        <w:tc>
          <w:tcPr>
            <w:tcW w:w="1061"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color w:val="auto"/>
                <w:szCs w:val="24"/>
                <w:highlight w:val="none"/>
              </w:rPr>
            </w:pPr>
          </w:p>
        </w:tc>
      </w:tr>
    </w:tbl>
    <w:p>
      <w:pPr>
        <w:spacing w:line="360" w:lineRule="auto"/>
        <w:ind w:firstLine="537" w:firstLineChars="224"/>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Cs w:val="21"/>
          <w:highlight w:val="none"/>
        </w:rPr>
        <w:t>备注：</w:t>
      </w:r>
    </w:p>
    <w:p>
      <w:pPr>
        <w:spacing w:line="360" w:lineRule="auto"/>
        <w:ind w:firstLine="537" w:firstLineChars="224"/>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 xml:space="preserve">     </w:t>
      </w:r>
      <w:r>
        <w:rPr>
          <w:rFonts w:hint="eastAsia" w:ascii="宋体" w:hAnsi="宋体" w:eastAsia="宋体" w:cs="宋体"/>
          <w:b w:val="0"/>
          <w:bCs w:val="0"/>
          <w:color w:val="auto"/>
          <w:sz w:val="21"/>
          <w:szCs w:val="21"/>
          <w:highlight w:val="none"/>
        </w:rPr>
        <w:t xml:space="preserve">  1、每一项目符合的打“○”，不符合的打“×”； </w:t>
      </w:r>
    </w:p>
    <w:p>
      <w:pPr>
        <w:spacing w:line="360" w:lineRule="auto"/>
        <w:ind w:firstLine="470" w:firstLineChars="22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2、若评委意见不一致时，则按少数服从多数的原则，作出评审结论。汇总后，出现一个“×”的结论为“不通过”。</w:t>
      </w:r>
    </w:p>
    <w:p>
      <w:pPr>
        <w:pStyle w:val="19"/>
        <w:ind w:left="1400" w:hanging="1470" w:hangingChars="7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0"/>
          <w:sz w:val="21"/>
          <w:szCs w:val="21"/>
          <w:highlight w:val="none"/>
          <w:lang w:val="en-US" w:eastAsia="zh-CN" w:bidi="ar-SA"/>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ind w:firstLine="840" w:firstLineChars="4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评委签名：</w:t>
      </w:r>
    </w:p>
    <w:p>
      <w:pPr>
        <w:spacing w:line="360" w:lineRule="auto"/>
        <w:rPr>
          <w:rFonts w:hint="eastAsia" w:ascii="宋体" w:hAnsi="宋体" w:cs="宋体"/>
          <w:color w:val="auto"/>
          <w:sz w:val="24"/>
          <w:szCs w:val="24"/>
          <w:highlight w:val="none"/>
        </w:rPr>
        <w:sectPr>
          <w:endnotePr>
            <w:numFmt w:val="decimal"/>
          </w:endnotePr>
          <w:pgSz w:w="16838" w:h="11906" w:orient="landscape"/>
          <w:pgMar w:top="1418" w:right="1134" w:bottom="1418" w:left="0" w:header="851" w:footer="907" w:gutter="0"/>
          <w:cols w:space="720" w:num="1"/>
          <w:titlePg/>
          <w:docGrid w:type="lines" w:linePitch="312" w:charSpace="0"/>
        </w:sectPr>
      </w:pPr>
    </w:p>
    <w:p>
      <w:pPr>
        <w:spacing w:line="360" w:lineRule="auto"/>
        <w:jc w:val="left"/>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附表二                                              </w:t>
      </w:r>
      <w:r>
        <w:rPr>
          <w:rFonts w:hint="eastAsia" w:ascii="宋体" w:hAnsi="宋体" w:cs="宋体"/>
          <w:b/>
          <w:color w:val="auto"/>
          <w:sz w:val="24"/>
          <w:szCs w:val="24"/>
          <w:highlight w:val="none"/>
        </w:rPr>
        <w:t>技术标有效性审查表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7381"/>
        <w:gridCol w:w="1080"/>
        <w:gridCol w:w="990"/>
        <w:gridCol w:w="1200"/>
        <w:gridCol w:w="1006"/>
        <w:gridCol w:w="1246"/>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381"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pPr>
              <w:adjustRightInd w:val="0"/>
              <w:rPr>
                <w:rFonts w:hint="eastAsia" w:ascii="宋体" w:hAnsi="宋体" w:cs="宋体"/>
                <w:color w:val="auto"/>
                <w:szCs w:val="21"/>
                <w:highlight w:val="none"/>
              </w:rPr>
            </w:pPr>
          </w:p>
          <w:p>
            <w:pPr>
              <w:adjustRightInd w:val="0"/>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08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1</w:t>
            </w:r>
          </w:p>
        </w:tc>
        <w:tc>
          <w:tcPr>
            <w:tcW w:w="738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《广州建设工程施工招标投标书（技术标）》中的总工期不符合招标文件要求的；</w:t>
            </w:r>
          </w:p>
        </w:tc>
        <w:tc>
          <w:tcPr>
            <w:tcW w:w="108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2</w:t>
            </w:r>
          </w:p>
        </w:tc>
        <w:tc>
          <w:tcPr>
            <w:tcW w:w="738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u w:val="single"/>
              </w:rPr>
            </w:pPr>
            <w:r>
              <w:rPr>
                <w:rFonts w:hint="eastAsia" w:ascii="宋体" w:hAnsi="宋体" w:cs="宋体"/>
                <w:color w:val="auto"/>
                <w:szCs w:val="21"/>
                <w:highlight w:val="none"/>
                <w:u w:val="single"/>
              </w:rPr>
              <w:t>《广州建设工程施工招标投标书（技术标）》中的工程质量标准不符合招标文件要求的；</w:t>
            </w:r>
          </w:p>
        </w:tc>
        <w:tc>
          <w:tcPr>
            <w:tcW w:w="108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3</w:t>
            </w:r>
          </w:p>
        </w:tc>
        <w:tc>
          <w:tcPr>
            <w:tcW w:w="738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108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4</w:t>
            </w:r>
          </w:p>
        </w:tc>
        <w:tc>
          <w:tcPr>
            <w:tcW w:w="738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（指招标文件第一章第11条投标文件的组成规定内容中有关技术标的规定内容））</w:t>
            </w:r>
            <w:r>
              <w:rPr>
                <w:rFonts w:hint="eastAsia" w:ascii="宋体" w:hAnsi="宋体" w:cs="宋体"/>
                <w:color w:val="auto"/>
                <w:szCs w:val="21"/>
                <w:highlight w:val="none"/>
              </w:rPr>
              <w:t>填写，或主要内容（指投标文件组成内容）不全，或关键字迹模糊、无法辨认的；</w:t>
            </w:r>
          </w:p>
        </w:tc>
        <w:tc>
          <w:tcPr>
            <w:tcW w:w="108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5</w:t>
            </w:r>
          </w:p>
        </w:tc>
        <w:tc>
          <w:tcPr>
            <w:tcW w:w="738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08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shd w:val="pct10" w:color="auto" w:fill="FFFFFF"/>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shd w:val="pct10" w:color="auto" w:fill="FFFFFF"/>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shd w:val="pct10" w:color="auto" w:fill="FFFFFF"/>
              </w:rPr>
            </w:pPr>
          </w:p>
        </w:tc>
        <w:tc>
          <w:tcPr>
            <w:tcW w:w="100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shd w:val="pct10" w:color="auto" w:fill="FFFFFF"/>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shd w:val="pct10" w:color="auto" w:fill="FFFFFF"/>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6</w:t>
            </w:r>
          </w:p>
        </w:tc>
        <w:tc>
          <w:tcPr>
            <w:tcW w:w="738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08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7</w:t>
            </w:r>
          </w:p>
        </w:tc>
        <w:tc>
          <w:tcPr>
            <w:tcW w:w="738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投标人未按要求提交投标保证金的</w:t>
            </w:r>
          </w:p>
        </w:tc>
        <w:tc>
          <w:tcPr>
            <w:tcW w:w="108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8</w:t>
            </w:r>
          </w:p>
          <w:p>
            <w:pPr>
              <w:adjustRightInd w:val="0"/>
              <w:rPr>
                <w:rFonts w:hint="eastAsia" w:ascii="宋体" w:hAnsi="宋体" w:cs="宋体"/>
                <w:strike/>
                <w:color w:val="auto"/>
                <w:szCs w:val="21"/>
                <w:highlight w:val="none"/>
              </w:rPr>
            </w:pPr>
          </w:p>
        </w:tc>
        <w:tc>
          <w:tcPr>
            <w:tcW w:w="7381"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投标人与其他投标人加密打包投标文件电脑机器特征码一致的(以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交易平台评标系统的检索信息为准)</w:t>
            </w:r>
          </w:p>
        </w:tc>
        <w:tc>
          <w:tcPr>
            <w:tcW w:w="108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6"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adjustRightInd w:val="0"/>
              <w:rPr>
                <w:rFonts w:hint="eastAsia" w:ascii="宋体" w:hAnsi="宋体" w:cs="宋体"/>
                <w:color w:val="auto"/>
                <w:szCs w:val="21"/>
                <w:highlight w:val="none"/>
              </w:rPr>
            </w:pPr>
          </w:p>
        </w:tc>
      </w:tr>
    </w:tbl>
    <w:p>
      <w:pPr>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cs="宋体"/>
          <w:color w:val="auto"/>
          <w:szCs w:val="21"/>
          <w:highlight w:val="none"/>
        </w:rPr>
      </w:pPr>
      <w:r>
        <w:rPr>
          <w:rFonts w:hint="eastAsia" w:ascii="宋体" w:hAnsi="宋体" w:cs="宋体"/>
          <w:color w:val="auto"/>
          <w:szCs w:val="21"/>
          <w:highlight w:val="none"/>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宋体" w:hAnsi="宋体" w:cs="宋体"/>
          <w:color w:val="auto"/>
          <w:szCs w:val="21"/>
          <w:highlight w:val="none"/>
        </w:rPr>
      </w:pPr>
      <w:r>
        <w:rPr>
          <w:rFonts w:hint="eastAsia" w:ascii="宋体" w:hAnsi="宋体" w:cs="宋体"/>
          <w:color w:val="auto"/>
          <w:szCs w:val="21"/>
          <w:highlight w:val="none"/>
        </w:rPr>
        <w:t xml:space="preserve">    3.凡出现以上任何一项情形，结论均为无效，否则就为有效。</w:t>
      </w:r>
    </w:p>
    <w:p>
      <w:pPr>
        <w:numPr>
          <w:ilvl w:val="0"/>
          <w:numId w:val="4"/>
        </w:numPr>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如对本表中某种情形的评审意见不一致时，以评标委员会过半数成员的意见作为评标委员会对该情形的认定结论。</w:t>
      </w:r>
    </w:p>
    <w:p>
      <w:pPr>
        <w:rPr>
          <w:rFonts w:hint="eastAsia"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附表三</w:t>
      </w:r>
    </w:p>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经济标有效性审查表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9"/>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pPr>
              <w:rPr>
                <w:rFonts w:hint="eastAsia" w:ascii="宋体" w:hAnsi="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left"/>
              <w:rPr>
                <w:rFonts w:hint="eastAsia" w:ascii="宋体" w:hAnsi="宋体" w:cs="宋体"/>
                <w:color w:val="auto"/>
                <w:szCs w:val="21"/>
                <w:highlight w:val="none"/>
              </w:rPr>
            </w:pPr>
            <w:r>
              <w:rPr>
                <w:rFonts w:hint="eastAsia" w:ascii="宋体" w:hAnsi="宋体" w:cs="宋体"/>
                <w:color w:val="auto"/>
                <w:szCs w:val="21"/>
                <w:highlight w:val="none"/>
                <w:u w:val="single"/>
              </w:rPr>
              <w:t>投标报价低于成本的（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bCs/>
                <w:color w:val="auto"/>
                <w:szCs w:val="21"/>
                <w:highlight w:val="none"/>
              </w:rPr>
              <w:t>投标文件未按规定的格式（格式十</w:t>
            </w:r>
            <w:r>
              <w:rPr>
                <w:rFonts w:hint="eastAsia" w:ascii="宋体" w:hAnsi="宋体" w:eastAsia="宋体" w:cs="宋体"/>
                <w:bCs/>
                <w:color w:val="auto"/>
                <w:szCs w:val="21"/>
                <w:highlight w:val="none"/>
                <w:lang w:val="en-US" w:eastAsia="zh-CN"/>
              </w:rPr>
              <w:t>二</w:t>
            </w:r>
            <w:r>
              <w:rPr>
                <w:rFonts w:hint="eastAsia" w:ascii="宋体" w:hAnsi="宋体" w:cs="宋体"/>
                <w:bCs/>
                <w:color w:val="auto"/>
                <w:szCs w:val="21"/>
                <w:highlight w:val="none"/>
              </w:rPr>
              <w:t>至格式十</w:t>
            </w:r>
            <w:r>
              <w:rPr>
                <w:rFonts w:hint="eastAsia" w:ascii="宋体" w:hAnsi="宋体" w:eastAsia="宋体" w:cs="宋体"/>
                <w:bCs/>
                <w:color w:val="auto"/>
                <w:szCs w:val="21"/>
                <w:highlight w:val="none"/>
                <w:lang w:val="en-US" w:eastAsia="zh-CN"/>
              </w:rPr>
              <w:t>四</w:t>
            </w:r>
            <w:r>
              <w:rPr>
                <w:rFonts w:hint="eastAsia" w:ascii="宋体" w:hAnsi="宋体" w:cs="宋体"/>
                <w:bCs/>
                <w:color w:val="auto"/>
                <w:szCs w:val="21"/>
                <w:highlight w:val="none"/>
              </w:rPr>
              <w:t>）填写，或主要内容（指招标文件第一章第11条投标文件的组成规定内容中有关经济标的规定内容）不全，或关键字迹模糊、无法辨认；</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610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bl>
    <w:p>
      <w:pPr>
        <w:ind w:firstLine="458"/>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pPr>
        <w:ind w:firstLine="458"/>
        <w:rPr>
          <w:rFonts w:hint="eastAsia"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pPr>
        <w:ind w:firstLine="458"/>
        <w:rPr>
          <w:rFonts w:hint="eastAsia"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pPr>
        <w:ind w:firstLine="458"/>
        <w:rPr>
          <w:rFonts w:hint="eastAsia" w:ascii="宋体" w:hAnsi="宋体" w:eastAsia="Times New Roman" w:cs="宋体"/>
          <w:color w:val="auto"/>
          <w:szCs w:val="21"/>
          <w:highlight w:val="none"/>
        </w:rPr>
      </w:pPr>
      <w:r>
        <w:rPr>
          <w:rFonts w:hint="eastAsia" w:ascii="宋体" w:hAnsi="宋体" w:eastAsia="Times New Roman"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48"/>
        <w:ind w:firstLine="458"/>
        <w:rPr>
          <w:rFonts w:hint="eastAsia" w:ascii="宋体" w:hAnsi="宋体" w:cs="宋体"/>
          <w:color w:val="auto"/>
          <w:sz w:val="24"/>
          <w:szCs w:val="24"/>
          <w:highlight w:val="none"/>
        </w:rPr>
        <w:sectPr>
          <w:endnotePr>
            <w:numFmt w:val="decimal"/>
          </w:endnotePr>
          <w:pgSz w:w="16838" w:h="11906" w:orient="landscape"/>
          <w:pgMar w:top="1218" w:right="1247" w:bottom="1217" w:left="1134" w:header="851" w:footer="510" w:gutter="0"/>
          <w:cols w:space="720" w:num="1"/>
          <w:titlePg/>
          <w:docGrid w:type="lines" w:linePitch="312" w:charSpace="0"/>
        </w:sectPr>
      </w:pPr>
      <w:r>
        <w:rPr>
          <w:rFonts w:hint="eastAsia" w:ascii="宋体" w:hAnsi="宋体" w:cs="宋体"/>
          <w:color w:val="auto"/>
          <w:sz w:val="21"/>
          <w:szCs w:val="21"/>
          <w:highlight w:val="none"/>
        </w:rPr>
        <w:t>评委签名：</w:t>
      </w:r>
    </w:p>
    <w:p>
      <w:pPr>
        <w:pStyle w:val="2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附表四</w:t>
      </w:r>
    </w:p>
    <w:p>
      <w:pPr>
        <w:jc w:val="center"/>
        <w:rPr>
          <w:b/>
          <w:color w:val="auto"/>
          <w:sz w:val="36"/>
          <w:szCs w:val="36"/>
          <w:highlight w:val="none"/>
        </w:rPr>
      </w:pPr>
      <w:r>
        <w:rPr>
          <w:rFonts w:hint="eastAsia"/>
          <w:b/>
          <w:color w:val="auto"/>
          <w:sz w:val="36"/>
          <w:szCs w:val="36"/>
          <w:highlight w:val="none"/>
        </w:rPr>
        <w:t>技术标详细审查评分表</w:t>
      </w:r>
    </w:p>
    <w:tbl>
      <w:tblPr>
        <w:tblStyle w:val="49"/>
        <w:tblW w:w="0" w:type="auto"/>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469"/>
        <w:gridCol w:w="1303"/>
        <w:gridCol w:w="675"/>
        <w:gridCol w:w="11491"/>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1064" w:type="dxa"/>
            <w:vMerge w:val="restart"/>
            <w:tcBorders>
              <w:top w:val="single" w:color="auto" w:sz="8" w:space="0"/>
              <w:left w:val="single" w:color="auto" w:sz="8" w:space="0"/>
              <w:right w:val="single" w:color="auto" w:sz="4" w:space="0"/>
            </w:tcBorders>
            <w:noWrap w:val="0"/>
            <w:vAlign w:val="center"/>
          </w:tcPr>
          <w:p>
            <w:pPr>
              <w:pStyle w:val="216"/>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评分项目</w:t>
            </w:r>
          </w:p>
        </w:tc>
        <w:tc>
          <w:tcPr>
            <w:tcW w:w="1772" w:type="dxa"/>
            <w:gridSpan w:val="2"/>
            <w:tcBorders>
              <w:top w:val="single" w:color="auto" w:sz="8" w:space="0"/>
              <w:left w:val="single" w:color="auto" w:sz="4" w:space="0"/>
              <w:right w:val="single" w:color="auto" w:sz="4" w:space="0"/>
            </w:tcBorders>
            <w:noWrap w:val="0"/>
            <w:vAlign w:val="center"/>
          </w:tcPr>
          <w:p>
            <w:pPr>
              <w:pStyle w:val="216"/>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评分内容</w:t>
            </w:r>
          </w:p>
        </w:tc>
        <w:tc>
          <w:tcPr>
            <w:tcW w:w="675" w:type="dxa"/>
            <w:tcBorders>
              <w:top w:val="single" w:color="auto" w:sz="8" w:space="0"/>
              <w:left w:val="single" w:color="auto" w:sz="4" w:space="0"/>
              <w:right w:val="single" w:color="auto" w:sz="4" w:space="0"/>
            </w:tcBorders>
            <w:noWrap w:val="0"/>
            <w:vAlign w:val="center"/>
          </w:tcPr>
          <w:p>
            <w:pPr>
              <w:pStyle w:val="216"/>
              <w:jc w:val="center"/>
              <w:rPr>
                <w:rFonts w:ascii="宋体" w:hAnsi="宋体" w:eastAsia="宋体"/>
                <w:color w:val="auto"/>
                <w:sz w:val="20"/>
                <w:szCs w:val="20"/>
                <w:highlight w:val="none"/>
              </w:rPr>
            </w:pPr>
            <w:r>
              <w:rPr>
                <w:rFonts w:hint="eastAsia" w:ascii="宋体" w:hAnsi="宋体" w:eastAsia="宋体"/>
                <w:color w:val="auto"/>
                <w:sz w:val="20"/>
                <w:szCs w:val="20"/>
                <w:highlight w:val="none"/>
              </w:rPr>
              <w:t>分值</w:t>
            </w:r>
          </w:p>
        </w:tc>
        <w:tc>
          <w:tcPr>
            <w:tcW w:w="11491" w:type="dxa"/>
            <w:tcBorders>
              <w:top w:val="single" w:color="auto" w:sz="8"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highlight w:val="none"/>
              </w:rPr>
            </w:pPr>
            <w:r>
              <w:rPr>
                <w:rFonts w:hint="eastAsia" w:ascii="宋体" w:hAnsi="宋体" w:eastAsia="宋体"/>
                <w:color w:val="auto"/>
                <w:sz w:val="20"/>
                <w:szCs w:val="20"/>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064" w:type="dxa"/>
            <w:vMerge w:val="restart"/>
            <w:tcBorders>
              <w:left w:val="single" w:color="auto" w:sz="8" w:space="0"/>
              <w:right w:val="single" w:color="auto" w:sz="4" w:space="0"/>
            </w:tcBorders>
            <w:noWrap w:val="0"/>
            <w:vAlign w:val="center"/>
          </w:tcPr>
          <w:p>
            <w:pPr>
              <w:pStyle w:val="216"/>
              <w:rPr>
                <w:rFonts w:hint="eastAsia" w:ascii="宋体" w:hAnsi="宋体" w:eastAsia="宋体"/>
                <w:color w:val="auto"/>
                <w:sz w:val="20"/>
                <w:szCs w:val="20"/>
                <w:highlight w:val="none"/>
              </w:rPr>
            </w:pPr>
            <w:r>
              <w:rPr>
                <w:rFonts w:hint="eastAsia" w:ascii="宋体" w:hAnsi="宋体" w:eastAsia="宋体" w:cs="宋体"/>
                <w:color w:val="auto"/>
                <w:kern w:val="0"/>
                <w:sz w:val="21"/>
                <w:szCs w:val="21"/>
                <w:highlight w:val="none"/>
                <w:lang w:val="en-US" w:eastAsia="zh-CN"/>
              </w:rPr>
              <w:t>一</w:t>
            </w:r>
            <w:r>
              <w:rPr>
                <w:rFonts w:hint="eastAsia" w:ascii="宋体" w:hAnsi="宋体" w:eastAsia="宋体"/>
                <w:color w:val="auto"/>
                <w:sz w:val="20"/>
                <w:szCs w:val="20"/>
                <w:highlight w:val="none"/>
              </w:rPr>
              <w:t>、项目组织管理机构能力（</w:t>
            </w:r>
            <w:r>
              <w:rPr>
                <w:rFonts w:hint="eastAsia" w:ascii="宋体" w:hAnsi="宋体" w:eastAsia="宋体"/>
                <w:color w:val="auto"/>
                <w:sz w:val="20"/>
                <w:szCs w:val="20"/>
                <w:highlight w:val="none"/>
                <w:lang w:val="en-US" w:eastAsia="zh-CN"/>
              </w:rPr>
              <w:t>7</w:t>
            </w:r>
            <w:r>
              <w:rPr>
                <w:rFonts w:hint="eastAsia" w:ascii="宋体" w:hAnsi="宋体" w:eastAsia="宋体"/>
                <w:color w:val="auto"/>
                <w:sz w:val="20"/>
                <w:szCs w:val="20"/>
                <w:highlight w:val="none"/>
              </w:rPr>
              <w:t>0分）</w:t>
            </w:r>
          </w:p>
        </w:tc>
        <w:tc>
          <w:tcPr>
            <w:tcW w:w="469" w:type="dxa"/>
            <w:vMerge w:val="restart"/>
            <w:tcBorders>
              <w:left w:val="single" w:color="auto" w:sz="4" w:space="0"/>
              <w:right w:val="single" w:color="auto" w:sz="4" w:space="0"/>
            </w:tcBorders>
            <w:noWrap w:val="0"/>
            <w:vAlign w:val="center"/>
          </w:tcPr>
          <w:p>
            <w:pPr>
              <w:widowControl/>
              <w:spacing w:line="280" w:lineRule="exact"/>
              <w:jc w:val="left"/>
              <w:rPr>
                <w:rFonts w:hint="eastAsia" w:ascii="宋体" w:hAnsi="宋体"/>
                <w:color w:val="auto"/>
                <w:sz w:val="20"/>
                <w:szCs w:val="20"/>
                <w:highlight w:val="none"/>
              </w:rPr>
            </w:pPr>
            <w:r>
              <w:rPr>
                <w:rFonts w:hint="eastAsia" w:ascii="宋体" w:hAnsi="宋体" w:cs="宋体"/>
                <w:color w:val="auto"/>
                <w:kern w:val="0"/>
                <w:sz w:val="20"/>
                <w:szCs w:val="20"/>
                <w:highlight w:val="none"/>
              </w:rPr>
              <w:t>项目管理机构</w:t>
            </w:r>
          </w:p>
        </w:tc>
        <w:tc>
          <w:tcPr>
            <w:tcW w:w="1303" w:type="dxa"/>
            <w:tcBorders>
              <w:left w:val="single" w:color="auto" w:sz="4" w:space="0"/>
              <w:bottom w:val="single" w:color="auto" w:sz="4" w:space="0"/>
              <w:right w:val="single" w:color="auto" w:sz="4" w:space="0"/>
            </w:tcBorders>
            <w:noWrap w:val="0"/>
            <w:vAlign w:val="center"/>
          </w:tcPr>
          <w:p>
            <w:pPr>
              <w:widowControl/>
              <w:spacing w:line="240" w:lineRule="auto"/>
              <w:jc w:val="center"/>
              <w:rPr>
                <w:rFonts w:ascii="宋体" w:hAnsi="宋体"/>
                <w:color w:val="auto"/>
                <w:sz w:val="20"/>
                <w:szCs w:val="20"/>
                <w:highlight w:val="none"/>
              </w:rPr>
            </w:pPr>
            <w:r>
              <w:rPr>
                <w:rFonts w:hint="eastAsia" w:ascii="宋体" w:hAnsi="宋体" w:eastAsia="宋体" w:cs="宋体"/>
                <w:color w:val="auto"/>
                <w:sz w:val="21"/>
                <w:szCs w:val="21"/>
                <w:highlight w:val="none"/>
              </w:rPr>
              <w:t>项目负责人</w:t>
            </w:r>
          </w:p>
        </w:tc>
        <w:tc>
          <w:tcPr>
            <w:tcW w:w="675" w:type="dxa"/>
            <w:tcBorders>
              <w:left w:val="single" w:color="auto" w:sz="4" w:space="0"/>
              <w:bottom w:val="single" w:color="auto" w:sz="4" w:space="0"/>
              <w:right w:val="single" w:color="auto" w:sz="4" w:space="0"/>
            </w:tcBorders>
            <w:noWrap w:val="0"/>
            <w:vAlign w:val="center"/>
          </w:tcPr>
          <w:p>
            <w:pPr>
              <w:jc w:val="center"/>
              <w:rPr>
                <w:rFonts w:ascii="宋体" w:hAnsi="宋体"/>
                <w:color w:val="auto"/>
                <w:sz w:val="20"/>
                <w:szCs w:val="20"/>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5</w:t>
            </w:r>
          </w:p>
        </w:tc>
        <w:tc>
          <w:tcPr>
            <w:tcW w:w="11491"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①从业能力：具有</w:t>
            </w:r>
            <w:r>
              <w:rPr>
                <w:rFonts w:hint="eastAsia" w:ascii="宋体" w:hAnsi="宋体" w:eastAsia="宋体" w:cs="宋体"/>
                <w:color w:val="auto"/>
                <w:kern w:val="0"/>
                <w:sz w:val="21"/>
                <w:szCs w:val="21"/>
                <w:highlight w:val="none"/>
                <w:lang w:val="en-US" w:eastAsia="zh-CN"/>
              </w:rPr>
              <w:t>工程</w:t>
            </w:r>
            <w:r>
              <w:rPr>
                <w:rFonts w:hint="eastAsia" w:ascii="宋体" w:hAnsi="宋体" w:eastAsia="宋体" w:cs="宋体"/>
                <w:color w:val="auto"/>
                <w:kern w:val="0"/>
                <w:sz w:val="21"/>
                <w:szCs w:val="21"/>
                <w:highlight w:val="none"/>
              </w:rPr>
              <w:t>类相关专业中级或以上技术职称，得</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p>
            <w:pPr>
              <w:widowControl/>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②经历：具有10年或以上（含10年）施工管理工作经验，得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分；具有5年（含5年）至10年（不含10年）施工管理工作经验，得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pPr>
              <w:widowControl/>
              <w:rPr>
                <w:rFonts w:ascii="宋体" w:hAnsi="宋体" w:eastAsia="宋体"/>
                <w:color w:val="auto"/>
                <w:sz w:val="20"/>
                <w:szCs w:val="20"/>
                <w:highlight w:val="none"/>
              </w:rPr>
            </w:pPr>
            <w:r>
              <w:rPr>
                <w:rFonts w:hint="eastAsia" w:ascii="宋体" w:hAnsi="宋体" w:eastAsia="宋体" w:cs="宋体"/>
                <w:color w:val="auto"/>
                <w:sz w:val="21"/>
                <w:szCs w:val="21"/>
                <w:highlight w:val="none"/>
              </w:rPr>
              <w:t>其他情况不得分。本小项最多得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64" w:type="dxa"/>
            <w:vMerge w:val="continue"/>
            <w:tcBorders>
              <w:left w:val="single" w:color="auto" w:sz="8" w:space="0"/>
              <w:right w:val="single" w:color="auto" w:sz="4" w:space="0"/>
            </w:tcBorders>
            <w:noWrap w:val="0"/>
            <w:vAlign w:val="center"/>
          </w:tcPr>
          <w:p>
            <w:pPr>
              <w:spacing w:line="280" w:lineRule="exact"/>
              <w:jc w:val="center"/>
              <w:rPr>
                <w:rFonts w:ascii="宋体" w:hAnsi="宋体"/>
                <w:color w:val="auto"/>
                <w:sz w:val="20"/>
                <w:szCs w:val="20"/>
                <w:highlight w:val="none"/>
              </w:rPr>
            </w:pPr>
          </w:p>
        </w:tc>
        <w:tc>
          <w:tcPr>
            <w:tcW w:w="469"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color w:val="auto"/>
                <w:sz w:val="20"/>
                <w:szCs w:val="20"/>
                <w:highlight w:val="none"/>
              </w:rPr>
            </w:pPr>
          </w:p>
        </w:tc>
        <w:tc>
          <w:tcPr>
            <w:tcW w:w="1303" w:type="dxa"/>
            <w:tcBorders>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1"/>
                <w:szCs w:val="21"/>
                <w:highlight w:val="none"/>
              </w:rPr>
              <w:t>技术负责人</w:t>
            </w:r>
          </w:p>
        </w:tc>
        <w:tc>
          <w:tcPr>
            <w:tcW w:w="675"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olor w:val="auto"/>
                <w:sz w:val="20"/>
                <w:szCs w:val="20"/>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5</w:t>
            </w:r>
          </w:p>
        </w:tc>
        <w:tc>
          <w:tcPr>
            <w:tcW w:w="114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78" w:beforeLines="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①从业能力：具有</w:t>
            </w:r>
            <w:r>
              <w:rPr>
                <w:rFonts w:hint="eastAsia" w:ascii="宋体" w:hAnsi="宋体" w:cs="宋体"/>
                <w:color w:val="auto"/>
                <w:kern w:val="0"/>
                <w:sz w:val="21"/>
                <w:szCs w:val="21"/>
                <w:highlight w:val="none"/>
                <w:lang w:val="en-US" w:eastAsia="zh-CN"/>
              </w:rPr>
              <w:t>工程类</w:t>
            </w:r>
            <w:r>
              <w:rPr>
                <w:rFonts w:hint="eastAsia" w:ascii="宋体" w:hAnsi="宋体" w:eastAsia="宋体" w:cs="宋体"/>
                <w:color w:val="auto"/>
                <w:kern w:val="0"/>
                <w:sz w:val="21"/>
                <w:szCs w:val="21"/>
                <w:highlight w:val="none"/>
              </w:rPr>
              <w:t>相关专业</w:t>
            </w:r>
            <w:r>
              <w:rPr>
                <w:rFonts w:hint="eastAsia" w:ascii="宋体" w:hAnsi="宋体" w:eastAsia="宋体" w:cs="宋体"/>
                <w:color w:val="auto"/>
                <w:sz w:val="21"/>
                <w:szCs w:val="21"/>
                <w:highlight w:val="none"/>
              </w:rPr>
              <w:t>高级或以上</w:t>
            </w:r>
            <w:r>
              <w:rPr>
                <w:rFonts w:hint="eastAsia" w:ascii="宋体" w:hAnsi="宋体" w:eastAsia="宋体" w:cs="宋体"/>
                <w:color w:val="auto"/>
                <w:kern w:val="0"/>
                <w:sz w:val="21"/>
                <w:szCs w:val="21"/>
                <w:highlight w:val="none"/>
              </w:rPr>
              <w:t xml:space="preserve">技术职称，得 </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p>
            <w:pPr>
              <w:adjustRightInd w:val="0"/>
              <w:snapToGrid w:val="0"/>
              <w:spacing w:before="78" w:beforeLines="2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②经历：具有10年或以上（含10年）施工管理工作经验，得</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分；具有5年（含5年）至10年（不含10年）施工管理工作经验，得</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pPr>
              <w:adjustRightInd w:val="0"/>
              <w:snapToGrid w:val="0"/>
              <w:rPr>
                <w:rFonts w:hint="eastAsia" w:ascii="宋体" w:hAnsi="宋体" w:cs="宋体"/>
                <w:color w:val="auto"/>
                <w:kern w:val="0"/>
                <w:sz w:val="20"/>
                <w:szCs w:val="20"/>
                <w:highlight w:val="none"/>
              </w:rPr>
            </w:pPr>
            <w:r>
              <w:rPr>
                <w:rFonts w:hint="eastAsia" w:ascii="宋体" w:hAnsi="宋体" w:eastAsia="宋体" w:cs="宋体"/>
                <w:color w:val="auto"/>
                <w:sz w:val="21"/>
                <w:szCs w:val="21"/>
                <w:highlight w:val="none"/>
              </w:rPr>
              <w:t>其他情况不得分。本小项最多得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064" w:type="dxa"/>
            <w:vMerge w:val="continue"/>
            <w:tcBorders>
              <w:left w:val="single" w:color="auto" w:sz="8" w:space="0"/>
              <w:right w:val="single" w:color="auto" w:sz="4" w:space="0"/>
            </w:tcBorders>
            <w:noWrap w:val="0"/>
            <w:vAlign w:val="center"/>
          </w:tcPr>
          <w:p>
            <w:pPr>
              <w:spacing w:line="280" w:lineRule="exact"/>
              <w:jc w:val="center"/>
              <w:rPr>
                <w:rFonts w:ascii="宋体" w:hAnsi="宋体"/>
                <w:color w:val="auto"/>
                <w:sz w:val="20"/>
                <w:szCs w:val="20"/>
                <w:highlight w:val="none"/>
              </w:rPr>
            </w:pPr>
          </w:p>
        </w:tc>
        <w:tc>
          <w:tcPr>
            <w:tcW w:w="469"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color w:val="auto"/>
                <w:sz w:val="20"/>
                <w:szCs w:val="20"/>
                <w:highlight w:val="none"/>
              </w:rPr>
            </w:pPr>
          </w:p>
        </w:tc>
        <w:tc>
          <w:tcPr>
            <w:tcW w:w="1303" w:type="dxa"/>
            <w:tcBorders>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1"/>
                <w:szCs w:val="21"/>
                <w:highlight w:val="none"/>
              </w:rPr>
              <w:t>质量负责人</w:t>
            </w:r>
          </w:p>
        </w:tc>
        <w:tc>
          <w:tcPr>
            <w:tcW w:w="675"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宋体" w:hAnsi="宋体" w:eastAsia="宋体"/>
                <w:color w:val="auto"/>
                <w:sz w:val="20"/>
                <w:szCs w:val="20"/>
                <w:highlight w:val="none"/>
                <w:lang w:val="en-US" w:eastAsia="zh-CN"/>
              </w:rPr>
            </w:pPr>
            <w:r>
              <w:rPr>
                <w:rFonts w:hint="eastAsia" w:ascii="宋体" w:hAnsi="宋体" w:cs="宋体"/>
                <w:color w:val="auto"/>
                <w:sz w:val="21"/>
                <w:szCs w:val="21"/>
                <w:highlight w:val="none"/>
                <w:lang w:val="en-US" w:eastAsia="zh-CN"/>
              </w:rPr>
              <w:t>10</w:t>
            </w:r>
          </w:p>
        </w:tc>
        <w:tc>
          <w:tcPr>
            <w:tcW w:w="114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78" w:beforeLines="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①从业能力：具有工程类相关专业中级或以上技术职称，得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adjustRightInd w:val="0"/>
              <w:snapToGrid w:val="0"/>
              <w:spacing w:before="78" w:beforeLines="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②经历：具有10年或以上（含10年）施工管理工作经验，得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分；具有5年（含5年）至10年（不含10年）施工管理工作经验，得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adjustRightInd w:val="0"/>
              <w:snapToGrid w:val="0"/>
              <w:rPr>
                <w:rFonts w:ascii="宋体" w:hAnsi="宋体" w:eastAsia="宋体"/>
                <w:color w:val="auto"/>
                <w:sz w:val="20"/>
                <w:szCs w:val="20"/>
                <w:highlight w:val="none"/>
              </w:rPr>
            </w:pPr>
            <w:r>
              <w:rPr>
                <w:rFonts w:hint="eastAsia" w:ascii="宋体" w:hAnsi="宋体" w:eastAsia="宋体" w:cs="宋体"/>
                <w:color w:val="auto"/>
                <w:sz w:val="21"/>
                <w:szCs w:val="21"/>
                <w:highlight w:val="none"/>
              </w:rPr>
              <w:t>其他情况不得分。本小项最多得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jc w:val="center"/>
        </w:trPr>
        <w:tc>
          <w:tcPr>
            <w:tcW w:w="1064" w:type="dxa"/>
            <w:vMerge w:val="continue"/>
            <w:tcBorders>
              <w:left w:val="single" w:color="auto" w:sz="8" w:space="0"/>
              <w:right w:val="single" w:color="auto" w:sz="4" w:space="0"/>
            </w:tcBorders>
            <w:noWrap w:val="0"/>
            <w:vAlign w:val="center"/>
          </w:tcPr>
          <w:p>
            <w:pPr>
              <w:spacing w:line="280" w:lineRule="exact"/>
              <w:jc w:val="center"/>
              <w:rPr>
                <w:rFonts w:ascii="宋体" w:hAnsi="宋体"/>
                <w:color w:val="auto"/>
                <w:sz w:val="20"/>
                <w:szCs w:val="20"/>
                <w:highlight w:val="none"/>
              </w:rPr>
            </w:pPr>
          </w:p>
        </w:tc>
        <w:tc>
          <w:tcPr>
            <w:tcW w:w="469"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color w:val="auto"/>
                <w:sz w:val="20"/>
                <w:szCs w:val="20"/>
                <w:highlight w:val="none"/>
              </w:rPr>
            </w:pPr>
          </w:p>
        </w:tc>
        <w:tc>
          <w:tcPr>
            <w:tcW w:w="1303" w:type="dxa"/>
            <w:tcBorders>
              <w:left w:val="single" w:color="auto" w:sz="4" w:space="0"/>
              <w:bottom w:val="single" w:color="auto" w:sz="4" w:space="0"/>
              <w:right w:val="single" w:color="auto" w:sz="4" w:space="0"/>
            </w:tcBorders>
            <w:noWrap w:val="0"/>
            <w:vAlign w:val="center"/>
          </w:tcPr>
          <w:p>
            <w:pPr>
              <w:widowControl/>
              <w:adjustRightInd w:val="0"/>
              <w:snapToGrid w:val="0"/>
              <w:spacing w:line="240" w:lineRule="auto"/>
              <w:jc w:val="center"/>
              <w:rPr>
                <w:rFonts w:ascii="宋体" w:hAnsi="宋体"/>
                <w:color w:val="auto"/>
                <w:sz w:val="20"/>
                <w:szCs w:val="20"/>
                <w:highlight w:val="none"/>
              </w:rPr>
            </w:pPr>
            <w:r>
              <w:rPr>
                <w:rFonts w:hint="eastAsia" w:ascii="宋体" w:hAnsi="宋体" w:eastAsia="宋体" w:cs="宋体"/>
                <w:color w:val="auto"/>
                <w:sz w:val="21"/>
                <w:szCs w:val="21"/>
                <w:highlight w:val="none"/>
              </w:rPr>
              <w:t>安全负责人</w:t>
            </w:r>
          </w:p>
        </w:tc>
        <w:tc>
          <w:tcPr>
            <w:tcW w:w="675" w:type="dxa"/>
            <w:tcBorders>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宋体" w:hAnsi="宋体" w:eastAsia="宋体"/>
                <w:color w:val="auto"/>
                <w:sz w:val="20"/>
                <w:szCs w:val="20"/>
                <w:highlight w:val="none"/>
                <w:lang w:val="en-US" w:eastAsia="zh-CN"/>
              </w:rPr>
            </w:pPr>
            <w:r>
              <w:rPr>
                <w:rFonts w:hint="eastAsia" w:ascii="宋体" w:hAnsi="宋体" w:cs="宋体"/>
                <w:color w:val="auto"/>
                <w:sz w:val="21"/>
                <w:szCs w:val="21"/>
                <w:highlight w:val="none"/>
                <w:lang w:val="en-US" w:eastAsia="zh-CN"/>
              </w:rPr>
              <w:t>10</w:t>
            </w:r>
          </w:p>
        </w:tc>
        <w:tc>
          <w:tcPr>
            <w:tcW w:w="114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①从业能力：具有有效期内</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注册安全工程师证书或具有工程类相关专业或安全工程专业中级或以上技术职称，且具有安全培训考核合格证（B类）或安全生产考核合格证（C类）或建筑施工企业项目负责人安全生产考核合格证书或建筑施工企业专职安全生产管理人员安全生产考核合格证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C3类</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②经历：具有10年或以上（含10年）施工管理工作经验，得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分；具有5年（含5年）至10年（不含10年）施工管理工作经验，得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adjustRightInd w:val="0"/>
              <w:snapToGrid w:val="0"/>
              <w:rPr>
                <w:rFonts w:ascii="宋体" w:hAnsi="宋体" w:cs="宋体"/>
                <w:color w:val="auto"/>
                <w:sz w:val="20"/>
                <w:szCs w:val="20"/>
                <w:highlight w:val="none"/>
              </w:rPr>
            </w:pPr>
            <w:r>
              <w:rPr>
                <w:rFonts w:hint="eastAsia" w:ascii="宋体" w:hAnsi="宋体" w:eastAsia="宋体" w:cs="宋体"/>
                <w:color w:val="auto"/>
                <w:sz w:val="21"/>
                <w:szCs w:val="21"/>
                <w:highlight w:val="none"/>
              </w:rPr>
              <w:t>其他情况不得分。本小项最多得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1064" w:type="dxa"/>
            <w:vMerge w:val="continue"/>
            <w:tcBorders>
              <w:left w:val="single" w:color="auto" w:sz="8" w:space="0"/>
              <w:right w:val="single" w:color="auto" w:sz="4" w:space="0"/>
            </w:tcBorders>
            <w:noWrap w:val="0"/>
            <w:vAlign w:val="center"/>
          </w:tcPr>
          <w:p>
            <w:pPr>
              <w:spacing w:line="280" w:lineRule="exact"/>
              <w:jc w:val="center"/>
              <w:rPr>
                <w:rFonts w:ascii="宋体" w:hAnsi="宋体"/>
                <w:color w:val="auto"/>
                <w:sz w:val="20"/>
                <w:szCs w:val="20"/>
                <w:highlight w:val="none"/>
              </w:rPr>
            </w:pPr>
          </w:p>
        </w:tc>
        <w:tc>
          <w:tcPr>
            <w:tcW w:w="469"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color w:val="auto"/>
                <w:sz w:val="20"/>
                <w:szCs w:val="20"/>
                <w:highlight w:val="none"/>
              </w:rPr>
            </w:pPr>
          </w:p>
        </w:tc>
        <w:tc>
          <w:tcPr>
            <w:tcW w:w="1303" w:type="dxa"/>
            <w:tcBorders>
              <w:left w:val="single" w:color="auto" w:sz="4" w:space="0"/>
              <w:right w:val="single" w:color="auto" w:sz="4" w:space="0"/>
            </w:tcBorders>
            <w:noWrap w:val="0"/>
            <w:vAlign w:val="center"/>
          </w:tcPr>
          <w:p>
            <w:pPr>
              <w:widowControl/>
              <w:adjustRightInd w:val="0"/>
              <w:snapToGrid w:val="0"/>
              <w:jc w:val="center"/>
              <w:rPr>
                <w:rFonts w:hint="eastAsia" w:ascii="宋体" w:hAnsi="宋体" w:cs="宋体"/>
                <w:color w:val="auto"/>
                <w:kern w:val="0"/>
                <w:sz w:val="20"/>
                <w:szCs w:val="20"/>
                <w:highlight w:val="none"/>
              </w:rPr>
            </w:pPr>
            <w:r>
              <w:rPr>
                <w:rFonts w:hint="eastAsia" w:ascii="宋体" w:hAnsi="宋体" w:eastAsia="宋体" w:cs="宋体"/>
                <w:color w:val="auto"/>
                <w:sz w:val="21"/>
                <w:szCs w:val="21"/>
                <w:highlight w:val="none"/>
              </w:rPr>
              <w:t>造价负责人</w:t>
            </w:r>
          </w:p>
        </w:tc>
        <w:tc>
          <w:tcPr>
            <w:tcW w:w="675" w:type="dxa"/>
            <w:tcBorders>
              <w:left w:val="single" w:color="auto" w:sz="4" w:space="0"/>
              <w:right w:val="single" w:color="auto" w:sz="4" w:space="0"/>
            </w:tcBorders>
            <w:noWrap w:val="0"/>
            <w:vAlign w:val="center"/>
          </w:tcPr>
          <w:p>
            <w:pPr>
              <w:widowControl/>
              <w:adjustRightInd w:val="0"/>
              <w:snapToGrid w:val="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1"/>
                <w:szCs w:val="21"/>
                <w:highlight w:val="none"/>
                <w:lang w:val="en-US" w:eastAsia="zh-CN"/>
              </w:rPr>
              <w:t>10</w:t>
            </w:r>
          </w:p>
        </w:tc>
        <w:tc>
          <w:tcPr>
            <w:tcW w:w="114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①从业能力：具有有效的一级注册造价工程师证书或具有造价专业中级或以上技术职称，得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②经历：具有10年或以上（含10年）造价管理工作经验，得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分；具有5年（含5年）至10年（不含10年）造价管理工作经验，得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adjustRightInd w:val="0"/>
              <w:snapToGrid w:val="0"/>
              <w:rPr>
                <w:rFonts w:hint="eastAsia" w:ascii="宋体" w:hAnsi="宋体" w:eastAsia="宋体" w:cs="宋体"/>
                <w:color w:val="auto"/>
                <w:sz w:val="20"/>
                <w:szCs w:val="20"/>
                <w:highlight w:val="none"/>
                <w:u w:val="none"/>
              </w:rPr>
            </w:pPr>
            <w:r>
              <w:rPr>
                <w:rFonts w:hint="eastAsia" w:ascii="宋体" w:hAnsi="宋体" w:eastAsia="宋体" w:cs="宋体"/>
                <w:color w:val="auto"/>
                <w:sz w:val="21"/>
                <w:szCs w:val="21"/>
                <w:highlight w:val="none"/>
              </w:rPr>
              <w:t>其他情况不得分。本小项最多得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1064" w:type="dxa"/>
            <w:vMerge w:val="continue"/>
            <w:tcBorders>
              <w:left w:val="single" w:color="auto" w:sz="8" w:space="0"/>
              <w:right w:val="single" w:color="auto" w:sz="4" w:space="0"/>
            </w:tcBorders>
            <w:noWrap w:val="0"/>
            <w:vAlign w:val="center"/>
          </w:tcPr>
          <w:p>
            <w:pPr>
              <w:spacing w:line="280" w:lineRule="exact"/>
              <w:jc w:val="center"/>
              <w:rPr>
                <w:rFonts w:ascii="宋体" w:hAnsi="宋体"/>
                <w:color w:val="auto"/>
                <w:sz w:val="20"/>
                <w:szCs w:val="20"/>
                <w:highlight w:val="none"/>
              </w:rPr>
            </w:pPr>
          </w:p>
        </w:tc>
        <w:tc>
          <w:tcPr>
            <w:tcW w:w="469" w:type="dxa"/>
            <w:vMerge w:val="continue"/>
            <w:tcBorders>
              <w:left w:val="single" w:color="auto" w:sz="4" w:space="0"/>
              <w:right w:val="single" w:color="auto" w:sz="4" w:space="0"/>
            </w:tcBorders>
            <w:noWrap w:val="0"/>
            <w:vAlign w:val="center"/>
          </w:tcPr>
          <w:p>
            <w:pPr>
              <w:widowControl/>
              <w:spacing w:line="280" w:lineRule="exact"/>
              <w:jc w:val="left"/>
              <w:rPr>
                <w:rFonts w:hint="eastAsia" w:ascii="宋体" w:hAnsi="宋体"/>
                <w:color w:val="auto"/>
                <w:sz w:val="20"/>
                <w:szCs w:val="20"/>
                <w:highlight w:val="none"/>
              </w:rPr>
            </w:pPr>
          </w:p>
        </w:tc>
        <w:tc>
          <w:tcPr>
            <w:tcW w:w="1303" w:type="dxa"/>
            <w:tcBorders>
              <w:left w:val="single" w:color="auto" w:sz="4" w:space="0"/>
              <w:right w:val="single" w:color="auto" w:sz="4" w:space="0"/>
            </w:tcBorders>
            <w:noWrap w:val="0"/>
            <w:vAlign w:val="center"/>
          </w:tcPr>
          <w:p>
            <w:pPr>
              <w:widowControl/>
              <w:adjustRightInd w:val="0"/>
              <w:snapToGrid w:val="0"/>
              <w:spacing w:line="240" w:lineRule="auto"/>
              <w:jc w:val="center"/>
              <w:rPr>
                <w:rFonts w:hint="eastAsia" w:ascii="宋体" w:hAnsi="宋体" w:cs="宋体"/>
                <w:color w:val="auto"/>
                <w:kern w:val="0"/>
                <w:sz w:val="20"/>
                <w:szCs w:val="20"/>
                <w:highlight w:val="none"/>
              </w:rPr>
            </w:pPr>
            <w:r>
              <w:rPr>
                <w:rFonts w:hint="eastAsia" w:ascii="宋体" w:hAnsi="宋体" w:eastAsia="宋体" w:cs="宋体"/>
                <w:color w:val="auto"/>
                <w:sz w:val="21"/>
                <w:szCs w:val="21"/>
                <w:highlight w:val="none"/>
              </w:rPr>
              <w:t>其他专业工程师</w:t>
            </w:r>
          </w:p>
        </w:tc>
        <w:tc>
          <w:tcPr>
            <w:tcW w:w="675" w:type="dxa"/>
            <w:tcBorders>
              <w:left w:val="single" w:color="auto" w:sz="4" w:space="0"/>
              <w:right w:val="single" w:color="auto" w:sz="4" w:space="0"/>
            </w:tcBorders>
            <w:noWrap w:val="0"/>
            <w:vAlign w:val="center"/>
          </w:tcPr>
          <w:p>
            <w:pPr>
              <w:widowControl/>
              <w:adjustRightInd w:val="0"/>
              <w:snapToGrid w:val="0"/>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0</w:t>
            </w:r>
          </w:p>
        </w:tc>
        <w:tc>
          <w:tcPr>
            <w:tcW w:w="114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从业能力：每个专业的工程师（该专业有多名工程师的，只计1人）具有对应专业（中级或以上）技术职称的，每专业得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分，最高得 </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【其他专业指：1、给排水类；</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岩土</w:t>
            </w:r>
            <w:r>
              <w:rPr>
                <w:rFonts w:hint="eastAsia" w:ascii="宋体" w:hAnsi="宋体" w:eastAsia="宋体" w:cs="宋体"/>
                <w:color w:val="auto"/>
                <w:sz w:val="21"/>
                <w:szCs w:val="21"/>
                <w:highlight w:val="none"/>
              </w:rPr>
              <w:t>类】</w:t>
            </w:r>
          </w:p>
          <w:p>
            <w:pPr>
              <w:adjustRightInd w:val="0"/>
              <w:snapToGrid w:val="0"/>
              <w:rPr>
                <w:rFonts w:hint="eastAsia" w:ascii="宋体" w:hAnsi="宋体" w:eastAsia="宋体" w:cs="宋体"/>
                <w:color w:val="auto"/>
                <w:sz w:val="20"/>
                <w:szCs w:val="20"/>
                <w:highlight w:val="none"/>
                <w:u w:val="single"/>
              </w:rPr>
            </w:pPr>
            <w:r>
              <w:rPr>
                <w:rFonts w:hint="eastAsia" w:ascii="宋体" w:hAnsi="宋体" w:eastAsia="宋体" w:cs="宋体"/>
                <w:color w:val="auto"/>
                <w:sz w:val="21"/>
                <w:szCs w:val="21"/>
                <w:highlight w:val="none"/>
              </w:rPr>
              <w:t>注:具体专业名称按照职称证书所列相关专业进行评审。</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1533" w:type="dxa"/>
            <w:gridSpan w:val="2"/>
            <w:tcBorders>
              <w:left w:val="single" w:color="auto" w:sz="8" w:space="0"/>
              <w:bottom w:val="single" w:color="auto" w:sz="4" w:space="0"/>
              <w:right w:val="single" w:color="auto" w:sz="4" w:space="0"/>
            </w:tcBorders>
            <w:noWrap w:val="0"/>
            <w:vAlign w:val="center"/>
          </w:tcPr>
          <w:p>
            <w:pPr>
              <w:widowControl/>
              <w:spacing w:line="280" w:lineRule="exact"/>
              <w:jc w:val="left"/>
              <w:rPr>
                <w:rFonts w:hint="eastAsia" w:ascii="宋体" w:hAnsi="宋体"/>
                <w:color w:val="auto"/>
                <w:sz w:val="20"/>
                <w:szCs w:val="20"/>
                <w:highlight w:val="none"/>
              </w:rPr>
            </w:pPr>
          </w:p>
        </w:tc>
        <w:tc>
          <w:tcPr>
            <w:tcW w:w="13469" w:type="dxa"/>
            <w:gridSpan w:val="3"/>
            <w:tcBorders>
              <w:left w:val="single" w:color="auto" w:sz="4" w:space="0"/>
              <w:bottom w:val="single" w:color="auto" w:sz="4" w:space="0"/>
              <w:right w:val="single" w:color="auto" w:sz="4" w:space="0"/>
            </w:tcBorders>
            <w:noWrap w:val="0"/>
            <w:vAlign w:val="center"/>
          </w:tcPr>
          <w:p>
            <w:pPr>
              <w:pStyle w:val="21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注：①上述人员须提供身份证、毕业证书（大学专科(或以上)学历）及投标截止前近一个月（202</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月）有效社保证明、有效期内的注册证及有效期内的安全</w:t>
            </w:r>
            <w:r>
              <w:rPr>
                <w:rFonts w:hint="eastAsia" w:ascii="宋体" w:hAnsi="宋体" w:eastAsia="宋体" w:cs="宋体"/>
                <w:color w:val="auto"/>
                <w:sz w:val="20"/>
                <w:szCs w:val="20"/>
                <w:highlight w:val="none"/>
                <w:lang w:val="en-US" w:eastAsia="zh-CN"/>
              </w:rPr>
              <w:t>生产</w:t>
            </w:r>
            <w:r>
              <w:rPr>
                <w:rFonts w:hint="eastAsia" w:ascii="宋体" w:hAnsi="宋体" w:eastAsia="宋体" w:cs="宋体"/>
                <w:color w:val="auto"/>
                <w:sz w:val="20"/>
                <w:szCs w:val="20"/>
                <w:highlight w:val="none"/>
              </w:rPr>
              <w:t>考核合格证（</w:t>
            </w:r>
            <w:r>
              <w:rPr>
                <w:rFonts w:ascii="宋体" w:hAnsi="宋体" w:eastAsia="宋体" w:cs="宋体"/>
                <w:color w:val="auto"/>
                <w:sz w:val="20"/>
                <w:szCs w:val="20"/>
                <w:highlight w:val="none"/>
              </w:rPr>
              <w:t>B</w:t>
            </w:r>
            <w:r>
              <w:rPr>
                <w:rFonts w:hint="eastAsia" w:ascii="宋体" w:hAnsi="宋体" w:eastAsia="宋体" w:cs="宋体"/>
                <w:color w:val="auto"/>
                <w:sz w:val="20"/>
                <w:szCs w:val="20"/>
                <w:highlight w:val="none"/>
              </w:rPr>
              <w:t>类）或安全</w:t>
            </w:r>
            <w:r>
              <w:rPr>
                <w:rFonts w:hint="eastAsia" w:ascii="宋体" w:hAnsi="宋体" w:eastAsia="宋体" w:cs="宋体"/>
                <w:color w:val="auto"/>
                <w:sz w:val="20"/>
                <w:szCs w:val="20"/>
                <w:highlight w:val="none"/>
                <w:lang w:val="en-US" w:eastAsia="zh-CN"/>
              </w:rPr>
              <w:t>生产</w:t>
            </w:r>
            <w:r>
              <w:rPr>
                <w:rFonts w:hint="eastAsia" w:ascii="宋体" w:hAnsi="宋体" w:eastAsia="宋体" w:cs="宋体"/>
                <w:color w:val="auto"/>
                <w:sz w:val="20"/>
                <w:szCs w:val="20"/>
                <w:highlight w:val="none"/>
              </w:rPr>
              <w:t>考核合格证（</w:t>
            </w:r>
            <w:r>
              <w:rPr>
                <w:rFonts w:ascii="宋体" w:hAnsi="宋体" w:eastAsia="宋体" w:cs="宋体"/>
                <w:color w:val="auto"/>
                <w:sz w:val="20"/>
                <w:szCs w:val="20"/>
                <w:highlight w:val="none"/>
              </w:rPr>
              <w:t>C</w:t>
            </w:r>
            <w:r>
              <w:rPr>
                <w:rFonts w:hint="eastAsia" w:ascii="宋体" w:hAnsi="宋体" w:eastAsia="宋体" w:cs="宋体"/>
                <w:color w:val="auto"/>
                <w:sz w:val="20"/>
                <w:szCs w:val="20"/>
                <w:highlight w:val="none"/>
              </w:rPr>
              <w:t>类）</w:t>
            </w:r>
            <w:r>
              <w:rPr>
                <w:rFonts w:hint="eastAsia" w:ascii="宋体" w:hAnsi="宋体" w:eastAsia="宋体" w:cs="宋体"/>
                <w:color w:val="auto"/>
                <w:kern w:val="2"/>
                <w:sz w:val="20"/>
                <w:szCs w:val="20"/>
                <w:highlight w:val="none"/>
                <w:lang w:bidi="ar"/>
              </w:rPr>
              <w:t>或建筑施工企业项目负责人安全生产考核合格证书或建筑施工企业专职安全生产管理人员安全生产考核合格证书</w:t>
            </w:r>
            <w:r>
              <w:rPr>
                <w:rFonts w:hint="eastAsia" w:ascii="宋体" w:hAnsi="宋体" w:eastAsia="宋体" w:cs="宋体"/>
                <w:color w:val="auto"/>
                <w:kern w:val="2"/>
                <w:sz w:val="20"/>
                <w:szCs w:val="20"/>
                <w:highlight w:val="none"/>
                <w:lang w:eastAsia="zh-CN" w:bidi="ar"/>
              </w:rPr>
              <w:t>（</w:t>
            </w:r>
            <w:r>
              <w:rPr>
                <w:rFonts w:hint="eastAsia" w:ascii="宋体" w:hAnsi="宋体" w:eastAsia="宋体" w:cs="宋体"/>
                <w:color w:val="auto"/>
                <w:kern w:val="2"/>
                <w:sz w:val="20"/>
                <w:szCs w:val="20"/>
                <w:highlight w:val="none"/>
                <w:lang w:val="en-US" w:eastAsia="zh-CN" w:bidi="ar"/>
              </w:rPr>
              <w:t>C3类</w:t>
            </w:r>
            <w:r>
              <w:rPr>
                <w:rFonts w:hint="eastAsia" w:ascii="宋体" w:hAnsi="宋体" w:eastAsia="宋体" w:cs="宋体"/>
                <w:color w:val="auto"/>
                <w:kern w:val="2"/>
                <w:sz w:val="20"/>
                <w:szCs w:val="20"/>
                <w:highlight w:val="none"/>
                <w:lang w:eastAsia="zh-CN" w:bidi="ar"/>
              </w:rPr>
              <w:t>）</w:t>
            </w:r>
            <w:r>
              <w:rPr>
                <w:rFonts w:hint="eastAsia" w:ascii="宋体" w:hAnsi="宋体" w:eastAsia="宋体" w:cs="宋体"/>
                <w:color w:val="auto"/>
                <w:kern w:val="2"/>
                <w:sz w:val="20"/>
                <w:szCs w:val="20"/>
                <w:highlight w:val="none"/>
                <w:lang w:bidi="ar"/>
              </w:rPr>
              <w:t>，所有</w:t>
            </w:r>
            <w:r>
              <w:rPr>
                <w:rFonts w:hint="eastAsia" w:ascii="宋体" w:hAnsi="宋体" w:eastAsia="宋体" w:cs="宋体"/>
                <w:color w:val="auto"/>
                <w:sz w:val="20"/>
                <w:szCs w:val="20"/>
                <w:highlight w:val="none"/>
              </w:rPr>
              <w:t>资料为</w:t>
            </w:r>
            <w:r>
              <w:rPr>
                <w:rFonts w:hint="eastAsia" w:ascii="宋体" w:hAnsi="宋体" w:eastAsia="宋体" w:cs="宋体"/>
                <w:color w:val="auto"/>
                <w:sz w:val="20"/>
                <w:szCs w:val="20"/>
                <w:highlight w:val="none"/>
                <w:u w:val="single"/>
              </w:rPr>
              <w:t>清晰</w:t>
            </w:r>
            <w:r>
              <w:rPr>
                <w:rFonts w:hint="eastAsia" w:ascii="宋体" w:hAnsi="宋体" w:eastAsia="宋体" w:cs="宋体"/>
                <w:color w:val="auto"/>
                <w:sz w:val="20"/>
                <w:szCs w:val="20"/>
                <w:highlight w:val="none"/>
              </w:rPr>
              <w:t>扫描件并加盖投标人电子</w:t>
            </w:r>
            <w:r>
              <w:rPr>
                <w:rFonts w:hint="eastAsia" w:ascii="宋体" w:hAnsi="宋体" w:eastAsia="宋体" w:cs="宋体"/>
                <w:color w:val="auto"/>
                <w:sz w:val="20"/>
                <w:szCs w:val="20"/>
                <w:highlight w:val="none"/>
                <w:lang w:val="en-US" w:eastAsia="zh-CN"/>
              </w:rPr>
              <w:t>公</w:t>
            </w:r>
            <w:r>
              <w:rPr>
                <w:rFonts w:hint="eastAsia" w:ascii="宋体" w:hAnsi="宋体" w:eastAsia="宋体" w:cs="宋体"/>
                <w:color w:val="auto"/>
                <w:sz w:val="20"/>
                <w:szCs w:val="20"/>
                <w:highlight w:val="none"/>
              </w:rPr>
              <w:t>章；</w:t>
            </w:r>
          </w:p>
          <w:p>
            <w:pPr>
              <w:pStyle w:val="216"/>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②工作经验年限从毕业证书的核发时间（大学专科(或以上)学历）起计，造价负责人如非本专业毕业，则工作经验年限从取得注册造价师证书或造价专业工程师（或以上）技术职称的核发时间起计；</w:t>
            </w:r>
          </w:p>
          <w:p>
            <w:pPr>
              <w:pStyle w:val="216"/>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③按照《造价工程师职业资格制度规定》的规定，根据原人事部、原建设部发布的《造价工程师执业资格制度暂行规定》（人发[1996]77号）取得的造价工程师执业资格，并经注册且在有效期内的，等同于一级注册造价工程师。</w:t>
            </w:r>
          </w:p>
          <w:p>
            <w:pPr>
              <w:pStyle w:val="21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④</w:t>
            </w:r>
            <w:r>
              <w:rPr>
                <w:rFonts w:hint="eastAsia" w:ascii="宋体" w:hAnsi="宋体" w:eastAsia="宋体" w:cs="宋体"/>
                <w:color w:val="auto"/>
                <w:sz w:val="20"/>
                <w:szCs w:val="20"/>
                <w:highlight w:val="none"/>
              </w:rPr>
              <w:t>项目负责人、技术负责人、质量负责人、安全负责人、造价负责人、其他专业工程师不得兼任，且安全负责人不能同时兼任专职安全员。</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1064" w:type="dxa"/>
            <w:vMerge w:val="restart"/>
            <w:tcBorders>
              <w:top w:val="single" w:color="auto" w:sz="4" w:space="0"/>
              <w:left w:val="single" w:color="auto" w:sz="8" w:space="0"/>
              <w:right w:val="single" w:color="auto" w:sz="4" w:space="0"/>
            </w:tcBorders>
            <w:noWrap w:val="0"/>
            <w:vAlign w:val="center"/>
          </w:tcPr>
          <w:p>
            <w:pPr>
              <w:pStyle w:val="216"/>
              <w:rPr>
                <w:rFonts w:ascii="宋体" w:hAnsi="宋体" w:eastAsia="宋体"/>
                <w:b/>
                <w:color w:val="auto"/>
                <w:sz w:val="20"/>
                <w:szCs w:val="20"/>
                <w:highlight w:val="none"/>
              </w:rPr>
            </w:pPr>
            <w:r>
              <w:rPr>
                <w:rFonts w:hint="eastAsia" w:ascii="宋体" w:hAnsi="宋体" w:eastAsia="宋体"/>
                <w:color w:val="auto"/>
                <w:sz w:val="20"/>
                <w:szCs w:val="20"/>
                <w:highlight w:val="none"/>
                <w:lang w:val="en-US" w:eastAsia="zh-CN"/>
              </w:rPr>
              <w:t>二</w:t>
            </w:r>
            <w:r>
              <w:rPr>
                <w:rFonts w:hint="eastAsia" w:ascii="宋体" w:hAnsi="宋体" w:eastAsia="宋体"/>
                <w:color w:val="auto"/>
                <w:sz w:val="20"/>
                <w:szCs w:val="20"/>
                <w:highlight w:val="none"/>
              </w:rPr>
              <w:t>、企业资信（30分）</w:t>
            </w:r>
          </w:p>
        </w:tc>
        <w:tc>
          <w:tcPr>
            <w:tcW w:w="1772" w:type="dxa"/>
            <w:gridSpan w:val="2"/>
            <w:tcBorders>
              <w:left w:val="single" w:color="auto" w:sz="4" w:space="0"/>
              <w:bottom w:val="single" w:color="auto" w:sz="4" w:space="0"/>
              <w:right w:val="single" w:color="auto" w:sz="4" w:space="0"/>
            </w:tcBorders>
            <w:noWrap w:val="0"/>
            <w:vAlign w:val="center"/>
          </w:tcPr>
          <w:p>
            <w:pPr>
              <w:pStyle w:val="216"/>
              <w:rPr>
                <w:rFonts w:ascii="宋体" w:hAnsi="宋体" w:eastAsia="宋体"/>
                <w:color w:val="auto"/>
                <w:sz w:val="20"/>
                <w:szCs w:val="20"/>
                <w:highlight w:val="none"/>
              </w:rPr>
            </w:pPr>
            <w:r>
              <w:rPr>
                <w:rFonts w:hint="eastAsia" w:ascii="宋体" w:hAnsi="宋体" w:eastAsia="宋体"/>
                <w:color w:val="auto"/>
                <w:sz w:val="20"/>
                <w:szCs w:val="20"/>
                <w:highlight w:val="none"/>
              </w:rPr>
              <w:t>企业类似工程业绩</w:t>
            </w: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216"/>
              <w:jc w:val="center"/>
              <w:rPr>
                <w:rFonts w:hint="eastAsia" w:ascii="宋体" w:hAnsi="宋体" w:eastAsia="宋体"/>
                <w:color w:val="auto"/>
                <w:sz w:val="20"/>
                <w:szCs w:val="20"/>
                <w:highlight w:val="none"/>
                <w:lang w:eastAsia="zh-CN"/>
              </w:rPr>
            </w:pPr>
            <w:r>
              <w:rPr>
                <w:rFonts w:hint="eastAsia" w:ascii="宋体" w:hAnsi="宋体" w:eastAsia="宋体"/>
                <w:color w:val="auto"/>
                <w:sz w:val="20"/>
                <w:szCs w:val="20"/>
                <w:highlight w:val="none"/>
                <w:lang w:val="en-US" w:eastAsia="zh-CN"/>
              </w:rPr>
              <w:t>4</w:t>
            </w:r>
          </w:p>
        </w:tc>
        <w:tc>
          <w:tcPr>
            <w:tcW w:w="11491" w:type="dxa"/>
            <w:tcBorders>
              <w:top w:val="single" w:color="auto" w:sz="4" w:space="0"/>
              <w:left w:val="single" w:color="auto" w:sz="4" w:space="0"/>
              <w:bottom w:val="single" w:color="auto" w:sz="4" w:space="0"/>
              <w:right w:val="single" w:color="auto" w:sz="4" w:space="0"/>
            </w:tcBorders>
            <w:noWrap w:val="0"/>
            <w:vAlign w:val="center"/>
          </w:tcPr>
          <w:p>
            <w:pPr>
              <w:pStyle w:val="216"/>
              <w:jc w:val="left"/>
              <w:rPr>
                <w:rFonts w:hint="eastAsia" w:ascii="宋体" w:hAnsi="宋体" w:eastAsia="宋体"/>
                <w:color w:val="auto"/>
                <w:sz w:val="20"/>
                <w:szCs w:val="20"/>
                <w:highlight w:val="none"/>
              </w:rPr>
            </w:pPr>
            <w:r>
              <w:rPr>
                <w:rFonts w:hint="eastAsia" w:ascii="宋体" w:hAnsi="宋体" w:eastAsia="宋体"/>
                <w:color w:val="auto"/>
                <w:sz w:val="20"/>
                <w:szCs w:val="20"/>
                <w:highlight w:val="none"/>
              </w:rPr>
              <w:t>投标人自20</w:t>
            </w:r>
            <w:r>
              <w:rPr>
                <w:rFonts w:hint="eastAsia" w:ascii="宋体" w:hAnsi="宋体" w:eastAsia="宋体"/>
                <w:color w:val="auto"/>
                <w:sz w:val="20"/>
                <w:szCs w:val="20"/>
                <w:highlight w:val="none"/>
                <w:lang w:val="en-US" w:eastAsia="zh-CN"/>
              </w:rPr>
              <w:t>20</w:t>
            </w:r>
            <w:r>
              <w:rPr>
                <w:rFonts w:hint="eastAsia" w:ascii="宋体" w:hAnsi="宋体" w:eastAsia="宋体"/>
                <w:color w:val="auto"/>
                <w:sz w:val="20"/>
                <w:szCs w:val="20"/>
                <w:highlight w:val="none"/>
              </w:rPr>
              <w:t>年1月1日至今完成过质量合格</w:t>
            </w:r>
            <w:r>
              <w:rPr>
                <w:rFonts w:hint="eastAsia" w:ascii="宋体" w:hAnsi="宋体" w:eastAsia="宋体"/>
                <w:color w:val="auto"/>
                <w:sz w:val="20"/>
                <w:szCs w:val="20"/>
                <w:highlight w:val="none"/>
                <w:u w:val="single"/>
              </w:rPr>
              <w:t>且造价金额大于或等于</w:t>
            </w:r>
            <w:r>
              <w:rPr>
                <w:rFonts w:hint="eastAsia" w:ascii="宋体" w:hAnsi="宋体" w:eastAsia="宋体"/>
                <w:color w:val="auto"/>
                <w:sz w:val="20"/>
                <w:szCs w:val="20"/>
                <w:highlight w:val="none"/>
                <w:u w:val="single"/>
                <w:lang w:val="en-US" w:eastAsia="zh-CN"/>
              </w:rPr>
              <w:t>1400万元</w:t>
            </w:r>
            <w:r>
              <w:rPr>
                <w:rFonts w:hint="eastAsia" w:ascii="宋体" w:hAnsi="宋体" w:eastAsia="宋体"/>
                <w:color w:val="auto"/>
                <w:sz w:val="20"/>
                <w:szCs w:val="20"/>
                <w:highlight w:val="none"/>
              </w:rPr>
              <w:t>的市政</w:t>
            </w:r>
            <w:r>
              <w:rPr>
                <w:rFonts w:hint="eastAsia" w:ascii="宋体" w:hAnsi="宋体" w:eastAsia="宋体"/>
                <w:color w:val="auto"/>
                <w:sz w:val="20"/>
                <w:szCs w:val="20"/>
                <w:highlight w:val="none"/>
                <w:lang w:val="en-US" w:eastAsia="zh-CN"/>
              </w:rPr>
              <w:t>公用</w:t>
            </w:r>
            <w:r>
              <w:rPr>
                <w:rFonts w:hint="eastAsia" w:ascii="宋体" w:hAnsi="宋体" w:eastAsia="宋体"/>
                <w:color w:val="auto"/>
                <w:sz w:val="20"/>
                <w:szCs w:val="20"/>
                <w:highlight w:val="none"/>
              </w:rPr>
              <w:t>工程业绩一项得</w:t>
            </w:r>
            <w:r>
              <w:rPr>
                <w:rFonts w:hint="eastAsia" w:ascii="宋体" w:hAnsi="宋体" w:eastAsia="宋体"/>
                <w:color w:val="auto"/>
                <w:sz w:val="20"/>
                <w:szCs w:val="20"/>
                <w:highlight w:val="none"/>
                <w:u w:val="single"/>
              </w:rPr>
              <w:t xml:space="preserve"> </w:t>
            </w:r>
            <w:r>
              <w:rPr>
                <w:rFonts w:hint="eastAsia" w:ascii="宋体" w:hAnsi="宋体" w:eastAsia="宋体"/>
                <w:color w:val="auto"/>
                <w:sz w:val="20"/>
                <w:szCs w:val="20"/>
                <w:highlight w:val="none"/>
                <w:u w:val="single"/>
                <w:lang w:val="en-US" w:eastAsia="zh-CN"/>
              </w:rPr>
              <w:t>0.5</w:t>
            </w:r>
            <w:r>
              <w:rPr>
                <w:rFonts w:hint="eastAsia" w:ascii="宋体" w:hAnsi="宋体" w:eastAsia="宋体"/>
                <w:color w:val="auto"/>
                <w:sz w:val="20"/>
                <w:szCs w:val="20"/>
                <w:highlight w:val="none"/>
                <w:u w:val="single"/>
              </w:rPr>
              <w:t xml:space="preserve"> </w:t>
            </w:r>
            <w:r>
              <w:rPr>
                <w:rFonts w:hint="eastAsia" w:ascii="宋体" w:hAnsi="宋体" w:eastAsia="宋体"/>
                <w:color w:val="auto"/>
                <w:sz w:val="20"/>
                <w:szCs w:val="20"/>
                <w:highlight w:val="none"/>
              </w:rPr>
              <w:t>分；最多得</w:t>
            </w:r>
            <w:r>
              <w:rPr>
                <w:rFonts w:hint="eastAsia" w:ascii="宋体" w:hAnsi="宋体" w:eastAsia="宋体"/>
                <w:color w:val="auto"/>
                <w:sz w:val="20"/>
                <w:szCs w:val="20"/>
                <w:highlight w:val="none"/>
                <w:u w:val="single"/>
              </w:rPr>
              <w:t xml:space="preserve"> </w:t>
            </w:r>
            <w:r>
              <w:rPr>
                <w:rFonts w:hint="eastAsia" w:ascii="宋体" w:hAnsi="宋体" w:eastAsia="宋体"/>
                <w:color w:val="auto"/>
                <w:sz w:val="20"/>
                <w:szCs w:val="20"/>
                <w:highlight w:val="none"/>
                <w:u w:val="single"/>
                <w:lang w:val="en-US" w:eastAsia="zh-CN"/>
              </w:rPr>
              <w:t xml:space="preserve">4 </w:t>
            </w:r>
            <w:r>
              <w:rPr>
                <w:rFonts w:hint="eastAsia" w:ascii="宋体" w:hAnsi="宋体" w:eastAsia="宋体"/>
                <w:color w:val="auto"/>
                <w:sz w:val="20"/>
                <w:szCs w:val="20"/>
                <w:highlight w:val="none"/>
              </w:rPr>
              <w:t>分，无类似业绩不得分。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064" w:type="dxa"/>
            <w:vMerge w:val="continue"/>
            <w:tcBorders>
              <w:left w:val="single" w:color="auto" w:sz="8" w:space="0"/>
              <w:right w:val="single" w:color="auto" w:sz="4" w:space="0"/>
            </w:tcBorders>
            <w:noWrap w:val="0"/>
            <w:vAlign w:val="center"/>
          </w:tcPr>
          <w:p>
            <w:pPr>
              <w:pStyle w:val="216"/>
              <w:ind w:firstLine="400" w:firstLineChars="200"/>
              <w:rPr>
                <w:rFonts w:ascii="宋体" w:hAnsi="宋体" w:eastAsia="宋体"/>
                <w:color w:val="auto"/>
                <w:sz w:val="20"/>
                <w:szCs w:val="20"/>
                <w:highlight w:val="none"/>
              </w:rPr>
            </w:pPr>
          </w:p>
        </w:tc>
        <w:tc>
          <w:tcPr>
            <w:tcW w:w="1772" w:type="dxa"/>
            <w:gridSpan w:val="2"/>
            <w:tcBorders>
              <w:left w:val="single" w:color="auto" w:sz="4" w:space="0"/>
              <w:bottom w:val="single" w:color="auto" w:sz="4" w:space="0"/>
              <w:right w:val="single" w:color="auto" w:sz="4" w:space="0"/>
            </w:tcBorders>
            <w:noWrap w:val="0"/>
            <w:vAlign w:val="center"/>
          </w:tcPr>
          <w:p>
            <w:pPr>
              <w:pStyle w:val="216"/>
              <w:rPr>
                <w:rFonts w:ascii="宋体" w:hAnsi="宋体" w:eastAsia="宋体"/>
                <w:color w:val="auto"/>
                <w:sz w:val="20"/>
                <w:szCs w:val="20"/>
                <w:highlight w:val="none"/>
              </w:rPr>
            </w:pPr>
            <w:r>
              <w:rPr>
                <w:rFonts w:hint="eastAsia" w:ascii="宋体" w:hAnsi="宋体" w:eastAsia="宋体"/>
                <w:color w:val="auto"/>
                <w:sz w:val="20"/>
                <w:szCs w:val="20"/>
                <w:highlight w:val="none"/>
              </w:rPr>
              <w:t>企业工程项目获奖情况</w:t>
            </w: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216"/>
              <w:jc w:val="center"/>
              <w:rPr>
                <w:rFonts w:hint="eastAsia" w:ascii="宋体" w:hAnsi="宋体" w:eastAsia="宋体"/>
                <w:color w:val="auto"/>
                <w:sz w:val="20"/>
                <w:szCs w:val="20"/>
                <w:highlight w:val="none"/>
                <w:lang w:eastAsia="zh-CN"/>
              </w:rPr>
            </w:pPr>
            <w:r>
              <w:rPr>
                <w:rFonts w:hint="eastAsia" w:ascii="宋体" w:hAnsi="宋体" w:eastAsia="宋体"/>
                <w:color w:val="auto"/>
                <w:sz w:val="20"/>
                <w:szCs w:val="20"/>
                <w:highlight w:val="none"/>
                <w:lang w:val="en-US" w:eastAsia="zh-CN"/>
              </w:rPr>
              <w:t>6</w:t>
            </w:r>
          </w:p>
        </w:tc>
        <w:tc>
          <w:tcPr>
            <w:tcW w:w="11491" w:type="dxa"/>
            <w:tcBorders>
              <w:top w:val="single" w:color="auto" w:sz="4" w:space="0"/>
              <w:left w:val="single" w:color="auto" w:sz="4" w:space="0"/>
              <w:bottom w:val="single" w:color="auto" w:sz="4" w:space="0"/>
              <w:right w:val="single" w:color="auto" w:sz="4" w:space="0"/>
            </w:tcBorders>
            <w:noWrap w:val="0"/>
            <w:vAlign w:val="center"/>
          </w:tcPr>
          <w:p>
            <w:pPr>
              <w:pStyle w:val="216"/>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投标人自20</w:t>
            </w: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年1月1日至今，承接的市政公用工程获得国家级奖项,一项得</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分,获得省级奖项,一项得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分,获得市级奖项，一项得</w:t>
            </w:r>
            <w:r>
              <w:rPr>
                <w:rFonts w:hint="eastAsia" w:ascii="宋体" w:hAnsi="宋体" w:eastAsia="宋体" w:cs="宋体"/>
                <w:color w:val="auto"/>
                <w:sz w:val="20"/>
                <w:szCs w:val="20"/>
                <w:highlight w:val="none"/>
                <w:u w:val="single"/>
              </w:rPr>
              <w:t xml:space="preserve"> 1 </w:t>
            </w:r>
            <w:r>
              <w:rPr>
                <w:rFonts w:hint="eastAsia" w:ascii="宋体" w:hAnsi="宋体" w:eastAsia="宋体" w:cs="宋体"/>
                <w:color w:val="auto"/>
                <w:sz w:val="20"/>
                <w:szCs w:val="20"/>
                <w:highlight w:val="none"/>
              </w:rPr>
              <w:t>分。最多得</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u w:val="single"/>
                <w:lang w:val="en-US" w:eastAsia="zh-CN"/>
              </w:rPr>
              <w:t>6</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分。</w:t>
            </w:r>
          </w:p>
          <w:p>
            <w:pPr>
              <w:pStyle w:val="216"/>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注：奖项须为市政工程获得的质量奖项，时间以发证日期为准，相同项目按最高级别奖项只计一次得分。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064" w:type="dxa"/>
            <w:vMerge w:val="continue"/>
            <w:tcBorders>
              <w:left w:val="single" w:color="auto" w:sz="8" w:space="0"/>
              <w:right w:val="single" w:color="auto" w:sz="4" w:space="0"/>
            </w:tcBorders>
            <w:noWrap w:val="0"/>
            <w:vAlign w:val="center"/>
          </w:tcPr>
          <w:p>
            <w:pPr>
              <w:pStyle w:val="216"/>
              <w:ind w:firstLine="400" w:firstLineChars="200"/>
              <w:rPr>
                <w:rFonts w:ascii="宋体" w:hAnsi="宋体" w:eastAsia="宋体"/>
                <w:color w:val="auto"/>
                <w:sz w:val="20"/>
                <w:szCs w:val="20"/>
                <w:highlight w:val="none"/>
              </w:rPr>
            </w:pPr>
          </w:p>
        </w:tc>
        <w:tc>
          <w:tcPr>
            <w:tcW w:w="1772" w:type="dxa"/>
            <w:gridSpan w:val="2"/>
            <w:tcBorders>
              <w:left w:val="single" w:color="auto" w:sz="4" w:space="0"/>
              <w:bottom w:val="single" w:color="auto" w:sz="4" w:space="0"/>
              <w:right w:val="single" w:color="auto" w:sz="4" w:space="0"/>
            </w:tcBorders>
            <w:noWrap w:val="0"/>
            <w:vAlign w:val="center"/>
          </w:tcPr>
          <w:p>
            <w:pPr>
              <w:jc w:val="center"/>
              <w:rPr>
                <w:rFonts w:ascii="宋体" w:hAnsi="宋体" w:eastAsia="宋体"/>
                <w:color w:val="auto"/>
                <w:sz w:val="20"/>
                <w:szCs w:val="20"/>
                <w:highlight w:val="none"/>
              </w:rPr>
            </w:pPr>
            <w:r>
              <w:rPr>
                <w:rFonts w:hint="eastAsia" w:ascii="宋体" w:hAnsi="宋体" w:cs="宋体"/>
                <w:color w:val="auto"/>
                <w:sz w:val="20"/>
                <w:szCs w:val="20"/>
                <w:highlight w:val="none"/>
              </w:rPr>
              <w:t>企业工程研发能力</w:t>
            </w:r>
          </w:p>
        </w:tc>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 w:val="20"/>
                <w:szCs w:val="20"/>
                <w:highlight w:val="none"/>
                <w:lang w:eastAsia="zh-CN"/>
              </w:rPr>
            </w:pPr>
            <w:r>
              <w:rPr>
                <w:rFonts w:hint="eastAsia" w:ascii="宋体" w:hAnsi="宋体" w:cs="宋体"/>
                <w:color w:val="auto"/>
                <w:sz w:val="20"/>
                <w:szCs w:val="20"/>
                <w:highlight w:val="none"/>
                <w:lang w:val="en-US" w:eastAsia="zh-CN"/>
              </w:rPr>
              <w:t>8</w:t>
            </w:r>
          </w:p>
        </w:tc>
        <w:tc>
          <w:tcPr>
            <w:tcW w:w="1149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投标人自20</w:t>
            </w: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年1月1日至今，获得过</w:t>
            </w:r>
            <w:r>
              <w:rPr>
                <w:rFonts w:hint="eastAsia" w:ascii="宋体" w:hAnsi="宋体" w:eastAsia="宋体" w:cs="宋体"/>
                <w:color w:val="auto"/>
                <w:sz w:val="20"/>
                <w:szCs w:val="20"/>
                <w:highlight w:val="none"/>
                <w:lang w:eastAsia="zh-CN"/>
              </w:rPr>
              <w:t>国家知识产权局颁发的</w:t>
            </w:r>
            <w:r>
              <w:rPr>
                <w:rFonts w:hint="eastAsia" w:ascii="宋体" w:hAnsi="宋体" w:eastAsia="宋体" w:cs="宋体"/>
                <w:color w:val="auto"/>
                <w:sz w:val="20"/>
                <w:szCs w:val="20"/>
                <w:highlight w:val="none"/>
              </w:rPr>
              <w:t>工程建设类发明授权专利：获得</w:t>
            </w:r>
            <w:r>
              <w:rPr>
                <w:rFonts w:hint="eastAsia" w:ascii="宋体" w:hAnsi="宋体" w:eastAsia="宋体" w:cs="宋体"/>
                <w:color w:val="auto"/>
                <w:sz w:val="20"/>
                <w:szCs w:val="20"/>
                <w:highlight w:val="none"/>
                <w:lang w:val="en-US" w:eastAsia="zh-CN"/>
              </w:rPr>
              <w:t>12</w:t>
            </w:r>
            <w:r>
              <w:rPr>
                <w:rFonts w:hint="eastAsia" w:ascii="宋体" w:hAnsi="宋体" w:eastAsia="宋体" w:cs="宋体"/>
                <w:color w:val="auto"/>
                <w:sz w:val="20"/>
                <w:szCs w:val="20"/>
                <w:highlight w:val="none"/>
              </w:rPr>
              <w:t>项以上</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不含本数</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的，得</w:t>
            </w: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rPr>
              <w:t>分；获得</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项以上（不含本数）</w:t>
            </w:r>
            <w:r>
              <w:rPr>
                <w:rFonts w:hint="eastAsia" w:ascii="宋体" w:hAnsi="宋体" w:eastAsia="宋体" w:cs="宋体"/>
                <w:color w:val="auto"/>
                <w:sz w:val="20"/>
                <w:szCs w:val="20"/>
                <w:highlight w:val="none"/>
                <w:lang w:val="en-US" w:eastAsia="zh-CN"/>
              </w:rPr>
              <w:t>至12项</w:t>
            </w:r>
            <w:r>
              <w:rPr>
                <w:rFonts w:hint="eastAsia" w:ascii="宋体" w:hAnsi="宋体" w:eastAsia="宋体" w:cs="宋体"/>
                <w:color w:val="auto"/>
                <w:sz w:val="20"/>
                <w:szCs w:val="20"/>
                <w:highlight w:val="none"/>
              </w:rPr>
              <w:t>的，得</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val="en-US" w:eastAsia="zh-CN"/>
              </w:rPr>
              <w:t>获得5项以上（不含本数）至8项的，得1分；</w:t>
            </w:r>
            <w:r>
              <w:rPr>
                <w:rFonts w:hint="eastAsia" w:ascii="宋体" w:hAnsi="宋体" w:eastAsia="宋体" w:cs="宋体"/>
                <w:color w:val="auto"/>
                <w:sz w:val="20"/>
                <w:szCs w:val="20"/>
                <w:highlight w:val="none"/>
              </w:rPr>
              <w:t>获得1项或以上至</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项的，得</w:t>
            </w:r>
            <w:r>
              <w:rPr>
                <w:rFonts w:hint="eastAsia" w:ascii="宋体" w:hAnsi="宋体" w:eastAsia="宋体" w:cs="宋体"/>
                <w:color w:val="auto"/>
                <w:sz w:val="20"/>
                <w:szCs w:val="20"/>
                <w:highlight w:val="none"/>
                <w:lang w:val="en-US" w:eastAsia="zh-CN"/>
              </w:rPr>
              <w:t>0.5</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投标人自20</w:t>
            </w:r>
            <w:r>
              <w:rPr>
                <w:rFonts w:hint="eastAsia" w:ascii="宋体" w:hAnsi="宋体" w:eastAsia="宋体" w:cs="宋体"/>
                <w:color w:val="auto"/>
                <w:sz w:val="20"/>
                <w:szCs w:val="20"/>
                <w:highlight w:val="none"/>
                <w:lang w:val="en-US" w:eastAsia="zh-CN"/>
              </w:rPr>
              <w:t>20</w:t>
            </w:r>
            <w:r>
              <w:rPr>
                <w:rFonts w:hint="eastAsia" w:ascii="宋体" w:hAnsi="宋体" w:eastAsia="宋体" w:cs="宋体"/>
                <w:color w:val="auto"/>
                <w:sz w:val="20"/>
                <w:szCs w:val="20"/>
                <w:highlight w:val="none"/>
              </w:rPr>
              <w:t>年1月1日至今</w:t>
            </w:r>
            <w:r>
              <w:rPr>
                <w:rFonts w:hint="eastAsia" w:ascii="宋体" w:hAnsi="宋体" w:eastAsia="宋体" w:cs="宋体"/>
                <w:color w:val="auto"/>
                <w:sz w:val="20"/>
                <w:szCs w:val="20"/>
                <w:highlight w:val="none"/>
                <w:lang w:eastAsia="zh-CN"/>
              </w:rPr>
              <w:t>获得过国家知识产权局颁发的</w:t>
            </w:r>
            <w:r>
              <w:rPr>
                <w:rFonts w:hint="eastAsia" w:ascii="宋体" w:hAnsi="宋体" w:eastAsia="宋体" w:cs="宋体"/>
                <w:color w:val="auto"/>
                <w:sz w:val="20"/>
                <w:szCs w:val="20"/>
                <w:highlight w:val="none"/>
                <w:lang w:val="en-US" w:eastAsia="zh-CN"/>
              </w:rPr>
              <w:t>工程建设类</w:t>
            </w:r>
            <w:r>
              <w:rPr>
                <w:rFonts w:hint="eastAsia" w:ascii="宋体" w:hAnsi="宋体" w:eastAsia="宋体" w:cs="宋体"/>
                <w:color w:val="auto"/>
                <w:sz w:val="20"/>
                <w:szCs w:val="20"/>
                <w:highlight w:val="none"/>
                <w:lang w:eastAsia="zh-CN"/>
              </w:rPr>
              <w:t>中国专利奖的，一项</w:t>
            </w:r>
            <w:r>
              <w:rPr>
                <w:rFonts w:hint="eastAsia" w:ascii="宋体" w:hAnsi="宋体" w:eastAsia="宋体" w:cs="宋体"/>
                <w:color w:val="auto"/>
                <w:sz w:val="20"/>
                <w:szCs w:val="20"/>
                <w:highlight w:val="none"/>
                <w:lang w:val="en-US" w:eastAsia="zh-CN"/>
              </w:rPr>
              <w:t xml:space="preserve"> 得</w:t>
            </w:r>
            <w:r>
              <w:rPr>
                <w:rFonts w:hint="eastAsia" w:ascii="宋体" w:hAnsi="宋体" w:eastAsia="宋体" w:cs="宋体"/>
                <w:color w:val="auto"/>
                <w:sz w:val="20"/>
                <w:szCs w:val="20"/>
                <w:highlight w:val="none"/>
                <w:lang w:eastAsia="zh-CN"/>
              </w:rPr>
              <w:t>2分，最多</w:t>
            </w:r>
            <w:r>
              <w:rPr>
                <w:rFonts w:hint="eastAsia" w:ascii="宋体" w:hAnsi="宋体" w:eastAsia="宋体" w:cs="宋体"/>
                <w:color w:val="auto"/>
                <w:sz w:val="20"/>
                <w:szCs w:val="20"/>
                <w:highlight w:val="none"/>
                <w:lang w:val="en-US" w:eastAsia="zh-CN"/>
              </w:rPr>
              <w:t>得</w:t>
            </w:r>
            <w:r>
              <w:rPr>
                <w:rFonts w:hint="eastAsia" w:ascii="宋体" w:hAnsi="宋体" w:eastAsia="宋体" w:cs="宋体"/>
                <w:color w:val="auto"/>
                <w:sz w:val="20"/>
                <w:szCs w:val="20"/>
                <w:highlight w:val="none"/>
                <w:lang w:eastAsia="zh-CN"/>
              </w:rPr>
              <w:t>4分。</w:t>
            </w:r>
          </w:p>
          <w:p>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不符合上述条件的不得分。本项最高得</w:t>
            </w:r>
            <w:r>
              <w:rPr>
                <w:rFonts w:hint="eastAsia" w:ascii="宋体" w:hAnsi="宋体" w:eastAsia="宋体" w:cs="宋体"/>
                <w:color w:val="auto"/>
                <w:sz w:val="20"/>
                <w:szCs w:val="20"/>
                <w:highlight w:val="none"/>
                <w:lang w:val="en-US" w:eastAsia="zh-CN"/>
              </w:rPr>
              <w:t>8</w:t>
            </w:r>
            <w:r>
              <w:rPr>
                <w:rFonts w:hint="eastAsia" w:ascii="宋体" w:hAnsi="宋体" w:eastAsia="宋体" w:cs="宋体"/>
                <w:color w:val="auto"/>
                <w:sz w:val="20"/>
                <w:szCs w:val="20"/>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1064" w:type="dxa"/>
            <w:vMerge w:val="continue"/>
            <w:tcBorders>
              <w:left w:val="single" w:color="auto" w:sz="8" w:space="0"/>
              <w:right w:val="single" w:color="auto" w:sz="4" w:space="0"/>
            </w:tcBorders>
            <w:noWrap w:val="0"/>
            <w:vAlign w:val="center"/>
          </w:tcPr>
          <w:p>
            <w:pPr>
              <w:pStyle w:val="216"/>
              <w:ind w:firstLine="400" w:firstLineChars="200"/>
              <w:rPr>
                <w:rFonts w:ascii="宋体" w:hAnsi="宋体" w:eastAsia="宋体"/>
                <w:color w:val="auto"/>
                <w:sz w:val="20"/>
                <w:szCs w:val="20"/>
                <w:highlight w:val="none"/>
              </w:rPr>
            </w:pPr>
          </w:p>
        </w:tc>
        <w:tc>
          <w:tcPr>
            <w:tcW w:w="1772" w:type="dxa"/>
            <w:gridSpan w:val="2"/>
            <w:tcBorders>
              <w:left w:val="single" w:color="auto" w:sz="4" w:space="0"/>
              <w:right w:val="single" w:color="auto" w:sz="4" w:space="0"/>
            </w:tcBorders>
            <w:noWrap w:val="0"/>
            <w:vAlign w:val="center"/>
          </w:tcPr>
          <w:p>
            <w:pPr>
              <w:jc w:val="center"/>
              <w:rPr>
                <w:rFonts w:ascii="宋体" w:hAnsi="宋体" w:eastAsia="宋体"/>
                <w:color w:val="auto"/>
                <w:sz w:val="20"/>
                <w:szCs w:val="20"/>
                <w:highlight w:val="none"/>
              </w:rPr>
            </w:pPr>
            <w:r>
              <w:rPr>
                <w:rFonts w:hint="eastAsia" w:ascii="宋体" w:hAnsi="宋体" w:cs="宋体"/>
                <w:color w:val="auto"/>
                <w:sz w:val="20"/>
                <w:szCs w:val="20"/>
                <w:highlight w:val="none"/>
              </w:rPr>
              <w:t>企业财务情况</w:t>
            </w:r>
          </w:p>
        </w:tc>
        <w:tc>
          <w:tcPr>
            <w:tcW w:w="675"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olor w:val="auto"/>
                <w:sz w:val="20"/>
                <w:szCs w:val="20"/>
                <w:highlight w:val="none"/>
                <w:lang w:val="en-US" w:eastAsia="zh-CN"/>
              </w:rPr>
            </w:pPr>
            <w:r>
              <w:rPr>
                <w:rFonts w:hint="eastAsia" w:ascii="宋体" w:hAnsi="宋体" w:cs="宋体"/>
                <w:color w:val="auto"/>
                <w:sz w:val="20"/>
                <w:szCs w:val="20"/>
                <w:highlight w:val="none"/>
                <w:lang w:val="en-US" w:eastAsia="zh-CN"/>
              </w:rPr>
              <w:t xml:space="preserve"> 6</w:t>
            </w:r>
          </w:p>
        </w:tc>
        <w:tc>
          <w:tcPr>
            <w:tcW w:w="11491" w:type="dxa"/>
            <w:tcBorders>
              <w:top w:val="single" w:color="auto" w:sz="4" w:space="0"/>
              <w:left w:val="single" w:color="auto" w:sz="4" w:space="0"/>
              <w:right w:val="single" w:color="auto" w:sz="4" w:space="0"/>
            </w:tcBorders>
            <w:noWrap w:val="0"/>
            <w:vAlign w:val="top"/>
          </w:tcPr>
          <w:p>
            <w:pPr>
              <w:rPr>
                <w:rFonts w:ascii="宋体" w:hAnsi="宋体" w:cs="宋体"/>
                <w:color w:val="auto"/>
                <w:sz w:val="20"/>
                <w:szCs w:val="20"/>
                <w:highlight w:val="none"/>
              </w:rPr>
            </w:pPr>
            <w:r>
              <w:rPr>
                <w:rFonts w:hint="eastAsia" w:ascii="宋体" w:hAnsi="宋体" w:cs="宋体"/>
                <w:color w:val="auto"/>
                <w:sz w:val="20"/>
                <w:szCs w:val="20"/>
                <w:highlight w:val="none"/>
              </w:rPr>
              <w:t xml:space="preserve">1、投标人近5年（2017、2018年、2019年、2020年、2021年）平均资产负债率小于或等于65%的，得 </w:t>
            </w:r>
            <w:r>
              <w:rPr>
                <w:rFonts w:hint="eastAsia" w:ascii="宋体" w:hAnsi="宋体" w:cs="宋体"/>
                <w:color w:val="auto"/>
                <w:sz w:val="20"/>
                <w:szCs w:val="20"/>
                <w:highlight w:val="none"/>
                <w:lang w:val="en-US" w:eastAsia="zh-CN"/>
              </w:rPr>
              <w:t>6</w:t>
            </w:r>
            <w:r>
              <w:rPr>
                <w:rFonts w:hint="eastAsia" w:ascii="宋体" w:hAnsi="宋体" w:cs="宋体"/>
                <w:color w:val="auto"/>
                <w:sz w:val="20"/>
                <w:szCs w:val="20"/>
                <w:highlight w:val="none"/>
              </w:rPr>
              <w:t>分；</w:t>
            </w:r>
          </w:p>
          <w:p>
            <w:pPr>
              <w:rPr>
                <w:rFonts w:ascii="宋体" w:hAnsi="宋体" w:cs="宋体"/>
                <w:color w:val="auto"/>
                <w:sz w:val="20"/>
                <w:szCs w:val="20"/>
                <w:highlight w:val="none"/>
              </w:rPr>
            </w:pPr>
            <w:r>
              <w:rPr>
                <w:rFonts w:hint="eastAsia" w:ascii="宋体" w:hAnsi="宋体" w:cs="宋体"/>
                <w:color w:val="auto"/>
                <w:sz w:val="20"/>
                <w:szCs w:val="20"/>
                <w:highlight w:val="none"/>
              </w:rPr>
              <w:t>2、投标人近5年（2017、2018年、2019年、2020年、2021年）平均资产负债率在（65%，70%]区间的，得</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rPr>
              <w:t>分；</w:t>
            </w:r>
          </w:p>
          <w:p>
            <w:pPr>
              <w:rPr>
                <w:rFonts w:ascii="宋体" w:hAnsi="宋体" w:cs="宋体"/>
                <w:color w:val="auto"/>
                <w:sz w:val="20"/>
                <w:szCs w:val="20"/>
                <w:highlight w:val="none"/>
              </w:rPr>
            </w:pPr>
            <w:r>
              <w:rPr>
                <w:rFonts w:hint="eastAsia" w:ascii="宋体" w:hAnsi="宋体" w:cs="宋体"/>
                <w:color w:val="auto"/>
                <w:sz w:val="20"/>
                <w:szCs w:val="20"/>
                <w:highlight w:val="none"/>
              </w:rPr>
              <w:t>3、投标人近5年（2017、2018年、2019年、2020年、2021年）平均资产负债率在（70%，75%]区间的，得</w:t>
            </w:r>
            <w:r>
              <w:rPr>
                <w:rFonts w:hint="eastAsia" w:ascii="宋体" w:hAnsi="宋体" w:cs="宋体"/>
                <w:color w:val="auto"/>
                <w:sz w:val="20"/>
                <w:szCs w:val="20"/>
                <w:highlight w:val="none"/>
                <w:lang w:val="en-US" w:eastAsia="zh-CN"/>
              </w:rPr>
              <w:t>1.5</w:t>
            </w:r>
            <w:r>
              <w:rPr>
                <w:rFonts w:hint="eastAsia" w:ascii="宋体" w:hAnsi="宋体" w:cs="宋体"/>
                <w:color w:val="auto"/>
                <w:sz w:val="20"/>
                <w:szCs w:val="20"/>
                <w:highlight w:val="none"/>
              </w:rPr>
              <w:t>分；</w:t>
            </w:r>
          </w:p>
          <w:p>
            <w:pPr>
              <w:rPr>
                <w:rFonts w:ascii="宋体" w:hAnsi="宋体" w:cs="宋体"/>
                <w:color w:val="auto"/>
                <w:sz w:val="20"/>
                <w:szCs w:val="20"/>
                <w:highlight w:val="none"/>
              </w:rPr>
            </w:pPr>
            <w:r>
              <w:rPr>
                <w:rFonts w:hint="eastAsia" w:ascii="宋体" w:hAnsi="宋体" w:cs="宋体"/>
                <w:color w:val="auto"/>
                <w:sz w:val="20"/>
                <w:szCs w:val="20"/>
                <w:highlight w:val="none"/>
              </w:rPr>
              <w:t>4、投标人近5年（2017、2018年、2019年、2020年、2021年）平均资产负债率在（75%，80%]区间的，得1分；</w:t>
            </w:r>
          </w:p>
          <w:p>
            <w:pPr>
              <w:rPr>
                <w:rFonts w:ascii="宋体" w:hAnsi="宋体" w:cs="宋体"/>
                <w:color w:val="auto"/>
                <w:sz w:val="20"/>
                <w:szCs w:val="20"/>
                <w:highlight w:val="none"/>
              </w:rPr>
            </w:pPr>
            <w:r>
              <w:rPr>
                <w:rFonts w:hint="eastAsia" w:ascii="宋体" w:hAnsi="宋体" w:cs="宋体"/>
                <w:color w:val="auto"/>
                <w:sz w:val="20"/>
                <w:szCs w:val="20"/>
                <w:highlight w:val="none"/>
              </w:rPr>
              <w:t>5、投标人近5年（2017、2018年、2019年、2020年、2021年）平均资产负债率在（80%，100%]区间的，得0.5分；</w:t>
            </w:r>
          </w:p>
          <w:p>
            <w:pPr>
              <w:rPr>
                <w:rFonts w:hint="eastAsia" w:ascii="宋体" w:hAnsi="宋体" w:eastAsia="宋体"/>
                <w:color w:val="auto"/>
                <w:sz w:val="20"/>
                <w:szCs w:val="20"/>
                <w:highlight w:val="none"/>
              </w:rPr>
            </w:pPr>
            <w:r>
              <w:rPr>
                <w:rFonts w:hint="eastAsia" w:ascii="宋体" w:hAnsi="宋体" w:cs="宋体"/>
                <w:color w:val="auto"/>
                <w:sz w:val="20"/>
                <w:szCs w:val="20"/>
                <w:highlight w:val="none"/>
              </w:rPr>
              <w:t>不符合上述条件的不得分。本项最高得</w:t>
            </w:r>
            <w:r>
              <w:rPr>
                <w:rFonts w:hint="eastAsia" w:ascii="宋体" w:hAnsi="宋体" w:cs="宋体"/>
                <w:color w:val="auto"/>
                <w:sz w:val="20"/>
                <w:szCs w:val="20"/>
                <w:highlight w:val="none"/>
                <w:lang w:val="en-US" w:eastAsia="zh-CN"/>
              </w:rPr>
              <w:t>6</w:t>
            </w:r>
            <w:r>
              <w:rPr>
                <w:rFonts w:hint="eastAsia" w:ascii="宋体" w:hAnsi="宋体" w:cs="宋体"/>
                <w:color w:val="auto"/>
                <w:sz w:val="20"/>
                <w:szCs w:val="20"/>
                <w:highlight w:val="none"/>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1064" w:type="dxa"/>
            <w:vMerge w:val="continue"/>
            <w:tcBorders>
              <w:left w:val="single" w:color="auto" w:sz="8" w:space="0"/>
              <w:right w:val="single" w:color="auto" w:sz="4" w:space="0"/>
            </w:tcBorders>
            <w:noWrap w:val="0"/>
            <w:vAlign w:val="center"/>
          </w:tcPr>
          <w:p>
            <w:pPr>
              <w:pStyle w:val="216"/>
              <w:ind w:firstLine="400" w:firstLineChars="200"/>
              <w:rPr>
                <w:rFonts w:ascii="宋体" w:hAnsi="宋体" w:eastAsia="宋体"/>
                <w:color w:val="auto"/>
                <w:sz w:val="20"/>
                <w:szCs w:val="20"/>
                <w:highlight w:val="none"/>
              </w:rPr>
            </w:pPr>
          </w:p>
        </w:tc>
        <w:tc>
          <w:tcPr>
            <w:tcW w:w="1772" w:type="dxa"/>
            <w:gridSpan w:val="2"/>
            <w:tcBorders>
              <w:left w:val="single" w:color="auto" w:sz="4" w:space="0"/>
              <w:right w:val="single" w:color="auto" w:sz="4" w:space="0"/>
            </w:tcBorders>
            <w:noWrap w:val="0"/>
            <w:vAlign w:val="center"/>
          </w:tcPr>
          <w:p>
            <w:pPr>
              <w:jc w:val="center"/>
              <w:rPr>
                <w:rFonts w:ascii="宋体" w:hAnsi="宋体" w:eastAsia="宋体"/>
                <w:color w:val="auto"/>
                <w:sz w:val="20"/>
                <w:szCs w:val="20"/>
                <w:highlight w:val="none"/>
              </w:rPr>
            </w:pPr>
            <w:r>
              <w:rPr>
                <w:rFonts w:hint="eastAsia" w:ascii="宋体" w:hAnsi="宋体" w:cs="宋体"/>
                <w:color w:val="auto"/>
                <w:sz w:val="20"/>
                <w:szCs w:val="20"/>
                <w:highlight w:val="none"/>
              </w:rPr>
              <w:t>第三方评价</w:t>
            </w:r>
          </w:p>
        </w:tc>
        <w:tc>
          <w:tcPr>
            <w:tcW w:w="67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olor w:val="auto"/>
                <w:sz w:val="20"/>
                <w:szCs w:val="20"/>
                <w:highlight w:val="none"/>
                <w:lang w:val="en-US" w:eastAsia="zh-CN"/>
              </w:rPr>
            </w:pPr>
            <w:r>
              <w:rPr>
                <w:rFonts w:hint="eastAsia" w:ascii="宋体" w:hAnsi="宋体" w:cs="宋体"/>
                <w:color w:val="auto"/>
                <w:sz w:val="20"/>
                <w:szCs w:val="20"/>
                <w:highlight w:val="none"/>
              </w:rPr>
              <w:t>6</w:t>
            </w:r>
          </w:p>
        </w:tc>
        <w:tc>
          <w:tcPr>
            <w:tcW w:w="11491" w:type="dxa"/>
            <w:tcBorders>
              <w:top w:val="single" w:color="auto" w:sz="4" w:space="0"/>
              <w:left w:val="single" w:color="auto" w:sz="4" w:space="0"/>
              <w:right w:val="single" w:color="auto" w:sz="4" w:space="0"/>
            </w:tcBorders>
            <w:noWrap w:val="0"/>
            <w:vAlign w:val="center"/>
          </w:tcPr>
          <w:p>
            <w:pPr>
              <w:rPr>
                <w:rFonts w:ascii="宋体" w:hAnsi="宋体" w:cs="宋体"/>
                <w:color w:val="auto"/>
                <w:sz w:val="20"/>
                <w:szCs w:val="20"/>
                <w:highlight w:val="none"/>
              </w:rPr>
            </w:pPr>
            <w:r>
              <w:rPr>
                <w:rFonts w:hint="eastAsia" w:ascii="宋体" w:hAnsi="宋体" w:cs="宋体"/>
                <w:color w:val="auto"/>
                <w:sz w:val="20"/>
                <w:szCs w:val="20"/>
                <w:highlight w:val="none"/>
              </w:rPr>
              <w:t>1、投标人连续3个年度（2019年度、2020年度、2021年度）获得省级或以上建设行政主管部门或经相关行政主管部门批准或指导成立的省级或以上市政行业协会颁发的先进单位或先进企业称号的，得3分；连续2个年度（2020年度、2021年度）获得省级或以上建设行政主管部门或经相关行政主管部门批准或指导成立的省级或以上市政行业协会颁发的先进单位或先进企业称号的，得1分；2021年度获得省级或以上建设行政主管部门或经相关行政主管部门批准或指导成立的省级或以上市政行业协会颁发的先进单位或先进企业称号的，得0.5分。</w:t>
            </w:r>
          </w:p>
          <w:p>
            <w:pPr>
              <w:rPr>
                <w:rFonts w:hint="eastAsia"/>
                <w:color w:val="auto"/>
                <w:sz w:val="20"/>
                <w:szCs w:val="20"/>
                <w:highlight w:val="none"/>
              </w:rPr>
            </w:pPr>
            <w:r>
              <w:rPr>
                <w:rFonts w:hint="eastAsia" w:ascii="宋体" w:hAnsi="宋体" w:cs="宋体"/>
                <w:color w:val="auto"/>
                <w:sz w:val="20"/>
                <w:szCs w:val="20"/>
                <w:highlight w:val="none"/>
              </w:rPr>
              <w:t>2、投标人自最新可查到</w:t>
            </w:r>
            <w:r>
              <w:rPr>
                <w:rFonts w:hint="eastAsia" w:ascii="宋体" w:hAnsi="宋体" w:cs="宋体"/>
                <w:color w:val="auto"/>
                <w:sz w:val="20"/>
                <w:szCs w:val="20"/>
                <w:highlight w:val="none"/>
                <w:lang w:val="en-US" w:eastAsia="zh-CN"/>
              </w:rPr>
              <w:t>评价年度往前推算连续获得税务机关评定的“纳税信用A级纳税人”称号：连续6个年度（含本数）获得“纳税信用A级纳税人”的，得3分；连续4-5个年度获得“纳税信用A级纳税人”的，得1分；连续1-3个年度获得“纳税信用A级纳税人”的，得0.5分；其它情况不得分。</w:t>
            </w:r>
          </w:p>
          <w:p>
            <w:pPr>
              <w:rPr>
                <w:rFonts w:hint="eastAsia" w:ascii="宋体" w:hAnsi="宋体" w:eastAsia="宋体"/>
                <w:color w:val="auto"/>
                <w:sz w:val="20"/>
                <w:szCs w:val="20"/>
                <w:highlight w:val="none"/>
              </w:rPr>
            </w:pPr>
            <w:r>
              <w:rPr>
                <w:rFonts w:hint="eastAsia" w:ascii="宋体" w:hAnsi="宋体" w:cs="宋体"/>
                <w:color w:val="auto"/>
                <w:sz w:val="20"/>
                <w:szCs w:val="20"/>
                <w:highlight w:val="none"/>
              </w:rPr>
              <w:t>不符合上述条件的不得分。本项</w:t>
            </w:r>
            <w:r>
              <w:rPr>
                <w:rFonts w:hint="eastAsia" w:ascii="宋体" w:hAnsi="宋体" w:cs="宋体"/>
                <w:color w:val="auto"/>
                <w:sz w:val="20"/>
                <w:szCs w:val="20"/>
                <w:highlight w:val="none"/>
                <w:lang w:val="en-US" w:eastAsia="zh-CN"/>
              </w:rPr>
              <w:t>合计</w:t>
            </w:r>
            <w:r>
              <w:rPr>
                <w:rFonts w:hint="eastAsia" w:ascii="宋体" w:hAnsi="宋体" w:cs="宋体"/>
                <w:color w:val="auto"/>
                <w:sz w:val="20"/>
                <w:szCs w:val="20"/>
                <w:highlight w:val="none"/>
              </w:rPr>
              <w:t>最高得6分。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2836" w:type="dxa"/>
            <w:gridSpan w:val="3"/>
            <w:tcBorders>
              <w:top w:val="single" w:color="auto" w:sz="4" w:space="0"/>
              <w:left w:val="single" w:color="auto" w:sz="8" w:space="0"/>
              <w:bottom w:val="single" w:color="auto" w:sz="4" w:space="0"/>
              <w:right w:val="single" w:color="auto" w:sz="4" w:space="0"/>
            </w:tcBorders>
            <w:noWrap w:val="0"/>
            <w:vAlign w:val="center"/>
          </w:tcPr>
          <w:p>
            <w:pPr>
              <w:pStyle w:val="216"/>
              <w:ind w:firstLine="400" w:firstLineChars="200"/>
              <w:rPr>
                <w:rFonts w:ascii="宋体" w:hAnsi="宋体" w:eastAsia="宋体"/>
                <w:color w:val="auto"/>
                <w:sz w:val="20"/>
                <w:szCs w:val="20"/>
                <w:highlight w:val="none"/>
              </w:rPr>
            </w:pPr>
            <w:r>
              <w:rPr>
                <w:rFonts w:hint="eastAsia" w:ascii="宋体" w:hAnsi="宋体" w:eastAsia="宋体"/>
                <w:color w:val="auto"/>
                <w:sz w:val="20"/>
                <w:szCs w:val="20"/>
                <w:highlight w:val="none"/>
              </w:rPr>
              <w:t>合计（一</w:t>
            </w:r>
            <w:r>
              <w:rPr>
                <w:rFonts w:ascii="宋体" w:hAnsi="宋体" w:eastAsia="宋体"/>
                <w:color w:val="auto"/>
                <w:sz w:val="20"/>
                <w:szCs w:val="20"/>
                <w:highlight w:val="none"/>
              </w:rPr>
              <w:t>+</w:t>
            </w:r>
            <w:r>
              <w:rPr>
                <w:rFonts w:hint="eastAsia" w:ascii="宋体" w:hAnsi="宋体" w:eastAsia="宋体"/>
                <w:color w:val="auto"/>
                <w:sz w:val="20"/>
                <w:szCs w:val="20"/>
                <w:highlight w:val="none"/>
              </w:rPr>
              <w:t>二）</w:t>
            </w:r>
          </w:p>
        </w:tc>
        <w:tc>
          <w:tcPr>
            <w:tcW w:w="675" w:type="dxa"/>
            <w:tcBorders>
              <w:top w:val="single" w:color="auto" w:sz="4" w:space="0"/>
              <w:left w:val="single" w:color="auto" w:sz="4" w:space="0"/>
              <w:bottom w:val="single" w:color="auto" w:sz="4" w:space="0"/>
              <w:right w:val="single" w:color="auto" w:sz="4" w:space="0"/>
            </w:tcBorders>
            <w:noWrap w:val="0"/>
            <w:vAlign w:val="center"/>
          </w:tcPr>
          <w:p>
            <w:pPr>
              <w:pStyle w:val="216"/>
              <w:jc w:val="center"/>
              <w:rPr>
                <w:rFonts w:ascii="宋体" w:hAnsi="宋体" w:eastAsia="宋体"/>
                <w:color w:val="auto"/>
                <w:sz w:val="20"/>
                <w:szCs w:val="20"/>
                <w:highlight w:val="none"/>
              </w:rPr>
            </w:pPr>
            <w:r>
              <w:rPr>
                <w:rFonts w:ascii="宋体" w:hAnsi="宋体" w:eastAsia="宋体"/>
                <w:color w:val="auto"/>
                <w:sz w:val="20"/>
                <w:szCs w:val="20"/>
                <w:highlight w:val="none"/>
              </w:rPr>
              <w:t>100</w:t>
            </w:r>
          </w:p>
        </w:tc>
        <w:tc>
          <w:tcPr>
            <w:tcW w:w="11491" w:type="dxa"/>
            <w:tcBorders>
              <w:top w:val="single" w:color="auto" w:sz="4" w:space="0"/>
              <w:left w:val="single" w:color="auto" w:sz="4" w:space="0"/>
              <w:bottom w:val="single" w:color="auto" w:sz="4" w:space="0"/>
              <w:right w:val="single" w:color="auto" w:sz="4" w:space="0"/>
            </w:tcBorders>
            <w:noWrap w:val="0"/>
            <w:vAlign w:val="center"/>
          </w:tcPr>
          <w:p>
            <w:pPr>
              <w:pStyle w:val="216"/>
              <w:ind w:firstLine="400" w:firstLineChars="200"/>
              <w:jc w:val="center"/>
              <w:rPr>
                <w:rFonts w:ascii="宋体" w:hAnsi="宋体" w:eastAsia="宋体"/>
                <w:color w:val="auto"/>
                <w:sz w:val="20"/>
                <w:szCs w:val="20"/>
                <w:highlight w:val="none"/>
              </w:rPr>
            </w:pPr>
          </w:p>
        </w:tc>
      </w:tr>
    </w:tbl>
    <w:p>
      <w:pPr>
        <w:spacing w:line="360" w:lineRule="auto"/>
        <w:ind w:firstLine="459"/>
        <w:rPr>
          <w:rFonts w:hint="eastAsia" w:ascii="宋体" w:hAnsi="宋体"/>
          <w:color w:val="auto"/>
          <w:szCs w:val="21"/>
          <w:highlight w:val="none"/>
        </w:rPr>
      </w:pPr>
    </w:p>
    <w:p>
      <w:pP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备注：</w:t>
      </w:r>
    </w:p>
    <w:p>
      <w:pPr>
        <w:ind w:firstLine="401" w:firstLineChars="201"/>
        <w:jc w:val="left"/>
        <w:rPr>
          <w:rFonts w:ascii="宋体" w:hAnsi="宋体" w:cs="宋体"/>
          <w:color w:val="auto"/>
          <w:sz w:val="20"/>
          <w:szCs w:val="20"/>
          <w:highlight w:val="none"/>
        </w:rPr>
      </w:pPr>
      <w:r>
        <w:rPr>
          <w:rFonts w:hint="eastAsia" w:ascii="宋体" w:hAnsi="宋体" w:cs="宋体"/>
          <w:color w:val="auto"/>
          <w:sz w:val="20"/>
          <w:szCs w:val="20"/>
          <w:highlight w:val="none"/>
        </w:rPr>
        <w:t xml:space="preserve">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 </w:t>
      </w:r>
    </w:p>
    <w:p>
      <w:pPr>
        <w:ind w:firstLine="402" w:firstLineChars="201"/>
        <w:jc w:val="left"/>
        <w:rPr>
          <w:rFonts w:ascii="宋体" w:hAnsi="宋体" w:cs="宋体"/>
          <w:color w:val="auto"/>
          <w:sz w:val="20"/>
          <w:szCs w:val="20"/>
          <w:highlight w:val="none"/>
        </w:rPr>
      </w:pPr>
      <w:r>
        <w:rPr>
          <w:rFonts w:hint="eastAsia" w:ascii="宋体" w:hAnsi="宋体" w:cs="宋体"/>
          <w:b/>
          <w:bCs/>
          <w:color w:val="auto"/>
          <w:sz w:val="20"/>
          <w:szCs w:val="20"/>
          <w:highlight w:val="none"/>
        </w:rPr>
        <w:t>2、企业类似工程业绩：</w:t>
      </w:r>
    </w:p>
    <w:p>
      <w:pPr>
        <w:ind w:firstLine="401" w:firstLineChars="201"/>
        <w:jc w:val="left"/>
        <w:rPr>
          <w:rFonts w:ascii="宋体" w:hAnsi="宋体" w:cs="宋体"/>
          <w:color w:val="auto"/>
          <w:sz w:val="20"/>
          <w:szCs w:val="20"/>
          <w:highlight w:val="none"/>
        </w:rPr>
      </w:pPr>
      <w:r>
        <w:rPr>
          <w:rFonts w:hint="eastAsia" w:ascii="宋体" w:hAnsi="宋体" w:cs="宋体"/>
          <w:color w:val="auto"/>
          <w:sz w:val="20"/>
          <w:szCs w:val="20"/>
          <w:highlight w:val="none"/>
        </w:rPr>
        <w:t>业绩需提供相关证明材料。投标人须提供业绩的中标通知书或免招标的相关证明、招标公告网页首页截图（适用于公开招标项目）、中标公示或中标候选人公示网页截图（适用于公开招标项目）、施工合同（不含补充合同）、竣工验收报告或工程竣工备案表或建设工程质量监督部门出具的工程竣工合格验收的证明（验收文件至少具有建设单位、设计、施工和监理单位盖章）。完成时间以竣工验收证明材料为准。业绩金额以业绩中标通知书为准，若中标通知书没有显示中标金额或免招标的，以施工合同（不含补充合同）为准。上述资料显示的内容须一致且工程业绩须为</w:t>
      </w:r>
      <w:r>
        <w:rPr>
          <w:rFonts w:hint="eastAsia" w:ascii="宋体" w:hAnsi="宋体" w:cs="宋体"/>
          <w:color w:val="auto"/>
          <w:sz w:val="20"/>
          <w:szCs w:val="20"/>
          <w:highlight w:val="none"/>
          <w:u w:val="single"/>
        </w:rPr>
        <w:t xml:space="preserve"> 市政公用工程施工总承包 </w:t>
      </w:r>
      <w:r>
        <w:rPr>
          <w:rFonts w:hint="eastAsia" w:ascii="宋体" w:hAnsi="宋体" w:cs="宋体"/>
          <w:color w:val="auto"/>
          <w:sz w:val="20"/>
          <w:szCs w:val="20"/>
          <w:highlight w:val="none"/>
        </w:rPr>
        <w:t>资质方能承接的业绩。不符合上述条件或提供的资料不齐全的业绩不予评审。评标委员会对业绩的评审以投标人提供的完整的证明资料为依据（提供相关证明材料的，中标单位须准备相关证明材料的原件待查，如原件不齐或与投标文件不符的，招标人有权取消其中标人资格，并上报建设行政主管部门）。</w:t>
      </w:r>
    </w:p>
    <w:p>
      <w:pPr>
        <w:ind w:firstLine="402" w:firstLineChars="201"/>
        <w:jc w:val="left"/>
        <w:rPr>
          <w:rFonts w:ascii="宋体" w:hAnsi="宋体" w:cs="宋体"/>
          <w:b/>
          <w:bCs/>
          <w:color w:val="auto"/>
          <w:sz w:val="20"/>
          <w:szCs w:val="20"/>
          <w:highlight w:val="none"/>
        </w:rPr>
      </w:pPr>
      <w:r>
        <w:rPr>
          <w:rFonts w:hint="eastAsia" w:ascii="宋体" w:hAnsi="宋体" w:cs="宋体"/>
          <w:b/>
          <w:bCs/>
          <w:color w:val="auto"/>
          <w:sz w:val="20"/>
          <w:szCs w:val="20"/>
          <w:highlight w:val="none"/>
        </w:rPr>
        <w:t>3、企业工程项目获奖情况：</w:t>
      </w:r>
    </w:p>
    <w:p>
      <w:pPr>
        <w:ind w:firstLine="401" w:firstLineChars="201"/>
        <w:jc w:val="left"/>
        <w:rPr>
          <w:rFonts w:ascii="宋体" w:hAnsi="宋体" w:cs="宋体"/>
          <w:b/>
          <w:bCs/>
          <w:color w:val="auto"/>
          <w:sz w:val="20"/>
          <w:szCs w:val="20"/>
          <w:highlight w:val="none"/>
        </w:rPr>
      </w:pPr>
      <w:r>
        <w:rPr>
          <w:rFonts w:hint="eastAsia" w:ascii="宋体" w:hAnsi="宋体" w:cs="宋体"/>
          <w:color w:val="auto"/>
          <w:sz w:val="20"/>
          <w:szCs w:val="20"/>
          <w:highlight w:val="none"/>
        </w:rPr>
        <w:t>奖项须为市政公用工程获得的质量奖项，需提交奖项证书原件清晰扫描件，时间以发证时间为准。同一项目按最高级别奖项只计一次得分。其中国家级奖项包括：中国建设工程鲁班奖、国家优质工程（金质奖）、国家优质工程（银质奖）、国家优质工程奖、中国土木工程詹天佑奖、全国市政金杯示范工程奖</w:t>
      </w:r>
      <w:r>
        <w:rPr>
          <w:rFonts w:hint="eastAsia" w:ascii="宋体" w:hAnsi="宋体" w:cs="宋体"/>
          <w:color w:val="auto"/>
          <w:sz w:val="20"/>
          <w:szCs w:val="20"/>
          <w:highlight w:val="none"/>
          <w:lang w:val="en-US" w:eastAsia="zh-CN"/>
        </w:rPr>
        <w:t>等</w:t>
      </w:r>
      <w:r>
        <w:rPr>
          <w:rFonts w:hint="eastAsia" w:ascii="宋体" w:hAnsi="宋体" w:cs="宋体"/>
          <w:color w:val="auto"/>
          <w:sz w:val="20"/>
          <w:szCs w:val="20"/>
          <w:highlight w:val="none"/>
        </w:rPr>
        <w:t>。奖项只计算承建单位，不含参建单位。不符合条件的奖项不计分。</w:t>
      </w:r>
    </w:p>
    <w:p>
      <w:pPr>
        <w:ind w:left="424"/>
        <w:jc w:val="left"/>
        <w:rPr>
          <w:rFonts w:ascii="宋体" w:hAnsi="宋体" w:cs="宋体"/>
          <w:b/>
          <w:bCs/>
          <w:color w:val="auto"/>
          <w:sz w:val="20"/>
          <w:szCs w:val="20"/>
          <w:highlight w:val="none"/>
        </w:rPr>
      </w:pPr>
      <w:r>
        <w:rPr>
          <w:rFonts w:hint="eastAsia" w:ascii="宋体" w:hAnsi="宋体" w:cs="宋体"/>
          <w:b/>
          <w:bCs/>
          <w:color w:val="auto"/>
          <w:sz w:val="20"/>
          <w:szCs w:val="20"/>
          <w:highlight w:val="none"/>
        </w:rPr>
        <w:t>4、工程研发能力：</w:t>
      </w:r>
    </w:p>
    <w:p>
      <w:pPr>
        <w:ind w:firstLine="401" w:firstLineChars="201"/>
        <w:jc w:val="left"/>
        <w:rPr>
          <w:rFonts w:ascii="宋体" w:hAnsi="宋体"/>
          <w:color w:val="auto"/>
          <w:sz w:val="20"/>
          <w:szCs w:val="20"/>
          <w:highlight w:val="none"/>
        </w:rPr>
      </w:pPr>
      <w:r>
        <w:rPr>
          <w:rFonts w:hint="eastAsia" w:ascii="宋体" w:hAnsi="宋体"/>
          <w:color w:val="auto"/>
          <w:sz w:val="20"/>
          <w:szCs w:val="20"/>
          <w:highlight w:val="none"/>
        </w:rPr>
        <w:t>工程建设类发明授权专利以国家知识产权局网站（http://epub.cnipa.gov.cn/）中的“中国专利公布公告”-“发明授权”可查询的发明授权类专利为准，时间以授权公告日期为准，投标人须提交上述网站可反映企业专利类型为“发明授权”、授权公告号、授权公告日的查询页截图以及所对应的发明授权专利证书扫描件并加盖电子公章。仅计算发明授权类专利（不包含实用新型类专利、发明公布类专利及外观设计类专利）</w:t>
      </w:r>
      <w:r>
        <w:rPr>
          <w:rFonts w:hint="eastAsia" w:ascii="宋体" w:hAnsi="宋体"/>
          <w:color w:val="auto"/>
          <w:sz w:val="20"/>
          <w:szCs w:val="20"/>
          <w:highlight w:val="none"/>
          <w:lang w:eastAsia="zh-CN"/>
        </w:rPr>
        <w:t>，</w:t>
      </w:r>
      <w:r>
        <w:rPr>
          <w:rFonts w:hint="eastAsia" w:ascii="宋体" w:hAnsi="宋体"/>
          <w:color w:val="auto"/>
          <w:sz w:val="20"/>
          <w:szCs w:val="20"/>
          <w:highlight w:val="none"/>
        </w:rPr>
        <w:t>不符合上述条件或未提供上述资料的不得分。</w:t>
      </w:r>
      <w:r>
        <w:rPr>
          <w:rFonts w:hint="eastAsia" w:ascii="宋体" w:hAnsi="宋体"/>
          <w:color w:val="auto"/>
          <w:sz w:val="20"/>
          <w:szCs w:val="20"/>
          <w:highlight w:val="none"/>
          <w:lang w:eastAsia="zh-CN"/>
        </w:rPr>
        <w:t>（</w:t>
      </w:r>
      <w:r>
        <w:rPr>
          <w:rFonts w:hint="eastAsia" w:ascii="宋体" w:hAnsi="宋体"/>
          <w:color w:val="auto"/>
          <w:sz w:val="20"/>
          <w:szCs w:val="20"/>
          <w:highlight w:val="none"/>
          <w:lang w:val="en-US" w:eastAsia="zh-CN"/>
        </w:rPr>
        <w:t>2</w:t>
      </w:r>
      <w:r>
        <w:rPr>
          <w:rFonts w:hint="eastAsia" w:ascii="宋体" w:hAnsi="宋体"/>
          <w:color w:val="auto"/>
          <w:sz w:val="20"/>
          <w:szCs w:val="20"/>
          <w:highlight w:val="none"/>
          <w:lang w:eastAsia="zh-CN"/>
        </w:rPr>
        <w:t>）</w:t>
      </w:r>
      <w:r>
        <w:rPr>
          <w:rFonts w:hint="eastAsia" w:ascii="宋体" w:hAnsi="宋体"/>
          <w:color w:val="auto"/>
          <w:sz w:val="20"/>
          <w:szCs w:val="20"/>
          <w:highlight w:val="none"/>
        </w:rPr>
        <w:t>中国专利奖需提供获奖证书扫描件及国家知识产权局网站（https://www.cnipa.gov.cn/）</w:t>
      </w:r>
      <w:r>
        <w:rPr>
          <w:rFonts w:hint="eastAsia" w:ascii="宋体" w:hAnsi="宋体"/>
          <w:color w:val="auto"/>
          <w:sz w:val="20"/>
          <w:szCs w:val="20"/>
          <w:highlight w:val="none"/>
          <w:lang w:val="en-US" w:eastAsia="zh-CN"/>
        </w:rPr>
        <w:t>中国</w:t>
      </w:r>
      <w:r>
        <w:rPr>
          <w:rFonts w:hint="eastAsia" w:ascii="宋体" w:hAnsi="宋体"/>
          <w:color w:val="auto"/>
          <w:sz w:val="20"/>
          <w:szCs w:val="20"/>
          <w:highlight w:val="none"/>
        </w:rPr>
        <w:t>专利奖评审结果</w:t>
      </w:r>
      <w:r>
        <w:rPr>
          <w:rFonts w:hint="eastAsia" w:ascii="宋体" w:hAnsi="宋体"/>
          <w:color w:val="auto"/>
          <w:sz w:val="20"/>
          <w:szCs w:val="20"/>
          <w:highlight w:val="none"/>
          <w:lang w:val="en-US" w:eastAsia="zh-CN"/>
        </w:rPr>
        <w:t>名单</w:t>
      </w:r>
      <w:r>
        <w:rPr>
          <w:rFonts w:hint="eastAsia" w:ascii="宋体" w:hAnsi="宋体"/>
          <w:color w:val="auto"/>
          <w:sz w:val="20"/>
          <w:szCs w:val="20"/>
          <w:highlight w:val="none"/>
        </w:rPr>
        <w:t>扫描件，时间以发证日期为准，不符合上述条件或未提供上述资料的不得分。</w:t>
      </w:r>
    </w:p>
    <w:p>
      <w:pPr>
        <w:ind w:firstLine="400" w:firstLineChars="200"/>
        <w:rPr>
          <w:rFonts w:ascii="宋体" w:hAnsi="宋体" w:cs="宋体"/>
          <w:b/>
          <w:bCs/>
          <w:color w:val="auto"/>
          <w:kern w:val="0"/>
          <w:sz w:val="20"/>
          <w:szCs w:val="20"/>
          <w:highlight w:val="none"/>
        </w:rPr>
      </w:pPr>
      <w:r>
        <w:rPr>
          <w:rFonts w:hint="eastAsia" w:ascii="宋体" w:hAnsi="宋体" w:cs="宋体"/>
          <w:b/>
          <w:bCs/>
          <w:color w:val="auto"/>
          <w:kern w:val="0"/>
          <w:sz w:val="20"/>
          <w:szCs w:val="20"/>
          <w:highlight w:val="none"/>
        </w:rPr>
        <w:t>5、企业财务情况：</w:t>
      </w:r>
    </w:p>
    <w:p>
      <w:pPr>
        <w:ind w:firstLine="400" w:firstLineChars="200"/>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资产负债率=（期末）负债总额/（期末）资产总额*100%，平均资产负债率=2017、2018、2019、2020、2021年度资产负债率总和/计算年数，负债总额、资产总额均以经第三方会计师事务所审计的财务报表的（期末）数据为准，须提供2017、2018、2019、2020、2021年度经会计师事务所审计的财务报表扫描件（仅需提供资产负债表、利润表、现金流量表和相关审计单位营业执照等关键信息页即可）；企业成立时间不足5年的，以2021年度经会计师事务所审计的财务报表的数据计算的资产负债率作为近5年平均资产负债率。无提交上述资料不计分。</w:t>
      </w:r>
    </w:p>
    <w:p>
      <w:pPr>
        <w:widowControl/>
        <w:ind w:firstLine="400" w:firstLineChars="200"/>
        <w:textAlignment w:val="baseline"/>
        <w:rPr>
          <w:rFonts w:ascii="宋体" w:hAnsi="宋体" w:cs="宋体"/>
          <w:b/>
          <w:color w:val="auto"/>
          <w:sz w:val="20"/>
          <w:szCs w:val="20"/>
          <w:highlight w:val="none"/>
        </w:rPr>
      </w:pPr>
      <w:r>
        <w:rPr>
          <w:rFonts w:hint="eastAsia" w:ascii="宋体" w:hAnsi="宋体" w:cs="宋体"/>
          <w:b/>
          <w:bCs/>
          <w:color w:val="auto"/>
          <w:kern w:val="0"/>
          <w:sz w:val="20"/>
          <w:szCs w:val="20"/>
          <w:highlight w:val="none"/>
        </w:rPr>
        <w:t>6、</w:t>
      </w:r>
      <w:r>
        <w:rPr>
          <w:rFonts w:hint="eastAsia" w:ascii="宋体" w:hAnsi="宋体" w:cs="宋体"/>
          <w:b/>
          <w:color w:val="auto"/>
          <w:sz w:val="20"/>
          <w:szCs w:val="20"/>
          <w:highlight w:val="none"/>
        </w:rPr>
        <w:t>第三方评价：</w:t>
      </w:r>
    </w:p>
    <w:p>
      <w:pPr>
        <w:ind w:firstLine="401" w:firstLineChars="201"/>
        <w:jc w:val="left"/>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1）投标人须提供省级或以上建设行政主管部门或经相关行政主管部门批准或指导成立的省级或以上市政行业协会颁发的先进单位或先进企业称号证书扫描件并加盖投标单位电子印章，时间以证书或获奖证明材料评价（评定）年度为准。如提供相关行业协会颁发的获奖证书，则须同时提供该行业协会在“中国社会组织公共服务平台”（</w:t>
      </w:r>
      <w:r>
        <w:rPr>
          <w:rFonts w:hint="eastAsia" w:ascii="宋体" w:hAnsi="宋体" w:eastAsia="宋体" w:cs="宋体"/>
          <w:color w:val="auto"/>
          <w:sz w:val="20"/>
          <w:szCs w:val="20"/>
          <w:highlight w:val="none"/>
        </w:rPr>
        <w:t>网址：</w:t>
      </w:r>
      <w:r>
        <w:rPr>
          <w:rFonts w:hint="eastAsia" w:ascii="宋体" w:hAnsi="宋体" w:eastAsia="宋体" w:cs="宋体"/>
          <w:color w:val="auto"/>
          <w:sz w:val="20"/>
          <w:szCs w:val="20"/>
          <w:highlight w:val="none"/>
        </w:rPr>
        <w:fldChar w:fldCharType="begin"/>
      </w:r>
      <w:r>
        <w:rPr>
          <w:rFonts w:hint="eastAsia" w:ascii="宋体" w:hAnsi="宋体" w:eastAsia="宋体" w:cs="宋体"/>
          <w:color w:val="auto"/>
          <w:sz w:val="20"/>
          <w:szCs w:val="20"/>
          <w:highlight w:val="none"/>
        </w:rPr>
        <w:instrText xml:space="preserve"> HYPERLINK "https://chinanpo.mca.gov.cn/）的登记的网页查询截图，证明其有登记备案，否则不得分。只计算投标人自身（不含投标人的子公司或分公司）。前述评审须包含最新评价（评定）年度即2021年度，不满足上述要求或无提交上述资料不得分。" </w:instrText>
      </w:r>
      <w:r>
        <w:rPr>
          <w:rFonts w:hint="eastAsia" w:ascii="宋体" w:hAnsi="宋体" w:eastAsia="宋体" w:cs="宋体"/>
          <w:color w:val="auto"/>
          <w:sz w:val="20"/>
          <w:szCs w:val="20"/>
          <w:highlight w:val="none"/>
        </w:rPr>
        <w:fldChar w:fldCharType="separate"/>
      </w:r>
      <w:r>
        <w:rPr>
          <w:rFonts w:hint="eastAsia" w:ascii="宋体" w:hAnsi="宋体" w:eastAsia="宋体" w:cs="宋体"/>
          <w:color w:val="auto"/>
          <w:sz w:val="20"/>
          <w:szCs w:val="20"/>
          <w:highlight w:val="none"/>
        </w:rPr>
        <w:t>https://chinanpo.mca.gov.cn/）的登记的网页查询截图，证明其有登记备案，否则不得分。只计算投标人自身（不含投标人的子公司或分公司）。前述评审须包含最新评价（评定）年度即2021年度，不满足上述要求或无提交上述资料不得分。</w:t>
      </w:r>
      <w:r>
        <w:rPr>
          <w:rFonts w:hint="eastAsia" w:ascii="宋体" w:hAnsi="宋体" w:eastAsia="宋体" w:cs="宋体"/>
          <w:color w:val="auto"/>
          <w:sz w:val="20"/>
          <w:szCs w:val="20"/>
          <w:highlight w:val="none"/>
        </w:rPr>
        <w:fldChar w:fldCharType="end"/>
      </w:r>
    </w:p>
    <w:p>
      <w:pPr>
        <w:ind w:firstLine="401" w:firstLineChars="201"/>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（2）纳税信用A级纳税人”须含最新评审年度（2021年度），须同时提供</w:t>
      </w:r>
      <w:r>
        <w:rPr>
          <w:rFonts w:hint="eastAsia" w:ascii="宋体" w:hAnsi="宋体" w:cs="宋体"/>
          <w:color w:val="auto"/>
          <w:sz w:val="20"/>
          <w:szCs w:val="20"/>
          <w:highlight w:val="none"/>
          <w:lang w:val="en-US" w:eastAsia="zh-CN"/>
        </w:rPr>
        <w:t>省级或以上</w:t>
      </w:r>
      <w:r>
        <w:rPr>
          <w:rFonts w:hint="eastAsia" w:ascii="宋体" w:hAnsi="宋体" w:cs="宋体"/>
          <w:color w:val="auto"/>
          <w:sz w:val="20"/>
          <w:szCs w:val="20"/>
          <w:highlight w:val="none"/>
        </w:rPr>
        <w:t>税务</w:t>
      </w:r>
      <w:r>
        <w:rPr>
          <w:rFonts w:hint="eastAsia" w:ascii="宋体" w:hAnsi="宋体" w:cs="宋体"/>
          <w:color w:val="auto"/>
          <w:sz w:val="20"/>
          <w:szCs w:val="20"/>
          <w:highlight w:val="none"/>
          <w:lang w:val="en-US" w:eastAsia="zh-CN"/>
        </w:rPr>
        <w:t>机关</w:t>
      </w:r>
      <w:r>
        <w:rPr>
          <w:rFonts w:hint="eastAsia" w:ascii="宋体" w:hAnsi="宋体" w:cs="宋体"/>
          <w:color w:val="auto"/>
          <w:sz w:val="20"/>
          <w:szCs w:val="20"/>
          <w:highlight w:val="none"/>
        </w:rPr>
        <w:t>“纳税信用A级纳税人”名单公布栏查询网页信息截图及税务机关颁发的A级纳税人证书扫描件，上述资料显示的企业全称须与投标单位名称一致，只计算投标人自身（不计算投标人的分公司、子公司和分支机构），否则不得分。时间以省级或以上税务局网站纳税信用信息查询结果的网页截图公布的评价年度为准（不符合条件或无提交上述材料不计分）。</w:t>
      </w:r>
    </w:p>
    <w:p>
      <w:pPr>
        <w:ind w:firstLine="401" w:firstLineChars="201"/>
        <w:jc w:val="left"/>
        <w:rPr>
          <w:rFonts w:ascii="宋体" w:hAnsi="宋体" w:cs="宋体"/>
          <w:color w:val="auto"/>
          <w:sz w:val="20"/>
          <w:szCs w:val="20"/>
          <w:highlight w:val="none"/>
        </w:rPr>
      </w:pPr>
      <w:r>
        <w:rPr>
          <w:rFonts w:hint="eastAsia" w:ascii="宋体" w:hAnsi="宋体" w:cs="宋体"/>
          <w:color w:val="auto"/>
          <w:sz w:val="20"/>
          <w:szCs w:val="20"/>
          <w:highlight w:val="none"/>
        </w:rPr>
        <w:t>7、本表按百分制评分，所有评委每个分项的分数汇总后去掉一个最高分和一个最低分的算术平均值为投标人的最终得分。分数出现小数点，保留小数点后二位小数，第三位小数四舍五入，若投标人满足多个档次的，按最高档计分。</w:t>
      </w:r>
    </w:p>
    <w:p>
      <w:pPr>
        <w:ind w:firstLine="401" w:firstLineChars="201"/>
        <w:jc w:val="left"/>
        <w:rPr>
          <w:rFonts w:hint="default"/>
          <w:b/>
          <w:bCs/>
          <w:i w:val="0"/>
          <w:iCs w:val="0"/>
          <w:color w:val="auto"/>
          <w:sz w:val="40"/>
          <w:szCs w:val="40"/>
          <w:highlight w:val="none"/>
          <w:lang w:val="en-US" w:eastAsia="zh-CN"/>
        </w:rPr>
      </w:pPr>
      <w:r>
        <w:rPr>
          <w:rFonts w:ascii="宋体" w:hAnsi="宋体" w:cs="宋体"/>
          <w:color w:val="auto"/>
          <w:sz w:val="20"/>
          <w:szCs w:val="20"/>
          <w:highlight w:val="none"/>
        </w:rPr>
        <w:t>8</w:t>
      </w:r>
      <w:r>
        <w:rPr>
          <w:rFonts w:hint="eastAsia" w:ascii="宋体" w:hAnsi="宋体" w:cs="宋体"/>
          <w:color w:val="auto"/>
          <w:sz w:val="20"/>
          <w:szCs w:val="20"/>
          <w:highlight w:val="none"/>
        </w:rPr>
        <w:t>、项目管理机构人员不得兼任</w:t>
      </w:r>
      <w:r>
        <w:rPr>
          <w:rFonts w:hint="eastAsia" w:ascii="宋体" w:hAnsi="宋体" w:cs="宋体"/>
          <w:color w:val="auto"/>
          <w:sz w:val="20"/>
          <w:szCs w:val="20"/>
          <w:highlight w:val="none"/>
          <w:lang w:eastAsia="zh-CN"/>
        </w:rPr>
        <w:t>。</w:t>
      </w:r>
    </w:p>
    <w:p>
      <w:pPr>
        <w:spacing w:line="360" w:lineRule="auto"/>
        <w:rPr>
          <w:rFonts w:hint="eastAsia" w:ascii="宋体" w:hAnsi="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cs="宋体"/>
          <w:color w:val="auto"/>
          <w:sz w:val="24"/>
          <w:szCs w:val="24"/>
          <w:highlight w:val="none"/>
        </w:rPr>
        <w:t>附表五</w:t>
      </w:r>
    </w:p>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经济标评分表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投标报价PT（元）</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trike/>
                <w:color w:val="auto"/>
                <w:szCs w:val="21"/>
                <w:highlight w:val="none"/>
              </w:rPr>
            </w:pPr>
            <w:r>
              <w:rPr>
                <w:rFonts w:hint="eastAsia" w:ascii="宋体" w:hAnsi="宋体" w:eastAsia="宋体" w:cs="宋体"/>
                <w:color w:val="auto"/>
                <w:szCs w:val="21"/>
                <w:highlight w:val="none"/>
                <w:lang w:val="en-US" w:eastAsia="zh-CN"/>
              </w:rPr>
              <w:t>报价权重</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偏差（（PT-PC）/PC）（%）</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减分（A）</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得分(I=100-A)</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r>
    </w:tbl>
    <w:p>
      <w:pPr>
        <w:rPr>
          <w:rFonts w:hint="eastAsia" w:ascii="宋体" w:hAnsi="宋体" w:cs="宋体"/>
          <w:color w:val="auto"/>
          <w:szCs w:val="21"/>
          <w:highlight w:val="none"/>
        </w:rPr>
      </w:pPr>
      <w:r>
        <w:rPr>
          <w:rFonts w:hint="eastAsia" w:ascii="宋体" w:hAnsi="宋体" w:cs="宋体"/>
          <w:color w:val="auto"/>
          <w:szCs w:val="21"/>
          <w:highlight w:val="none"/>
        </w:rPr>
        <w:t>评委签名：</w:t>
      </w:r>
    </w:p>
    <w:p>
      <w:pPr>
        <w:rPr>
          <w:rFonts w:hint="eastAsia" w:ascii="宋体" w:hAnsi="宋体" w:cs="宋体"/>
          <w:color w:val="auto"/>
          <w:szCs w:val="21"/>
          <w:highlight w:val="none"/>
        </w:rPr>
      </w:pP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附表六</w:t>
      </w:r>
    </w:p>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算术复核表</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49"/>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修正前投标</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修正后投标</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修正率</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hint="eastAsia" w:ascii="宋体" w:hAnsi="宋体" w:cs="宋体"/>
          <w:color w:val="auto"/>
          <w:szCs w:val="21"/>
          <w:highlight w:val="none"/>
        </w:rPr>
      </w:pPr>
    </w:p>
    <w:p>
      <w:pPr>
        <w:spacing w:line="360" w:lineRule="auto"/>
        <w:jc w:val="center"/>
        <w:rPr>
          <w:rFonts w:hint="eastAsia" w:ascii="宋体" w:hAnsi="宋体" w:cs="宋体"/>
          <w:b/>
          <w:color w:val="auto"/>
          <w:sz w:val="24"/>
          <w:szCs w:val="24"/>
          <w:highlight w:val="none"/>
        </w:rPr>
      </w:pPr>
    </w:p>
    <w:p>
      <w:pPr>
        <w:spacing w:line="360" w:lineRule="auto"/>
        <w:jc w:val="center"/>
        <w:rPr>
          <w:rFonts w:hint="eastAsia" w:ascii="宋体" w:hAnsi="宋体" w:cs="宋体"/>
          <w:b/>
          <w:color w:val="auto"/>
          <w:sz w:val="24"/>
          <w:szCs w:val="24"/>
          <w:highlight w:val="none"/>
        </w:rPr>
      </w:pPr>
    </w:p>
    <w:p>
      <w:pPr>
        <w:spacing w:line="360" w:lineRule="auto"/>
        <w:jc w:val="center"/>
        <w:rPr>
          <w:rFonts w:hint="eastAsia" w:ascii="宋体" w:hAnsi="宋体" w:cs="宋体"/>
          <w:b/>
          <w:color w:val="auto"/>
          <w:sz w:val="24"/>
          <w:szCs w:val="24"/>
          <w:highlight w:val="none"/>
        </w:rPr>
      </w:pPr>
    </w:p>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算术复核表</w:t>
      </w:r>
    </w:p>
    <w:p>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color w:val="auto"/>
                <w:szCs w:val="21"/>
                <w:highlight w:val="none"/>
              </w:rPr>
            </w:pPr>
            <w:r>
              <w:rPr>
                <w:rFonts w:hint="eastAsia" w:ascii="宋体" w:hAnsi="宋体" w:cs="宋体"/>
                <w:b/>
                <w:color w:val="auto"/>
                <w:szCs w:val="21"/>
                <w:highlight w:val="none"/>
              </w:rPr>
              <w:t>编号</w:t>
            </w: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color w:val="auto"/>
                <w:szCs w:val="21"/>
                <w:highlight w:val="none"/>
              </w:rPr>
            </w:pPr>
            <w:r>
              <w:rPr>
                <w:rFonts w:hint="eastAsia" w:ascii="宋体" w:hAnsi="宋体" w:cs="宋体"/>
                <w:b/>
                <w:color w:val="auto"/>
                <w:szCs w:val="21"/>
                <w:highlight w:val="none"/>
              </w:rPr>
              <w:t>投标人名称</w:t>
            </w: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color w:val="auto"/>
                <w:szCs w:val="21"/>
                <w:highlight w:val="none"/>
              </w:rPr>
            </w:pPr>
            <w:r>
              <w:rPr>
                <w:rFonts w:hint="eastAsia" w:ascii="宋体" w:hAnsi="宋体" w:cs="宋体"/>
                <w:b/>
                <w:color w:val="auto"/>
                <w:szCs w:val="21"/>
                <w:highlight w:val="none"/>
              </w:rPr>
              <w:t>原投标报价（A）</w:t>
            </w: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color w:val="auto"/>
                <w:szCs w:val="21"/>
                <w:highlight w:val="none"/>
              </w:rPr>
            </w:pPr>
            <w:r>
              <w:rPr>
                <w:rFonts w:hint="eastAsia" w:ascii="宋体" w:hAnsi="宋体" w:cs="宋体"/>
                <w:b/>
                <w:color w:val="auto"/>
                <w:szCs w:val="21"/>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color w:val="auto"/>
                <w:szCs w:val="21"/>
                <w:highlight w:val="none"/>
              </w:rPr>
            </w:pPr>
            <w:r>
              <w:rPr>
                <w:rFonts w:hint="eastAsia" w:ascii="宋体" w:hAnsi="宋体" w:cs="宋体"/>
                <w:b/>
                <w:color w:val="auto"/>
                <w:szCs w:val="21"/>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4297"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2330"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10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auto"/>
                <w:szCs w:val="21"/>
                <w:highlight w:val="none"/>
              </w:rPr>
            </w:pPr>
          </w:p>
        </w:tc>
      </w:tr>
    </w:tbl>
    <w:p>
      <w:pPr>
        <w:rPr>
          <w:rFonts w:hint="eastAsia"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hint="eastAsia" w:ascii="宋体" w:hAnsi="宋体" w:cs="宋体"/>
          <w:color w:val="auto"/>
          <w:sz w:val="24"/>
          <w:szCs w:val="24"/>
          <w:highlight w:val="none"/>
        </w:rPr>
      </w:pPr>
    </w:p>
    <w:p>
      <w:pPr>
        <w:spacing w:line="360" w:lineRule="auto"/>
        <w:jc w:val="center"/>
        <w:rPr>
          <w:rFonts w:hint="eastAsia" w:ascii="宋体" w:hAnsi="宋体" w:cs="宋体"/>
          <w:color w:val="auto"/>
          <w:sz w:val="24"/>
          <w:szCs w:val="24"/>
          <w:highlight w:val="none"/>
        </w:rPr>
        <w:sectPr>
          <w:footerReference r:id="rId9" w:type="default"/>
          <w:pgSz w:w="16838" w:h="11906" w:orient="landscape"/>
          <w:pgMar w:top="1180" w:right="1440" w:bottom="1066" w:left="1440" w:header="851" w:footer="624" w:gutter="0"/>
          <w:cols w:space="720" w:num="1"/>
          <w:docGrid w:type="lines" w:linePitch="312" w:charSpace="0"/>
        </w:sectPr>
      </w:pPr>
    </w:p>
    <w:p>
      <w:pPr>
        <w:spacing w:line="360" w:lineRule="auto"/>
        <w:jc w:val="center"/>
        <w:rPr>
          <w:rFonts w:hint="eastAsia" w:ascii="宋体" w:hAnsi="宋体" w:cs="宋体"/>
          <w:color w:val="auto"/>
          <w:sz w:val="24"/>
          <w:szCs w:val="24"/>
          <w:highlight w:val="none"/>
        </w:rPr>
      </w:pPr>
    </w:p>
    <w:p>
      <w:pPr>
        <w:spacing w:line="360" w:lineRule="auto"/>
        <w:jc w:val="center"/>
        <w:rPr>
          <w:rFonts w:hint="eastAsia" w:ascii="宋体" w:hAnsi="宋体" w:cs="宋体"/>
          <w:color w:val="auto"/>
          <w:sz w:val="24"/>
          <w:szCs w:val="24"/>
          <w:highlight w:val="none"/>
        </w:rPr>
      </w:pPr>
    </w:p>
    <w:p>
      <w:pPr>
        <w:spacing w:line="360" w:lineRule="auto"/>
        <w:jc w:val="center"/>
        <w:rPr>
          <w:rFonts w:hint="eastAsia" w:ascii="宋体" w:hAnsi="宋体" w:cs="宋体"/>
          <w:color w:val="auto"/>
          <w:sz w:val="24"/>
          <w:szCs w:val="24"/>
          <w:highlight w:val="none"/>
        </w:rPr>
      </w:pPr>
    </w:p>
    <w:p>
      <w:pPr>
        <w:spacing w:line="360" w:lineRule="auto"/>
        <w:jc w:val="center"/>
        <w:rPr>
          <w:rFonts w:hint="eastAsia" w:ascii="宋体" w:hAnsi="宋体" w:cs="宋体"/>
          <w:color w:val="auto"/>
          <w:sz w:val="24"/>
          <w:szCs w:val="24"/>
          <w:highlight w:val="none"/>
        </w:rPr>
      </w:pPr>
    </w:p>
    <w:p>
      <w:pPr>
        <w:spacing w:line="360" w:lineRule="auto"/>
        <w:jc w:val="center"/>
        <w:rPr>
          <w:rFonts w:hint="eastAsia" w:ascii="宋体" w:hAnsi="宋体" w:cs="宋体"/>
          <w:color w:val="auto"/>
          <w:sz w:val="24"/>
          <w:szCs w:val="24"/>
          <w:highlight w:val="none"/>
        </w:rPr>
      </w:pPr>
    </w:p>
    <w:p>
      <w:pPr>
        <w:spacing w:line="360" w:lineRule="auto"/>
        <w:jc w:val="center"/>
        <w:rPr>
          <w:rFonts w:hint="eastAsia" w:ascii="宋体" w:hAnsi="宋体" w:cs="宋体"/>
          <w:color w:val="auto"/>
          <w:sz w:val="24"/>
          <w:szCs w:val="24"/>
          <w:highlight w:val="none"/>
        </w:rPr>
      </w:pPr>
    </w:p>
    <w:p>
      <w:pPr>
        <w:spacing w:line="360" w:lineRule="auto"/>
        <w:jc w:val="center"/>
        <w:rPr>
          <w:rFonts w:hint="eastAsia" w:ascii="宋体" w:hAnsi="宋体" w:cs="宋体"/>
          <w:color w:val="auto"/>
          <w:sz w:val="24"/>
          <w:szCs w:val="24"/>
          <w:highlight w:val="none"/>
        </w:rPr>
      </w:pPr>
    </w:p>
    <w:p>
      <w:pPr>
        <w:spacing w:line="360" w:lineRule="auto"/>
        <w:jc w:val="center"/>
        <w:rPr>
          <w:rFonts w:hint="eastAsia" w:ascii="宋体" w:hAnsi="宋体" w:cs="宋体"/>
          <w:color w:val="auto"/>
          <w:sz w:val="24"/>
          <w:szCs w:val="24"/>
          <w:highlight w:val="none"/>
        </w:rPr>
      </w:pPr>
    </w:p>
    <w:p>
      <w:pPr>
        <w:spacing w:line="360" w:lineRule="auto"/>
        <w:jc w:val="center"/>
        <w:rPr>
          <w:rFonts w:hint="eastAsia" w:ascii="宋体" w:hAnsi="宋体" w:cs="宋体"/>
          <w:color w:val="auto"/>
          <w:sz w:val="24"/>
          <w:szCs w:val="24"/>
          <w:highlight w:val="none"/>
        </w:rPr>
      </w:pPr>
    </w:p>
    <w:p>
      <w:pPr>
        <w:spacing w:line="360" w:lineRule="auto"/>
        <w:jc w:val="center"/>
        <w:rPr>
          <w:rFonts w:hint="eastAsia" w:ascii="宋体" w:hAnsi="宋体" w:cs="宋体"/>
          <w:color w:val="auto"/>
          <w:sz w:val="24"/>
          <w:szCs w:val="24"/>
          <w:highlight w:val="none"/>
        </w:rPr>
      </w:pPr>
    </w:p>
    <w:p>
      <w:pPr>
        <w:pStyle w:val="3"/>
        <w:spacing w:after="0"/>
        <w:jc w:val="both"/>
        <w:rPr>
          <w:rFonts w:hint="eastAsia" w:ascii="宋体" w:hAnsi="宋体" w:cs="宋体"/>
          <w:color w:val="auto"/>
          <w:highlight w:val="none"/>
        </w:rPr>
      </w:pPr>
      <w:bookmarkStart w:id="17" w:name="_Toc500249621"/>
      <w:bookmarkStart w:id="18" w:name="_Toc504053942"/>
      <w:bookmarkStart w:id="19" w:name="_Toc504659100"/>
      <w:r>
        <w:rPr>
          <w:rFonts w:hint="eastAsia" w:ascii="宋体" w:hAnsi="宋体" w:cs="宋体"/>
          <w:color w:val="auto"/>
          <w:highlight w:val="none"/>
        </w:rPr>
        <w:t xml:space="preserve">                     </w:t>
      </w:r>
    </w:p>
    <w:p>
      <w:pPr>
        <w:pStyle w:val="3"/>
        <w:spacing w:after="0"/>
        <w:jc w:val="both"/>
        <w:rPr>
          <w:rFonts w:hint="eastAsia" w:ascii="宋体" w:hAnsi="宋体" w:cs="宋体"/>
          <w:color w:val="auto"/>
          <w:highlight w:val="none"/>
        </w:rPr>
      </w:pPr>
      <w:r>
        <w:rPr>
          <w:rFonts w:hint="eastAsia" w:ascii="宋体" w:hAnsi="宋体" w:cs="宋体"/>
          <w:color w:val="auto"/>
          <w:highlight w:val="none"/>
        </w:rPr>
        <w:t xml:space="preserve">               </w:t>
      </w:r>
    </w:p>
    <w:p>
      <w:pPr>
        <w:pStyle w:val="3"/>
        <w:spacing w:after="0"/>
        <w:jc w:val="both"/>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b/>
          <w:bCs/>
          <w:color w:val="auto"/>
          <w:sz w:val="32"/>
          <w:szCs w:val="32"/>
          <w:highlight w:val="none"/>
        </w:rPr>
        <w:t xml:space="preserve"> </w:t>
      </w:r>
      <w:r>
        <w:rPr>
          <w:rFonts w:hint="eastAsia" w:ascii="宋体" w:hAnsi="宋体" w:cs="宋体"/>
          <w:b/>
          <w:bCs/>
          <w:color w:val="auto"/>
          <w:sz w:val="44"/>
          <w:szCs w:val="44"/>
          <w:highlight w:val="none"/>
        </w:rPr>
        <w:t xml:space="preserve"> </w:t>
      </w:r>
      <w:bookmarkStart w:id="20" w:name="_Toc16241"/>
      <w:r>
        <w:rPr>
          <w:rFonts w:hint="eastAsia" w:ascii="宋体" w:hAnsi="宋体" w:cs="宋体"/>
          <w:b/>
          <w:bCs/>
          <w:color w:val="auto"/>
          <w:sz w:val="44"/>
          <w:szCs w:val="44"/>
          <w:highlight w:val="none"/>
        </w:rPr>
        <w:t>第三章  合同条款</w:t>
      </w:r>
      <w:bookmarkEnd w:id="17"/>
      <w:bookmarkEnd w:id="18"/>
      <w:bookmarkEnd w:id="19"/>
      <w:bookmarkEnd w:id="20"/>
    </w:p>
    <w:p>
      <w:pPr>
        <w:pStyle w:val="3"/>
        <w:rPr>
          <w:rFonts w:hint="eastAsia" w:ascii="宋体" w:hAnsi="宋体" w:cs="宋体"/>
          <w:color w:val="auto"/>
          <w:sz w:val="24"/>
          <w:szCs w:val="24"/>
          <w:highlight w:val="none"/>
        </w:rPr>
      </w:pPr>
    </w:p>
    <w:p>
      <w:pPr>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ind w:firstLine="480" w:firstLineChars="200"/>
        <w:rPr>
          <w:rFonts w:hint="eastAsia"/>
          <w:color w:val="auto"/>
          <w:highlight w:val="none"/>
        </w:rPr>
      </w:pPr>
    </w:p>
    <w:p>
      <w:pPr>
        <w:rPr>
          <w:rFonts w:hint="eastAsia"/>
          <w:color w:val="auto"/>
          <w:highlight w:val="none"/>
        </w:rPr>
      </w:pPr>
    </w:p>
    <w:p>
      <w:pPr>
        <w:rPr>
          <w:color w:val="auto"/>
          <w:sz w:val="24"/>
          <w:highlight w:val="none"/>
        </w:rPr>
      </w:pPr>
      <w:r>
        <w:rPr>
          <w:rFonts w:hint="eastAsia"/>
          <w:color w:val="auto"/>
          <w:sz w:val="24"/>
          <w:highlight w:val="none"/>
        </w:rPr>
        <w:t xml:space="preserve">                            </w:t>
      </w:r>
    </w:p>
    <w:p>
      <w:pPr>
        <w:rPr>
          <w:rFonts w:ascii="Calibri" w:hAnsi="Calibri"/>
          <w:color w:val="auto"/>
          <w:sz w:val="21"/>
          <w:szCs w:val="22"/>
          <w:highlight w:val="none"/>
        </w:rPr>
      </w:pPr>
      <w:r>
        <w:rPr>
          <w:color w:val="auto"/>
          <w:highlight w:val="none"/>
        </w:rPr>
        <w:drawing>
          <wp:anchor distT="0" distB="0" distL="114300" distR="114300" simplePos="0" relativeHeight="251659264" behindDoc="1" locked="0" layoutInCell="1" allowOverlap="1">
            <wp:simplePos x="0" y="0"/>
            <wp:positionH relativeFrom="column">
              <wp:posOffset>116840</wp:posOffset>
            </wp:positionH>
            <wp:positionV relativeFrom="paragraph">
              <wp:posOffset>80010</wp:posOffset>
            </wp:positionV>
            <wp:extent cx="4730115" cy="1774190"/>
            <wp:effectExtent l="0" t="0" r="13335" b="16510"/>
            <wp:wrapNone/>
            <wp:docPr id="21" name="图片 1" descr="说明: D:\我的文档\Documents\Tencent Files\294312491\FileRecv\SSGKC Inline_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descr="说明: D:\我的文档\Documents\Tencent Files\294312491\FileRecv\SSGKC Inline_Colour Logo.jpg"/>
                    <pic:cNvPicPr>
                      <a:picLocks noChangeAspect="1"/>
                    </pic:cNvPicPr>
                  </pic:nvPicPr>
                  <pic:blipFill>
                    <a:blip r:embed="rId14"/>
                    <a:stretch>
                      <a:fillRect/>
                    </a:stretch>
                  </pic:blipFill>
                  <pic:spPr>
                    <a:xfrm>
                      <a:off x="0" y="0"/>
                      <a:ext cx="4730115" cy="1774190"/>
                    </a:xfrm>
                    <a:prstGeom prst="rect">
                      <a:avLst/>
                    </a:prstGeom>
                    <a:noFill/>
                    <a:ln>
                      <a:noFill/>
                    </a:ln>
                  </pic:spPr>
                </pic:pic>
              </a:graphicData>
            </a:graphic>
          </wp:anchor>
        </w:drawing>
      </w:r>
      <w:r>
        <w:rPr>
          <w:rFonts w:hint="eastAsia"/>
          <w:color w:val="auto"/>
          <w:sz w:val="24"/>
          <w:highlight w:val="none"/>
        </w:rPr>
        <w:t xml:space="preserve">             </w:t>
      </w:r>
    </w:p>
    <w:p>
      <w:pPr>
        <w:rPr>
          <w:rFonts w:ascii="仿宋_GB2312" w:hAnsi="Calibri" w:eastAsia="仿宋_GB2312"/>
          <w:color w:val="auto"/>
          <w:sz w:val="21"/>
          <w:szCs w:val="21"/>
          <w:highlight w:val="none"/>
        </w:rPr>
      </w:pPr>
      <w:r>
        <w:rPr>
          <w:rFonts w:hint="eastAsia" w:ascii="Calibri" w:hAnsi="Calibri"/>
          <w:color w:val="auto"/>
          <w:sz w:val="21"/>
          <w:szCs w:val="22"/>
          <w:highlight w:val="none"/>
        </w:rPr>
        <w:t xml:space="preserve">                                              </w:t>
      </w:r>
      <w:r>
        <w:rPr>
          <w:rFonts w:hint="eastAsia" w:ascii="仿宋_GB2312" w:hAnsi="Calibri" w:eastAsia="仿宋_GB2312"/>
          <w:color w:val="auto"/>
          <w:sz w:val="21"/>
          <w:szCs w:val="21"/>
          <w:highlight w:val="none"/>
        </w:rPr>
        <w:t xml:space="preserve">   合同编号：中新知建管  [</w:t>
      </w:r>
      <w:r>
        <w:rPr>
          <w:rFonts w:hint="eastAsia" w:ascii="仿宋_GB2312" w:hAnsi="Calibri" w:eastAsia="仿宋_GB2312"/>
          <w:color w:val="auto"/>
          <w:sz w:val="21"/>
          <w:szCs w:val="21"/>
          <w:highlight w:val="none"/>
          <w:lang w:val="en-US" w:eastAsia="zh-CN"/>
        </w:rPr>
        <w:t xml:space="preserve">  </w:t>
      </w:r>
      <w:r>
        <w:rPr>
          <w:rFonts w:hint="eastAsia" w:ascii="仿宋_GB2312" w:hAnsi="Calibri" w:eastAsia="仿宋_GB2312"/>
          <w:color w:val="auto"/>
          <w:sz w:val="21"/>
          <w:szCs w:val="21"/>
          <w:highlight w:val="none"/>
        </w:rPr>
        <w:t xml:space="preserve"> ]  号/</w:t>
      </w:r>
    </w:p>
    <w:p>
      <w:pPr>
        <w:rPr>
          <w:rFonts w:ascii="Calibri" w:hAnsi="Calibri"/>
          <w:color w:val="auto"/>
          <w:sz w:val="21"/>
          <w:szCs w:val="22"/>
          <w:highlight w:val="none"/>
        </w:rPr>
      </w:pPr>
    </w:p>
    <w:p>
      <w:pPr>
        <w:rPr>
          <w:rFonts w:ascii="Calibri" w:hAnsi="Calibri"/>
          <w:color w:val="auto"/>
          <w:sz w:val="21"/>
          <w:szCs w:val="22"/>
          <w:highlight w:val="none"/>
        </w:rPr>
      </w:pPr>
    </w:p>
    <w:p>
      <w:pPr>
        <w:rPr>
          <w:rFonts w:ascii="Calibri" w:hAnsi="Calibri"/>
          <w:color w:val="auto"/>
          <w:sz w:val="21"/>
          <w:szCs w:val="22"/>
          <w:highlight w:val="none"/>
        </w:rPr>
      </w:pPr>
    </w:p>
    <w:p>
      <w:pPr>
        <w:rPr>
          <w:rFonts w:ascii="Calibri" w:hAnsi="Calibri"/>
          <w:color w:val="auto"/>
          <w:sz w:val="21"/>
          <w:szCs w:val="22"/>
          <w:highlight w:val="none"/>
        </w:rPr>
      </w:pPr>
    </w:p>
    <w:p>
      <w:pPr>
        <w:rPr>
          <w:rFonts w:ascii="Calibri" w:hAnsi="Calibri"/>
          <w:color w:val="auto"/>
          <w:sz w:val="21"/>
          <w:szCs w:val="22"/>
          <w:highlight w:val="none"/>
        </w:rPr>
      </w:pPr>
    </w:p>
    <w:p>
      <w:pPr>
        <w:rPr>
          <w:rFonts w:ascii="Calibri" w:hAnsi="Calibri"/>
          <w:color w:val="auto"/>
          <w:sz w:val="21"/>
          <w:szCs w:val="22"/>
          <w:highlight w:val="none"/>
        </w:rPr>
      </w:pPr>
    </w:p>
    <w:p>
      <w:pPr>
        <w:rPr>
          <w:rFonts w:ascii="Calibri" w:hAnsi="Calibri"/>
          <w:color w:val="auto"/>
          <w:sz w:val="21"/>
          <w:szCs w:val="22"/>
          <w:highlight w:val="none"/>
        </w:rPr>
      </w:pPr>
    </w:p>
    <w:p>
      <w:pPr>
        <w:rPr>
          <w:rFonts w:ascii="Calibri" w:hAnsi="Calibri"/>
          <w:color w:val="auto"/>
          <w:sz w:val="21"/>
          <w:szCs w:val="22"/>
          <w:highlight w:val="none"/>
        </w:rPr>
      </w:pPr>
    </w:p>
    <w:p>
      <w:pPr>
        <w:rPr>
          <w:rFonts w:ascii="Calibri" w:hAnsi="Calibri"/>
          <w:color w:val="auto"/>
          <w:sz w:val="21"/>
          <w:szCs w:val="22"/>
          <w:highlight w:val="none"/>
        </w:rPr>
      </w:pPr>
    </w:p>
    <w:p>
      <w:pPr>
        <w:rPr>
          <w:rFonts w:ascii="Calibri" w:hAnsi="Calibri"/>
          <w:color w:val="auto"/>
          <w:sz w:val="21"/>
          <w:szCs w:val="22"/>
          <w:highlight w:val="none"/>
        </w:rPr>
      </w:pPr>
    </w:p>
    <w:p>
      <w:pPr>
        <w:jc w:val="center"/>
        <w:rPr>
          <w:rFonts w:ascii="宋体" w:hAnsi="宋体"/>
          <w:b/>
          <w:color w:val="auto"/>
          <w:sz w:val="84"/>
          <w:szCs w:val="84"/>
          <w:highlight w:val="none"/>
        </w:rPr>
      </w:pPr>
      <w:r>
        <w:rPr>
          <w:rFonts w:hint="eastAsia" w:ascii="宋体" w:hAnsi="宋体"/>
          <w:b/>
          <w:color w:val="auto"/>
          <w:sz w:val="84"/>
          <w:szCs w:val="84"/>
          <w:highlight w:val="none"/>
        </w:rPr>
        <w:t>建设工程施工合同</w:t>
      </w:r>
    </w:p>
    <w:p>
      <w:pPr>
        <w:rPr>
          <w:rFonts w:ascii="Calibri" w:hAnsi="Calibri"/>
          <w:color w:val="auto"/>
          <w:sz w:val="21"/>
          <w:szCs w:val="22"/>
          <w:highlight w:val="none"/>
        </w:rPr>
      </w:pPr>
    </w:p>
    <w:p>
      <w:pPr>
        <w:spacing w:line="48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项目名称：</w:t>
      </w:r>
      <w:r>
        <w:rPr>
          <w:rFonts w:hint="eastAsia" w:ascii="仿宋" w:hAnsi="仿宋" w:eastAsia="仿宋"/>
          <w:color w:val="auto"/>
          <w:sz w:val="28"/>
          <w:szCs w:val="28"/>
          <w:highlight w:val="none"/>
          <w:u w:val="single"/>
        </w:rPr>
        <w:t xml:space="preserve">                                       </w:t>
      </w:r>
    </w:p>
    <w:p>
      <w:pPr>
        <w:spacing w:line="48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发包人：</w:t>
      </w:r>
      <w:r>
        <w:rPr>
          <w:rFonts w:hint="eastAsia" w:ascii="仿宋" w:hAnsi="仿宋" w:eastAsia="仿宋"/>
          <w:color w:val="auto"/>
          <w:sz w:val="28"/>
          <w:szCs w:val="28"/>
          <w:highlight w:val="none"/>
          <w:u w:val="single"/>
        </w:rPr>
        <w:t xml:space="preserve">                                       </w:t>
      </w:r>
    </w:p>
    <w:p>
      <w:pPr>
        <w:snapToGrid w:val="0"/>
        <w:spacing w:line="44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承包人：</w:t>
      </w:r>
      <w:r>
        <w:rPr>
          <w:rFonts w:hint="eastAsia" w:ascii="仿宋" w:hAnsi="仿宋" w:eastAsia="仿宋"/>
          <w:color w:val="auto"/>
          <w:sz w:val="28"/>
          <w:szCs w:val="28"/>
          <w:highlight w:val="none"/>
          <w:u w:val="single"/>
        </w:rPr>
        <w:t xml:space="preserve">                                         </w:t>
      </w:r>
    </w:p>
    <w:p>
      <w:pPr>
        <w:spacing w:line="48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合同签订日期：</w:t>
      </w:r>
      <w:r>
        <w:rPr>
          <w:rFonts w:hint="eastAsia" w:ascii="仿宋" w:hAnsi="仿宋" w:eastAsia="仿宋"/>
          <w:color w:val="auto"/>
          <w:sz w:val="28"/>
          <w:szCs w:val="28"/>
          <w:highlight w:val="none"/>
          <w:u w:val="single"/>
        </w:rPr>
        <w:t xml:space="preserve">       年  月    日         </w:t>
      </w:r>
    </w:p>
    <w:p>
      <w:pPr>
        <w:spacing w:line="480" w:lineRule="exact"/>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签订地点：</w:t>
      </w:r>
      <w:r>
        <w:rPr>
          <w:rFonts w:hint="eastAsia" w:ascii="仿宋" w:hAnsi="仿宋" w:eastAsia="仿宋"/>
          <w:color w:val="auto"/>
          <w:sz w:val="28"/>
          <w:szCs w:val="28"/>
          <w:highlight w:val="none"/>
          <w:u w:val="single"/>
        </w:rPr>
        <w:t xml:space="preserve">           广州市黄埔区           </w:t>
      </w:r>
      <w:r>
        <w:rPr>
          <w:color w:val="auto"/>
          <w:highlight w:val="none"/>
        </w:rPr>
        <w:drawing>
          <wp:anchor distT="0" distB="0" distL="114300" distR="114300" simplePos="0" relativeHeight="251661312" behindDoc="0" locked="0" layoutInCell="1" allowOverlap="0">
            <wp:simplePos x="0" y="0"/>
            <wp:positionH relativeFrom="column">
              <wp:align>center</wp:align>
            </wp:positionH>
            <wp:positionV relativeFrom="paragraph">
              <wp:posOffset>8058150</wp:posOffset>
            </wp:positionV>
            <wp:extent cx="7562850" cy="2633980"/>
            <wp:effectExtent l="0" t="0" r="0" b="13970"/>
            <wp:wrapSquare wrapText="bothSides"/>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15"/>
                    <a:stretch>
                      <a:fillRect/>
                    </a:stretch>
                  </pic:blipFill>
                  <pic:spPr>
                    <a:xfrm>
                      <a:off x="0" y="0"/>
                      <a:ext cx="7562850" cy="2633980"/>
                    </a:xfrm>
                    <a:prstGeom prst="rect">
                      <a:avLst/>
                    </a:prstGeom>
                    <a:noFill/>
                    <a:ln>
                      <a:noFill/>
                    </a:ln>
                  </pic:spPr>
                </pic:pic>
              </a:graphicData>
            </a:graphic>
          </wp:anchor>
        </w:drawing>
      </w:r>
    </w:p>
    <w:p>
      <w:pPr>
        <w:ind w:firstLine="960" w:firstLineChars="400"/>
        <w:rPr>
          <w:rFonts w:hint="eastAsia"/>
          <w:color w:val="auto"/>
          <w:highlight w:val="none"/>
        </w:rPr>
      </w:pPr>
    </w:p>
    <w:p>
      <w:pPr>
        <w:ind w:firstLine="960" w:firstLineChars="400"/>
        <w:rPr>
          <w:rFonts w:hint="eastAsia"/>
          <w:color w:val="auto"/>
          <w:highlight w:val="none"/>
        </w:rPr>
      </w:pPr>
    </w:p>
    <w:p>
      <w:pPr>
        <w:ind w:firstLine="960" w:firstLineChars="400"/>
        <w:rPr>
          <w:rFonts w:hint="eastAsia"/>
          <w:color w:val="auto"/>
          <w:highlight w:val="none"/>
        </w:rPr>
      </w:pPr>
    </w:p>
    <w:p>
      <w:pPr>
        <w:ind w:firstLine="960" w:firstLineChars="400"/>
        <w:rPr>
          <w:rFonts w:hint="eastAsia"/>
          <w:color w:val="auto"/>
          <w:highlight w:val="none"/>
        </w:rPr>
      </w:pPr>
    </w:p>
    <w:p>
      <w:pPr>
        <w:ind w:firstLine="960" w:firstLineChars="400"/>
        <w:rPr>
          <w:rFonts w:hint="eastAsia"/>
          <w:color w:val="auto"/>
          <w:highlight w:val="none"/>
        </w:rPr>
      </w:pPr>
    </w:p>
    <w:p>
      <w:pPr>
        <w:ind w:firstLine="960" w:firstLineChars="400"/>
        <w:rPr>
          <w:rFonts w:hint="eastAsia"/>
          <w:color w:val="auto"/>
          <w:highlight w:val="none"/>
        </w:rPr>
      </w:pPr>
    </w:p>
    <w:p>
      <w:pPr>
        <w:ind w:firstLine="960" w:firstLineChars="400"/>
        <w:rPr>
          <w:rFonts w:hint="eastAsia"/>
          <w:color w:val="auto"/>
          <w:highlight w:val="none"/>
        </w:rPr>
      </w:pPr>
      <w:r>
        <w:rPr>
          <w:rFonts w:hint="eastAsia"/>
          <w:color w:val="auto"/>
          <w:highlight w:val="none"/>
        </w:rPr>
        <w:t xml:space="preserve">                           </w:t>
      </w:r>
    </w:p>
    <w:p>
      <w:pPr>
        <w:ind w:firstLine="960" w:firstLineChars="400"/>
        <w:rPr>
          <w:rFonts w:ascii="宋体" w:hAnsi="宋体"/>
          <w:b/>
          <w:bCs/>
          <w:color w:val="auto"/>
          <w:sz w:val="24"/>
          <w:highlight w:val="none"/>
        </w:rPr>
      </w:pPr>
      <w:r>
        <w:rPr>
          <w:rFonts w:hint="eastAsia" w:ascii="宋体" w:hAnsi="宋体"/>
          <w:b/>
          <w:color w:val="auto"/>
          <w:sz w:val="24"/>
          <w:highlight w:val="none"/>
        </w:rPr>
        <w:t>第一部分</w:t>
      </w:r>
      <w:r>
        <w:rPr>
          <w:rFonts w:ascii="宋体" w:hAnsi="宋体"/>
          <w:b/>
          <w:color w:val="auto"/>
          <w:sz w:val="24"/>
          <w:highlight w:val="none"/>
        </w:rPr>
        <w:t xml:space="preserve">   </w:t>
      </w:r>
      <w:r>
        <w:rPr>
          <w:rFonts w:hint="eastAsia" w:ascii="宋体" w:hAnsi="宋体"/>
          <w:b/>
          <w:color w:val="auto"/>
          <w:sz w:val="24"/>
          <w:highlight w:val="none"/>
        </w:rPr>
        <w:t>协议书</w:t>
      </w:r>
    </w:p>
    <w:p>
      <w:pPr>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rPr>
        <w:t>发包人（全称）：</w:t>
      </w:r>
      <w:r>
        <w:rPr>
          <w:rFonts w:ascii="宋体" w:hAnsi="宋体"/>
          <w:color w:val="auto"/>
          <w:sz w:val="24"/>
          <w:highlight w:val="none"/>
          <w:u w:val="single"/>
        </w:rPr>
        <w:t xml:space="preserve">                             </w:t>
      </w:r>
      <w:r>
        <w:rPr>
          <w:rFonts w:hint="eastAsia" w:ascii="宋体" w:hAnsi="宋体"/>
          <w:color w:val="auto"/>
          <w:sz w:val="24"/>
          <w:highlight w:val="none"/>
        </w:rPr>
        <w:t>。</w:t>
      </w:r>
    </w:p>
    <w:p>
      <w:pPr>
        <w:snapToGrid w:val="0"/>
        <w:spacing w:line="440" w:lineRule="exact"/>
        <w:ind w:firstLine="480"/>
        <w:rPr>
          <w:rFonts w:ascii="宋体" w:hAnsi="宋体"/>
          <w:color w:val="auto"/>
          <w:sz w:val="24"/>
          <w:highlight w:val="none"/>
          <w:u w:val="single"/>
        </w:rPr>
      </w:pPr>
      <w:r>
        <w:rPr>
          <w:rFonts w:hint="eastAsia" w:ascii="宋体" w:hAnsi="宋体"/>
          <w:color w:val="auto"/>
          <w:sz w:val="24"/>
          <w:highlight w:val="none"/>
        </w:rPr>
        <w:t>承包人（全称）：</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pPr>
        <w:pStyle w:val="274"/>
        <w:snapToGrid w:val="0"/>
        <w:spacing w:line="440" w:lineRule="exact"/>
        <w:rPr>
          <w:rFonts w:ascii="宋体" w:hAnsi="宋体"/>
          <w:color w:val="auto"/>
          <w:szCs w:val="24"/>
          <w:highlight w:val="none"/>
        </w:rPr>
      </w:pPr>
      <w:r>
        <w:rPr>
          <w:rFonts w:hint="eastAsia" w:ascii="宋体" w:hAnsi="宋体"/>
          <w:color w:val="auto"/>
          <w:szCs w:val="24"/>
          <w:highlight w:val="none"/>
        </w:rPr>
        <w:t>依照《中华人民共和国民法典》、《中华人民共和国建筑法》及其他有关法律、行政法规，遵循平等、自愿、公平和诚实信用的原则，双方就本建设工程施工事项协商一致，订立本合同。</w:t>
      </w:r>
    </w:p>
    <w:p>
      <w:pPr>
        <w:snapToGrid w:val="0"/>
        <w:spacing w:line="440" w:lineRule="exact"/>
        <w:ind w:firstLine="480" w:firstLineChars="200"/>
        <w:rPr>
          <w:rFonts w:ascii="宋体" w:hAnsi="宋体"/>
          <w:b/>
          <w:bCs/>
          <w:color w:val="auto"/>
          <w:sz w:val="24"/>
          <w:highlight w:val="none"/>
        </w:rPr>
      </w:pPr>
      <w:r>
        <w:rPr>
          <w:rFonts w:hint="eastAsia" w:ascii="宋体" w:hAnsi="宋体"/>
          <w:b/>
          <w:bCs/>
          <w:color w:val="auto"/>
          <w:sz w:val="24"/>
          <w:highlight w:val="none"/>
        </w:rPr>
        <w:t>一、工程概况</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工程名称：</w:t>
      </w:r>
      <w:r>
        <w:rPr>
          <w:rFonts w:ascii="宋体" w:hAnsi="宋体"/>
          <w:bCs/>
          <w:color w:val="auto"/>
          <w:sz w:val="24"/>
          <w:highlight w:val="none"/>
          <w:u w:val="single"/>
        </w:rPr>
        <w:t xml:space="preserve">                            </w:t>
      </w:r>
      <w:r>
        <w:rPr>
          <w:rFonts w:hint="eastAsia" w:ascii="宋体" w:hAnsi="宋体"/>
          <w:bCs/>
          <w:color w:val="auto"/>
          <w:sz w:val="24"/>
          <w:highlight w:val="none"/>
        </w:rPr>
        <w:t>。</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工程地点：</w:t>
      </w:r>
      <w:r>
        <w:rPr>
          <w:rFonts w:ascii="宋体" w:hAnsi="宋体"/>
          <w:bCs/>
          <w:color w:val="auto"/>
          <w:sz w:val="24"/>
          <w:highlight w:val="none"/>
          <w:u w:val="single"/>
        </w:rPr>
        <w:t xml:space="preserve">                            </w:t>
      </w:r>
      <w:r>
        <w:rPr>
          <w:rFonts w:hint="eastAsia" w:ascii="宋体" w:hAnsi="宋体"/>
          <w:bCs/>
          <w:color w:val="auto"/>
          <w:sz w:val="24"/>
          <w:highlight w:val="none"/>
        </w:rPr>
        <w:t>。</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工程内容：</w:t>
      </w:r>
      <w:r>
        <w:rPr>
          <w:rFonts w:ascii="宋体" w:hAnsi="宋体"/>
          <w:color w:val="auto"/>
          <w:sz w:val="24"/>
          <w:highlight w:val="none"/>
          <w:u w:val="single"/>
        </w:rPr>
        <w:t xml:space="preserve">                          </w:t>
      </w:r>
      <w:r>
        <w:rPr>
          <w:rFonts w:hint="eastAsia" w:ascii="宋体" w:hAnsi="宋体"/>
          <w:color w:val="auto"/>
          <w:sz w:val="24"/>
          <w:highlight w:val="none"/>
        </w:rPr>
        <w:t>。具体内容以施工图纸及工程量清单为准。</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u w:val="single"/>
        </w:rPr>
        <w:t>建设业主有权根据工程实施情况，对承包人的承包范围和承包工程量进行适当调整</w:t>
      </w:r>
      <w:r>
        <w:rPr>
          <w:rFonts w:hint="eastAsia" w:ascii="宋体" w:hAnsi="宋体"/>
          <w:color w:val="auto"/>
          <w:sz w:val="24"/>
          <w:highlight w:val="none"/>
        </w:rPr>
        <w:t>。</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工程立项批准文号：</w:t>
      </w:r>
      <w:r>
        <w:rPr>
          <w:rFonts w:ascii="宋体" w:hAnsi="宋体"/>
          <w:color w:val="auto"/>
          <w:sz w:val="24"/>
          <w:highlight w:val="none"/>
          <w:u w:val="single"/>
        </w:rPr>
        <w:t xml:space="preserve">             </w:t>
      </w:r>
      <w:r>
        <w:rPr>
          <w:rFonts w:hint="eastAsia" w:ascii="宋体" w:hAnsi="宋体"/>
          <w:color w:val="auto"/>
          <w:sz w:val="24"/>
          <w:highlight w:val="none"/>
        </w:rPr>
        <w:t>。</w:t>
      </w:r>
    </w:p>
    <w:p>
      <w:pPr>
        <w:snapToGrid w:val="0"/>
        <w:spacing w:line="440" w:lineRule="exact"/>
        <w:ind w:firstLine="480"/>
        <w:jc w:val="left"/>
        <w:rPr>
          <w:rFonts w:ascii="宋体" w:hAnsi="宋体"/>
          <w:color w:val="auto"/>
          <w:sz w:val="24"/>
          <w:highlight w:val="none"/>
          <w:u w:val="single"/>
        </w:rPr>
      </w:pPr>
      <w:r>
        <w:rPr>
          <w:rFonts w:hint="eastAsia" w:ascii="宋体" w:hAnsi="宋体"/>
          <w:color w:val="auto"/>
          <w:sz w:val="24"/>
          <w:highlight w:val="none"/>
        </w:rPr>
        <w:t>资金来源：</w:t>
      </w:r>
      <w:r>
        <w:rPr>
          <w:rFonts w:hint="eastAsia" w:ascii="宋体" w:hAnsi="宋体"/>
          <w:color w:val="auto"/>
          <w:sz w:val="24"/>
          <w:highlight w:val="none"/>
          <w:u w:val="single"/>
        </w:rPr>
        <w:t>财政投资</w:t>
      </w:r>
      <w:r>
        <w:rPr>
          <w:rFonts w:hint="eastAsia" w:ascii="宋体" w:hAnsi="宋体"/>
          <w:color w:val="auto"/>
          <w:sz w:val="24"/>
          <w:highlight w:val="none"/>
        </w:rPr>
        <w:t>。</w:t>
      </w:r>
    </w:p>
    <w:p>
      <w:pPr>
        <w:snapToGrid w:val="0"/>
        <w:spacing w:line="440" w:lineRule="exact"/>
        <w:ind w:firstLine="480" w:firstLineChars="200"/>
        <w:rPr>
          <w:rFonts w:ascii="宋体" w:hAnsi="宋体"/>
          <w:b/>
          <w:bCs/>
          <w:color w:val="auto"/>
          <w:sz w:val="24"/>
          <w:highlight w:val="none"/>
        </w:rPr>
      </w:pPr>
      <w:r>
        <w:rPr>
          <w:rFonts w:hint="eastAsia" w:ascii="宋体" w:hAnsi="宋体"/>
          <w:b/>
          <w:bCs/>
          <w:color w:val="auto"/>
          <w:sz w:val="24"/>
          <w:highlight w:val="none"/>
        </w:rPr>
        <w:t>二、工程承包范围及承包方式</w:t>
      </w:r>
    </w:p>
    <w:p>
      <w:pPr>
        <w:snapToGrid w:val="0"/>
        <w:spacing w:line="440" w:lineRule="exact"/>
        <w:ind w:firstLine="480" w:firstLineChars="200"/>
        <w:rPr>
          <w:rFonts w:ascii="宋体" w:hAnsi="宋体"/>
          <w:color w:val="auto"/>
          <w:sz w:val="24"/>
          <w:highlight w:val="none"/>
        </w:rPr>
      </w:pPr>
      <w:r>
        <w:rPr>
          <w:rFonts w:hint="eastAsia" w:ascii="宋体" w:hAnsi="宋体"/>
          <w:color w:val="auto"/>
          <w:sz w:val="24"/>
          <w:highlight w:val="none"/>
        </w:rPr>
        <w:t>（一）承包范围：</w:t>
      </w:r>
      <w:r>
        <w:rPr>
          <w:rFonts w:hint="eastAsia" w:ascii="宋体" w:hAnsi="宋体"/>
          <w:color w:val="auto"/>
          <w:sz w:val="24"/>
          <w:highlight w:val="none"/>
          <w:u w:val="single"/>
        </w:rPr>
        <w:t>按发包人确认的施工图纸、图纸会审纪录和有关变更文件、资料、招标文件、承包人投标文件以及双方签订的有关协议所包含的内容</w:t>
      </w:r>
      <w:r>
        <w:rPr>
          <w:rFonts w:hint="eastAsia" w:ascii="宋体" w:hAnsi="宋体"/>
          <w:color w:val="auto"/>
          <w:sz w:val="24"/>
          <w:highlight w:val="none"/>
        </w:rPr>
        <w:t>。</w:t>
      </w:r>
    </w:p>
    <w:p>
      <w:pPr>
        <w:snapToGrid w:val="0"/>
        <w:spacing w:line="440" w:lineRule="exact"/>
        <w:ind w:firstLine="480" w:firstLineChars="200"/>
        <w:rPr>
          <w:rFonts w:hint="eastAsia" w:ascii="宋体" w:hAnsi="宋体"/>
          <w:color w:val="auto"/>
          <w:sz w:val="21"/>
          <w:szCs w:val="21"/>
          <w:highlight w:val="none"/>
          <w:u w:val="single"/>
        </w:rPr>
      </w:pPr>
      <w:r>
        <w:rPr>
          <w:rFonts w:hint="eastAsia" w:ascii="宋体" w:hAnsi="宋体"/>
          <w:color w:val="auto"/>
          <w:sz w:val="24"/>
          <w:highlight w:val="none"/>
        </w:rPr>
        <w:t>（二）承包方式：</w:t>
      </w:r>
      <w:r>
        <w:rPr>
          <w:rFonts w:ascii="宋体" w:hAnsi="宋体"/>
          <w:color w:val="auto"/>
          <w:sz w:val="24"/>
          <w:highlight w:val="none"/>
          <w:u w:val="single"/>
        </w:rPr>
        <w:t>包工、包料、包工期、包质量、包安全、包文</w:t>
      </w:r>
      <w:r>
        <w:rPr>
          <w:rFonts w:hint="eastAsia" w:ascii="宋体" w:hAnsi="宋体"/>
          <w:color w:val="auto"/>
          <w:sz w:val="24"/>
          <w:highlight w:val="none"/>
          <w:u w:val="single"/>
        </w:rPr>
        <w:t>明施工、包验收、包保修、</w:t>
      </w:r>
      <w:r>
        <w:rPr>
          <w:rFonts w:hint="eastAsia" w:ascii="宋体" w:hAnsi="宋体"/>
          <w:color w:val="auto"/>
          <w:sz w:val="21"/>
          <w:szCs w:val="21"/>
          <w:highlight w:val="none"/>
          <w:u w:val="single"/>
        </w:rPr>
        <w:t>综合单价包干，措施项目费（除施工围蔽费用外）包干，施工围蔽清单综合单价包干，工程量按实计量。</w:t>
      </w:r>
    </w:p>
    <w:p>
      <w:pPr>
        <w:snapToGrid w:val="0"/>
        <w:spacing w:line="440" w:lineRule="exact"/>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w:t>
      </w:r>
    </w:p>
    <w:p>
      <w:pPr>
        <w:snapToGrid w:val="0"/>
        <w:spacing w:line="440" w:lineRule="exact"/>
        <w:ind w:firstLine="480" w:firstLineChars="200"/>
        <w:rPr>
          <w:rFonts w:ascii="宋体" w:hAnsi="宋体"/>
          <w:b/>
          <w:bCs/>
          <w:color w:val="auto"/>
          <w:sz w:val="24"/>
          <w:highlight w:val="none"/>
          <w:u w:val="single"/>
        </w:rPr>
      </w:pPr>
      <w:r>
        <w:rPr>
          <w:rFonts w:hint="eastAsia" w:ascii="宋体" w:hAnsi="宋体"/>
          <w:b/>
          <w:bCs/>
          <w:color w:val="auto"/>
          <w:sz w:val="24"/>
          <w:highlight w:val="none"/>
        </w:rPr>
        <w:t>三、合同工期</w:t>
      </w:r>
    </w:p>
    <w:p>
      <w:pPr>
        <w:snapToGrid w:val="0"/>
        <w:spacing w:line="440" w:lineRule="exact"/>
        <w:ind w:left="480"/>
        <w:rPr>
          <w:rFonts w:ascii="宋体" w:hAnsi="宋体"/>
          <w:color w:val="auto"/>
          <w:sz w:val="24"/>
          <w:highlight w:val="none"/>
          <w:u w:val="single"/>
        </w:rPr>
      </w:pPr>
      <w:r>
        <w:rPr>
          <w:rFonts w:hint="eastAsia" w:ascii="宋体" w:hAnsi="宋体"/>
          <w:color w:val="auto"/>
          <w:sz w:val="24"/>
          <w:highlight w:val="none"/>
        </w:rPr>
        <w:t>暂定开工日期：</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440" w:lineRule="exact"/>
        <w:ind w:left="480"/>
        <w:rPr>
          <w:rFonts w:ascii="宋体" w:hAnsi="宋体"/>
          <w:color w:val="auto"/>
          <w:sz w:val="24"/>
          <w:highlight w:val="none"/>
          <w:u w:val="single"/>
        </w:rPr>
      </w:pPr>
      <w:r>
        <w:rPr>
          <w:rFonts w:hint="eastAsia" w:ascii="宋体" w:hAnsi="宋体"/>
          <w:color w:val="auto"/>
          <w:sz w:val="24"/>
          <w:highlight w:val="none"/>
        </w:rPr>
        <w:t>暂定竣工日期：</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440" w:lineRule="exact"/>
        <w:ind w:left="480"/>
        <w:rPr>
          <w:rFonts w:ascii="宋体" w:hAnsi="宋体"/>
          <w:color w:val="auto"/>
          <w:sz w:val="24"/>
          <w:highlight w:val="none"/>
        </w:rPr>
      </w:pPr>
      <w:r>
        <w:rPr>
          <w:rFonts w:hint="eastAsia" w:ascii="宋体" w:hAnsi="宋体"/>
          <w:color w:val="auto"/>
          <w:sz w:val="24"/>
          <w:highlight w:val="none"/>
        </w:rPr>
        <w:t>合同工期为</w:t>
      </w:r>
      <w:r>
        <w:rPr>
          <w:rFonts w:ascii="宋体" w:hAnsi="宋体"/>
          <w:color w:val="auto"/>
          <w:sz w:val="24"/>
          <w:highlight w:val="none"/>
          <w:u w:val="single"/>
        </w:rPr>
        <w:t xml:space="preserve">     </w:t>
      </w:r>
      <w:r>
        <w:rPr>
          <w:rFonts w:hint="eastAsia" w:ascii="宋体" w:hAnsi="宋体"/>
          <w:color w:val="auto"/>
          <w:sz w:val="24"/>
          <w:highlight w:val="none"/>
        </w:rPr>
        <w:t>日历天。</w:t>
      </w:r>
      <w:r>
        <w:rPr>
          <w:rFonts w:hint="eastAsia" w:ascii="宋体" w:hAnsi="宋体" w:cs="宋体"/>
          <w:color w:val="auto"/>
          <w:sz w:val="24"/>
          <w:highlight w:val="none"/>
          <w:u w:val="single"/>
        </w:rPr>
        <w:t>（要按本工程投标文件承诺的工期填写）</w:t>
      </w:r>
      <w:r>
        <w:rPr>
          <w:rFonts w:hint="eastAsia" w:ascii="宋体" w:hAnsi="宋体"/>
          <w:color w:val="auto"/>
          <w:sz w:val="24"/>
          <w:highlight w:val="none"/>
        </w:rPr>
        <w:t>实际开工日期以批准的开工报告为准。</w:t>
      </w:r>
    </w:p>
    <w:p>
      <w:pPr>
        <w:snapToGrid w:val="0"/>
        <w:spacing w:line="440" w:lineRule="exact"/>
        <w:ind w:firstLine="480" w:firstLineChars="200"/>
        <w:rPr>
          <w:rFonts w:ascii="宋体" w:hAnsi="宋体"/>
          <w:b/>
          <w:bCs/>
          <w:color w:val="auto"/>
          <w:sz w:val="24"/>
          <w:highlight w:val="none"/>
        </w:rPr>
      </w:pPr>
      <w:r>
        <w:rPr>
          <w:rFonts w:hint="eastAsia" w:ascii="宋体" w:hAnsi="宋体"/>
          <w:b/>
          <w:bCs/>
          <w:color w:val="auto"/>
          <w:sz w:val="24"/>
          <w:highlight w:val="none"/>
        </w:rPr>
        <w:t>四、质量标准</w:t>
      </w:r>
    </w:p>
    <w:p>
      <w:pPr>
        <w:snapToGrid w:val="0"/>
        <w:spacing w:line="440" w:lineRule="exact"/>
        <w:ind w:firstLine="495"/>
        <w:rPr>
          <w:rFonts w:hint="eastAsia" w:ascii="宋体" w:hAnsi="宋体"/>
          <w:color w:val="auto"/>
          <w:sz w:val="24"/>
          <w:highlight w:val="none"/>
        </w:rPr>
      </w:pPr>
      <w:r>
        <w:rPr>
          <w:rFonts w:hint="eastAsia" w:ascii="宋体" w:hAnsi="宋体"/>
          <w:color w:val="auto"/>
          <w:sz w:val="24"/>
          <w:highlight w:val="none"/>
        </w:rPr>
        <w:t>工程质量标准：</w:t>
      </w:r>
    </w:p>
    <w:p>
      <w:pPr>
        <w:snapToGrid w:val="0"/>
        <w:spacing w:line="440" w:lineRule="exact"/>
        <w:ind w:firstLine="495"/>
        <w:rPr>
          <w:rFonts w:hint="eastAsia" w:ascii="宋体" w:hAnsi="宋体"/>
          <w:color w:val="auto"/>
          <w:sz w:val="24"/>
          <w:highlight w:val="none"/>
        </w:rPr>
      </w:pPr>
      <w:r>
        <w:rPr>
          <w:rFonts w:hint="eastAsia" w:ascii="宋体" w:hAnsi="宋体" w:cs="宋体"/>
          <w:color w:val="auto"/>
          <w:sz w:val="24"/>
          <w:highlight w:val="none"/>
          <w:u w:val="single"/>
        </w:rPr>
        <w:t>（要按本工程投标文件承诺的等级填写）</w:t>
      </w:r>
    </w:p>
    <w:p>
      <w:pPr>
        <w:snapToGrid w:val="0"/>
        <w:spacing w:line="440" w:lineRule="exact"/>
        <w:ind w:firstLine="495"/>
        <w:rPr>
          <w:rFonts w:hint="eastAsia" w:ascii="宋体" w:hAnsi="宋体"/>
          <w:color w:val="auto"/>
          <w:sz w:val="24"/>
          <w:highlight w:val="none"/>
        </w:rPr>
      </w:pPr>
    </w:p>
    <w:p>
      <w:pPr>
        <w:snapToGrid w:val="0"/>
        <w:spacing w:line="440" w:lineRule="exact"/>
        <w:ind w:firstLine="495"/>
        <w:rPr>
          <w:rFonts w:hint="eastAsia" w:ascii="宋体" w:hAnsi="宋体"/>
          <w:color w:val="auto"/>
          <w:sz w:val="24"/>
          <w:highlight w:val="none"/>
        </w:rPr>
      </w:pPr>
      <w:r>
        <w:rPr>
          <w:rFonts w:ascii="宋体" w:hAnsi="宋体"/>
          <w:color w:val="auto"/>
          <w:sz w:val="24"/>
          <w:highlight w:val="none"/>
        </w:rPr>
        <w:t>符合设计图纸要求和国家</w:t>
      </w:r>
      <w:r>
        <w:rPr>
          <w:rFonts w:hint="eastAsia" w:ascii="宋体" w:hAnsi="宋体"/>
          <w:color w:val="auto"/>
          <w:sz w:val="24"/>
          <w:highlight w:val="none"/>
        </w:rPr>
        <w:t>、省、市相关法律法规规定要求</w:t>
      </w:r>
      <w:r>
        <w:rPr>
          <w:rFonts w:ascii="宋体" w:hAnsi="宋体"/>
          <w:color w:val="auto"/>
          <w:sz w:val="24"/>
          <w:highlight w:val="none"/>
        </w:rPr>
        <w:t>及行业颁发的工程质量合格标准</w:t>
      </w:r>
      <w:r>
        <w:rPr>
          <w:rFonts w:hint="eastAsia" w:ascii="宋体" w:hAnsi="宋体"/>
          <w:color w:val="auto"/>
          <w:sz w:val="24"/>
          <w:highlight w:val="none"/>
        </w:rPr>
        <w:t>。</w:t>
      </w:r>
    </w:p>
    <w:p>
      <w:pPr>
        <w:snapToGrid w:val="0"/>
        <w:spacing w:line="440" w:lineRule="exact"/>
        <w:ind w:firstLine="495"/>
        <w:rPr>
          <w:rFonts w:ascii="宋体" w:hAnsi="宋体"/>
          <w:b/>
          <w:bCs/>
          <w:color w:val="auto"/>
          <w:sz w:val="24"/>
          <w:highlight w:val="none"/>
        </w:rPr>
      </w:pPr>
      <w:r>
        <w:rPr>
          <w:rFonts w:hint="eastAsia" w:ascii="宋体" w:hAnsi="宋体"/>
          <w:b/>
          <w:bCs/>
          <w:color w:val="auto"/>
          <w:sz w:val="24"/>
          <w:highlight w:val="none"/>
        </w:rPr>
        <w:t>五、合同价款</w:t>
      </w:r>
    </w:p>
    <w:p>
      <w:pPr>
        <w:spacing w:line="360" w:lineRule="auto"/>
        <w:ind w:firstLine="480" w:firstLineChars="200"/>
        <w:rPr>
          <w:rFonts w:hint="eastAsia" w:ascii="宋体" w:hAnsi="宋体"/>
          <w:color w:val="auto"/>
          <w:sz w:val="28"/>
          <w:szCs w:val="28"/>
          <w:highlight w:val="none"/>
        </w:rPr>
      </w:pPr>
      <w:r>
        <w:rPr>
          <w:rFonts w:hint="eastAsia" w:ascii="宋体" w:hAnsi="宋体"/>
          <w:bCs/>
          <w:snapToGrid w:val="0"/>
          <w:color w:val="auto"/>
          <w:kern w:val="0"/>
          <w:sz w:val="24"/>
          <w:highlight w:val="none"/>
        </w:rPr>
        <w:t>合同价款暂定为￥</w:t>
      </w:r>
      <w:r>
        <w:rPr>
          <w:rFonts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元（大写：人民币</w:t>
      </w:r>
      <w:r>
        <w:rPr>
          <w:rFonts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），其中绿色施工安全防护措施费</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元,人工费    元，</w:t>
      </w:r>
      <w:r>
        <w:rPr>
          <w:rFonts w:hint="eastAsia" w:ascii="宋体" w:hAnsi="宋体"/>
          <w:color w:val="auto"/>
          <w:sz w:val="28"/>
          <w:szCs w:val="28"/>
          <w:highlight w:val="none"/>
        </w:rPr>
        <w:t>暂列金</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元</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 xml:space="preserve">暂估价  </w:t>
      </w:r>
      <w:r>
        <w:rPr>
          <w:rFonts w:hint="eastAsia" w:ascii="宋体" w:hAnsi="宋体"/>
          <w:color w:val="auto"/>
          <w:sz w:val="28"/>
          <w:szCs w:val="28"/>
          <w:highlight w:val="none"/>
          <w:u w:val="single"/>
        </w:rPr>
        <w:t xml:space="preserve">     </w:t>
      </w:r>
      <w:r>
        <w:rPr>
          <w:rFonts w:hint="eastAsia" w:ascii="宋体" w:hAnsi="宋体" w:eastAsia="宋体"/>
          <w:color w:val="auto"/>
          <w:sz w:val="28"/>
          <w:szCs w:val="28"/>
          <w:highlight w:val="none"/>
          <w:lang w:val="en-US" w:eastAsia="zh-CN"/>
        </w:rPr>
        <w:t xml:space="preserve"> 元</w:t>
      </w:r>
      <w:r>
        <w:rPr>
          <w:rFonts w:hint="eastAsia" w:ascii="宋体" w:hAnsi="宋体"/>
          <w:color w:val="auto"/>
          <w:sz w:val="28"/>
          <w:szCs w:val="28"/>
          <w:highlight w:val="none"/>
        </w:rPr>
        <w:t>。</w:t>
      </w:r>
    </w:p>
    <w:p>
      <w:pPr>
        <w:spacing w:line="440" w:lineRule="exact"/>
        <w:ind w:firstLine="480" w:firstLineChars="200"/>
        <w:rPr>
          <w:rFonts w:ascii="宋体" w:hAnsi="宋体"/>
          <w:bCs/>
          <w:snapToGrid w:val="0"/>
          <w:color w:val="auto"/>
          <w:kern w:val="0"/>
          <w:sz w:val="24"/>
          <w:highlight w:val="none"/>
        </w:rPr>
      </w:pPr>
    </w:p>
    <w:p>
      <w:pPr>
        <w:spacing w:line="560" w:lineRule="exact"/>
        <w:ind w:firstLine="480" w:firstLineChars="200"/>
        <w:rPr>
          <w:rFonts w:ascii="宋体" w:hAnsi="宋体"/>
          <w:bCs/>
          <w:snapToGrid w:val="0"/>
          <w:color w:val="auto"/>
          <w:kern w:val="0"/>
          <w:sz w:val="24"/>
          <w:szCs w:val="22"/>
          <w:highlight w:val="none"/>
          <w:u w:val="single"/>
        </w:rPr>
      </w:pPr>
      <w:r>
        <w:rPr>
          <w:rFonts w:hint="eastAsia" w:ascii="Calibri" w:hAnsi="Calibri"/>
          <w:color w:val="auto"/>
          <w:sz w:val="24"/>
          <w:highlight w:val="none"/>
        </w:rPr>
        <w:t>工程结算价款以广州开发区财政局审定结算为准。</w:t>
      </w:r>
      <w:r>
        <w:rPr>
          <w:rFonts w:ascii="宋体" w:hAnsi="宋体"/>
          <w:bCs/>
          <w:snapToGrid w:val="0"/>
          <w:color w:val="auto"/>
          <w:kern w:val="0"/>
          <w:sz w:val="24"/>
          <w:szCs w:val="22"/>
          <w:highlight w:val="none"/>
          <w:u w:val="single"/>
        </w:rPr>
        <w:t>如遇审计部门审计发现本合同结算价款存在超付的情形，</w:t>
      </w:r>
      <w:r>
        <w:rPr>
          <w:rFonts w:hint="eastAsia" w:ascii="宋体" w:hAnsi="宋体"/>
          <w:bCs/>
          <w:snapToGrid w:val="0"/>
          <w:color w:val="auto"/>
          <w:kern w:val="0"/>
          <w:sz w:val="24"/>
          <w:szCs w:val="22"/>
          <w:highlight w:val="none"/>
          <w:u w:val="single"/>
        </w:rPr>
        <w:t>发包人</w:t>
      </w:r>
      <w:r>
        <w:rPr>
          <w:rFonts w:ascii="宋体" w:hAnsi="宋体"/>
          <w:bCs/>
          <w:snapToGrid w:val="0"/>
          <w:color w:val="auto"/>
          <w:kern w:val="0"/>
          <w:sz w:val="24"/>
          <w:szCs w:val="22"/>
          <w:highlight w:val="none"/>
          <w:u w:val="single"/>
        </w:rPr>
        <w:t>有权据实要求</w:t>
      </w:r>
      <w:r>
        <w:rPr>
          <w:rFonts w:hint="eastAsia" w:ascii="宋体" w:hAnsi="宋体"/>
          <w:bCs/>
          <w:snapToGrid w:val="0"/>
          <w:color w:val="auto"/>
          <w:kern w:val="0"/>
          <w:sz w:val="24"/>
          <w:szCs w:val="22"/>
          <w:highlight w:val="none"/>
          <w:u w:val="single"/>
        </w:rPr>
        <w:t>承包人</w:t>
      </w:r>
      <w:r>
        <w:rPr>
          <w:rFonts w:ascii="宋体" w:hAnsi="宋体"/>
          <w:bCs/>
          <w:snapToGrid w:val="0"/>
          <w:color w:val="auto"/>
          <w:kern w:val="0"/>
          <w:sz w:val="24"/>
          <w:szCs w:val="22"/>
          <w:highlight w:val="none"/>
          <w:u w:val="single"/>
        </w:rPr>
        <w:t>返还该部分款项。</w:t>
      </w:r>
    </w:p>
    <w:p>
      <w:pPr>
        <w:spacing w:line="360" w:lineRule="auto"/>
        <w:jc w:val="left"/>
        <w:rPr>
          <w:rFonts w:ascii="Calibri" w:hAnsi="Calibri"/>
          <w:color w:val="auto"/>
          <w:sz w:val="24"/>
          <w:highlight w:val="none"/>
        </w:rPr>
      </w:pPr>
      <w:r>
        <w:rPr>
          <w:rFonts w:hint="eastAsia" w:ascii="Calibri" w:hAnsi="Calibri"/>
          <w:color w:val="auto"/>
          <w:sz w:val="24"/>
          <w:highlight w:val="none"/>
        </w:rPr>
        <w:t xml:space="preserve"> </w:t>
      </w:r>
    </w:p>
    <w:p>
      <w:pPr>
        <w:spacing w:line="440" w:lineRule="exact"/>
        <w:ind w:firstLine="480" w:firstLineChars="200"/>
        <w:rPr>
          <w:rFonts w:ascii="宋体" w:hAnsi="宋体"/>
          <w:b/>
          <w:bCs/>
          <w:color w:val="auto"/>
          <w:sz w:val="24"/>
          <w:highlight w:val="none"/>
        </w:rPr>
      </w:pPr>
      <w:r>
        <w:rPr>
          <w:rFonts w:hint="eastAsia" w:ascii="宋体" w:hAnsi="宋体"/>
          <w:b/>
          <w:bCs/>
          <w:color w:val="auto"/>
          <w:sz w:val="24"/>
          <w:highlight w:val="none"/>
        </w:rPr>
        <w:t>六、组成合同的文件</w:t>
      </w:r>
    </w:p>
    <w:p>
      <w:pPr>
        <w:spacing w:line="440" w:lineRule="exact"/>
        <w:ind w:firstLine="444" w:firstLineChars="185"/>
        <w:rPr>
          <w:rFonts w:ascii="宋体" w:hAnsi="宋体"/>
          <w:color w:val="auto"/>
          <w:sz w:val="24"/>
          <w:highlight w:val="none"/>
        </w:rPr>
      </w:pPr>
      <w:r>
        <w:rPr>
          <w:rFonts w:hint="eastAsia" w:ascii="宋体" w:hAnsi="宋体"/>
          <w:color w:val="auto"/>
          <w:sz w:val="24"/>
          <w:highlight w:val="none"/>
        </w:rPr>
        <w:t>组成本合同的文件包括：</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1.本合同履行期间发包人与承包人双方签订的补充合同（协议）或修正文件；</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2.本合同协议书</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3.国家、广东省、广州市、广州开发区、</w:t>
      </w:r>
      <w:r>
        <w:rPr>
          <w:rFonts w:hint="eastAsia" w:ascii="宋体" w:hAnsi="宋体"/>
          <w:color w:val="auto"/>
          <w:sz w:val="24"/>
          <w:highlight w:val="none"/>
        </w:rPr>
        <w:t>黄埔</w:t>
      </w:r>
      <w:r>
        <w:rPr>
          <w:rFonts w:ascii="宋体" w:hAnsi="宋体"/>
          <w:color w:val="auto"/>
          <w:sz w:val="24"/>
          <w:highlight w:val="none"/>
        </w:rPr>
        <w:t>区关于本工程施工的有关文件（发包人在收到后尽快通报给承包人）；</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建设业主</w:t>
      </w:r>
      <w:r>
        <w:rPr>
          <w:rFonts w:ascii="宋体" w:hAnsi="宋体"/>
          <w:color w:val="auto"/>
          <w:sz w:val="24"/>
          <w:highlight w:val="none"/>
        </w:rPr>
        <w:t>针对本工程建设管理的各项制度、规定；</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5.中标通知书</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6.本合同专用条款</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7.招标文件及附件（包括补充、修改、澄清文件及答疑纪要等）</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8.本合同通用条款</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9.投标文件及附件</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10.标准、规范和其他有关技术文件</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11.图纸</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12.工程量清单</w:t>
      </w:r>
      <w:r>
        <w:rPr>
          <w:rFonts w:hint="eastAsia" w:ascii="宋体" w:hAnsi="宋体"/>
          <w:color w:val="auto"/>
          <w:sz w:val="24"/>
          <w:highlight w:val="none"/>
        </w:rPr>
        <w:t>；</w:t>
      </w:r>
    </w:p>
    <w:p>
      <w:pPr>
        <w:spacing w:line="440" w:lineRule="exact"/>
        <w:ind w:firstLine="444" w:firstLineChars="185"/>
        <w:rPr>
          <w:rFonts w:ascii="宋体" w:hAnsi="宋体"/>
          <w:color w:val="auto"/>
          <w:sz w:val="24"/>
          <w:highlight w:val="none"/>
        </w:rPr>
      </w:pPr>
      <w:r>
        <w:rPr>
          <w:rFonts w:ascii="宋体" w:hAnsi="宋体"/>
          <w:color w:val="auto"/>
          <w:sz w:val="24"/>
          <w:highlight w:val="none"/>
        </w:rPr>
        <w:t>13.合同附件</w:t>
      </w:r>
      <w:r>
        <w:rPr>
          <w:rFonts w:hint="eastAsia" w:ascii="宋体" w:hAnsi="宋体"/>
          <w:color w:val="auto"/>
          <w:sz w:val="21"/>
          <w:szCs w:val="21"/>
          <w:highlight w:val="none"/>
          <w:u w:val="single"/>
        </w:rPr>
        <w:t>（《施工单位投入本工程管理架构表》、安全责任书、工程建设廉政协议书等）</w:t>
      </w:r>
      <w:r>
        <w:rPr>
          <w:rFonts w:hint="eastAsia" w:ascii="宋体" w:hAnsi="宋体"/>
          <w:color w:val="auto"/>
          <w:sz w:val="24"/>
          <w:highlight w:val="none"/>
        </w:rPr>
        <w:t>；</w:t>
      </w:r>
    </w:p>
    <w:p>
      <w:pPr>
        <w:pStyle w:val="261"/>
        <w:spacing w:line="440" w:lineRule="exact"/>
        <w:ind w:left="0" w:firstLine="480" w:firstLineChars="200"/>
        <w:rPr>
          <w:rFonts w:ascii="宋体" w:hAnsi="宋体" w:eastAsia="宋体"/>
          <w:color w:val="auto"/>
          <w:sz w:val="24"/>
          <w:highlight w:val="none"/>
        </w:rPr>
      </w:pPr>
      <w:r>
        <w:rPr>
          <w:rFonts w:hint="eastAsia" w:ascii="宋体" w:hAnsi="宋体" w:eastAsia="宋体"/>
          <w:color w:val="auto"/>
          <w:sz w:val="24"/>
          <w:highlight w:val="none"/>
        </w:rPr>
        <w:t>双方有关工程的洽商、变更等书面协议或文件视为本合同的组成部分。</w:t>
      </w:r>
    </w:p>
    <w:p>
      <w:pPr>
        <w:snapToGrid w:val="0"/>
        <w:spacing w:line="440" w:lineRule="exact"/>
        <w:ind w:firstLine="480" w:firstLineChars="200"/>
        <w:rPr>
          <w:rFonts w:ascii="宋体" w:hAnsi="宋体"/>
          <w:bCs/>
          <w:color w:val="auto"/>
          <w:sz w:val="24"/>
          <w:szCs w:val="32"/>
          <w:highlight w:val="none"/>
        </w:rPr>
      </w:pPr>
      <w:r>
        <w:rPr>
          <w:rFonts w:hint="eastAsia" w:ascii="宋体" w:hAnsi="宋体"/>
          <w:b/>
          <w:bCs/>
          <w:color w:val="auto"/>
          <w:sz w:val="24"/>
          <w:szCs w:val="32"/>
          <w:highlight w:val="none"/>
        </w:rPr>
        <w:t>七、协议书中有关词语含义与本合同第二部分《通用条款》中分别赋予它们的定义相同。</w:t>
      </w:r>
    </w:p>
    <w:p>
      <w:pPr>
        <w:snapToGrid w:val="0"/>
        <w:spacing w:line="440" w:lineRule="exact"/>
        <w:ind w:firstLine="480" w:firstLineChars="200"/>
        <w:rPr>
          <w:rFonts w:hint="eastAsia" w:ascii="宋体" w:hAnsi="宋体"/>
          <w:b/>
          <w:bCs/>
          <w:color w:val="auto"/>
          <w:sz w:val="24"/>
          <w:szCs w:val="32"/>
          <w:highlight w:val="none"/>
        </w:rPr>
      </w:pPr>
      <w:r>
        <w:rPr>
          <w:rFonts w:hint="eastAsia" w:ascii="宋体" w:hAnsi="宋体"/>
          <w:b/>
          <w:bCs/>
          <w:color w:val="auto"/>
          <w:sz w:val="24"/>
          <w:szCs w:val="32"/>
          <w:highlight w:val="none"/>
        </w:rPr>
        <w:t>八、承包人向发包人承诺按照合同约定进行施工、竣工。</w:t>
      </w:r>
    </w:p>
    <w:p>
      <w:pPr>
        <w:snapToGrid w:val="0"/>
        <w:spacing w:line="440" w:lineRule="exact"/>
        <w:ind w:firstLine="480" w:firstLineChars="200"/>
        <w:rPr>
          <w:rFonts w:ascii="宋体" w:hAnsi="宋体"/>
          <w:bCs/>
          <w:color w:val="auto"/>
          <w:sz w:val="24"/>
          <w:szCs w:val="32"/>
          <w:highlight w:val="none"/>
        </w:rPr>
      </w:pPr>
      <w:r>
        <w:rPr>
          <w:rFonts w:hint="eastAsia" w:ascii="宋体" w:hAnsi="宋体"/>
          <w:b/>
          <w:bCs/>
          <w:color w:val="auto"/>
          <w:sz w:val="24"/>
          <w:szCs w:val="32"/>
          <w:highlight w:val="none"/>
        </w:rPr>
        <w:t>九、发包人向承包人承诺按照合同约定的期限和方式支付合同价款及其他应当支付的款项。</w:t>
      </w:r>
    </w:p>
    <w:p>
      <w:pPr>
        <w:snapToGrid w:val="0"/>
        <w:spacing w:line="440" w:lineRule="exact"/>
        <w:ind w:firstLine="480" w:firstLineChars="200"/>
        <w:rPr>
          <w:rFonts w:ascii="宋体" w:hAnsi="宋体"/>
          <w:b/>
          <w:bCs/>
          <w:color w:val="auto"/>
          <w:sz w:val="24"/>
          <w:szCs w:val="32"/>
          <w:highlight w:val="none"/>
        </w:rPr>
      </w:pPr>
      <w:r>
        <w:rPr>
          <w:rFonts w:hint="eastAsia" w:ascii="宋体" w:hAnsi="宋体"/>
          <w:b/>
          <w:bCs/>
          <w:color w:val="auto"/>
          <w:sz w:val="24"/>
          <w:szCs w:val="32"/>
          <w:highlight w:val="none"/>
        </w:rPr>
        <w:t>十、合同生效</w:t>
      </w:r>
    </w:p>
    <w:p>
      <w:pPr>
        <w:snapToGrid w:val="0"/>
        <w:spacing w:line="440" w:lineRule="exact"/>
        <w:ind w:firstLine="482"/>
        <w:rPr>
          <w:rFonts w:ascii="宋体" w:hAnsi="宋体"/>
          <w:color w:val="auto"/>
          <w:sz w:val="24"/>
          <w:highlight w:val="none"/>
        </w:rPr>
      </w:pPr>
      <w:r>
        <w:rPr>
          <w:rFonts w:hint="eastAsia" w:ascii="宋体" w:hAnsi="宋体"/>
          <w:color w:val="auto"/>
          <w:sz w:val="24"/>
          <w:highlight w:val="none"/>
        </w:rPr>
        <w:t>合同订立时间：</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440" w:lineRule="exact"/>
        <w:ind w:firstLine="480"/>
        <w:rPr>
          <w:rFonts w:ascii="宋体" w:hAnsi="宋体"/>
          <w:color w:val="auto"/>
          <w:sz w:val="24"/>
          <w:highlight w:val="none"/>
        </w:rPr>
      </w:pPr>
      <w:r>
        <w:rPr>
          <w:rFonts w:hint="eastAsia" w:ascii="宋体" w:hAnsi="宋体"/>
          <w:color w:val="auto"/>
          <w:sz w:val="24"/>
          <w:highlight w:val="none"/>
        </w:rPr>
        <w:t>合同订立地点：</w:t>
      </w:r>
      <w:r>
        <w:rPr>
          <w:rFonts w:hint="eastAsia" w:ascii="宋体" w:hAnsi="宋体"/>
          <w:color w:val="auto"/>
          <w:sz w:val="24"/>
          <w:highlight w:val="none"/>
          <w:u w:val="single"/>
        </w:rPr>
        <w:t>广州市黄埔区</w:t>
      </w:r>
    </w:p>
    <w:p>
      <w:pPr>
        <w:snapToGrid w:val="0"/>
        <w:spacing w:line="440" w:lineRule="exact"/>
        <w:ind w:firstLine="480"/>
        <w:rPr>
          <w:rFonts w:ascii="宋体" w:hAnsi="宋体"/>
          <w:color w:val="auto"/>
          <w:sz w:val="24"/>
          <w:highlight w:val="none"/>
        </w:rPr>
      </w:pPr>
      <w:r>
        <w:rPr>
          <w:rFonts w:hint="eastAsia" w:ascii="宋体" w:hAnsi="宋体"/>
          <w:color w:val="auto"/>
          <w:sz w:val="24"/>
          <w:highlight w:val="none"/>
        </w:rPr>
        <w:t>本合同双方约定：</w:t>
      </w:r>
      <w:r>
        <w:rPr>
          <w:rFonts w:hint="eastAsia" w:ascii="宋体" w:hAnsi="宋体"/>
          <w:color w:val="auto"/>
          <w:sz w:val="24"/>
          <w:highlight w:val="none"/>
          <w:u w:val="single"/>
        </w:rPr>
        <w:t>双方签名、盖章并在承包人提交履约担保</w:t>
      </w:r>
      <w:r>
        <w:rPr>
          <w:rFonts w:hint="eastAsia" w:ascii="宋体" w:hAnsi="宋体"/>
          <w:color w:val="auto"/>
          <w:sz w:val="24"/>
          <w:highlight w:val="none"/>
        </w:rPr>
        <w:t>后生效。</w:t>
      </w:r>
    </w:p>
    <w:p>
      <w:pPr>
        <w:snapToGrid w:val="0"/>
        <w:spacing w:line="440" w:lineRule="exact"/>
        <w:rPr>
          <w:rFonts w:ascii="宋体" w:hAnsi="宋体"/>
          <w:color w:val="auto"/>
          <w:sz w:val="24"/>
          <w:highlight w:val="none"/>
        </w:rPr>
      </w:pPr>
    </w:p>
    <w:tbl>
      <w:tblPr>
        <w:tblStyle w:val="49"/>
        <w:tblW w:w="0" w:type="auto"/>
        <w:tblInd w:w="0" w:type="dxa"/>
        <w:tblLayout w:type="fixed"/>
        <w:tblCellMar>
          <w:top w:w="0" w:type="dxa"/>
          <w:left w:w="108" w:type="dxa"/>
          <w:bottom w:w="0" w:type="dxa"/>
          <w:right w:w="108" w:type="dxa"/>
        </w:tblCellMar>
      </w:tblPr>
      <w:tblGrid>
        <w:gridCol w:w="4839"/>
        <w:gridCol w:w="4839"/>
      </w:tblGrid>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ascii="宋体" w:hAnsi="宋体"/>
                <w:color w:val="auto"/>
                <w:sz w:val="24"/>
                <w:highlight w:val="none"/>
              </w:rPr>
              <w:t>发包人：（公章）</w:t>
            </w:r>
          </w:p>
        </w:tc>
        <w:tc>
          <w:tcPr>
            <w:tcW w:w="4839" w:type="dxa"/>
            <w:noWrap w:val="0"/>
            <w:vAlign w:val="top"/>
          </w:tcPr>
          <w:p>
            <w:pPr>
              <w:snapToGrid w:val="0"/>
              <w:spacing w:line="440" w:lineRule="exact"/>
              <w:rPr>
                <w:rFonts w:ascii="宋体" w:hAnsi="宋体"/>
                <w:color w:val="auto"/>
                <w:sz w:val="24"/>
                <w:highlight w:val="none"/>
              </w:rPr>
            </w:pPr>
            <w:r>
              <w:rPr>
                <w:rFonts w:ascii="宋体" w:hAnsi="宋体"/>
                <w:color w:val="auto"/>
                <w:sz w:val="24"/>
                <w:highlight w:val="none"/>
              </w:rPr>
              <w:t>承包人：（公章）</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住</w:t>
            </w:r>
            <w:r>
              <w:rPr>
                <w:rFonts w:ascii="宋体" w:hAnsi="宋体"/>
                <w:color w:val="auto"/>
                <w:sz w:val="24"/>
                <w:highlight w:val="none"/>
              </w:rPr>
              <w:t xml:space="preserve">  </w:t>
            </w:r>
            <w:r>
              <w:rPr>
                <w:rFonts w:hint="eastAsia" w:ascii="宋体" w:hAnsi="宋体"/>
                <w:color w:val="auto"/>
                <w:sz w:val="24"/>
                <w:highlight w:val="none"/>
              </w:rPr>
              <w:t>所：</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住</w:t>
            </w:r>
            <w:r>
              <w:rPr>
                <w:rFonts w:ascii="宋体" w:hAnsi="宋体"/>
                <w:color w:val="auto"/>
                <w:sz w:val="24"/>
                <w:highlight w:val="none"/>
              </w:rPr>
              <w:t xml:space="preserve">  </w:t>
            </w:r>
            <w:r>
              <w:rPr>
                <w:rFonts w:hint="eastAsia" w:ascii="宋体" w:hAnsi="宋体"/>
                <w:color w:val="auto"/>
                <w:sz w:val="24"/>
                <w:highlight w:val="none"/>
              </w:rPr>
              <w:t>所：</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ascii="宋体" w:hAnsi="宋体"/>
                <w:color w:val="auto"/>
                <w:sz w:val="24"/>
                <w:highlight w:val="none"/>
              </w:rPr>
              <w:t>法定代表人：</w:t>
            </w:r>
          </w:p>
        </w:tc>
        <w:tc>
          <w:tcPr>
            <w:tcW w:w="4839" w:type="dxa"/>
            <w:noWrap w:val="0"/>
            <w:vAlign w:val="top"/>
          </w:tcPr>
          <w:p>
            <w:pPr>
              <w:snapToGrid w:val="0"/>
              <w:spacing w:line="440" w:lineRule="exact"/>
              <w:rPr>
                <w:rFonts w:ascii="宋体" w:hAnsi="宋体"/>
                <w:color w:val="auto"/>
                <w:sz w:val="24"/>
                <w:highlight w:val="none"/>
              </w:rPr>
            </w:pPr>
            <w:r>
              <w:rPr>
                <w:rFonts w:ascii="宋体" w:hAnsi="宋体"/>
                <w:color w:val="auto"/>
                <w:sz w:val="24"/>
                <w:highlight w:val="none"/>
              </w:rPr>
              <w:t>法定代表人：</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委托代理人：</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委托代理人：</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话：</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电</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话：</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真：</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传</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真：</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开户银行：</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开户银行：</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帐</w:t>
            </w:r>
            <w:r>
              <w:rPr>
                <w:rFonts w:ascii="宋体" w:hAnsi="宋体"/>
                <w:color w:val="auto"/>
                <w:sz w:val="24"/>
                <w:highlight w:val="none"/>
              </w:rPr>
              <w:t xml:space="preserve">    号：</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帐</w:t>
            </w:r>
            <w:r>
              <w:rPr>
                <w:rFonts w:ascii="宋体" w:hAnsi="宋体"/>
                <w:color w:val="auto"/>
                <w:sz w:val="24"/>
                <w:highlight w:val="none"/>
              </w:rPr>
              <w:t xml:space="preserve">    号：</w:t>
            </w:r>
          </w:p>
        </w:tc>
      </w:tr>
      <w:tr>
        <w:tblPrEx>
          <w:tblCellMar>
            <w:top w:w="0" w:type="dxa"/>
            <w:left w:w="108" w:type="dxa"/>
            <w:bottom w:w="0" w:type="dxa"/>
            <w:right w:w="108" w:type="dxa"/>
          </w:tblCellMar>
        </w:tblPrEx>
        <w:trPr>
          <w:trHeight w:val="1134" w:hRule="atLeast"/>
        </w:trPr>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邮政编码：</w:t>
            </w:r>
          </w:p>
        </w:tc>
        <w:tc>
          <w:tcPr>
            <w:tcW w:w="4839" w:type="dxa"/>
            <w:noWrap w:val="0"/>
            <w:vAlign w:val="top"/>
          </w:tcPr>
          <w:p>
            <w:pPr>
              <w:snapToGrid w:val="0"/>
              <w:spacing w:line="440" w:lineRule="exact"/>
              <w:rPr>
                <w:rFonts w:ascii="宋体" w:hAnsi="宋体"/>
                <w:color w:val="auto"/>
                <w:sz w:val="24"/>
                <w:highlight w:val="none"/>
              </w:rPr>
            </w:pPr>
            <w:r>
              <w:rPr>
                <w:rFonts w:hint="eastAsia" w:ascii="宋体" w:hAnsi="宋体"/>
                <w:color w:val="auto"/>
                <w:sz w:val="24"/>
                <w:highlight w:val="none"/>
              </w:rPr>
              <w:t>邮政编码：</w:t>
            </w:r>
          </w:p>
        </w:tc>
      </w:tr>
    </w:tbl>
    <w:p>
      <w:pPr>
        <w:snapToGrid w:val="0"/>
        <w:spacing w:line="440" w:lineRule="exact"/>
        <w:ind w:firstLine="120" w:firstLineChars="50"/>
        <w:rPr>
          <w:rFonts w:ascii="宋体" w:hAnsi="宋体"/>
          <w:color w:val="auto"/>
          <w:sz w:val="24"/>
          <w:highlight w:val="none"/>
        </w:rPr>
      </w:pPr>
    </w:p>
    <w:p>
      <w:pPr>
        <w:snapToGrid w:val="0"/>
        <w:spacing w:line="440" w:lineRule="exact"/>
        <w:jc w:val="center"/>
        <w:rPr>
          <w:rFonts w:ascii="宋体" w:hAnsi="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第二部分</w:t>
      </w:r>
      <w:r>
        <w:rPr>
          <w:rFonts w:ascii="宋体" w:hAnsi="宋体"/>
          <w:color w:val="auto"/>
          <w:sz w:val="24"/>
          <w:highlight w:val="none"/>
        </w:rPr>
        <w:t xml:space="preserve"> </w:t>
      </w:r>
      <w:r>
        <w:rPr>
          <w:rFonts w:hint="eastAsia" w:ascii="宋体" w:hAnsi="宋体"/>
          <w:color w:val="auto"/>
          <w:sz w:val="24"/>
          <w:highlight w:val="none"/>
        </w:rPr>
        <w:t>通用条款</w:t>
      </w:r>
    </w:p>
    <w:p>
      <w:pPr>
        <w:spacing w:line="440" w:lineRule="exact"/>
        <w:jc w:val="center"/>
        <w:rPr>
          <w:rFonts w:ascii="宋体" w:hAnsi="宋体"/>
          <w:color w:val="auto"/>
          <w:sz w:val="24"/>
          <w:highlight w:val="none"/>
        </w:rPr>
      </w:pP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一、词语定义及合同文件</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词语定义</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下列词语除专用条款另有约定外，应具有本条所赋予的定义：</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 通用条款：是根据法律、行政法规规定及建设工程施工的需要订立，通用于建设工程施工的条款。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 专用条款：是发包人与承包人根据法律、行政法规规定，结合具体工程实际，经协商达成一致意见的条款，是对通用条款的具体化、补充或修改。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1.3 发包人：指在协议书中约定，具有工程发包主体资格和支付工程价款能力的当事人以及取得该当事人资格的合法继承人。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 承包人：指在协议书中约定，被发包人接受的具有工程施工承包主体资格的当事人以及取得该当事人资格的合法继承人。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1.5 </w:t>
      </w:r>
      <w:r>
        <w:rPr>
          <w:rFonts w:hint="eastAsia" w:ascii="宋体" w:hAnsi="宋体"/>
          <w:color w:val="auto"/>
          <w:sz w:val="21"/>
          <w:szCs w:val="21"/>
          <w:highlight w:val="none"/>
        </w:rPr>
        <w:t>项目负责人：指承包人在专用条款中指定的负责施工管理和合同履行的代表。</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 设计单位：指发包人委托的负责本工程设计并取得相应工程设计资质等级证书的单位。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 监理单位：指发包人委托的负责本工程监理并取得相应在工程监理资质等级证书的单位。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1.8 工程师：指本工程监理单位委派的总监理工程师或发包人指定的履行本合同的代表，其具体身份和职权由发包人承包人在专用条款中约定。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 工程造价管理部门：指国务院有关部门、县级以上人民政府建设行政主管部门或其委托的工程造价管理机构。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1.10 工程：指发包人承包人在协议书中约定的承包范围内的工程。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1.11 合同价款：指发包人承包人在协议书中约定，发包人用以支付承包人按照合同约定完成承包范围内全部工程并承担质量保修责任的款项。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1.12 追加合同价款：指在合同履行中发生需要增加合同价款的情况，经发包人确认后按计算合同价款的方法增加的合同价款。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1.13 </w:t>
      </w:r>
      <w:r>
        <w:rPr>
          <w:rFonts w:hint="eastAsia" w:ascii="宋体" w:hAnsi="宋体"/>
          <w:color w:val="auto"/>
          <w:sz w:val="21"/>
          <w:szCs w:val="21"/>
          <w:highlight w:val="none"/>
        </w:rPr>
        <w:t>费用：指不包含在合同价款之内的应当由发包人或承包人承担的经济支出。</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1.14 </w:t>
      </w:r>
      <w:r>
        <w:rPr>
          <w:rFonts w:hint="eastAsia" w:ascii="宋体" w:hAnsi="宋体"/>
          <w:color w:val="auto"/>
          <w:sz w:val="21"/>
          <w:szCs w:val="21"/>
          <w:highlight w:val="none"/>
        </w:rPr>
        <w:t>工期：指发包人承包人在协议书中约定，按总日历天数（包括法定节假日）计算的承包天数。</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1.15 开工日期：指发包人承包人在协议书中约定，承包人开始施工的绝对或相对的日期。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1.16 竣工日期：指发包人承包人在协议书中约定，承包人完成承包范围内工程的绝对或相对的日期。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1.17 图纸：指由发包人提供或承包人提供并经发包人批准，满足承包人施工需要的所有图纸（包括配套说明和有关资料）。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1.18 施工场地：指由发包人提供的用于工程施工的场所以及发包人在图纸中具体指定的供施工使用的任何其他场所。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1.19 书面形式：指合同书、信件和数据电文（包括电报、电传、传真、电子数据交换和电子邮件）等可以有形地表现所载内容的形式。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1.20 违约责任：指合同一方不履行合同义务或履行合同义务不符合约定所应承担的责任。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1.21 索赔：指在合同履行过程中，对于并非自己的过错，而是应由对方承担责任的情况造成的实际损失，向对方提出经济补偿和（或）工期顺延的要求。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1.22 不可抗力：指不能预见、不能避免并不能克服的客观情况。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2、合同文件及解释顺序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2.1 合同文件应能相互解释，互为说明。除专用条款另有约定外，组成本合同的文件及优先解释顺序如下：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1）本合同协议书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2）中标通知书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3）投标书及其附件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4）本合同专用条款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5）本合同通用条款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6）标准、规范及有关技术文件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7）图纸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 xml:space="preserve">8）工程量清单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9）工程报价单或预算书</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合同履行中，发包人承包人有关工程的洽商、变更等书面协议或文件视为本合同的组成部分。</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3、语言文字和适用法律、标准及规范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 语言文字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本合同文件使用汉语语言文字书写、解释和说明。如专用条款约定使用两种以上（含两种）语言文字时，汉语应为解释和说明本合同的标准语言文字。</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在少数民族地区，双方可以约定使用少数民族语言文字书写和解释、说明本合同。</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 适用法律和法规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本合同文件适用国家的法律和行政法规。需要明示的法律、行政法规，由双方在专用条款中约定。</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 适用标准、规范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国内没有相应标准、规范的，由发包人按专用条款约定的时间向承包人</w:t>
      </w:r>
      <w:r>
        <w:rPr>
          <w:rFonts w:hint="eastAsia" w:ascii="宋体" w:hAnsi="宋体"/>
          <w:color w:val="auto"/>
          <w:spacing w:val="4"/>
          <w:sz w:val="21"/>
          <w:szCs w:val="21"/>
          <w:highlight w:val="none"/>
        </w:rPr>
        <w:t>提出施工技术要求，承包人按约定的时间和要求提出施工工艺，经发包人认</w:t>
      </w:r>
      <w:r>
        <w:rPr>
          <w:rFonts w:hint="eastAsia" w:ascii="宋体" w:hAnsi="宋体"/>
          <w:color w:val="auto"/>
          <w:sz w:val="21"/>
          <w:szCs w:val="21"/>
          <w:highlight w:val="none"/>
        </w:rPr>
        <w:t>可后执行。发包人要求使用国外标准、规范的，应负责提供中文译本。</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本条所发生的购买、翻译标准、规范或制定施工工艺的费用，由发包人承担。</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4、图纸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 </w:t>
      </w:r>
      <w:r>
        <w:rPr>
          <w:rFonts w:hint="eastAsia" w:ascii="宋体" w:hAnsi="宋体"/>
          <w:color w:val="auto"/>
          <w:sz w:val="21"/>
          <w:szCs w:val="21"/>
          <w:highlight w:val="none"/>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4.2 承包人未经发包人同意，不得将本工程图纸转给第三人。工程质量保修期满后，除承包人存档需要的图纸外，应将全部图纸退还给发包人。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4.3 承包人应在施工现场保留一套完整图纸，供工程师及有关人员进行工程检查时使用。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二、双方一般权利和义务</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5、工程师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5.1实行工程监理的，发包人应在实施监理前将委托的监理单位名称、监理内容及监理权限以书面形式通知承包人。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5.4 </w:t>
      </w:r>
      <w:r>
        <w:rPr>
          <w:rFonts w:hint="eastAsia" w:ascii="宋体" w:hAnsi="宋体"/>
          <w:color w:val="auto"/>
          <w:sz w:val="21"/>
          <w:szCs w:val="21"/>
          <w:highlight w:val="none"/>
        </w:rPr>
        <w:t>合同履行中，发生影响发包人承包人双方权利或义务的事件时，负责监理的工程师应依据合同在其职权范围内客观公正地进行处理。一方对工程师的处理有异议时，按本通用条款</w:t>
      </w:r>
      <w:r>
        <w:rPr>
          <w:rFonts w:ascii="宋体" w:hAnsi="宋体"/>
          <w:color w:val="auto"/>
          <w:sz w:val="21"/>
          <w:szCs w:val="21"/>
          <w:highlight w:val="none"/>
        </w:rPr>
        <w:t xml:space="preserve">37条关于争议的约定处理。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5.5 </w:t>
      </w:r>
      <w:r>
        <w:rPr>
          <w:rFonts w:hint="eastAsia" w:ascii="宋体" w:hAnsi="宋体"/>
          <w:color w:val="auto"/>
          <w:sz w:val="21"/>
          <w:szCs w:val="21"/>
          <w:highlight w:val="none"/>
        </w:rPr>
        <w:t>除合同内有明确约定或经发包人同意外，负责监理的工程师无权解除本合同约定的承包人的任何权利与义务。</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5.6 不实行工程监理的，本合同中工程师专指发包人派驻施工现场履行合同的代表，其具体职权由发包人在专用条款中写明。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6、工程师的委派和指令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除工程师或工程师代表外，发包人派驻工地的其他人员均无权向承包人发出任何指令。</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6.2 </w:t>
      </w:r>
      <w:r>
        <w:rPr>
          <w:rFonts w:hint="eastAsia" w:ascii="宋体" w:hAnsi="宋体"/>
          <w:color w:val="auto"/>
          <w:sz w:val="21"/>
          <w:szCs w:val="21"/>
          <w:highlight w:val="none"/>
        </w:rPr>
        <w:t>工程师的指令、通知由其本人签字后，以书面形式交给项目负责人，项目负责人在回执上签署姓名和收到时间后生效。确有必要时，工程师可发出口头指令，并在</w:t>
      </w:r>
      <w:r>
        <w:rPr>
          <w:rFonts w:ascii="宋体" w:hAnsi="宋体"/>
          <w:color w:val="auto"/>
          <w:sz w:val="21"/>
          <w:szCs w:val="21"/>
          <w:highlight w:val="none"/>
        </w:rPr>
        <w:t xml:space="preserve">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承包人认为工程师指令不合理，应在收到指令后</w:t>
      </w:r>
      <w:r>
        <w:rPr>
          <w:rFonts w:ascii="宋体" w:hAnsi="宋体"/>
          <w:color w:val="auto"/>
          <w:sz w:val="21"/>
          <w:szCs w:val="21"/>
          <w:highlight w:val="none"/>
        </w:rPr>
        <w:t>24小时内向工程师提出修改指令的书面报告，工程师在收到承包人报告后24小时内</w:t>
      </w:r>
      <w:r>
        <w:rPr>
          <w:rFonts w:hint="eastAsia" w:ascii="宋体" w:hAnsi="宋体"/>
          <w:color w:val="auto"/>
          <w:sz w:val="21"/>
          <w:szCs w:val="21"/>
          <w:highlight w:val="none"/>
        </w:rPr>
        <w:t>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本款规定同样适用于由工程师代表发出的指令、通知。</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6.3 </w:t>
      </w:r>
      <w:r>
        <w:rPr>
          <w:rFonts w:hint="eastAsia" w:ascii="宋体" w:hAnsi="宋体"/>
          <w:color w:val="auto"/>
          <w:sz w:val="21"/>
          <w:szCs w:val="21"/>
          <w:highlight w:val="none"/>
        </w:rPr>
        <w:t>工程师应按合同约定，及时向承包人提供所需指令、批准并履行约定的</w:t>
      </w:r>
      <w:r>
        <w:rPr>
          <w:rFonts w:hint="eastAsia" w:ascii="宋体" w:hAnsi="宋体"/>
          <w:color w:val="auto"/>
          <w:spacing w:val="4"/>
          <w:sz w:val="21"/>
          <w:szCs w:val="21"/>
          <w:highlight w:val="none"/>
        </w:rPr>
        <w:t>其他义务。由于工程师未能按合同约定履行义务造成工期延误，发包人应承</w:t>
      </w:r>
      <w:r>
        <w:rPr>
          <w:rFonts w:hint="eastAsia" w:ascii="宋体" w:hAnsi="宋体"/>
          <w:color w:val="auto"/>
          <w:sz w:val="21"/>
          <w:szCs w:val="21"/>
          <w:highlight w:val="none"/>
        </w:rPr>
        <w:t>担延误造成的追加合同价款，并赔偿承包人有关损失，顺延延误的工期。</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6.4 如需更换工程师，发包人应至少提前7天以书面形式通知承包人，后任继续行使合同文件约定的前任的职权，履行前任的义务。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项目负责人</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7.1 </w:t>
      </w:r>
      <w:r>
        <w:rPr>
          <w:rFonts w:hint="eastAsia" w:ascii="宋体" w:hAnsi="宋体"/>
          <w:color w:val="auto"/>
          <w:sz w:val="21"/>
          <w:szCs w:val="21"/>
          <w:highlight w:val="none"/>
        </w:rPr>
        <w:t>项目负责人的姓名、职务在专用条款内写明。</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7.2 </w:t>
      </w:r>
      <w:r>
        <w:rPr>
          <w:rFonts w:hint="eastAsia" w:ascii="宋体" w:hAnsi="宋体"/>
          <w:color w:val="auto"/>
          <w:sz w:val="21"/>
          <w:szCs w:val="21"/>
          <w:highlight w:val="none"/>
        </w:rPr>
        <w:t>承包人依据合同发出的通知，以书面形式由项目负责人签字后送交工程师，工程师在回执上签署姓名和收到时间后生效。</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7.3 </w:t>
      </w:r>
      <w:r>
        <w:rPr>
          <w:rFonts w:hint="eastAsia" w:ascii="宋体" w:hAnsi="宋体"/>
          <w:color w:val="auto"/>
          <w:sz w:val="21"/>
          <w:szCs w:val="21"/>
          <w:highlight w:val="none"/>
        </w:rPr>
        <w:t>项目负责人按发包人认可的施工组织设计（施工方案）和工程师依据合同发出的指令组织施工。在情况紧急且无法与工程师联系时，项目负责人应当采取保证人员生命和工程、财产安全的紧急措施，并在采取措施后</w:t>
      </w:r>
      <w:r>
        <w:rPr>
          <w:rFonts w:ascii="宋体" w:hAnsi="宋体"/>
          <w:color w:val="auto"/>
          <w:sz w:val="21"/>
          <w:szCs w:val="21"/>
          <w:highlight w:val="none"/>
        </w:rPr>
        <w:t xml:space="preserve">48小时内向工程师送交报告。责任在发包人或第三人，由发包人承担由此发生的追加合同价款，相应顺延工期；责任在承包人，由承包人承担费用，不顺延工期。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7.4 </w:t>
      </w:r>
      <w:r>
        <w:rPr>
          <w:rFonts w:hint="eastAsia" w:ascii="宋体" w:hAnsi="宋体"/>
          <w:color w:val="auto"/>
          <w:sz w:val="21"/>
          <w:szCs w:val="21"/>
          <w:highlight w:val="none"/>
        </w:rPr>
        <w:t>承包人如需更换项目负责人，应至少提前</w:t>
      </w:r>
      <w:r>
        <w:rPr>
          <w:rFonts w:ascii="宋体" w:hAnsi="宋体"/>
          <w:color w:val="auto"/>
          <w:sz w:val="21"/>
          <w:szCs w:val="21"/>
          <w:highlight w:val="none"/>
        </w:rPr>
        <w:t xml:space="preserve">7天以书面形式通知发包人，并征得发包人同意。后任继续行使合同文件约定的前任的职权，履行前任的义务。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7.5 </w:t>
      </w:r>
      <w:r>
        <w:rPr>
          <w:rFonts w:hint="eastAsia" w:ascii="宋体" w:hAnsi="宋体"/>
          <w:color w:val="auto"/>
          <w:sz w:val="21"/>
          <w:szCs w:val="21"/>
          <w:highlight w:val="none"/>
        </w:rPr>
        <w:t>发包人可以与承包人协商，建议更换其认为不称职的项目负责人。</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8、发包人工作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8.1 发包人按专用条款约定的内容和时间完成以下工作: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办理土地征用、拆迁补偿、平整施工场地等工作，使施工场地具备施工条件，在开工后继续负责解决以上事项遗留问题；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将施工所需水、电、电讯线路从施工场地外部接至专用条款约定地点，保证施工期间的需要；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开通施工场地与城乡公共道路的通道，以及专用条款约定的施工场地内的主要道路，满足施工运输的需要，保证施工期间的畅通。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向承包人提供施工场地的工程地质和地下管线资料，对资料的真实准确性负责；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w:t>
      </w:r>
      <w:r>
        <w:rPr>
          <w:rFonts w:hint="eastAsia" w:ascii="宋体" w:hAnsi="宋体"/>
          <w:color w:val="auto"/>
          <w:sz w:val="21"/>
          <w:szCs w:val="21"/>
          <w:highlight w:val="none"/>
        </w:rPr>
        <w:t>办理施工许可证及其他施工所需证件、批件和临时用地、停水、停电、中断道路交通、爆破作业等的申请批准文件（证明承包人自身资质的证件除外）；</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 </w:t>
      </w:r>
      <w:r>
        <w:rPr>
          <w:rFonts w:hint="eastAsia" w:ascii="宋体" w:hAnsi="宋体"/>
          <w:color w:val="auto"/>
          <w:sz w:val="21"/>
          <w:szCs w:val="21"/>
          <w:highlight w:val="none"/>
        </w:rPr>
        <w:t>确定水准点与坐标控制点，以书面形式交给承包人，进行现场交验；</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 </w:t>
      </w:r>
      <w:r>
        <w:rPr>
          <w:rFonts w:hint="eastAsia" w:ascii="宋体" w:hAnsi="宋体"/>
          <w:color w:val="auto"/>
          <w:sz w:val="21"/>
          <w:szCs w:val="21"/>
          <w:highlight w:val="none"/>
        </w:rPr>
        <w:t>组织承包人和设计单位进行图纸会审和设计交底；</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(8) 协调管理施工场地周围地下管线和邻近建筑物、构筑物（包括文物保护建筑）、古树名木的保护工作，承担有关费用；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(9) 发包人应做的其他工作，双方在专用条款内约定。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8.2 发包人未履行8.1款各项义务，导致工期延误或给承包人造成损失的，发包人赔偿承包人有关损失，顺延延误的工期。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9、承包人工作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9.1 承包人按专用条款约定的内容和时间完成以下工作：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根据发包人委托，在其设计资质等级和业务允许的范围内，完成施工图设计或与工程配套的设计，经工程师确认后使用，发包人承担由此发生的费用；</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向工程师提供年、季、月度工程进度计划及相应进度统计报表；</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rPr>
        <w:t>根据工程需要，提供和维修非夜间施工使用的照明、围栏设施，并负责安全保卫；</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按专用条款约定的数量和要求，向发包人提供施工场地办公和生活的房屋及设施，发包人承担由此发生的费用；</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遵守政府有关主管部门对施工场地交通、施工噪音以及环境保护和安全生产等的管理规定，按规定办理有关手续，并以书面形式通知发包人，发包人承担由此发生的费用，因承包人责任造成的罚款除外；</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(6)</w:t>
      </w:r>
      <w:r>
        <w:rPr>
          <w:rFonts w:hint="eastAsia" w:ascii="宋体" w:hAnsi="宋体"/>
          <w:color w:val="auto"/>
          <w:sz w:val="21"/>
          <w:szCs w:val="21"/>
          <w:highlight w:val="none"/>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(7)</w:t>
      </w:r>
      <w:r>
        <w:rPr>
          <w:rFonts w:hint="eastAsia" w:ascii="宋体" w:hAnsi="宋体"/>
          <w:color w:val="auto"/>
          <w:sz w:val="21"/>
          <w:szCs w:val="21"/>
          <w:highlight w:val="none"/>
        </w:rPr>
        <w:t>按专用条款约定做好施工场地地下管线和邻近建筑物、构筑物（包括文物保护建筑）、古树名木的保护工作；</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(8)</w:t>
      </w:r>
      <w:r>
        <w:rPr>
          <w:rFonts w:hint="eastAsia" w:ascii="宋体" w:hAnsi="宋体"/>
          <w:color w:val="auto"/>
          <w:sz w:val="21"/>
          <w:szCs w:val="21"/>
          <w:highlight w:val="none"/>
        </w:rPr>
        <w:t>保证施工场地清洁符合环境卫生管理的有关规定，交工前清理现场达到专用条款约定的要求，承担因自身原因违反有关规定造成的损失和罚款；</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(9)</w:t>
      </w:r>
      <w:r>
        <w:rPr>
          <w:rFonts w:hint="eastAsia" w:ascii="宋体" w:hAnsi="宋体"/>
          <w:color w:val="auto"/>
          <w:spacing w:val="-6"/>
          <w:sz w:val="21"/>
          <w:szCs w:val="21"/>
          <w:highlight w:val="none"/>
        </w:rPr>
        <w:t>办理施工许可证及施工所需证件、批件和临时用地、停水、停电、中断</w:t>
      </w:r>
      <w:r>
        <w:rPr>
          <w:rFonts w:hint="eastAsia" w:ascii="宋体" w:hAnsi="宋体"/>
          <w:color w:val="auto"/>
          <w:sz w:val="21"/>
          <w:szCs w:val="21"/>
          <w:highlight w:val="none"/>
        </w:rPr>
        <w:t>道路交通、爆破作业等的申请批准手续（证明承包人自身资质的证件除外）；</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(10)承包人应做的其他工作，双方在专用条款内约定。</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9.2承包人未能履行9.1款各项义务，造成发包人损失的，承包人赔偿发包人有关损失。</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三、施工组织设计和工期</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10、进度计划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10.2群体工程中单位工程分期进行施工的，承包人应按照发包人提供图纸及有关资料的时间，按单位工程编制进度计划，其具体内容双方在专用条款中约定。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11、开工及延期开工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11.2因发包人原因不能按照协议书约定的开工日期开工，工程师应以书面形式通知承</w:t>
      </w:r>
      <w:r>
        <w:rPr>
          <w:rFonts w:hint="eastAsia" w:ascii="宋体" w:hAnsi="宋体"/>
          <w:color w:val="auto"/>
          <w:sz w:val="21"/>
          <w:szCs w:val="21"/>
          <w:highlight w:val="none"/>
        </w:rPr>
        <w:t>包人，推迟开工日期。发包人赔偿承包人因延期开工造成的损失，并相应顺延工期。</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12、暂停施工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工程师认为确有必要暂停施工时，应当以书面形式要求承包人暂停施工，并在提出要求后</w:t>
      </w:r>
      <w:r>
        <w:rPr>
          <w:rFonts w:ascii="宋体" w:hAnsi="宋体"/>
          <w:color w:val="auto"/>
          <w:sz w:val="21"/>
          <w:szCs w:val="21"/>
          <w:highlight w:val="none"/>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13、工期延误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13.1因以下原因造成工期延误，经工程师确认工期相应顺延；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发包人未能按专用条款的约定提供图纸及开工条件；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发包人未能按约定日期支付工程预付款、进度款，致使施工不能正常进行；</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w:t>
      </w:r>
      <w:r>
        <w:rPr>
          <w:rFonts w:hint="eastAsia" w:ascii="宋体" w:hAnsi="宋体"/>
          <w:color w:val="auto"/>
          <w:sz w:val="21"/>
          <w:szCs w:val="21"/>
          <w:highlight w:val="none"/>
        </w:rPr>
        <w:t>工程师未按合同约定提供所需指令、批准等，致使施工不能正常进行；</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设计变更和工程量增加；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w:t>
      </w:r>
      <w:r>
        <w:rPr>
          <w:rFonts w:hint="eastAsia" w:ascii="宋体" w:hAnsi="宋体"/>
          <w:color w:val="auto"/>
          <w:sz w:val="21"/>
          <w:szCs w:val="21"/>
          <w:highlight w:val="none"/>
        </w:rPr>
        <w:t>一周内非承包人原因停水、停电、停气造成停工累计超过</w:t>
      </w:r>
      <w:r>
        <w:rPr>
          <w:rFonts w:ascii="宋体" w:hAnsi="宋体"/>
          <w:color w:val="auto"/>
          <w:sz w:val="21"/>
          <w:szCs w:val="21"/>
          <w:highlight w:val="none"/>
        </w:rPr>
        <w:t>8小时；</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 </w:t>
      </w:r>
      <w:r>
        <w:rPr>
          <w:rFonts w:hint="eastAsia" w:ascii="宋体" w:hAnsi="宋体"/>
          <w:color w:val="auto"/>
          <w:sz w:val="21"/>
          <w:szCs w:val="21"/>
          <w:highlight w:val="none"/>
        </w:rPr>
        <w:t>不可抗力；</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(7) </w:t>
      </w:r>
      <w:r>
        <w:rPr>
          <w:rFonts w:hint="eastAsia" w:ascii="宋体" w:hAnsi="宋体"/>
          <w:color w:val="auto"/>
          <w:sz w:val="21"/>
          <w:szCs w:val="21"/>
          <w:highlight w:val="none"/>
        </w:rPr>
        <w:t>专用条款中约定或工程师同意工期顺延的其他情况。</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13.2承包人在13.1款情况发生后14天内，就延误的工期以书面形式向工程师提出报告。工程师在收到报告后14天内予以确认，逾期不予确认也不提出修改意见，视为同意顺延工期。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14、工程竣工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14.1 承包人必须按照协议书约定的竣工日期或工程师同意顺延的工期竣工。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14.2 因承包人原因不能按照协议书约定的竣工日期或工程师同意顺延的工期竣工的，承包人承担违约责任。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四、质量与检验</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15、工程质量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1</w:t>
      </w:r>
      <w:r>
        <w:rPr>
          <w:rFonts w:ascii="宋体" w:hAnsi="宋体"/>
          <w:color w:val="auto"/>
          <w:spacing w:val="6"/>
          <w:sz w:val="21"/>
          <w:szCs w:val="21"/>
          <w:highlight w:val="none"/>
        </w:rPr>
        <w:t xml:space="preserve">5.1 </w:t>
      </w:r>
      <w:r>
        <w:rPr>
          <w:rFonts w:hint="eastAsia" w:ascii="宋体" w:hAnsi="宋体"/>
          <w:color w:val="auto"/>
          <w:spacing w:val="6"/>
          <w:sz w:val="21"/>
          <w:szCs w:val="21"/>
          <w:highlight w:val="none"/>
        </w:rPr>
        <w:t>工程质量应当达到协议书约定的质量标准，质量标准的评定以国家或</w:t>
      </w:r>
      <w:r>
        <w:rPr>
          <w:rFonts w:hint="eastAsia" w:ascii="宋体" w:hAnsi="宋体"/>
          <w:color w:val="auto"/>
          <w:sz w:val="21"/>
          <w:szCs w:val="21"/>
          <w:highlight w:val="none"/>
        </w:rPr>
        <w:t>行业的质量检验评定标准为依据。因承包人原因工程质量达不到约定的质量标准，承包人承担违约责任。</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15.2 双方对工程质量有争议，由双方同意的工程质量检测机构鉴定，所需费用及因此造成的损失，由责任方承担。双方均有责任，由双方根据其责任分别承担。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16、检查和返工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16.1 承包人应认真按照标准、规范和设计图纸要求以及工程师依据合同发出的指令施工，随时接受工程师的检查检验，为检查检验提供便利条件。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16.4 因工程师指令失误或其他非承包人原因发生的追加合同价款，由发包人承担。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17、隐蔽工程和中间验收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17.1 </w:t>
      </w:r>
      <w:r>
        <w:rPr>
          <w:rFonts w:hint="eastAsia" w:ascii="宋体" w:hAnsi="宋体"/>
          <w:color w:val="auto"/>
          <w:sz w:val="21"/>
          <w:szCs w:val="21"/>
          <w:highlight w:val="none"/>
        </w:rPr>
        <w:t>工程具备隐蔽条件或达到专用条款约定的中间验收部位，承包人进行自检，并在隐蔽或中间验收前</w:t>
      </w:r>
      <w:r>
        <w:rPr>
          <w:rFonts w:ascii="宋体" w:hAnsi="宋体"/>
          <w:color w:val="auto"/>
          <w:sz w:val="21"/>
          <w:szCs w:val="21"/>
          <w:highlight w:val="none"/>
        </w:rPr>
        <w:t>48小时以书面形式通知工程师验收。通知包括隐蔽和中间验收的内容、验收时间和地点。承包人准备验收记录，验收合格，</w:t>
      </w:r>
      <w:r>
        <w:rPr>
          <w:rFonts w:hint="eastAsia" w:ascii="宋体" w:hAnsi="宋体"/>
          <w:color w:val="auto"/>
          <w:spacing w:val="4"/>
          <w:sz w:val="21"/>
          <w:szCs w:val="21"/>
          <w:highlight w:val="none"/>
        </w:rPr>
        <w:t>工程师在验收记录上签字后，承包人可进行隐蔽和继续施工。验收不合格</w:t>
      </w:r>
      <w:r>
        <w:rPr>
          <w:rFonts w:hint="eastAsia" w:ascii="宋体" w:hAnsi="宋体"/>
          <w:color w:val="auto"/>
          <w:sz w:val="21"/>
          <w:szCs w:val="21"/>
          <w:highlight w:val="none"/>
        </w:rPr>
        <w:t>，承包人在工程师限定的时间内修改后重新验收。</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17.3 </w:t>
      </w:r>
      <w:r>
        <w:rPr>
          <w:rFonts w:hint="eastAsia" w:ascii="宋体" w:hAnsi="宋体"/>
          <w:color w:val="auto"/>
          <w:sz w:val="21"/>
          <w:szCs w:val="21"/>
          <w:highlight w:val="none"/>
        </w:rPr>
        <w:t>经工程师验收，工程质量符合标准、规范和设计图纸等要求，验收</w:t>
      </w:r>
      <w:r>
        <w:rPr>
          <w:rFonts w:ascii="宋体" w:hAnsi="宋体"/>
          <w:color w:val="auto"/>
          <w:sz w:val="21"/>
          <w:szCs w:val="21"/>
          <w:highlight w:val="none"/>
        </w:rPr>
        <w:t>24</w:t>
      </w:r>
      <w:r>
        <w:rPr>
          <w:rFonts w:hint="eastAsia" w:ascii="宋体" w:hAnsi="宋体"/>
          <w:color w:val="auto"/>
          <w:spacing w:val="4"/>
          <w:sz w:val="21"/>
          <w:szCs w:val="21"/>
          <w:highlight w:val="none"/>
        </w:rPr>
        <w:t>小时后，工程师不在验收记录上签字，视为工程师已经认可验收记录，承包</w:t>
      </w:r>
      <w:r>
        <w:rPr>
          <w:rFonts w:hint="eastAsia" w:ascii="宋体" w:hAnsi="宋体"/>
          <w:color w:val="auto"/>
          <w:sz w:val="21"/>
          <w:szCs w:val="21"/>
          <w:highlight w:val="none"/>
        </w:rPr>
        <w:t>人可进行隐蔽或继续施工。</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18、重新检验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19、工程试车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19.1 双方约定需要试车的，试车内容应与承包人承包的安装范围相一致。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19.5双方责任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由于承包人施工原因试车达不到验收要求，承包人按工程师要求重新安装和试车，并承担重新安装和试车的费用，工期不予顺延。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w:t>
      </w:r>
      <w:r>
        <w:rPr>
          <w:rFonts w:hint="eastAsia" w:ascii="宋体" w:hAnsi="宋体"/>
          <w:color w:val="auto"/>
          <w:sz w:val="21"/>
          <w:szCs w:val="21"/>
          <w:highlight w:val="none"/>
        </w:rPr>
        <w:t>试车费用除已包括在合同价款之内或专用条款另有约定外，均由发包人承担。</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工程师在试车合格后不在试车记录上签字，试车结束24小时后，视为工程师已经认可试车记录，承包人可继续施工或办理竣工手续。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19.6 投料试车应在工程竣工验收后由发包人负责，如发包人要求在工程竣工验收前进行或需要承包人配合时，应征得承包人同意，另行签订补充协议。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五、安全施工</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20、安全施工与检查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21、安全防护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21.2实施爆破作业，在放射、毒害性环境中施工（含储存、运输、使用）及使用毒害性、腐蚀性物品施工时，承包人应在施工前14天以书面形式通知工</w:t>
      </w:r>
      <w:r>
        <w:rPr>
          <w:rFonts w:hint="eastAsia" w:ascii="宋体" w:hAnsi="宋体"/>
          <w:color w:val="auto"/>
          <w:spacing w:val="2"/>
          <w:sz w:val="21"/>
          <w:szCs w:val="21"/>
          <w:highlight w:val="none"/>
        </w:rPr>
        <w:t>程师，并提出相应的安全防护措施，经工程师认可后实施</w:t>
      </w:r>
      <w:r>
        <w:rPr>
          <w:rFonts w:ascii="宋体" w:hAnsi="宋体"/>
          <w:color w:val="auto"/>
          <w:spacing w:val="2"/>
          <w:sz w:val="21"/>
          <w:szCs w:val="21"/>
          <w:highlight w:val="none"/>
        </w:rPr>
        <w:t>,由发包人承担安全</w:t>
      </w:r>
      <w:r>
        <w:rPr>
          <w:rFonts w:hint="eastAsia" w:ascii="宋体" w:hAnsi="宋体"/>
          <w:color w:val="auto"/>
          <w:sz w:val="21"/>
          <w:szCs w:val="21"/>
          <w:highlight w:val="none"/>
        </w:rPr>
        <w:t>防护措施费用。</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22、事故处理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22.1发生重大伤亡及其他安全事故，承包人应按有关规定立即上报有关部门并通知工程师，同时按政府有关部门要求处理，由事故责任方承担发生的费用。</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22.2发包人承包人对事故责任有争议时，应按政府有关部门的认定处理。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六、合同价款与支付</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23、合同价款及调整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23.1招标工程的合同价款由发包人承包人依据中标通知书中的中标价格在协议书内约定。非招标工程的合同价款由发包人承包人依据工程预算书在协议书内约定。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23.2合同价款在协议书内约定后，任何一方不得擅自改变。下列三种确定合同价款的方式，双方可在专用条款内约定采用其中一种：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可调价格合同。合同价款可根据双方的约定而调整，双方在专用条款内约定合同价款调整方法。</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成本加酬金合同。合同价款包括成本和酬金两部分，双方在专用条款内约定成本构成和酬金的计算方法。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23.3可调价格合同中合同价款的调整因素包括：</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法律、行政法规和国家有关政策变化影响合同价款；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工程造价管理部门公布的价格调整；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一周内非承包人原因停水、停电、停气造成的停工累计超过8小时；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双方约定的其他因素。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24、工程预付款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实行工程预付款的，双方应当在专用条款内约定发包人向承包人预付工程款的时间和数额，开工后按约定的时间和比例逐次扣回。预付时间应不迟于约定的开工日期前</w:t>
      </w:r>
      <w:r>
        <w:rPr>
          <w:rFonts w:ascii="宋体" w:hAnsi="宋体"/>
          <w:color w:val="auto"/>
          <w:sz w:val="21"/>
          <w:szCs w:val="21"/>
          <w:highlight w:val="none"/>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25、工程量的确认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25.3对承包人超出设计图纸范围和因承包人原因造成返工的工程量，工程师不予计量。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26、工程款（进度款）支付。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26.1 在确认计量结果后14天内，发包人应向承包人支付工程款（进度款）。按约定时间发包人应扣回的预付款，与工程款（进度款）同期结算。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26.2 本通用条款第23条确定调整的合同价款，第31条工程变更调整的合同价款及其他条款中约定的追加合同价款，应与工程款（进度款）同期调整支付。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26.4 发包人不按合同约定支付工程款（进度款），双方又未达成延期付款协议，导致施工无法进行，承包人可停止施工，由发包人承担违约责任。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七、材料设备供应</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27、发包人供应材料设备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27.3 发包人供应的材料设备，承包人派人参加清点后由承包人妥善保管，发包人支付相应保管费用。因承包人原因发生丢失损坏，由承包人负责赔偿。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发包人未通知承包人清点，承包人不负责材料设备的保管，丢失损坏由发包人负责。</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27.4发包人供应的材料设备与一览表不符时，发包人承担有关责任。发包人应承担责任的具体内容，双方根据下列情况在专用条款内约定。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材料设备单价与一览表不符，由发包人承担所有价差；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材料设备的品种、规格、型号、质量等级与一览表不符，承包人可拒绝接收保管，由发包人运出施工场地并重新采购；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发包人供应的材料规格、型号与一览表不符，经发包人同意，承包人可代为调剂串换，由发包人承担相应费用；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到货地点与一览表不符，由发包人负责运至一览表指定地点：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供应数量少于一览表约定的数量时，由发包人补齐，多于一览表约定数量时，发包人负责将多出部分运出施工场地；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 到货时间早于一览表约定时间，由发包人承担因此发生的保管费用；到货时间迟于一览表约定的供应时间，发包人赔偿由此造成的承包人损失，造成工期延误的，相应顺延工期。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27.5发包人供应的材料设备使用前，由承包人负责检验或试验，不合格的不得使用，检验或试验费用由发包人承担。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27.6发包人供应材料设备的结算方法，双方在专用条款内约定。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28、承包人采购材料设备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28.1 </w:t>
      </w:r>
      <w:r>
        <w:rPr>
          <w:rFonts w:hint="eastAsia" w:ascii="宋体" w:hAnsi="宋体"/>
          <w:color w:val="auto"/>
          <w:sz w:val="21"/>
          <w:szCs w:val="21"/>
          <w:highlight w:val="none"/>
        </w:rPr>
        <w:t>承包人负责采购材料设备的，应按照专用条款约定及设计和有关标准要求采购，并提供产品合格证明，对材料设备质量负责。承包人在材料设备到货前</w:t>
      </w:r>
      <w:r>
        <w:rPr>
          <w:rFonts w:ascii="宋体" w:hAnsi="宋体"/>
          <w:color w:val="auto"/>
          <w:sz w:val="21"/>
          <w:szCs w:val="21"/>
          <w:highlight w:val="none"/>
        </w:rPr>
        <w:t>24小时通知工程师清点。</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28.2</w:t>
      </w:r>
      <w:r>
        <w:rPr>
          <w:rFonts w:ascii="宋体" w:hAnsi="宋体"/>
          <w:color w:val="auto"/>
          <w:spacing w:val="8"/>
          <w:sz w:val="21"/>
          <w:szCs w:val="21"/>
          <w:highlight w:val="none"/>
        </w:rPr>
        <w:t xml:space="preserve"> 承包人采购的材料设备与设计或标准要求不符时，承包人应按工程师要</w:t>
      </w:r>
      <w:r>
        <w:rPr>
          <w:rFonts w:hint="eastAsia" w:ascii="宋体" w:hAnsi="宋体"/>
          <w:color w:val="auto"/>
          <w:sz w:val="21"/>
          <w:szCs w:val="21"/>
          <w:highlight w:val="none"/>
        </w:rPr>
        <w:t>求的时间运出施工场地，重新采购符合要求的产品，承担由此发生的费用，由此延误的工期不予顺延。</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28.3 承包人采购的材料设备在使用前，承包人应按工程师的要求进行检验或试验，不合格的不得使用，检验或试验费用由承包人承担。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28.4 工程师发现承包人采购并使用不符合设计或标准要求的材料设备时，应要求由承包人负责修复、拆除或重新采购，并承担发生的费用，由此延误的工期不予顺延。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28.5 承包人需要使用代用材料时，应经工程师认可后才能使用，由此增减的合同价款双方以书面形式议定。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28.6 由承包人采购的材料设备，发包人不得指定生产厂或供应商。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八、工程变更</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29、工程设计变更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更改工程有关部分的标高、基线、位置和尺寸；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增减合同中约定的工程量；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改变有关工程的施工时间和顺序；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其他有关工程变更需要的附加工作。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因变更导致合同价款的增减及造成的承包人损失，由发包人承担，延误的工期相应顺延。</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29.2施工中承包人不得对原工程设计进行变更。因承包人擅自变更设计发生的费用和由此导致发包人的直接损失，由承包人承担，延误的工期不予顺延。</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工程师同意采用承包人合理化建议，所发生的费用和获得的收益，发包人承包人另行约定分担或分享。</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30、其他变更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合同履行中发包人要求变更工程质量标准及发生其他实质性变更，由双方协商解决。</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31、确定变更价款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31.1承包人在工程变更确定后14天内，提出变更工程价款的报告，经工程师确认后调整合同价款。变更合同价款按下列方法进行：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合同中已有适用于变更工程的价格，按合同已有的价格变更合同价款；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合同中只有类似于变更工程的价格，可以参照类似价格变更合同价款；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合同中没有适用或类似于变更工程的价格，由承包人提出适当的变更价格，经工程师确认后执行。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31.2承包人在双方确定变更后14天内不向工程师提出变更工程价款报告时，视为该项变更不涉及合同价款的变更。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31.3工程师应在收到变更工程价款报告之日起14天内予以确认，工程师无正当理由不确认时，自变更工程价款报告送达之日起14天后视为变更工程价款报告已被确认。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31.4工程师不同意承包人提出的变更价款，按本通用条款第37条关于争议的约定处理。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31.5工程师确认增加的工程变更价款作为追加合同价款，与工程款同期支付。</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31.6因承包人自身原因导致的工程变更，承包人无权要求追加合同价款。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九、竣工验收与结算</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32、竣工验收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32.1 </w:t>
      </w:r>
      <w:r>
        <w:rPr>
          <w:rFonts w:hint="eastAsia" w:ascii="宋体" w:hAnsi="宋体"/>
          <w:color w:val="auto"/>
          <w:sz w:val="21"/>
          <w:szCs w:val="21"/>
          <w:highlight w:val="none"/>
        </w:rPr>
        <w:t>工程具备竣工验收条件，承包人按国家工程竣工验收有关规定，向发包人提供完整竣工资料及竣工验收报告。双方约定由承包人提供竣工图的，应当在专用条款内约定提供的日期和份数。</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32.2 </w:t>
      </w:r>
      <w:r>
        <w:rPr>
          <w:rFonts w:hint="eastAsia" w:ascii="宋体" w:hAnsi="宋体"/>
          <w:color w:val="auto"/>
          <w:sz w:val="21"/>
          <w:szCs w:val="21"/>
          <w:highlight w:val="none"/>
        </w:rPr>
        <w:t>发包人收到竣工验收报告后</w:t>
      </w:r>
      <w:r>
        <w:rPr>
          <w:rFonts w:ascii="宋体" w:hAnsi="宋体"/>
          <w:color w:val="auto"/>
          <w:sz w:val="21"/>
          <w:szCs w:val="21"/>
          <w:highlight w:val="none"/>
        </w:rPr>
        <w:t>28天内组织有关单位验收，并在验收后14天内给予认可或提出修改意见。承包人按要求修改，并承担由自身原因造成修改的费用。</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32.3 发包人收到承包人送交的竣工验收报告后28天内不组织验收，或验收后14天内不提出修改意见，视为竣工验收报告已被认可。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32.4 工程竣工验收通过，承包人送交竣工验收报告的日期为实际竣工日期。工程按发包人要求修改后通过竣工验收的，实际竣工日期为承包人修改后提请发包人验收的日期。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32.5 发包人收到承包人竣工验收报告后28天内不组织验收，从第29天起承担工程保管及一切意外责任。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32.6 中间交工工程的范围和竣工时间，双方在专用条款内约定，其验收程序按本通用条款32.1款至32.4款办理。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32.7 因特殊原因，发包人要求部分单位工程或工程部位甩项竣工的，双方另行签订甩项竣工协议，明确双方责任和工程价款支付方法。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32.8 工程未经竣工验收或竣工验收未通过的，发包人不得使用。发包人强行使用时，由此发生的质量问题及其他问题，由发包人承担责任。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33、竣工结算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33.3 </w:t>
      </w:r>
      <w:r>
        <w:rPr>
          <w:rFonts w:hint="eastAsia" w:ascii="宋体" w:hAnsi="宋体"/>
          <w:color w:val="auto"/>
          <w:sz w:val="21"/>
          <w:szCs w:val="21"/>
          <w:highlight w:val="none"/>
        </w:rPr>
        <w:t>发包人收到竣工结算报告及结算资料后</w:t>
      </w:r>
      <w:r>
        <w:rPr>
          <w:rFonts w:ascii="宋体" w:hAnsi="宋体"/>
          <w:color w:val="auto"/>
          <w:sz w:val="21"/>
          <w:szCs w:val="21"/>
          <w:highlight w:val="none"/>
        </w:rPr>
        <w:t>28天内无正当理由不支付工程竣工结算价款，从第29天起按承包人同期向银行贷款利率支付拖欠工程价款的利息，并承担违约责任。</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33.4 </w:t>
      </w:r>
      <w:r>
        <w:rPr>
          <w:rFonts w:hint="eastAsia" w:ascii="宋体" w:hAnsi="宋体"/>
          <w:color w:val="auto"/>
          <w:sz w:val="21"/>
          <w:szCs w:val="21"/>
          <w:highlight w:val="none"/>
        </w:rPr>
        <w:t>发包人收到竣工结算报告及结算资料后</w:t>
      </w:r>
      <w:r>
        <w:rPr>
          <w:rFonts w:ascii="宋体" w:hAnsi="宋体"/>
          <w:color w:val="auto"/>
          <w:sz w:val="21"/>
          <w:szCs w:val="21"/>
          <w:highlight w:val="none"/>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33.6 发包人承包人对工程竣工结算价款发生争议时，按本通用条款37条关于争议的约定处理。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34、质量保修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34.1 承包人应按法律、行政法规或国家关于工程质量保修的有关规定，对交付发包人使用的工程在质量保修期内承担质量保修责任。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34.2 质量保修工作的实施。承包人应在工程竣工验收之前，与发包人签订质量保修书，作为本合同附件（附件3）。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34.3 质量保修书的主要内容包括：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质量保修项目内容及范围；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质量保修期；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质量保修责任；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质量保修金的支付方法。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十、违约、索赔和争议</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35、违约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35.1发包人违约。当发生下列情况时：</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本通用条款第24条提到的发包人不按时支付工程预付款；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本通用条款第26.4款提到的发包人不按合同约定支付工程款，导致施工无法进行；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w:t>
      </w:r>
      <w:r>
        <w:rPr>
          <w:rFonts w:hint="eastAsia" w:ascii="宋体" w:hAnsi="宋体"/>
          <w:color w:val="auto"/>
          <w:sz w:val="21"/>
          <w:szCs w:val="21"/>
          <w:highlight w:val="none"/>
        </w:rPr>
        <w:t>本通用条款第</w:t>
      </w:r>
      <w:r>
        <w:rPr>
          <w:rFonts w:ascii="宋体" w:hAnsi="宋体"/>
          <w:color w:val="auto"/>
          <w:sz w:val="21"/>
          <w:szCs w:val="21"/>
          <w:highlight w:val="none"/>
        </w:rPr>
        <w:t>33.3款提到的发包人无正当理由不支付工程竣工结算价款；</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发包人不履行合同义务或不按合同约定履行义务的其他情况。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发包人承担违约责任，赔偿因其违约给承包人造成的经济损失，顺延延误的工期。双方在专用条款内约定发包人赔偿承包人损失的计算方法或者发包人应当支付违约金的数额或计算方法。</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35.2承包人违约。当发生下列情况时：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本通用条款第14.2款提到的因承包人原因不能按照协议书约定的竣工日期或工程师同意顺延的工期竣工；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本通用条款第15.1款提到的因承包人原因工程质量达不到协议书约定的质量标准；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承包人不履行合同义务或不按合同约定履行义务的其他情况。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承包人承担违约责任，赔偿因其违约给发包人造成的损失。双方在专用条款内约定承包人赔偿发包人损失的计算方法或者承包人应当支付违约金的数额或计算方法。</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35.3一方违约后，另一方要求违约方继续履行合同时，违约方承担上述违约责任后仍应继续履行合同。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36、索赔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36.1当</w:t>
      </w:r>
      <w:r>
        <w:rPr>
          <w:rFonts w:hint="eastAsia" w:ascii="宋体" w:hAnsi="宋体"/>
          <w:color w:val="auto"/>
          <w:sz w:val="21"/>
          <w:szCs w:val="21"/>
          <w:highlight w:val="none"/>
        </w:rPr>
        <w:t>一方向另一方提出索赔时，要有正当索赔理由，且有索赔事件发生时的有效证据。</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索赔事件发生后28天内，向工程师发出索赔意向通知；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发出索赔意向通知后28天内，向工程师提出延长工期和（或）补偿经济损失的索赔报告及有关资料；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工程师在收到承包人送交的索赔报告及有关资料后，于28天内给予答复，或要求承包人进一步补充索赔理由和证据；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工程师在收到承包人送交的索赔报告和有关资料后28天内未予答复或未对承包人作进一步要求，视为该项索赔已经认可；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当该索赔事件持续进行时，承包人应当阶段性向工程师发出索赔意向，在索赔事件终了后28天内，向工程师送交索赔的有关资料和最终索赔报告。索赔答复程序与（3）、（4）规定相同。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36.3承包人未能按合同约定履行自己的各项义务或发生错误，给发包人造成经济损失，发包人可按36.2款确定的时限向承包人提出索赔。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37、争议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37.1发包人承包人在履行合同时发生争议，可以和解或者要求有关主管部门调解。当事人不愿和解、调解或者和解、调解不成的，双方可以在专用条款内约定以下一种方式解决争议：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第一种解决方式：双方达成仲裁协议，向约定的仲裁委员会申请仲裁；</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第二种解决方式：向有管辖权的人民法院起诉。</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37.2发生争议后，除非出现下列情况的，双方都应继续履行合同，保持施工连续，保护好已完工程：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单方违约导致合同确已无法履行，双方协议停止施工；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调解要求停止施工，且为双方接受；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仲裁机构要求停止施工；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法院要求停止施工。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十一、其他</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38、工程分包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38.1 承包人按专用条款的约定分包所承包的部分工程，并与分包单位签订分包合同。非经发包人同意，承包人不得将承包工程的任何部分分包。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38.2 承包人不得将其承包的全部工程转包给他人，也不得将其承包的全部工程肢解以后以分包的名义分别转包给他人。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38.4分包工程价款由承包人与分包单位结算。发包人未经承包人同意不得以任何形式向分包单位支付各种工程款项。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39、不可抗力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39.1 </w:t>
      </w:r>
      <w:r>
        <w:rPr>
          <w:rFonts w:hint="eastAsia" w:ascii="宋体" w:hAnsi="宋体"/>
          <w:color w:val="auto"/>
          <w:sz w:val="21"/>
          <w:szCs w:val="21"/>
          <w:highlight w:val="none"/>
        </w:rPr>
        <w:t>不可抗力包括因战争、动乱、空中飞行物体坠落或其他非发包人承包人责任造成的爆炸、火灾，以及专用条款约定的风、雨、雪、洪、震等自然灾害。</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39.3 </w:t>
      </w:r>
      <w:r>
        <w:rPr>
          <w:rFonts w:hint="eastAsia" w:ascii="宋体" w:hAnsi="宋体"/>
          <w:color w:val="auto"/>
          <w:sz w:val="21"/>
          <w:szCs w:val="21"/>
          <w:highlight w:val="none"/>
        </w:rPr>
        <w:t>因不可抗力事件导致的费用及延误的工期由双方按以下方法分别承担：</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w:t>
      </w:r>
      <w:r>
        <w:rPr>
          <w:rFonts w:hint="eastAsia" w:ascii="宋体" w:hAnsi="宋体"/>
          <w:color w:val="auto"/>
          <w:sz w:val="21"/>
          <w:szCs w:val="21"/>
          <w:highlight w:val="none"/>
        </w:rPr>
        <w:t>工程本身的损害、因工程损害导致第三人人员伤亡和财产损失以及运至施工场地用于施工的材料和待安装的设备的损害，由发包人承担；</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发包人承包人人员伤亡由其所在单位负责，并承担相应费用；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(3) 承包人机械设备损坏及停工损失，由承包人承担；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 停工期间，承包人应工程师要求留在施工场地的必要的管理人员及保卫人员的费用由发包人承担；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(5) 工程所需清理、修复费用，由发包人承担；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(6) 延误的工期相应顺延。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39.4因合同一方迟延履行合同后发生不可抗力的，不能免除迟延履行方的相应责任。</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40、保险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40.1工程开工前，发包人为建设工程和施工场地内的自有人员及第三</w:t>
      </w:r>
      <w:r>
        <w:rPr>
          <w:rFonts w:hint="eastAsia" w:ascii="宋体" w:hAnsi="宋体"/>
          <w:color w:val="auto"/>
          <w:sz w:val="21"/>
          <w:szCs w:val="21"/>
          <w:highlight w:val="none"/>
        </w:rPr>
        <w:t>人人员生命财产办理保险，支付保险费用。</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40.2运至施工场内用于工程的材料和待安装设备，由发包人办理保险，并支付保险费用。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40.3发包人可以将有关保险事项委托承包人办理，费用由发包人承担。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40.4承包人必须为从事危险作业的职工办理意外伤害保险，并为施工场地内自有人员生命财产和施工机械设备办理保险，支付保险费用。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40.5保险事故发生时，发包人承包人有责任尽力采取必要的措施，防止或者减少损失。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40.6具体投保内容和相关责任，发包人承包人在专用条款中约定。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41、担保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41.1发包人、承包人为了全面履行合同，应互相提供以下担保：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发包人向承包人提供履约担保，按合同约定支付工程价款及履行合同约定的其他义务。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承包人向发包人提供履约担保，按合同约定履行自己的各项义务。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41.2 一方违约后，另一方可要求提供担保的第三人承担相应责任。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41.3 提供担保的内容、方式和相关责任，发包人承包人除在专用条款中约定外，被担保方与担保方还应签订担保合同，作为本合同附件。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42、专利技术及特殊工艺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42.1 </w:t>
      </w:r>
      <w:r>
        <w:rPr>
          <w:rFonts w:hint="eastAsia" w:ascii="宋体" w:hAnsi="宋体"/>
          <w:color w:val="auto"/>
          <w:sz w:val="21"/>
          <w:szCs w:val="21"/>
          <w:highlight w:val="none"/>
        </w:rPr>
        <w:t>发包人要求使用专利技术或特殊工艺，应负责办理相应的申报手续，承担申报、试验、使用等费用；承包人提出使用专利技术或特殊工艺，应取得工程师认可，承包人负责办理申报手续并承担有关费用。</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42.2 擅自使用专利技术侵犯他人专利权的，责任者依法承担相应责任。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43、文物和地下障碍物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43.1 </w:t>
      </w:r>
      <w:r>
        <w:rPr>
          <w:rFonts w:hint="eastAsia" w:ascii="宋体" w:hAnsi="宋体"/>
          <w:color w:val="auto"/>
          <w:sz w:val="21"/>
          <w:szCs w:val="21"/>
          <w:highlight w:val="none"/>
        </w:rPr>
        <w:t>在施工中发现古墓、古建筑遗址等文物及化石或其他有考古、地质研究等价值的物品时，承包人应立即保护好现场并于</w:t>
      </w:r>
      <w:r>
        <w:rPr>
          <w:rFonts w:ascii="宋体" w:hAnsi="宋体"/>
          <w:color w:val="auto"/>
          <w:sz w:val="21"/>
          <w:szCs w:val="21"/>
          <w:highlight w:val="none"/>
        </w:rPr>
        <w:t>4小时内以书面形式通知工程师，工程师应于收到书面通知后24小时内报告当地文物管理部门，发包人承包人按文物管理部门的要求采取妥善保护措施。发包人承担由此发生的费用，顺延延误的工期。</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如发现后隐瞒不报，致使文物遭受破坏，责任者依法承担相应责任。</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43.2 </w:t>
      </w:r>
      <w:r>
        <w:rPr>
          <w:rFonts w:hint="eastAsia" w:ascii="宋体" w:hAnsi="宋体"/>
          <w:color w:val="auto"/>
          <w:sz w:val="21"/>
          <w:szCs w:val="21"/>
          <w:highlight w:val="none"/>
        </w:rPr>
        <w:t>施工中发现影响施工的地下障碍物时，承包人应于</w:t>
      </w:r>
      <w:r>
        <w:rPr>
          <w:rFonts w:ascii="宋体" w:hAnsi="宋体"/>
          <w:color w:val="auto"/>
          <w:sz w:val="21"/>
          <w:szCs w:val="21"/>
          <w:highlight w:val="none"/>
        </w:rPr>
        <w:t>8小时内以书面形式通知工程师，同时提出处置</w:t>
      </w:r>
      <w:r>
        <w:rPr>
          <w:rFonts w:hint="eastAsia" w:ascii="宋体" w:hAnsi="宋体"/>
          <w:color w:val="auto"/>
          <w:sz w:val="21"/>
          <w:szCs w:val="21"/>
          <w:highlight w:val="none"/>
        </w:rPr>
        <w:t>方案，工程师收到</w:t>
      </w:r>
      <w:r>
        <w:rPr>
          <w:rFonts w:ascii="宋体" w:hAnsi="宋体"/>
          <w:color w:val="auto"/>
          <w:sz w:val="21"/>
          <w:szCs w:val="21"/>
          <w:highlight w:val="none"/>
        </w:rPr>
        <w:t>处置</w:t>
      </w:r>
      <w:r>
        <w:rPr>
          <w:rFonts w:hint="eastAsia" w:ascii="宋体" w:hAnsi="宋体"/>
          <w:color w:val="auto"/>
          <w:sz w:val="21"/>
          <w:szCs w:val="21"/>
          <w:highlight w:val="none"/>
        </w:rPr>
        <w:t>方案后</w:t>
      </w:r>
      <w:r>
        <w:rPr>
          <w:rFonts w:ascii="宋体" w:hAnsi="宋体"/>
          <w:color w:val="auto"/>
          <w:sz w:val="21"/>
          <w:szCs w:val="21"/>
          <w:highlight w:val="none"/>
        </w:rPr>
        <w:t>24小时内予以认可或提出修正方案。发包人承担由此发生的费用，顺延延误的工期。</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所发现的地下障碍物有归属单位时，发包人应报请有关部门协同处置。</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44、合同解除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44.1 发包人承包人协商一致，可以解除合同。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44.2 发生本通用条款第26.4款情况，停止施工超过56天，发包人仍不支付工程款（进度款），承包人有权解除合同。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44.3 发生本通用条款第38.2款禁止的情况，承包人将其承包的全部工程转包给他人或者肢解以后以分包的名义分别转包给他人，发包人有权解除合同。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44.4 有下列情形之一的，发包人承包人可以解除合同：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(1) 因不可抗力致使合同无法履行；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(2) </w:t>
      </w:r>
      <w:r>
        <w:rPr>
          <w:rFonts w:hint="eastAsia" w:ascii="宋体" w:hAnsi="宋体"/>
          <w:color w:val="auto"/>
          <w:sz w:val="21"/>
          <w:szCs w:val="21"/>
          <w:highlight w:val="none"/>
        </w:rPr>
        <w:t>因一方违约（包括因发包人原因造成工程停建或缓建）致使合同无法履行。</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w:t>
      </w:r>
      <w:r>
        <w:rPr>
          <w:rFonts w:hint="eastAsia" w:ascii="宋体" w:hAnsi="宋体"/>
          <w:color w:val="auto"/>
          <w:sz w:val="21"/>
          <w:szCs w:val="21"/>
          <w:highlight w:val="none"/>
        </w:rPr>
        <w:t>合同解除给对方造成的损失。</w:t>
      </w:r>
      <w:r>
        <w:rPr>
          <w:rFonts w:ascii="宋体" w:hAnsi="宋体"/>
          <w:color w:val="auto"/>
          <w:sz w:val="21"/>
          <w:szCs w:val="21"/>
          <w:highlight w:val="none"/>
        </w:rPr>
        <w:t xml:space="preserve">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44.7合同解除后，不影响双方在合同中约定的结算和清理条款的效力。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45、合同生效与终止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45.1双方在协议书中约定合同生效方式。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45.2除本通用条款第34条外，发包人承包人履行合同全部义务，竣工结算价款支付完毕，承包人向发包人交付竣工工程后，本合同即告终止。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45.3合同的权利义务终止后，发包人承包人应当遵循诚实信用原则，履行通知、协助、保密等义务。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46、合同份数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46.1本合同正本两份，具有同等效力，由发包人承包人分别保存一份。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46.2本合同副本份数，由双方根据需要在专用条款内约定。 </w:t>
      </w:r>
    </w:p>
    <w:p>
      <w:pPr>
        <w:spacing w:line="440" w:lineRule="exact"/>
        <w:ind w:firstLine="359" w:firstLineChars="171"/>
        <w:rPr>
          <w:rFonts w:ascii="宋体" w:hAnsi="宋体"/>
          <w:color w:val="auto"/>
          <w:sz w:val="21"/>
          <w:szCs w:val="21"/>
          <w:highlight w:val="none"/>
        </w:rPr>
      </w:pPr>
      <w:r>
        <w:rPr>
          <w:rFonts w:ascii="宋体" w:hAnsi="宋体"/>
          <w:color w:val="auto"/>
          <w:sz w:val="21"/>
          <w:szCs w:val="21"/>
          <w:highlight w:val="none"/>
        </w:rPr>
        <w:t xml:space="preserve">47、补充条款 </w:t>
      </w:r>
    </w:p>
    <w:p>
      <w:pPr>
        <w:spacing w:line="440" w:lineRule="exact"/>
        <w:ind w:firstLine="359" w:firstLineChars="171"/>
        <w:rPr>
          <w:rFonts w:ascii="宋体" w:hAnsi="宋体"/>
          <w:color w:val="auto"/>
          <w:sz w:val="21"/>
          <w:szCs w:val="21"/>
          <w:highlight w:val="none"/>
        </w:rPr>
      </w:pPr>
      <w:r>
        <w:rPr>
          <w:rFonts w:hint="eastAsia" w:ascii="宋体" w:hAnsi="宋体"/>
          <w:color w:val="auto"/>
          <w:sz w:val="21"/>
          <w:szCs w:val="21"/>
          <w:highlight w:val="none"/>
        </w:rPr>
        <w:t>双方根据有关法律、行政法规规定，结合工程实际，经协商一致后，可对本通用条款内容具体化，补充或修改，在专用条款内约定。</w:t>
      </w:r>
    </w:p>
    <w:p>
      <w:pPr>
        <w:spacing w:line="440" w:lineRule="exact"/>
        <w:ind w:firstLine="359" w:firstLineChars="171"/>
        <w:jc w:val="center"/>
        <w:rPr>
          <w:rFonts w:ascii="宋体" w:hAnsi="宋体"/>
          <w:b/>
          <w:color w:val="auto"/>
          <w:sz w:val="24"/>
          <w:highlight w:val="none"/>
        </w:rPr>
      </w:pPr>
      <w:r>
        <w:rPr>
          <w:rFonts w:ascii="宋体" w:hAnsi="宋体"/>
          <w:color w:val="auto"/>
          <w:sz w:val="21"/>
          <w:szCs w:val="21"/>
          <w:highlight w:val="none"/>
        </w:rPr>
        <w:br w:type="page"/>
      </w:r>
      <w:r>
        <w:rPr>
          <w:rFonts w:hint="eastAsia" w:ascii="宋体" w:hAnsi="宋体"/>
          <w:b/>
          <w:color w:val="auto"/>
          <w:sz w:val="24"/>
          <w:highlight w:val="none"/>
        </w:rPr>
        <w:t>第三部分</w:t>
      </w:r>
      <w:r>
        <w:rPr>
          <w:rFonts w:ascii="宋体" w:hAnsi="宋体"/>
          <w:b/>
          <w:color w:val="auto"/>
          <w:sz w:val="24"/>
          <w:highlight w:val="none"/>
        </w:rPr>
        <w:t xml:space="preserve">  </w:t>
      </w:r>
      <w:r>
        <w:rPr>
          <w:rFonts w:hint="eastAsia" w:ascii="宋体" w:hAnsi="宋体"/>
          <w:b/>
          <w:color w:val="auto"/>
          <w:sz w:val="24"/>
          <w:highlight w:val="none"/>
        </w:rPr>
        <w:t>专用条款</w:t>
      </w:r>
    </w:p>
    <w:p>
      <w:pPr>
        <w:snapToGrid w:val="0"/>
        <w:spacing w:line="440" w:lineRule="exact"/>
        <w:ind w:firstLine="397"/>
        <w:rPr>
          <w:rFonts w:ascii="宋体" w:hAnsi="宋体"/>
          <w:b/>
          <w:color w:val="auto"/>
          <w:sz w:val="24"/>
          <w:highlight w:val="none"/>
        </w:rPr>
      </w:pP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一、词语定义及合同文件</w:t>
      </w:r>
    </w:p>
    <w:p>
      <w:pPr>
        <w:snapToGrid w:val="0"/>
        <w:spacing w:line="440" w:lineRule="exact"/>
        <w:ind w:firstLine="480" w:firstLineChars="200"/>
        <w:rPr>
          <w:rFonts w:ascii="宋体" w:hAnsi="宋体"/>
          <w:color w:val="auto"/>
          <w:sz w:val="21"/>
          <w:szCs w:val="21"/>
          <w:highlight w:val="none"/>
        </w:rPr>
      </w:pPr>
      <w:r>
        <w:rPr>
          <w:rFonts w:ascii="宋体" w:hAnsi="宋体"/>
          <w:b/>
          <w:bCs/>
          <w:color w:val="auto"/>
          <w:sz w:val="24"/>
          <w:highlight w:val="none"/>
        </w:rPr>
        <w:t>1.词语定义</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1.6</w:t>
      </w:r>
      <w:r>
        <w:rPr>
          <w:rFonts w:hint="eastAsia" w:ascii="宋体" w:hAnsi="宋体"/>
          <w:color w:val="auto"/>
          <w:sz w:val="21"/>
          <w:szCs w:val="21"/>
          <w:highlight w:val="none"/>
        </w:rPr>
        <w:t>设计单位</w:t>
      </w:r>
    </w:p>
    <w:p>
      <w:pPr>
        <w:snapToGrid w:val="0"/>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本合同工程的设计单位是：</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1.7</w:t>
      </w:r>
      <w:r>
        <w:rPr>
          <w:rFonts w:hint="eastAsia" w:ascii="宋体" w:hAnsi="宋体"/>
          <w:color w:val="auto"/>
          <w:sz w:val="21"/>
          <w:szCs w:val="21"/>
          <w:highlight w:val="none"/>
        </w:rPr>
        <w:t>监理单位</w:t>
      </w:r>
    </w:p>
    <w:p>
      <w:pPr>
        <w:snapToGrid w:val="0"/>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本合同工程的监理单位是：</w:t>
      </w:r>
      <w:r>
        <w:rPr>
          <w:rFonts w:ascii="宋体" w:hAnsi="宋体"/>
          <w:color w:val="auto"/>
          <w:sz w:val="21"/>
          <w:szCs w:val="21"/>
          <w:highlight w:val="none"/>
          <w:u w:val="single"/>
        </w:rPr>
        <w:t xml:space="preserve">                       </w:t>
      </w:r>
      <w:r>
        <w:rPr>
          <w:rFonts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1.24招标控制价：</w:t>
      </w:r>
      <w:r>
        <w:rPr>
          <w:rFonts w:hint="eastAsia" w:ascii="宋体" w:hAnsi="宋体"/>
          <w:color w:val="auto"/>
          <w:sz w:val="21"/>
          <w:szCs w:val="21"/>
          <w:highlight w:val="none"/>
          <w:u w:val="single"/>
        </w:rPr>
        <w:t>指经招标人确定的最高投标限价，并在广州公共资源交易中心开发区、黄埔区交易部公示</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1.25中标下浮率：</w:t>
      </w:r>
      <w:r>
        <w:rPr>
          <w:rFonts w:hint="eastAsia" w:ascii="宋体" w:hAnsi="宋体"/>
          <w:color w:val="auto"/>
          <w:sz w:val="21"/>
          <w:szCs w:val="21"/>
          <w:highlight w:val="none"/>
          <w:u w:val="single"/>
        </w:rPr>
        <w:t>中标下浮率</w:t>
      </w:r>
      <w:r>
        <w:rPr>
          <w:rFonts w:ascii="宋体" w:hAnsi="宋体"/>
          <w:color w:val="auto"/>
          <w:sz w:val="21"/>
          <w:szCs w:val="21"/>
          <w:highlight w:val="none"/>
          <w:u w:val="single"/>
        </w:rPr>
        <w:t>=</w:t>
      </w:r>
      <w:r>
        <w:rPr>
          <w:rFonts w:hint="eastAsia" w:ascii="宋体" w:hAnsi="宋体"/>
          <w:color w:val="auto"/>
          <w:sz w:val="21"/>
          <w:szCs w:val="21"/>
          <w:highlight w:val="none"/>
          <w:u w:val="single"/>
        </w:rPr>
        <w:t>[</w:t>
      </w:r>
      <w:r>
        <w:rPr>
          <w:rFonts w:ascii="宋体" w:hAnsi="宋体"/>
          <w:color w:val="auto"/>
          <w:sz w:val="21"/>
          <w:szCs w:val="21"/>
          <w:highlight w:val="none"/>
          <w:u w:val="single"/>
        </w:rPr>
        <w:t>1-</w:t>
      </w:r>
      <w:r>
        <w:rPr>
          <w:rFonts w:hint="eastAsia" w:ascii="宋体" w:hAnsi="宋体"/>
          <w:color w:val="auto"/>
          <w:sz w:val="21"/>
          <w:szCs w:val="21"/>
          <w:highlight w:val="none"/>
          <w:u w:val="single"/>
        </w:rPr>
        <w:t>（</w:t>
      </w:r>
      <w:r>
        <w:rPr>
          <w:rFonts w:ascii="宋体" w:hAnsi="宋体"/>
          <w:color w:val="auto"/>
          <w:sz w:val="21"/>
          <w:szCs w:val="21"/>
          <w:highlight w:val="none"/>
          <w:u w:val="single"/>
        </w:rPr>
        <w:t>中标价格</w:t>
      </w:r>
      <w:r>
        <w:rPr>
          <w:rFonts w:hint="eastAsia" w:ascii="宋体" w:hAnsi="宋体"/>
          <w:color w:val="auto"/>
          <w:sz w:val="21"/>
          <w:szCs w:val="21"/>
          <w:highlight w:val="none"/>
          <w:u w:val="single"/>
        </w:rPr>
        <w:t>-不可竞争性费用）</w:t>
      </w:r>
      <w:r>
        <w:rPr>
          <w:rFonts w:ascii="宋体" w:hAnsi="宋体"/>
          <w:color w:val="auto"/>
          <w:sz w:val="21"/>
          <w:szCs w:val="21"/>
          <w:highlight w:val="none"/>
          <w:u w:val="single"/>
        </w:rPr>
        <w:t>÷</w:t>
      </w:r>
      <w:r>
        <w:rPr>
          <w:rFonts w:hint="eastAsia" w:ascii="宋体" w:hAnsi="宋体"/>
          <w:color w:val="auto"/>
          <w:sz w:val="21"/>
          <w:szCs w:val="21"/>
          <w:highlight w:val="none"/>
          <w:u w:val="single"/>
        </w:rPr>
        <w:t>（</w:t>
      </w:r>
      <w:r>
        <w:rPr>
          <w:rFonts w:ascii="宋体" w:hAnsi="宋体"/>
          <w:color w:val="auto"/>
          <w:sz w:val="21"/>
          <w:szCs w:val="21"/>
          <w:highlight w:val="none"/>
          <w:u w:val="single"/>
        </w:rPr>
        <w:t>招标控制价</w:t>
      </w:r>
      <w:r>
        <w:rPr>
          <w:rFonts w:hint="eastAsia" w:ascii="宋体" w:hAnsi="宋体"/>
          <w:color w:val="auto"/>
          <w:sz w:val="21"/>
          <w:szCs w:val="21"/>
          <w:highlight w:val="none"/>
          <w:u w:val="single"/>
        </w:rPr>
        <w:t>-不可竞争性费用）</w:t>
      </w:r>
      <w:r>
        <w:rPr>
          <w:rFonts w:ascii="宋体" w:hAnsi="宋体"/>
          <w:color w:val="auto"/>
          <w:sz w:val="21"/>
          <w:szCs w:val="21"/>
          <w:highlight w:val="none"/>
          <w:u w:val="single"/>
        </w:rPr>
        <w:t>]</w:t>
      </w:r>
      <w:r>
        <w:rPr>
          <w:rFonts w:hint="eastAsia" w:ascii="宋体" w:hAnsi="宋体"/>
          <w:color w:val="auto"/>
          <w:sz w:val="21"/>
          <w:szCs w:val="21"/>
          <w:highlight w:val="none"/>
          <w:u w:val="single"/>
        </w:rPr>
        <w:t>×</w:t>
      </w:r>
      <w:r>
        <w:rPr>
          <w:rFonts w:ascii="宋体" w:hAnsi="宋体"/>
          <w:color w:val="auto"/>
          <w:sz w:val="21"/>
          <w:szCs w:val="21"/>
          <w:highlight w:val="none"/>
          <w:u w:val="single"/>
        </w:rPr>
        <w:t>100%</w:t>
      </w:r>
    </w:p>
    <w:p>
      <w:pPr>
        <w:snapToGrid w:val="0"/>
        <w:spacing w:line="440" w:lineRule="exact"/>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1.26工人工资比例=中标通知书规定的人工费金额</w:t>
      </w:r>
      <w:r>
        <w:rPr>
          <w:rFonts w:ascii="宋体" w:hAnsi="宋体"/>
          <w:color w:val="auto"/>
          <w:sz w:val="21"/>
          <w:szCs w:val="21"/>
          <w:highlight w:val="none"/>
          <w:u w:val="single"/>
        </w:rPr>
        <w:t>÷</w:t>
      </w:r>
      <w:r>
        <w:rPr>
          <w:rFonts w:hint="eastAsia" w:ascii="宋体" w:hAnsi="宋体"/>
          <w:color w:val="auto"/>
          <w:sz w:val="21"/>
          <w:szCs w:val="21"/>
          <w:highlight w:val="none"/>
          <w:u w:val="single"/>
        </w:rPr>
        <w:t>中标价格=     %（施工招标的《中标通知书》中单列的人工费金额除以中标金额计算；其他项目的比例为15%）</w:t>
      </w:r>
    </w:p>
    <w:p>
      <w:pPr>
        <w:snapToGrid w:val="0"/>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                                 。</w:t>
      </w:r>
    </w:p>
    <w:p>
      <w:pPr>
        <w:snapToGrid w:val="0"/>
        <w:spacing w:line="440" w:lineRule="exact"/>
        <w:ind w:firstLine="420" w:firstLineChars="200"/>
        <w:rPr>
          <w:rFonts w:hint="eastAsia" w:ascii="宋体" w:hAnsi="宋体"/>
          <w:color w:val="auto"/>
          <w:sz w:val="21"/>
          <w:szCs w:val="21"/>
          <w:highlight w:val="none"/>
          <w:u w:val="single"/>
        </w:rPr>
      </w:pP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、合同文件及解释顺序</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2.1</w:t>
      </w:r>
      <w:r>
        <w:rPr>
          <w:rFonts w:hint="eastAsia" w:ascii="宋体" w:hAnsi="宋体"/>
          <w:color w:val="auto"/>
          <w:sz w:val="21"/>
          <w:szCs w:val="21"/>
          <w:highlight w:val="none"/>
        </w:rPr>
        <w:t>合同文件组成及解释顺序：</w:t>
      </w:r>
      <w:r>
        <w:rPr>
          <w:rFonts w:ascii="宋体" w:hAnsi="宋体"/>
          <w:color w:val="auto"/>
          <w:sz w:val="21"/>
          <w:szCs w:val="21"/>
          <w:highlight w:val="none"/>
          <w:u w:val="single"/>
        </w:rPr>
        <w:t>1.</w:t>
      </w:r>
      <w:r>
        <w:rPr>
          <w:rFonts w:hint="eastAsia" w:ascii="宋体" w:hAnsi="宋体"/>
          <w:color w:val="auto"/>
          <w:sz w:val="21"/>
          <w:szCs w:val="21"/>
          <w:highlight w:val="none"/>
          <w:u w:val="single"/>
        </w:rPr>
        <w:t>本合同履行期间发包人与承包人双方签订的补充合同（协议）或修正文件；</w:t>
      </w:r>
      <w:r>
        <w:rPr>
          <w:rFonts w:ascii="宋体" w:hAnsi="宋体"/>
          <w:color w:val="auto"/>
          <w:sz w:val="21"/>
          <w:szCs w:val="21"/>
          <w:highlight w:val="none"/>
          <w:u w:val="single"/>
        </w:rPr>
        <w:t>2.</w:t>
      </w:r>
      <w:r>
        <w:rPr>
          <w:rFonts w:hint="eastAsia" w:ascii="宋体" w:hAnsi="宋体"/>
          <w:color w:val="auto"/>
          <w:sz w:val="21"/>
          <w:szCs w:val="21"/>
          <w:highlight w:val="none"/>
          <w:u w:val="single"/>
        </w:rPr>
        <w:t>本合同协议书；</w:t>
      </w:r>
      <w:r>
        <w:rPr>
          <w:rFonts w:ascii="宋体" w:hAnsi="宋体"/>
          <w:color w:val="auto"/>
          <w:sz w:val="21"/>
          <w:szCs w:val="21"/>
          <w:highlight w:val="none"/>
          <w:u w:val="single"/>
        </w:rPr>
        <w:t>3.</w:t>
      </w:r>
      <w:r>
        <w:rPr>
          <w:rFonts w:hint="eastAsia" w:ascii="宋体" w:hAnsi="宋体"/>
          <w:color w:val="auto"/>
          <w:sz w:val="21"/>
          <w:szCs w:val="21"/>
          <w:highlight w:val="none"/>
          <w:u w:val="single"/>
        </w:rPr>
        <w:t>国家、广东省、广州市、广州开发区黄埔区关于本工程施工的有关文件（发包人在收到后尽快通报给承包人）；</w:t>
      </w:r>
      <w:r>
        <w:rPr>
          <w:rFonts w:ascii="宋体" w:hAnsi="宋体"/>
          <w:color w:val="auto"/>
          <w:sz w:val="21"/>
          <w:szCs w:val="21"/>
          <w:highlight w:val="none"/>
          <w:u w:val="single"/>
        </w:rPr>
        <w:t>4.</w:t>
      </w:r>
      <w:r>
        <w:rPr>
          <w:rFonts w:hint="eastAsia" w:ascii="宋体" w:hAnsi="宋体"/>
          <w:color w:val="auto"/>
          <w:sz w:val="21"/>
          <w:szCs w:val="21"/>
          <w:highlight w:val="none"/>
          <w:u w:val="single"/>
        </w:rPr>
        <w:t>发包人针对本工程建设管理的各项制度、规定；</w:t>
      </w:r>
      <w:r>
        <w:rPr>
          <w:rFonts w:ascii="宋体" w:hAnsi="宋体"/>
          <w:color w:val="auto"/>
          <w:sz w:val="21"/>
          <w:szCs w:val="21"/>
          <w:highlight w:val="none"/>
          <w:u w:val="single"/>
        </w:rPr>
        <w:t>5.</w:t>
      </w:r>
      <w:r>
        <w:rPr>
          <w:rFonts w:hint="eastAsia" w:ascii="宋体" w:hAnsi="宋体"/>
          <w:color w:val="auto"/>
          <w:sz w:val="21"/>
          <w:szCs w:val="21"/>
          <w:highlight w:val="none"/>
          <w:u w:val="single"/>
        </w:rPr>
        <w:t>中标通知书；</w:t>
      </w:r>
      <w:r>
        <w:rPr>
          <w:rFonts w:ascii="宋体" w:hAnsi="宋体"/>
          <w:color w:val="auto"/>
          <w:sz w:val="21"/>
          <w:szCs w:val="21"/>
          <w:highlight w:val="none"/>
          <w:u w:val="single"/>
        </w:rPr>
        <w:t>6.</w:t>
      </w:r>
      <w:r>
        <w:rPr>
          <w:rFonts w:hint="eastAsia" w:ascii="宋体" w:hAnsi="宋体"/>
          <w:color w:val="auto"/>
          <w:sz w:val="21"/>
          <w:szCs w:val="21"/>
          <w:highlight w:val="none"/>
          <w:u w:val="single"/>
        </w:rPr>
        <w:t>本合同专用条款；</w:t>
      </w:r>
      <w:r>
        <w:rPr>
          <w:rFonts w:ascii="宋体" w:hAnsi="宋体"/>
          <w:color w:val="auto"/>
          <w:sz w:val="21"/>
          <w:szCs w:val="21"/>
          <w:highlight w:val="none"/>
          <w:u w:val="single"/>
        </w:rPr>
        <w:t>7.</w:t>
      </w:r>
      <w:r>
        <w:rPr>
          <w:rFonts w:hint="eastAsia" w:ascii="宋体" w:hAnsi="宋体"/>
          <w:color w:val="auto"/>
          <w:sz w:val="21"/>
          <w:szCs w:val="21"/>
          <w:highlight w:val="none"/>
          <w:u w:val="single"/>
        </w:rPr>
        <w:t>招标文件及附件（包括补充、修改、澄清文件及答疑纪要等）；</w:t>
      </w:r>
      <w:r>
        <w:rPr>
          <w:rFonts w:ascii="宋体" w:hAnsi="宋体"/>
          <w:color w:val="auto"/>
          <w:sz w:val="21"/>
          <w:szCs w:val="21"/>
          <w:highlight w:val="none"/>
          <w:u w:val="single"/>
        </w:rPr>
        <w:t>8.</w:t>
      </w:r>
      <w:r>
        <w:rPr>
          <w:rFonts w:hint="eastAsia" w:ascii="宋体" w:hAnsi="宋体"/>
          <w:color w:val="auto"/>
          <w:sz w:val="21"/>
          <w:szCs w:val="21"/>
          <w:highlight w:val="none"/>
          <w:u w:val="single"/>
        </w:rPr>
        <w:t>本合同通用条款；</w:t>
      </w:r>
      <w:r>
        <w:rPr>
          <w:rFonts w:ascii="宋体" w:hAnsi="宋体"/>
          <w:color w:val="auto"/>
          <w:sz w:val="21"/>
          <w:szCs w:val="21"/>
          <w:highlight w:val="none"/>
          <w:u w:val="single"/>
        </w:rPr>
        <w:t>9.</w:t>
      </w:r>
      <w:r>
        <w:rPr>
          <w:rFonts w:hint="eastAsia" w:ascii="宋体" w:hAnsi="宋体"/>
          <w:color w:val="auto"/>
          <w:sz w:val="21"/>
          <w:szCs w:val="21"/>
          <w:highlight w:val="none"/>
          <w:u w:val="single"/>
        </w:rPr>
        <w:t>投标文件及附件；</w:t>
      </w:r>
      <w:r>
        <w:rPr>
          <w:rFonts w:ascii="宋体" w:hAnsi="宋体"/>
          <w:color w:val="auto"/>
          <w:sz w:val="21"/>
          <w:szCs w:val="21"/>
          <w:highlight w:val="none"/>
          <w:u w:val="single"/>
        </w:rPr>
        <w:t>10.</w:t>
      </w:r>
      <w:r>
        <w:rPr>
          <w:rFonts w:hint="eastAsia" w:ascii="宋体" w:hAnsi="宋体"/>
          <w:color w:val="auto"/>
          <w:sz w:val="21"/>
          <w:szCs w:val="21"/>
          <w:highlight w:val="none"/>
          <w:u w:val="single"/>
        </w:rPr>
        <w:t>标准、规范和其他有关技术文件；</w:t>
      </w:r>
      <w:r>
        <w:rPr>
          <w:rFonts w:ascii="宋体" w:hAnsi="宋体"/>
          <w:color w:val="auto"/>
          <w:sz w:val="21"/>
          <w:szCs w:val="21"/>
          <w:highlight w:val="none"/>
          <w:u w:val="single"/>
        </w:rPr>
        <w:t>11.</w:t>
      </w:r>
      <w:r>
        <w:rPr>
          <w:rFonts w:hint="eastAsia" w:ascii="宋体" w:hAnsi="宋体"/>
          <w:color w:val="auto"/>
          <w:sz w:val="21"/>
          <w:szCs w:val="21"/>
          <w:highlight w:val="none"/>
          <w:u w:val="single"/>
        </w:rPr>
        <w:t>图纸；</w:t>
      </w:r>
      <w:r>
        <w:rPr>
          <w:rFonts w:ascii="宋体" w:hAnsi="宋体"/>
          <w:color w:val="auto"/>
          <w:sz w:val="21"/>
          <w:szCs w:val="21"/>
          <w:highlight w:val="none"/>
          <w:u w:val="single"/>
        </w:rPr>
        <w:t>12.</w:t>
      </w:r>
      <w:r>
        <w:rPr>
          <w:rFonts w:hint="eastAsia" w:ascii="宋体" w:hAnsi="宋体"/>
          <w:color w:val="auto"/>
          <w:sz w:val="21"/>
          <w:szCs w:val="21"/>
          <w:highlight w:val="none"/>
          <w:u w:val="single"/>
        </w:rPr>
        <w:t>工程量清单；</w:t>
      </w:r>
      <w:r>
        <w:rPr>
          <w:rFonts w:ascii="宋体" w:hAnsi="宋体"/>
          <w:color w:val="auto"/>
          <w:sz w:val="21"/>
          <w:szCs w:val="21"/>
          <w:highlight w:val="none"/>
          <w:u w:val="single"/>
        </w:rPr>
        <w:t>13.</w:t>
      </w:r>
      <w:r>
        <w:rPr>
          <w:rFonts w:hint="eastAsia" w:ascii="宋体" w:hAnsi="宋体"/>
          <w:color w:val="auto"/>
          <w:sz w:val="21"/>
          <w:szCs w:val="21"/>
          <w:highlight w:val="none"/>
          <w:u w:val="single"/>
        </w:rPr>
        <w:t>合同附件（《施工单位投入本工程管理架构表》、安全责任书、工程建设廉政协议书等）</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、语言文字和适用法律、标准及规范</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3.1</w:t>
      </w:r>
      <w:r>
        <w:rPr>
          <w:rFonts w:hint="eastAsia" w:ascii="宋体" w:hAnsi="宋体"/>
          <w:color w:val="auto"/>
          <w:sz w:val="21"/>
          <w:szCs w:val="21"/>
          <w:highlight w:val="none"/>
        </w:rPr>
        <w:t>本合同除使用汉语外，还使用</w:t>
      </w:r>
      <w:r>
        <w:rPr>
          <w:rFonts w:ascii="宋体" w:hAnsi="宋体"/>
          <w:color w:val="auto"/>
          <w:sz w:val="21"/>
          <w:szCs w:val="21"/>
          <w:highlight w:val="none"/>
          <w:u w:val="single"/>
        </w:rPr>
        <w:t xml:space="preserve">   /   </w:t>
      </w:r>
      <w:r>
        <w:rPr>
          <w:rFonts w:hint="eastAsia" w:ascii="宋体" w:hAnsi="宋体"/>
          <w:color w:val="auto"/>
          <w:sz w:val="21"/>
          <w:szCs w:val="21"/>
          <w:highlight w:val="none"/>
        </w:rPr>
        <w:t>语言文字。</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3.2</w:t>
      </w:r>
      <w:r>
        <w:rPr>
          <w:rFonts w:hint="eastAsia" w:ascii="宋体" w:hAnsi="宋体"/>
          <w:color w:val="auto"/>
          <w:sz w:val="21"/>
          <w:szCs w:val="21"/>
          <w:highlight w:val="none"/>
        </w:rPr>
        <w:t>适用法律和法规</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需要明示的法律、行政法规：</w:t>
      </w:r>
      <w:r>
        <w:rPr>
          <w:rFonts w:hint="eastAsia" w:ascii="宋体" w:hAnsi="宋体"/>
          <w:color w:val="auto"/>
          <w:sz w:val="21"/>
          <w:szCs w:val="21"/>
          <w:highlight w:val="none"/>
          <w:u w:val="single"/>
        </w:rPr>
        <w:t>按照现行的法律、法规</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3.3</w:t>
      </w:r>
      <w:r>
        <w:rPr>
          <w:rFonts w:hint="eastAsia" w:ascii="宋体" w:hAnsi="宋体"/>
          <w:color w:val="auto"/>
          <w:sz w:val="21"/>
          <w:szCs w:val="21"/>
          <w:highlight w:val="none"/>
        </w:rPr>
        <w:t>适用标准、规范</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适用标准、规范的名称：</w:t>
      </w:r>
      <w:r>
        <w:rPr>
          <w:rFonts w:hint="eastAsia" w:ascii="宋体" w:hAnsi="宋体"/>
          <w:color w:val="auto"/>
          <w:sz w:val="21"/>
          <w:szCs w:val="21"/>
          <w:highlight w:val="none"/>
          <w:u w:val="single"/>
        </w:rPr>
        <w:t>相应工种现行施工规范</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发包人提供标准、规范的时间：</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国内没有相应标准、规范时的约定：</w:t>
      </w:r>
      <w:r>
        <w:rPr>
          <w:rFonts w:hint="eastAsia" w:ascii="宋体" w:hAnsi="宋体"/>
          <w:color w:val="auto"/>
          <w:sz w:val="21"/>
          <w:szCs w:val="21"/>
          <w:highlight w:val="none"/>
          <w:u w:val="single"/>
        </w:rPr>
        <w:t>按施工图纸，招标文件和广州开发区相关规定及答疑纪要的要求执行</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、图纸</w:t>
      </w:r>
    </w:p>
    <w:p>
      <w:pPr>
        <w:snapToGrid w:val="0"/>
        <w:spacing w:line="440" w:lineRule="exact"/>
        <w:ind w:firstLine="315"/>
        <w:rPr>
          <w:rFonts w:ascii="宋体" w:hAnsi="宋体"/>
          <w:color w:val="auto"/>
          <w:sz w:val="21"/>
          <w:szCs w:val="21"/>
          <w:highlight w:val="none"/>
          <w:u w:val="single"/>
        </w:rPr>
      </w:pPr>
      <w:r>
        <w:rPr>
          <w:rFonts w:ascii="宋体" w:hAnsi="宋体"/>
          <w:color w:val="auto"/>
          <w:sz w:val="21"/>
          <w:szCs w:val="21"/>
          <w:highlight w:val="none"/>
        </w:rPr>
        <w:t>4.1</w:t>
      </w:r>
      <w:r>
        <w:rPr>
          <w:rFonts w:hint="eastAsia" w:ascii="宋体" w:hAnsi="宋体"/>
          <w:color w:val="auto"/>
          <w:sz w:val="21"/>
          <w:szCs w:val="21"/>
          <w:highlight w:val="none"/>
        </w:rPr>
        <w:t>发包人向承包人提供图纸日期和套数：</w:t>
      </w:r>
      <w:r>
        <w:rPr>
          <w:rFonts w:hint="eastAsia" w:ascii="宋体" w:hAnsi="宋体"/>
          <w:color w:val="auto"/>
          <w:sz w:val="21"/>
          <w:szCs w:val="21"/>
          <w:highlight w:val="none"/>
          <w:u w:val="single"/>
        </w:rPr>
        <w:t>开工前提供肆套图纸</w:t>
      </w:r>
      <w:r>
        <w:rPr>
          <w:rFonts w:hint="eastAsia" w:ascii="宋体" w:hAnsi="宋体"/>
          <w:color w:val="auto"/>
          <w:sz w:val="21"/>
          <w:szCs w:val="21"/>
          <w:highlight w:val="none"/>
        </w:rPr>
        <w:t>。</w:t>
      </w:r>
    </w:p>
    <w:p>
      <w:pPr>
        <w:snapToGrid w:val="0"/>
        <w:spacing w:line="440" w:lineRule="exact"/>
        <w:ind w:left="947" w:leftChars="132" w:hanging="630" w:hangingChars="300"/>
        <w:rPr>
          <w:rFonts w:ascii="宋体" w:hAnsi="宋体"/>
          <w:color w:val="auto"/>
          <w:sz w:val="21"/>
          <w:szCs w:val="21"/>
          <w:highlight w:val="none"/>
          <w:u w:val="single"/>
        </w:rPr>
      </w:pPr>
      <w:r>
        <w:rPr>
          <w:rFonts w:hint="eastAsia" w:ascii="宋体" w:hAnsi="宋体"/>
          <w:color w:val="auto"/>
          <w:sz w:val="21"/>
          <w:szCs w:val="21"/>
          <w:highlight w:val="none"/>
        </w:rPr>
        <w:t>发包人对图纸的保密要求：</w:t>
      </w:r>
      <w:r>
        <w:rPr>
          <w:rFonts w:hint="eastAsia" w:ascii="宋体" w:hAnsi="宋体"/>
          <w:color w:val="auto"/>
          <w:sz w:val="21"/>
          <w:szCs w:val="21"/>
          <w:highlight w:val="none"/>
          <w:u w:val="single"/>
        </w:rPr>
        <w:t>按本合同通用条款</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使用国外图纸的要求及费用承担：</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二、双方一般权利和义务</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、工程师</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5.2</w:t>
      </w:r>
      <w:r>
        <w:rPr>
          <w:rFonts w:hint="eastAsia" w:ascii="宋体" w:hAnsi="宋体"/>
          <w:color w:val="auto"/>
          <w:sz w:val="21"/>
          <w:szCs w:val="21"/>
          <w:highlight w:val="none"/>
        </w:rPr>
        <w:t>监理单位委派的工程师</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姓名：</w:t>
      </w:r>
      <w:r>
        <w:rPr>
          <w:rFonts w:ascii="宋体" w:hAnsi="宋体"/>
          <w:color w:val="auto"/>
          <w:sz w:val="21"/>
          <w:szCs w:val="21"/>
          <w:highlight w:val="none"/>
          <w:u w:val="single"/>
        </w:rPr>
        <w:t xml:space="preserve">        </w:t>
      </w:r>
      <w:r>
        <w:rPr>
          <w:rFonts w:hint="eastAsia" w:ascii="宋体" w:hAnsi="宋体"/>
          <w:color w:val="auto"/>
          <w:sz w:val="21"/>
          <w:szCs w:val="21"/>
          <w:highlight w:val="none"/>
        </w:rPr>
        <w:t>，职务：</w:t>
      </w:r>
      <w:r>
        <w:rPr>
          <w:rFonts w:hint="eastAsia" w:ascii="宋体" w:hAnsi="宋体"/>
          <w:color w:val="auto"/>
          <w:sz w:val="21"/>
          <w:szCs w:val="21"/>
          <w:highlight w:val="none"/>
          <w:u w:val="single"/>
        </w:rPr>
        <w:t>总监理工程师</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发包人委托的职权：</w:t>
      </w:r>
      <w:r>
        <w:rPr>
          <w:rFonts w:hint="eastAsia" w:ascii="宋体" w:hAnsi="宋体"/>
          <w:color w:val="auto"/>
          <w:sz w:val="21"/>
          <w:szCs w:val="21"/>
          <w:highlight w:val="none"/>
          <w:u w:val="single"/>
        </w:rPr>
        <w:t>对本工程进行全过程的监理</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需要取得发包人批准才能行使的职权：</w:t>
      </w:r>
      <w:r>
        <w:rPr>
          <w:rFonts w:hint="eastAsia" w:ascii="宋体" w:hAnsi="宋体"/>
          <w:color w:val="auto"/>
          <w:sz w:val="21"/>
          <w:szCs w:val="21"/>
          <w:highlight w:val="none"/>
          <w:u w:val="single"/>
        </w:rPr>
        <w:t>按发包人与监理单位签订的监理合同有关规定执行，涉及变更签证或费用</w:t>
      </w:r>
      <w:r>
        <w:rPr>
          <w:rFonts w:hint="eastAsia" w:ascii="宋体" w:hAnsi="宋体"/>
          <w:color w:val="auto"/>
          <w:sz w:val="21"/>
          <w:szCs w:val="21"/>
          <w:highlight w:val="none"/>
        </w:rPr>
        <w:t>调整、发布开工、停工、复工令等均需经</w:t>
      </w:r>
      <w:r>
        <w:rPr>
          <w:rFonts w:hint="eastAsia" w:ascii="宋体" w:hAnsi="宋体"/>
          <w:color w:val="auto"/>
          <w:sz w:val="21"/>
          <w:szCs w:val="21"/>
          <w:highlight w:val="none"/>
          <w:u w:val="single"/>
        </w:rPr>
        <w:t>发包人书面认可</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义务：</w:t>
      </w:r>
      <w:r>
        <w:rPr>
          <w:rFonts w:hint="eastAsia" w:ascii="宋体" w:hAnsi="宋体"/>
          <w:color w:val="auto"/>
          <w:sz w:val="21"/>
          <w:szCs w:val="21"/>
          <w:highlight w:val="none"/>
          <w:u w:val="single"/>
        </w:rPr>
        <w:t>常驻现场，代表监理单位履行与发包人签订的监理合同</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5.3</w:t>
      </w:r>
      <w:r>
        <w:rPr>
          <w:rFonts w:hint="eastAsia" w:ascii="宋体" w:hAnsi="宋体"/>
          <w:color w:val="auto"/>
          <w:sz w:val="21"/>
          <w:szCs w:val="21"/>
          <w:highlight w:val="none"/>
        </w:rPr>
        <w:t>发包人派驻的工程师</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姓名：</w:t>
      </w:r>
      <w:r>
        <w:rPr>
          <w:rFonts w:ascii="宋体" w:hAnsi="宋体"/>
          <w:color w:val="auto"/>
          <w:sz w:val="21"/>
          <w:szCs w:val="21"/>
          <w:highlight w:val="none"/>
          <w:u w:val="single"/>
        </w:rPr>
        <w:t xml:space="preserve">       </w:t>
      </w:r>
      <w:r>
        <w:rPr>
          <w:rFonts w:hint="eastAsia" w:ascii="宋体" w:hAnsi="宋体"/>
          <w:color w:val="auto"/>
          <w:sz w:val="21"/>
          <w:szCs w:val="21"/>
          <w:highlight w:val="none"/>
        </w:rPr>
        <w:t>，职务：</w:t>
      </w:r>
      <w:r>
        <w:rPr>
          <w:rFonts w:hint="eastAsia" w:ascii="宋体" w:hAnsi="宋体"/>
          <w:color w:val="auto"/>
          <w:sz w:val="21"/>
          <w:szCs w:val="21"/>
          <w:highlight w:val="none"/>
          <w:u w:val="single"/>
        </w:rPr>
        <w:t>工程师</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职权：</w:t>
      </w:r>
      <w:r>
        <w:rPr>
          <w:rFonts w:hint="eastAsia" w:ascii="宋体" w:hAnsi="宋体"/>
          <w:color w:val="auto"/>
          <w:sz w:val="21"/>
          <w:szCs w:val="21"/>
          <w:highlight w:val="none"/>
          <w:u w:val="single"/>
        </w:rPr>
        <w:t>发包人代表，行使发包人的权利</w:t>
      </w:r>
      <w:r>
        <w:rPr>
          <w:rFonts w:hint="eastAsia" w:ascii="宋体" w:hAnsi="宋体"/>
          <w:color w:val="auto"/>
          <w:sz w:val="21"/>
          <w:szCs w:val="21"/>
          <w:highlight w:val="none"/>
        </w:rPr>
        <w:t>。</w:t>
      </w:r>
    </w:p>
    <w:p>
      <w:pPr>
        <w:snapToGrid w:val="0"/>
        <w:spacing w:line="440" w:lineRule="exact"/>
        <w:ind w:firstLine="397"/>
        <w:rPr>
          <w:rFonts w:ascii="宋体" w:hAnsi="宋体"/>
          <w:color w:val="auto"/>
          <w:spacing w:val="-8"/>
          <w:sz w:val="21"/>
          <w:szCs w:val="21"/>
          <w:highlight w:val="none"/>
          <w:u w:val="single"/>
        </w:rPr>
      </w:pPr>
      <w:r>
        <w:rPr>
          <w:rFonts w:hint="eastAsia" w:ascii="宋体" w:hAnsi="宋体"/>
          <w:color w:val="auto"/>
          <w:spacing w:val="-8"/>
          <w:sz w:val="21"/>
          <w:szCs w:val="21"/>
          <w:highlight w:val="none"/>
        </w:rPr>
        <w:t>义务：</w:t>
      </w:r>
      <w:r>
        <w:rPr>
          <w:rFonts w:hint="eastAsia" w:ascii="宋体" w:hAnsi="宋体"/>
          <w:color w:val="auto"/>
          <w:spacing w:val="-8"/>
          <w:sz w:val="21"/>
          <w:szCs w:val="21"/>
          <w:highlight w:val="none"/>
          <w:u w:val="single"/>
        </w:rPr>
        <w:t>常驻现场，代表发包人</w:t>
      </w:r>
      <w:r>
        <w:rPr>
          <w:rFonts w:hint="eastAsia" w:ascii="宋体" w:hAnsi="宋体"/>
          <w:color w:val="auto"/>
          <w:spacing w:val="-8"/>
          <w:sz w:val="28"/>
          <w:szCs w:val="28"/>
          <w:highlight w:val="none"/>
          <w:u w:val="single"/>
        </w:rPr>
        <w:t>负责工程质量、进度、技术、投资控制等施工期间的日常管理工作，</w:t>
      </w:r>
      <w:r>
        <w:rPr>
          <w:rFonts w:hint="eastAsia" w:ascii="宋体" w:hAnsi="宋体"/>
          <w:color w:val="auto"/>
          <w:spacing w:val="-8"/>
          <w:sz w:val="21"/>
          <w:szCs w:val="21"/>
          <w:highlight w:val="none"/>
          <w:u w:val="single"/>
        </w:rPr>
        <w:t>履行与承包人签订的本建设工程施工合同</w:t>
      </w:r>
      <w:r>
        <w:rPr>
          <w:rFonts w:hint="eastAsia" w:ascii="宋体" w:hAnsi="宋体"/>
          <w:color w:val="auto"/>
          <w:spacing w:val="-8"/>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5.6</w:t>
      </w:r>
      <w:r>
        <w:rPr>
          <w:rFonts w:hint="eastAsia" w:ascii="宋体" w:hAnsi="宋体"/>
          <w:color w:val="auto"/>
          <w:sz w:val="21"/>
          <w:szCs w:val="21"/>
          <w:highlight w:val="none"/>
        </w:rPr>
        <w:t>不实行监理的，工程师的职权：</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、项目负责人</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7.1</w:t>
      </w: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项目负责人</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姓名：</w:t>
      </w:r>
      <w:r>
        <w:rPr>
          <w:rFonts w:ascii="宋体" w:hAnsi="宋体"/>
          <w:color w:val="auto"/>
          <w:sz w:val="21"/>
          <w:szCs w:val="21"/>
          <w:highlight w:val="none"/>
          <w:u w:val="single"/>
        </w:rPr>
        <w:t xml:space="preserve">        </w:t>
      </w:r>
      <w:r>
        <w:rPr>
          <w:rFonts w:hint="eastAsia" w:ascii="宋体" w:hAnsi="宋体"/>
          <w:color w:val="auto"/>
          <w:sz w:val="21"/>
          <w:szCs w:val="21"/>
          <w:highlight w:val="none"/>
        </w:rPr>
        <w:t>，职权：</w:t>
      </w:r>
      <w:r>
        <w:rPr>
          <w:rFonts w:hint="eastAsia" w:ascii="宋体" w:hAnsi="宋体"/>
          <w:color w:val="auto"/>
          <w:sz w:val="21"/>
          <w:szCs w:val="21"/>
          <w:highlight w:val="none"/>
          <w:u w:val="single"/>
        </w:rPr>
        <w:t>代表承包人全权处理本工程施工的一切事务</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义务：</w:t>
      </w:r>
      <w:r>
        <w:rPr>
          <w:rFonts w:hint="eastAsia" w:ascii="宋体" w:hAnsi="宋体"/>
          <w:color w:val="auto"/>
          <w:sz w:val="21"/>
          <w:szCs w:val="21"/>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7.4</w:t>
      </w:r>
      <w:r>
        <w:rPr>
          <w:rFonts w:hint="eastAsia" w:ascii="宋体" w:hAnsi="宋体"/>
          <w:color w:val="auto"/>
          <w:sz w:val="21"/>
          <w:szCs w:val="21"/>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7.5</w:t>
      </w:r>
      <w:r>
        <w:rPr>
          <w:rFonts w:hint="eastAsia" w:ascii="宋体" w:hAnsi="宋体"/>
          <w:color w:val="auto"/>
          <w:sz w:val="21"/>
          <w:szCs w:val="21"/>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olor w:val="auto"/>
          <w:sz w:val="21"/>
          <w:szCs w:val="21"/>
          <w:highlight w:val="none"/>
        </w:rPr>
        <w:t>。</w:t>
      </w:r>
    </w:p>
    <w:p>
      <w:pPr>
        <w:snapToGrid w:val="0"/>
        <w:spacing w:line="440" w:lineRule="exact"/>
        <w:ind w:firstLine="397"/>
        <w:rPr>
          <w:rFonts w:hint="eastAsia" w:ascii="宋体" w:hAnsi="宋体"/>
          <w:color w:val="auto"/>
          <w:sz w:val="21"/>
          <w:szCs w:val="21"/>
          <w:highlight w:val="none"/>
        </w:rPr>
      </w:pPr>
      <w:r>
        <w:rPr>
          <w:rFonts w:ascii="宋体" w:hAnsi="宋体"/>
          <w:color w:val="auto"/>
          <w:sz w:val="21"/>
          <w:szCs w:val="21"/>
          <w:highlight w:val="none"/>
        </w:rPr>
        <w:t>7.6</w:t>
      </w:r>
      <w:r>
        <w:rPr>
          <w:rFonts w:hint="eastAsia" w:ascii="宋体" w:hAnsi="宋体"/>
          <w:color w:val="auto"/>
          <w:sz w:val="21"/>
          <w:szCs w:val="21"/>
          <w:highlight w:val="none"/>
          <w:u w:val="single"/>
        </w:rPr>
        <w:t>承包人项目负责人不得兼任其他工程项目负责人，否则发包人可按单方面终止合同处理</w:t>
      </w:r>
      <w:r>
        <w:rPr>
          <w:rFonts w:hint="eastAsia" w:ascii="宋体" w:hAnsi="宋体"/>
          <w:color w:val="auto"/>
          <w:sz w:val="21"/>
          <w:szCs w:val="21"/>
          <w:highlight w:val="none"/>
        </w:rPr>
        <w:t>。</w:t>
      </w:r>
    </w:p>
    <w:p>
      <w:pPr>
        <w:adjustRightInd/>
        <w:snapToGrid w:val="0"/>
        <w:spacing w:line="440" w:lineRule="exact"/>
        <w:ind w:right="0" w:firstLine="397" w:firstLineChars="0"/>
        <w:outlineLvl w:val="9"/>
        <w:rPr>
          <w:rFonts w:hint="eastAsia" w:ascii="宋体" w:hAnsi="宋体"/>
          <w:color w:val="auto"/>
          <w:sz w:val="21"/>
          <w:szCs w:val="21"/>
          <w:highlight w:val="none"/>
          <w:u w:val="single"/>
        </w:rPr>
      </w:pPr>
      <w:r>
        <w:rPr>
          <w:rFonts w:hint="eastAsia" w:ascii="宋体" w:hAnsi="宋体"/>
          <w:color w:val="auto"/>
          <w:sz w:val="21"/>
          <w:szCs w:val="21"/>
          <w:highlight w:val="none"/>
          <w:u w:val="single"/>
        </w:rPr>
        <w:t>7.7现场管理机构</w:t>
      </w:r>
    </w:p>
    <w:p>
      <w:pPr>
        <w:adjustRightInd/>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u w:val="single"/>
        </w:rPr>
        <w:t>（1）承包人必须按照投标文件的承诺建立现场管理机构，严格执行现行建设工程项目管理规范，并积极主动接受建设行政主管部门的监督和检查。</w:t>
      </w:r>
    </w:p>
    <w:p>
      <w:pPr>
        <w:adjustRightInd/>
        <w:snapToGrid w:val="0"/>
        <w:spacing w:line="440" w:lineRule="exact"/>
        <w:ind w:right="0" w:firstLine="538"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u w:val="singl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u w:val="singl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8</w:t>
      </w:r>
      <w:r>
        <w:rPr>
          <w:rFonts w:hint="eastAsia" w:ascii="宋体" w:hAnsi="宋体"/>
          <w:b/>
          <w:color w:val="auto"/>
          <w:sz w:val="24"/>
          <w:highlight w:val="none"/>
        </w:rPr>
        <w:t>、发包人工作</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8.1</w:t>
      </w:r>
      <w:r>
        <w:rPr>
          <w:rFonts w:hint="eastAsia" w:ascii="宋体" w:hAnsi="宋体"/>
          <w:color w:val="auto"/>
          <w:sz w:val="21"/>
          <w:szCs w:val="21"/>
          <w:highlight w:val="none"/>
        </w:rPr>
        <w:t>发包人应按约定的时间和要求完成以下工作：</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）施工场地具备施工条件的要求及完成的时间：</w:t>
      </w:r>
      <w:r>
        <w:rPr>
          <w:rFonts w:hint="eastAsia" w:ascii="宋体" w:hAnsi="宋体"/>
          <w:color w:val="auto"/>
          <w:sz w:val="21"/>
          <w:szCs w:val="21"/>
          <w:highlight w:val="none"/>
          <w:u w:val="single"/>
        </w:rPr>
        <w:t>土地征收、拆迁补偿工作完成时间原则上在开工前；因土地征收和拆迁补偿进度原因不能按时移交场地的，可采取分段逐步方式移交施工场地</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）将施工所需的水、电、电讯线路接至施工场地的时间、地点和供应要求：</w:t>
      </w:r>
      <w:r>
        <w:rPr>
          <w:rFonts w:hint="eastAsia" w:ascii="宋体" w:hAnsi="宋体"/>
          <w:color w:val="auto"/>
          <w:sz w:val="21"/>
          <w:szCs w:val="21"/>
          <w:highlight w:val="none"/>
          <w:u w:val="single"/>
        </w:rPr>
        <w:t>由承包人自行解决，费用已包在本工程中标总造价中</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）施工场地与公共道路的通道开通时间和要求：</w:t>
      </w:r>
      <w:r>
        <w:rPr>
          <w:rFonts w:hint="eastAsia" w:ascii="宋体" w:hAnsi="宋体"/>
          <w:color w:val="auto"/>
          <w:sz w:val="21"/>
          <w:szCs w:val="21"/>
          <w:highlight w:val="none"/>
          <w:u w:val="single"/>
        </w:rPr>
        <w:t>通道按现状，不论满足施工要求与否，该通道及施工便道均由承包人自行解决，费用已包在本工程中标总造价中</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）工程地质和地下管线资料的提供时间：</w:t>
      </w:r>
      <w:r>
        <w:rPr>
          <w:rFonts w:hint="eastAsia" w:ascii="宋体" w:hAnsi="宋体"/>
          <w:color w:val="auto"/>
          <w:sz w:val="21"/>
          <w:szCs w:val="21"/>
          <w:highlight w:val="none"/>
          <w:u w:val="single"/>
        </w:rPr>
        <w:t>根据施工计划提前提供</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5</w:t>
      </w:r>
      <w:r>
        <w:rPr>
          <w:rFonts w:hint="eastAsia" w:ascii="宋体" w:hAnsi="宋体"/>
          <w:color w:val="auto"/>
          <w:sz w:val="21"/>
          <w:szCs w:val="21"/>
          <w:highlight w:val="none"/>
        </w:rPr>
        <w:t>）由发包人办理的施工所需证件、批件的名称和完成时间：</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rPr>
        <w:t>）水准点与坐标控制点交验要求：</w:t>
      </w:r>
      <w:r>
        <w:rPr>
          <w:rFonts w:hint="eastAsia" w:ascii="宋体" w:hAnsi="宋体"/>
          <w:color w:val="auto"/>
          <w:sz w:val="21"/>
          <w:szCs w:val="21"/>
          <w:highlight w:val="none"/>
          <w:u w:val="single"/>
        </w:rPr>
        <w:t>开工前交验</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7</w:t>
      </w:r>
      <w:r>
        <w:rPr>
          <w:rFonts w:hint="eastAsia" w:ascii="宋体" w:hAnsi="宋体"/>
          <w:color w:val="auto"/>
          <w:sz w:val="21"/>
          <w:szCs w:val="21"/>
          <w:highlight w:val="none"/>
        </w:rPr>
        <w:t>）图纸会审和设计交底时间：</w:t>
      </w:r>
      <w:r>
        <w:rPr>
          <w:rFonts w:hint="eastAsia" w:ascii="宋体" w:hAnsi="宋体"/>
          <w:color w:val="auto"/>
          <w:sz w:val="21"/>
          <w:szCs w:val="21"/>
          <w:highlight w:val="none"/>
          <w:u w:val="single"/>
        </w:rPr>
        <w:t>工程施工前</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8</w:t>
      </w:r>
      <w:r>
        <w:rPr>
          <w:rFonts w:hint="eastAsia" w:ascii="宋体" w:hAnsi="宋体"/>
          <w:color w:val="auto"/>
          <w:sz w:val="21"/>
          <w:szCs w:val="21"/>
          <w:highlight w:val="none"/>
        </w:rPr>
        <w:t>）协调处理施工场地周围地下管线和邻近建筑物、构筑物（含文物保护建筑）、古树名木的保护工作：</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9</w:t>
      </w:r>
      <w:r>
        <w:rPr>
          <w:rFonts w:hint="eastAsia" w:ascii="宋体" w:hAnsi="宋体"/>
          <w:color w:val="auto"/>
          <w:sz w:val="21"/>
          <w:szCs w:val="21"/>
          <w:highlight w:val="none"/>
        </w:rPr>
        <w:t>）双方约定发包人应做的其他工作：</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发包人按现有场地移交给承包人，承包人应无条件接受。</w:t>
      </w:r>
      <w:r>
        <w:rPr>
          <w:rFonts w:ascii="宋体" w:hAnsi="宋体"/>
          <w:color w:val="auto"/>
          <w:sz w:val="21"/>
          <w:szCs w:val="21"/>
          <w:highlight w:val="none"/>
          <w:u w:val="single"/>
        </w:rPr>
        <w:t xml:space="preserve">   </w:t>
      </w:r>
      <w:r>
        <w:rPr>
          <w:rFonts w:hint="eastAsia" w:ascii="宋体" w:hAnsi="宋体"/>
          <w:color w:val="auto"/>
          <w:sz w:val="21"/>
          <w:szCs w:val="21"/>
          <w:highlight w:val="none"/>
        </w:rPr>
        <w:t>。</w:t>
      </w:r>
    </w:p>
    <w:p>
      <w:pPr>
        <w:snapToGrid w:val="0"/>
        <w:spacing w:line="440" w:lineRule="exact"/>
        <w:ind w:firstLine="397"/>
        <w:rPr>
          <w:rFonts w:hint="eastAsia" w:ascii="宋体" w:hAnsi="宋体"/>
          <w:color w:val="auto"/>
          <w:sz w:val="28"/>
          <w:szCs w:val="28"/>
          <w:highlight w:val="none"/>
          <w:u w:val="single"/>
        </w:rPr>
      </w:pPr>
      <w:r>
        <w:rPr>
          <w:rFonts w:ascii="宋体" w:hAnsi="宋体"/>
          <w:color w:val="auto"/>
          <w:sz w:val="21"/>
          <w:szCs w:val="21"/>
          <w:highlight w:val="none"/>
        </w:rPr>
        <w:t>8.2</w:t>
      </w:r>
      <w:r>
        <w:rPr>
          <w:rFonts w:hint="eastAsia" w:ascii="宋体" w:hAnsi="宋体"/>
          <w:color w:val="auto"/>
          <w:sz w:val="21"/>
          <w:szCs w:val="21"/>
          <w:highlight w:val="none"/>
        </w:rPr>
        <w:t>发包人委托承包人办理的工作：</w:t>
      </w:r>
      <w:r>
        <w:rPr>
          <w:rFonts w:hint="eastAsia" w:ascii="宋体" w:hAnsi="宋体"/>
          <w:color w:val="auto"/>
          <w:sz w:val="21"/>
          <w:szCs w:val="21"/>
          <w:highlight w:val="none"/>
          <w:u w:val="single"/>
        </w:rPr>
        <w:t>按规定施工所需的审批、申领手续以及验收等工作。费用按政策规定各自承担相应部分。</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9</w:t>
      </w:r>
      <w:r>
        <w:rPr>
          <w:rFonts w:hint="eastAsia" w:ascii="宋体" w:hAnsi="宋体"/>
          <w:b/>
          <w:color w:val="auto"/>
          <w:sz w:val="24"/>
          <w:highlight w:val="none"/>
        </w:rPr>
        <w:t>、承包人工作</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9.1</w:t>
      </w:r>
      <w:r>
        <w:rPr>
          <w:rFonts w:hint="eastAsia" w:ascii="宋体" w:hAnsi="宋体"/>
          <w:color w:val="auto"/>
          <w:sz w:val="21"/>
          <w:szCs w:val="21"/>
          <w:highlight w:val="none"/>
        </w:rPr>
        <w:t>承包人应按约定时间和要求，完成以下工作：</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）需由设计资质等级和业务范围允许的承包人完成的设计文件提交时间：</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hint="eastAsia"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）应提供计划、报表的名称及完成时间：</w:t>
      </w:r>
      <w:r>
        <w:rPr>
          <w:rFonts w:hint="eastAsia" w:ascii="宋体" w:hAnsi="宋体"/>
          <w:color w:val="auto"/>
          <w:sz w:val="21"/>
          <w:szCs w:val="21"/>
          <w:highlight w:val="none"/>
          <w:u w:val="single"/>
        </w:rPr>
        <w:t>于接到中标通知书后4天内提交施工组织设计、管理人员架构表，并按工程进度情况及时提交工程年、季、月度计划及进度统计报表</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3）承担施工安全保卫工作及非夜间施工照明的责任和要求：</w:t>
      </w:r>
      <w:r>
        <w:rPr>
          <w:rFonts w:hint="eastAsia" w:ascii="宋体" w:hAnsi="宋体"/>
          <w:color w:val="auto"/>
          <w:sz w:val="21"/>
          <w:szCs w:val="21"/>
          <w:highlight w:val="none"/>
          <w:u w:val="single"/>
        </w:rPr>
        <w:t>按招标文件要求及国家、省、市、区相关规定执行，并满足本工程需要</w:t>
      </w:r>
      <w:r>
        <w:rPr>
          <w:rFonts w:hint="eastAsia" w:ascii="宋体" w:hAnsi="宋体"/>
          <w:color w:val="auto"/>
          <w:sz w:val="21"/>
          <w:szCs w:val="21"/>
          <w:highlight w:val="none"/>
        </w:rPr>
        <w:t>。</w:t>
      </w:r>
      <w:r>
        <w:rPr>
          <w:rFonts w:hint="eastAsia" w:ascii="宋体" w:hAnsi="宋体"/>
          <w:color w:val="auto"/>
          <w:sz w:val="21"/>
          <w:szCs w:val="21"/>
          <w:highlight w:val="none"/>
          <w:u w:val="single"/>
        </w:rPr>
        <w:t>根据工程需要，提供和维护施工使用的照明、围栏设施和警卫，并负责整个现场的安全文明施工、安全保卫。</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承包人自行解决办公、交通、生活及通讯等设施，费用已包含在本工程中标总造价中；</w:t>
      </w:r>
      <w:r>
        <w:rPr>
          <w:rFonts w:ascii="宋体" w:hAnsi="宋体"/>
          <w:color w:val="auto"/>
          <w:sz w:val="21"/>
          <w:szCs w:val="21"/>
          <w:highlight w:val="none"/>
        </w:rPr>
        <w:t>向发包人或监理工程师提供的办公、交通和生活、通讯设施的要求：</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5）需承包人办理有关施工场地交通、环卫和施工噪音管理等手续：</w:t>
      </w:r>
      <w:r>
        <w:rPr>
          <w:rFonts w:hint="eastAsia" w:ascii="宋体" w:hAnsi="宋体"/>
          <w:color w:val="auto"/>
          <w:sz w:val="21"/>
          <w:szCs w:val="21"/>
          <w:highlight w:val="none"/>
          <w:u w:val="single"/>
        </w:rPr>
        <w:t>承包人按本合同通用条款要求执行，并承担相关费用</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rPr>
        <w:t>）已完工程成品保护的特殊要求及费用承担：</w:t>
      </w:r>
      <w:r>
        <w:rPr>
          <w:rFonts w:hint="eastAsia" w:ascii="宋体" w:hAnsi="宋体"/>
          <w:color w:val="auto"/>
          <w:sz w:val="21"/>
          <w:szCs w:val="21"/>
          <w:highlight w:val="none"/>
          <w:u w:val="single"/>
        </w:rPr>
        <w:t>按本合同通用条款执行</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7</w:t>
      </w:r>
      <w:r>
        <w:rPr>
          <w:rFonts w:hint="eastAsia" w:ascii="宋体" w:hAnsi="宋体"/>
          <w:color w:val="auto"/>
          <w:sz w:val="21"/>
          <w:szCs w:val="21"/>
          <w:highlight w:val="none"/>
        </w:rPr>
        <w:t>）施工场地周围地下管线和邻近建筑物、构筑物（含文物保护建筑）、古树名木的保护要求及费用承担：</w:t>
      </w:r>
      <w:r>
        <w:rPr>
          <w:rFonts w:hint="eastAsia" w:ascii="宋体" w:hAnsi="宋体"/>
          <w:color w:val="auto"/>
          <w:sz w:val="21"/>
          <w:szCs w:val="21"/>
          <w:highlight w:val="none"/>
          <w:u w:val="single"/>
        </w:rPr>
        <w:t>除文物保护外的保护费全部由承包人承担</w:t>
      </w:r>
      <w:r>
        <w:rPr>
          <w:rFonts w:hint="eastAsia" w:ascii="宋体" w:hAnsi="宋体"/>
          <w:color w:val="auto"/>
          <w:sz w:val="21"/>
          <w:szCs w:val="21"/>
          <w:highlight w:val="none"/>
        </w:rPr>
        <w:t>。</w:t>
      </w:r>
    </w:p>
    <w:p>
      <w:pPr>
        <w:snapToGrid w:val="0"/>
        <w:spacing w:line="440" w:lineRule="exact"/>
        <w:ind w:left="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8）</w:t>
      </w:r>
      <w:r>
        <w:rPr>
          <w:rFonts w:hint="eastAsia" w:ascii="宋体" w:hAnsi="宋体"/>
          <w:color w:val="auto"/>
          <w:sz w:val="21"/>
          <w:szCs w:val="21"/>
          <w:highlight w:val="none"/>
        </w:rPr>
        <w:t>施工场地清洁卫生的要求：</w:t>
      </w:r>
      <w:r>
        <w:rPr>
          <w:rFonts w:hint="eastAsia" w:ascii="宋体" w:hAnsi="宋体"/>
          <w:color w:val="auto"/>
          <w:sz w:val="21"/>
          <w:szCs w:val="21"/>
          <w:highlight w:val="none"/>
          <w:u w:val="single"/>
        </w:rPr>
        <w:t>满足</w:t>
      </w:r>
      <w:r>
        <w:rPr>
          <w:rFonts w:hint="eastAsia" w:ascii="宋体" w:hAnsi="宋体"/>
          <w:color w:val="auto"/>
          <w:spacing w:val="-10"/>
          <w:sz w:val="21"/>
          <w:szCs w:val="21"/>
          <w:highlight w:val="none"/>
          <w:u w:val="single"/>
        </w:rPr>
        <w:t>文明施工及广州市、黄埔区关于扬尘治理的有关要求。</w:t>
      </w:r>
      <w:r>
        <w:rPr>
          <w:rFonts w:hint="eastAsia" w:ascii="宋体" w:hAnsi="宋体"/>
          <w:color w:val="auto"/>
          <w:sz w:val="21"/>
          <w:szCs w:val="21"/>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9）双方约定承包人应做的其他工作：</w:t>
      </w:r>
    </w:p>
    <w:p>
      <w:pPr>
        <w:snapToGrid w:val="0"/>
        <w:spacing w:line="440" w:lineRule="exact"/>
        <w:ind w:firstLine="397"/>
        <w:rPr>
          <w:rFonts w:hint="eastAsia" w:ascii="宋体" w:hAnsi="宋体"/>
          <w:color w:val="auto"/>
          <w:sz w:val="21"/>
          <w:szCs w:val="21"/>
          <w:highlight w:val="none"/>
        </w:rPr>
      </w:pPr>
      <w:r>
        <w:rPr>
          <w:rFonts w:hint="eastAsia" w:ascii="宋体" w:hAnsi="宋体"/>
          <w:color w:val="auto"/>
          <w:sz w:val="21"/>
          <w:szCs w:val="21"/>
          <w:highlight w:val="none"/>
        </w:rPr>
        <w:t>①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②承包人应按照《广州市建设领域工人工资支付分账管理实施细则》的规定，选择商业银行开立工人工资支付专用账户，在用工之日起15日内为每个工人办理工人工资个人账户，保证按时足额支付工人工资。承包人应对依法分包的专业承包和劳务分包企业实施统一管理，严格按国家、省、市关于农民工工资实施总承包单位代发制度的相关规定代发分包单位工人工资。</w:t>
      </w:r>
    </w:p>
    <w:p>
      <w:pPr>
        <w:snapToGrid w:val="0"/>
        <w:spacing w:line="440" w:lineRule="exact"/>
        <w:ind w:firstLine="397"/>
        <w:rPr>
          <w:rFonts w:hint="eastAsia" w:ascii="宋体" w:hAnsi="宋体"/>
          <w:color w:val="auto"/>
          <w:sz w:val="21"/>
          <w:szCs w:val="21"/>
          <w:highlight w:val="none"/>
        </w:rPr>
      </w:pPr>
      <w:r>
        <w:rPr>
          <w:rFonts w:hint="eastAsia" w:ascii="宋体" w:hAnsi="宋体"/>
          <w:color w:val="auto"/>
          <w:sz w:val="21"/>
          <w:szCs w:val="21"/>
          <w:highlight w:val="none"/>
        </w:rPr>
        <w:t>③承包人应当建立工人考勤、工资结算和支付等管理台账，存档备查，并将相关信息按月报送发包人及监理单位。</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三、施工组织设计和工期</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10</w:t>
      </w:r>
      <w:r>
        <w:rPr>
          <w:rFonts w:hint="eastAsia" w:ascii="宋体" w:hAnsi="宋体"/>
          <w:b/>
          <w:color w:val="auto"/>
          <w:sz w:val="24"/>
          <w:highlight w:val="none"/>
        </w:rPr>
        <w:t>、进度计划</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10.1</w:t>
      </w:r>
      <w:r>
        <w:rPr>
          <w:rFonts w:hint="eastAsia" w:ascii="宋体" w:hAnsi="宋体"/>
          <w:color w:val="auto"/>
          <w:sz w:val="21"/>
          <w:szCs w:val="21"/>
          <w:highlight w:val="none"/>
        </w:rPr>
        <w:t>承包人提供施工组织设计</w:t>
      </w:r>
      <w:r>
        <w:rPr>
          <w:rFonts w:ascii="宋体" w:hAnsi="宋体"/>
          <w:color w:val="auto"/>
          <w:sz w:val="21"/>
          <w:szCs w:val="21"/>
          <w:highlight w:val="none"/>
        </w:rPr>
        <w:t>(施工方案)和进度计划时间：</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u w:val="single"/>
        </w:rPr>
        <w:t>承包人应于接到中标通知书后4天内向发包人提交施工组织设计（施工方案）及总体工程进度计划（网络计划）。</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u w:val="single"/>
        </w:rPr>
        <w:t>承包人提交的施工组织设计应当按监理工程师及国家、省、市及广州开发区关于施工承包管理的要求编制，并不低于投标时的施工组织设计标准</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u w:val="single"/>
        </w:rPr>
        <w:t>总监理工程师在接到承包人提交的施工组织设计和工程进度计划后，予以确认或提出修改意见</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工程师确认的时间：</w:t>
      </w:r>
      <w:r>
        <w:rPr>
          <w:rFonts w:hint="eastAsia" w:ascii="宋体" w:hAnsi="宋体"/>
          <w:color w:val="auto"/>
          <w:sz w:val="21"/>
          <w:szCs w:val="21"/>
          <w:highlight w:val="none"/>
          <w:u w:val="single"/>
        </w:rPr>
        <w:t>开工前</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10.2</w:t>
      </w:r>
      <w:r>
        <w:rPr>
          <w:rFonts w:hint="eastAsia" w:ascii="宋体" w:hAnsi="宋体"/>
          <w:color w:val="auto"/>
          <w:sz w:val="21"/>
          <w:szCs w:val="21"/>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10.3</w:t>
      </w:r>
      <w:r>
        <w:rPr>
          <w:rFonts w:hint="eastAsia" w:ascii="宋体" w:hAnsi="宋体"/>
          <w:color w:val="auto"/>
          <w:sz w:val="21"/>
          <w:szCs w:val="21"/>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color w:val="auto"/>
          <w:sz w:val="21"/>
          <w:szCs w:val="21"/>
          <w:highlight w:val="none"/>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hAnsi="宋体"/>
          <w:color w:val="auto"/>
          <w:sz w:val="21"/>
          <w:szCs w:val="21"/>
          <w:highlight w:val="none"/>
        </w:rPr>
        <w:t>。</w:t>
      </w:r>
    </w:p>
    <w:p>
      <w:pPr>
        <w:snapToGrid w:val="0"/>
        <w:spacing w:line="440" w:lineRule="exact"/>
        <w:ind w:firstLine="480" w:firstLineChars="200"/>
        <w:rPr>
          <w:rFonts w:ascii="宋体" w:hAnsi="宋体"/>
          <w:b/>
          <w:color w:val="auto"/>
          <w:sz w:val="24"/>
          <w:highlight w:val="none"/>
        </w:rPr>
      </w:pPr>
      <w:r>
        <w:rPr>
          <w:rFonts w:ascii="宋体" w:hAnsi="宋体"/>
          <w:b/>
          <w:color w:val="auto"/>
          <w:sz w:val="24"/>
          <w:highlight w:val="none"/>
        </w:rPr>
        <w:t>11、开工及延期开工</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11.1</w:t>
      </w:r>
      <w:r>
        <w:rPr>
          <w:rFonts w:hint="eastAsia" w:ascii="宋体" w:hAnsi="宋体"/>
          <w:color w:val="auto"/>
          <w:sz w:val="21"/>
          <w:szCs w:val="21"/>
          <w:highlight w:val="none"/>
        </w:rPr>
        <w:t>开工日期和竣工日期</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11.1.1</w:t>
      </w:r>
      <w:r>
        <w:rPr>
          <w:rFonts w:hint="eastAsia" w:ascii="宋体" w:hAnsi="宋体"/>
          <w:color w:val="auto"/>
          <w:sz w:val="21"/>
          <w:szCs w:val="21"/>
          <w:highlight w:val="none"/>
        </w:rPr>
        <w:t>本工程工期为</w:t>
      </w:r>
      <w:r>
        <w:rPr>
          <w:rFonts w:ascii="宋体" w:hAnsi="宋体"/>
          <w:color w:val="auto"/>
          <w:sz w:val="21"/>
          <w:szCs w:val="21"/>
          <w:highlight w:val="none"/>
          <w:u w:val="single"/>
        </w:rPr>
        <w:t xml:space="preserve">   </w:t>
      </w:r>
      <w:r>
        <w:rPr>
          <w:rFonts w:hint="eastAsia" w:ascii="宋体" w:hAnsi="宋体"/>
          <w:color w:val="auto"/>
          <w:sz w:val="21"/>
          <w:szCs w:val="21"/>
          <w:highlight w:val="none"/>
        </w:rPr>
        <w:t>日历天。其中开工时间初定为</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ascii="宋体" w:hAnsi="宋体"/>
          <w:color w:val="auto"/>
          <w:sz w:val="21"/>
          <w:szCs w:val="21"/>
          <w:highlight w:val="none"/>
          <w:u w:val="single"/>
        </w:rPr>
        <w:t xml:space="preserve">   </w:t>
      </w:r>
      <w:r>
        <w:rPr>
          <w:rFonts w:hint="eastAsia" w:ascii="宋体" w:hAnsi="宋体"/>
          <w:color w:val="auto"/>
          <w:sz w:val="21"/>
          <w:szCs w:val="21"/>
          <w:highlight w:val="none"/>
        </w:rPr>
        <w:t>日。（具体开工日期以发包人或监理单位开工令或批准的开工报告日期为准）</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11.1.2</w:t>
      </w:r>
      <w:r>
        <w:rPr>
          <w:rFonts w:hint="eastAsia" w:ascii="宋体" w:hAnsi="宋体"/>
          <w:color w:val="auto"/>
          <w:sz w:val="21"/>
          <w:szCs w:val="21"/>
          <w:highlight w:val="none"/>
        </w:rPr>
        <w:t>承包人必须采取一切有效措施保证竣工日期，不得延误。除非发生了以下情形：</w:t>
      </w: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u w:val="single"/>
        </w:rPr>
        <w:t>政府对本工程建设项目作出停建、缓建的决定</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u w:val="single"/>
        </w:rPr>
        <w:t>重大设计变更导致本工程在规划、使用、功能方面有重大调整</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u w:val="single"/>
        </w:rPr>
        <w:t>不可抗力持续影响而延误工期超过</w:t>
      </w:r>
      <w:r>
        <w:rPr>
          <w:rFonts w:ascii="宋体" w:hAnsi="宋体"/>
          <w:color w:val="auto"/>
          <w:sz w:val="21"/>
          <w:szCs w:val="21"/>
          <w:highlight w:val="none"/>
          <w:u w:val="single"/>
        </w:rPr>
        <w:t>12</w:t>
      </w:r>
      <w:r>
        <w:rPr>
          <w:rFonts w:hint="eastAsia" w:ascii="宋体" w:hAnsi="宋体"/>
          <w:color w:val="auto"/>
          <w:sz w:val="21"/>
          <w:szCs w:val="21"/>
          <w:highlight w:val="none"/>
          <w:u w:val="single"/>
        </w:rPr>
        <w:t>天以上</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u w:val="single"/>
        </w:rPr>
        <w:t>本合同专用条款约定的其他非承包人原因导致的工期延误</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11.2</w:t>
      </w:r>
      <w:r>
        <w:rPr>
          <w:rFonts w:hint="eastAsia" w:ascii="宋体" w:hAnsi="宋体"/>
          <w:color w:val="auto"/>
          <w:sz w:val="21"/>
          <w:szCs w:val="21"/>
          <w:highlight w:val="none"/>
        </w:rPr>
        <w:t>延期开工：</w:t>
      </w:r>
    </w:p>
    <w:p>
      <w:pPr>
        <w:adjustRightInd w:val="0"/>
        <w:snapToGrid w:val="0"/>
        <w:spacing w:line="440" w:lineRule="exact"/>
        <w:ind w:right="11" w:firstLine="367" w:firstLineChars="175"/>
        <w:rPr>
          <w:rFonts w:ascii="宋体" w:hAnsi="宋体"/>
          <w:color w:val="auto"/>
          <w:sz w:val="21"/>
          <w:szCs w:val="21"/>
          <w:highlight w:val="none"/>
          <w:u w:val="single"/>
        </w:rPr>
      </w:pPr>
      <w:r>
        <w:rPr>
          <w:rFonts w:ascii="宋体" w:hAnsi="宋体"/>
          <w:color w:val="auto"/>
          <w:sz w:val="21"/>
          <w:szCs w:val="21"/>
          <w:highlight w:val="none"/>
        </w:rPr>
        <w:t>11.2.1</w:t>
      </w:r>
      <w:r>
        <w:rPr>
          <w:rFonts w:hint="eastAsia" w:ascii="宋体" w:hAnsi="宋体"/>
          <w:color w:val="auto"/>
          <w:sz w:val="21"/>
          <w:szCs w:val="21"/>
          <w:highlight w:val="none"/>
          <w:u w:val="single"/>
        </w:rPr>
        <w:t>因发包人原因不能按照协议书约定的开工日期开工或暂停施工的，总监理工程师应通知承包人推迟开工日期，经监理单位、发包人确认后，工期可相应顺延，但不作费用补偿</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11.2.2</w:t>
      </w:r>
      <w:r>
        <w:rPr>
          <w:rFonts w:hint="eastAsia" w:ascii="宋体" w:hAnsi="宋体"/>
          <w:color w:val="auto"/>
          <w:sz w:val="21"/>
          <w:szCs w:val="21"/>
          <w:highlight w:val="none"/>
          <w:u w:val="single"/>
        </w:rPr>
        <w:t>承包人未能主动及时地履行其协调、配合服务义务而造成专业承包单位无法开工，由此产生的工期延误等损失由承包人承担，并承担违约责任</w:t>
      </w:r>
      <w:r>
        <w:rPr>
          <w:rFonts w:hint="eastAsia" w:ascii="宋体" w:hAnsi="宋体"/>
          <w:color w:val="auto"/>
          <w:sz w:val="21"/>
          <w:szCs w:val="21"/>
          <w:highlight w:val="none"/>
        </w:rPr>
        <w:t>。</w:t>
      </w:r>
    </w:p>
    <w:p>
      <w:pPr>
        <w:snapToGrid w:val="0"/>
        <w:spacing w:line="440" w:lineRule="exact"/>
        <w:ind w:firstLine="480" w:firstLineChars="200"/>
        <w:rPr>
          <w:rFonts w:ascii="宋体" w:hAnsi="宋体"/>
          <w:b/>
          <w:color w:val="auto"/>
          <w:sz w:val="24"/>
          <w:highlight w:val="none"/>
        </w:rPr>
      </w:pPr>
      <w:r>
        <w:rPr>
          <w:rFonts w:ascii="宋体" w:hAnsi="宋体"/>
          <w:b/>
          <w:color w:val="auto"/>
          <w:sz w:val="24"/>
          <w:highlight w:val="none"/>
        </w:rPr>
        <w:t>12、暂停施工</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12.1因下列原因，总监理工程师报经发包人同意，可通知承包人暂停施工：</w:t>
      </w: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u w:val="single"/>
        </w:rPr>
        <w:t>工程设计发生重大变更</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u w:val="single"/>
        </w:rPr>
        <w:t>不可抗力</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u w:val="single"/>
        </w:rPr>
        <w:t>质量事故</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u w:val="single"/>
        </w:rPr>
        <w:t>安全生产事故</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5）</w:t>
      </w:r>
      <w:r>
        <w:rPr>
          <w:rFonts w:hint="eastAsia" w:ascii="宋体" w:hAnsi="宋体"/>
          <w:color w:val="auto"/>
          <w:sz w:val="21"/>
          <w:szCs w:val="21"/>
          <w:highlight w:val="none"/>
          <w:u w:val="single"/>
        </w:rPr>
        <w:t>因承包人管理不善，可能导致现场混乱</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u w:val="single"/>
        </w:rPr>
        <w:t>承包人违规施工，经监理工程师通知改正但仍不执行</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u w:val="single"/>
        </w:rPr>
        <w:t>承包人不得以与发包人有争议为由或者以争议未解决为由而单方面停工。否则，应按约定承担工期延误的违约责任</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u w:val="single"/>
        </w:rPr>
        <w:t>因发生上述第（</w:t>
      </w:r>
      <w:r>
        <w:rPr>
          <w:rFonts w:ascii="宋体" w:hAnsi="宋体"/>
          <w:color w:val="auto"/>
          <w:sz w:val="21"/>
          <w:szCs w:val="21"/>
          <w:highlight w:val="none"/>
          <w:u w:val="single"/>
        </w:rPr>
        <w:t>1）、（2）项原因而暂停施工</w:t>
      </w:r>
      <w:r>
        <w:rPr>
          <w:rFonts w:hint="eastAsia" w:ascii="宋体" w:hAnsi="宋体"/>
          <w:color w:val="auto"/>
          <w:sz w:val="21"/>
          <w:szCs w:val="21"/>
          <w:highlight w:val="none"/>
          <w:u w:val="single"/>
        </w:rPr>
        <w:t>的，工期可协商调整，因发生上述第（</w:t>
      </w:r>
      <w:r>
        <w:rPr>
          <w:rFonts w:ascii="宋体" w:hAnsi="宋体"/>
          <w:color w:val="auto"/>
          <w:sz w:val="21"/>
          <w:szCs w:val="21"/>
          <w:highlight w:val="none"/>
          <w:u w:val="single"/>
        </w:rPr>
        <w:t>3）、（4）、（5）、（6）项原因而暂停施工</w:t>
      </w:r>
      <w:r>
        <w:rPr>
          <w:rFonts w:hint="eastAsia" w:ascii="宋体" w:hAnsi="宋体"/>
          <w:color w:val="auto"/>
          <w:sz w:val="21"/>
          <w:szCs w:val="21"/>
          <w:highlight w:val="none"/>
          <w:u w:val="single"/>
        </w:rPr>
        <w:t>的，工期不予顺延</w:t>
      </w:r>
      <w:r>
        <w:rPr>
          <w:rFonts w:ascii="宋体" w:hAnsi="宋体"/>
          <w:color w:val="auto"/>
          <w:sz w:val="21"/>
          <w:szCs w:val="21"/>
          <w:highlight w:val="none"/>
          <w:u w:val="single"/>
        </w:rPr>
        <w:t>,承包人必须承担由此发生的费用并向发包人承担违约责任</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12.2为了保证工程质量安全，凡</w:t>
      </w:r>
      <w:r>
        <w:rPr>
          <w:rFonts w:hint="eastAsia" w:ascii="宋体" w:hAnsi="宋体"/>
          <w:color w:val="auto"/>
          <w:sz w:val="21"/>
          <w:szCs w:val="21"/>
          <w:highlight w:val="none"/>
        </w:rPr>
        <w:t>承包人出现下列情况之一（不限于此）的，总监理工程师有权下达停工令，责令承包人停工整改，由此造成的损失由承包人自行承担，工期不予顺延，如果造成工期延误的，承包人还应承担违约责任。</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(1)</w:t>
      </w:r>
      <w:r>
        <w:rPr>
          <w:rFonts w:hint="eastAsia" w:ascii="宋体" w:hAnsi="宋体"/>
          <w:color w:val="auto"/>
          <w:sz w:val="21"/>
          <w:szCs w:val="21"/>
          <w:highlight w:val="none"/>
          <w:u w:val="single"/>
        </w:rPr>
        <w:t>拒绝监理单位管理</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(2)</w:t>
      </w:r>
      <w:r>
        <w:rPr>
          <w:rFonts w:hint="eastAsia" w:ascii="宋体" w:hAnsi="宋体"/>
          <w:color w:val="auto"/>
          <w:sz w:val="21"/>
          <w:szCs w:val="21"/>
          <w:highlight w:val="none"/>
          <w:u w:val="single"/>
        </w:rPr>
        <w:t>施工组织设计（方案）未获总监理工程师批准而进行施工</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(3)</w:t>
      </w:r>
      <w:r>
        <w:rPr>
          <w:rFonts w:hint="eastAsia" w:ascii="宋体" w:hAnsi="宋体"/>
          <w:color w:val="auto"/>
          <w:sz w:val="21"/>
          <w:szCs w:val="21"/>
          <w:highlight w:val="none"/>
          <w:u w:val="single"/>
        </w:rPr>
        <w:t>未经监理单位检验而进行下一道工序作业者</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w:t>
      </w:r>
      <w:r>
        <w:rPr>
          <w:rFonts w:hint="eastAsia" w:ascii="宋体" w:hAnsi="宋体"/>
          <w:color w:val="auto"/>
          <w:sz w:val="21"/>
          <w:szCs w:val="21"/>
          <w:highlight w:val="none"/>
          <w:u w:val="single"/>
        </w:rPr>
        <w:t>擅自采用未经监理单位及发包人认可或批准的材料的，或者使用的原材料、构配件不合格或未经检查确认的，或者擅自采用未经认可的代用材料的</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(5)</w:t>
      </w:r>
      <w:r>
        <w:rPr>
          <w:rFonts w:hint="eastAsia" w:ascii="宋体" w:hAnsi="宋体"/>
          <w:color w:val="auto"/>
          <w:sz w:val="21"/>
          <w:szCs w:val="21"/>
          <w:highlight w:val="none"/>
          <w:u w:val="single"/>
        </w:rPr>
        <w:t>擅自变更设计图纸的要求</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(6)</w:t>
      </w:r>
      <w:r>
        <w:rPr>
          <w:rFonts w:hint="eastAsia" w:ascii="宋体" w:hAnsi="宋体"/>
          <w:color w:val="auto"/>
          <w:sz w:val="21"/>
          <w:szCs w:val="21"/>
          <w:highlight w:val="none"/>
          <w:u w:val="single"/>
        </w:rPr>
        <w:t>转包工程</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(7)</w:t>
      </w:r>
      <w:r>
        <w:rPr>
          <w:rFonts w:hint="eastAsia" w:ascii="宋体" w:hAnsi="宋体"/>
          <w:color w:val="auto"/>
          <w:sz w:val="21"/>
          <w:szCs w:val="21"/>
          <w:highlight w:val="none"/>
          <w:u w:val="single"/>
        </w:rPr>
        <w:t>擅自让未经总监理工程师批准的专业承包单位进场作业</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(8)</w:t>
      </w:r>
      <w:r>
        <w:rPr>
          <w:rFonts w:hint="eastAsia" w:ascii="宋体" w:hAnsi="宋体"/>
          <w:color w:val="auto"/>
          <w:sz w:val="21"/>
          <w:szCs w:val="21"/>
          <w:highlight w:val="none"/>
          <w:u w:val="single"/>
        </w:rPr>
        <w:t>存在安全隐患，未按监理单位要求及时进行整改</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(9)</w:t>
      </w:r>
      <w:r>
        <w:rPr>
          <w:rFonts w:hint="eastAsia" w:ascii="宋体" w:hAnsi="宋体"/>
          <w:color w:val="auto"/>
          <w:sz w:val="21"/>
          <w:szCs w:val="21"/>
          <w:highlight w:val="none"/>
          <w:u w:val="single"/>
        </w:rPr>
        <w:t>未按双方约定的资料上报要求上报所需资料的</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12.3因不可抗力引起工程停工，工期按</w:t>
      </w:r>
      <w:r>
        <w:rPr>
          <w:rFonts w:hint="eastAsia" w:ascii="宋体" w:hAnsi="宋体"/>
          <w:color w:val="auto"/>
          <w:sz w:val="21"/>
          <w:szCs w:val="21"/>
          <w:highlight w:val="none"/>
          <w:u w:val="single"/>
        </w:rPr>
        <w:t>专用条款</w:t>
      </w:r>
      <w:r>
        <w:rPr>
          <w:rFonts w:ascii="宋体" w:hAnsi="宋体"/>
          <w:color w:val="auto"/>
          <w:sz w:val="21"/>
          <w:szCs w:val="21"/>
          <w:highlight w:val="none"/>
          <w:u w:val="single"/>
        </w:rPr>
        <w:t>第12.1款</w:t>
      </w:r>
      <w:r>
        <w:rPr>
          <w:rFonts w:hint="eastAsia" w:ascii="宋体" w:hAnsi="宋体"/>
          <w:color w:val="auto"/>
          <w:sz w:val="21"/>
          <w:szCs w:val="21"/>
          <w:highlight w:val="none"/>
        </w:rPr>
        <w:t>约定执行，费用承担按以下原则：</w:t>
      </w:r>
    </w:p>
    <w:p>
      <w:pPr>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u w:val="single"/>
        </w:rPr>
        <w:t>运至施工场地用于施工的材料和待安装的设备的损害，属发包人供应的由发包人承担；属承包人采购的由承包人承担</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u w:val="single"/>
        </w:rPr>
        <w:t>发包人承包人人员伤亡由其所在单位负责，并承担相应费用</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u w:val="single"/>
        </w:rPr>
        <w:t>承包人机械设备损坏及停工损失由承包人承担</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5）</w:t>
      </w:r>
      <w:r>
        <w:rPr>
          <w:rFonts w:hint="eastAsia" w:ascii="宋体" w:hAnsi="宋体"/>
          <w:color w:val="auto"/>
          <w:sz w:val="21"/>
          <w:szCs w:val="21"/>
          <w:highlight w:val="none"/>
          <w:u w:val="single"/>
        </w:rPr>
        <w:t>停工期间，承包人应总监理工程师要求留在施工场地的必要的管理人员及保卫人员的费用由承包人承担</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u w:val="single"/>
        </w:rPr>
        <w:t>工程所需清理、修复费用由发包人承担</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12.4</w:t>
      </w:r>
      <w:r>
        <w:rPr>
          <w:rFonts w:hint="eastAsia" w:ascii="宋体" w:hAnsi="宋体"/>
          <w:color w:val="auto"/>
          <w:sz w:val="21"/>
          <w:szCs w:val="21"/>
          <w:highlight w:val="none"/>
          <w:u w:val="single"/>
        </w:rPr>
        <w:t>由于承包人自身原因或施工承包管理、配合及协调不力，而导致专业承包工程停工，产生的费用由承包人承担</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13、工期延误</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13.2</w:t>
      </w:r>
      <w:r>
        <w:rPr>
          <w:rFonts w:hint="eastAsia" w:ascii="宋体" w:hAnsi="宋体"/>
          <w:color w:val="auto"/>
          <w:sz w:val="21"/>
          <w:szCs w:val="21"/>
          <w:highlight w:val="none"/>
          <w:u w:val="single"/>
        </w:rPr>
        <w:t>对于非因承包人原因发生的工期延误，承包人应当在工期延误事件发生后</w:t>
      </w:r>
      <w:r>
        <w:rPr>
          <w:rFonts w:ascii="宋体" w:hAnsi="宋体"/>
          <w:color w:val="auto"/>
          <w:sz w:val="21"/>
          <w:szCs w:val="21"/>
          <w:highlight w:val="none"/>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四、质量与验收</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15、工程质量</w:t>
      </w:r>
    </w:p>
    <w:p>
      <w:pPr>
        <w:snapToGrid w:val="0"/>
        <w:spacing w:line="440" w:lineRule="exact"/>
        <w:ind w:firstLine="397"/>
        <w:rPr>
          <w:rFonts w:ascii="宋体" w:hAnsi="宋体"/>
          <w:bCs/>
          <w:color w:val="auto"/>
          <w:sz w:val="21"/>
          <w:szCs w:val="21"/>
          <w:highlight w:val="none"/>
        </w:rPr>
      </w:pPr>
      <w:r>
        <w:rPr>
          <w:rFonts w:ascii="宋体" w:hAnsi="宋体"/>
          <w:bCs/>
          <w:color w:val="auto"/>
          <w:sz w:val="21"/>
          <w:szCs w:val="21"/>
          <w:highlight w:val="none"/>
        </w:rPr>
        <w:t>15.3</w:t>
      </w:r>
      <w:r>
        <w:rPr>
          <w:rFonts w:hint="eastAsia" w:ascii="宋体" w:hAnsi="宋体"/>
          <w:bCs/>
          <w:color w:val="auto"/>
          <w:sz w:val="21"/>
          <w:szCs w:val="21"/>
          <w:highlight w:val="none"/>
          <w:u w:val="singl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工程师及发包人，以供发包人同监理人核实并及时要求设计方修改设计图纸</w:t>
      </w:r>
      <w:r>
        <w:rPr>
          <w:rFonts w:hint="eastAsia" w:ascii="宋体" w:hAnsi="宋体"/>
          <w:bCs/>
          <w:color w:val="auto"/>
          <w:sz w:val="21"/>
          <w:szCs w:val="21"/>
          <w:highlight w:val="none"/>
        </w:rPr>
        <w:t>。</w:t>
      </w:r>
    </w:p>
    <w:p>
      <w:pPr>
        <w:snapToGrid w:val="0"/>
        <w:spacing w:line="440" w:lineRule="exact"/>
        <w:ind w:firstLine="397"/>
        <w:rPr>
          <w:rFonts w:ascii="宋体" w:hAnsi="宋体"/>
          <w:bCs/>
          <w:color w:val="auto"/>
          <w:sz w:val="21"/>
          <w:szCs w:val="21"/>
          <w:highlight w:val="none"/>
        </w:rPr>
      </w:pPr>
      <w:r>
        <w:rPr>
          <w:rFonts w:ascii="宋体" w:hAnsi="宋体"/>
          <w:bCs/>
          <w:color w:val="auto"/>
          <w:sz w:val="21"/>
          <w:szCs w:val="21"/>
          <w:highlight w:val="none"/>
        </w:rPr>
        <w:t>15.4</w:t>
      </w:r>
      <w:r>
        <w:rPr>
          <w:rFonts w:hint="eastAsia" w:ascii="宋体" w:hAnsi="宋体"/>
          <w:bCs/>
          <w:color w:val="auto"/>
          <w:sz w:val="21"/>
          <w:szCs w:val="21"/>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bCs/>
          <w:color w:val="auto"/>
          <w:sz w:val="21"/>
          <w:szCs w:val="21"/>
          <w:highlight w:val="none"/>
        </w:rPr>
        <w:t>。</w:t>
      </w:r>
    </w:p>
    <w:p>
      <w:pPr>
        <w:snapToGrid w:val="0"/>
        <w:spacing w:line="440" w:lineRule="exact"/>
        <w:ind w:firstLine="397"/>
        <w:rPr>
          <w:rFonts w:ascii="宋体" w:hAnsi="宋体"/>
          <w:bCs/>
          <w:color w:val="auto"/>
          <w:sz w:val="21"/>
          <w:szCs w:val="21"/>
          <w:highlight w:val="none"/>
        </w:rPr>
      </w:pPr>
      <w:r>
        <w:rPr>
          <w:rFonts w:ascii="宋体" w:hAnsi="宋体"/>
          <w:bCs/>
          <w:color w:val="auto"/>
          <w:sz w:val="21"/>
          <w:szCs w:val="21"/>
          <w:highlight w:val="none"/>
        </w:rPr>
        <w:t>15.5</w:t>
      </w:r>
      <w:r>
        <w:rPr>
          <w:rFonts w:hint="eastAsia" w:ascii="宋体" w:hAnsi="宋体"/>
          <w:bCs/>
          <w:color w:val="auto"/>
          <w:sz w:val="21"/>
          <w:szCs w:val="21"/>
          <w:highlight w:val="none"/>
          <w:u w:val="single"/>
        </w:rPr>
        <w:t>工程质量不符合设计要求、质量不合格者，监理工程师可指令承包人停工或返工，返工费用由承包人承担，工期不予顺延</w:t>
      </w:r>
      <w:r>
        <w:rPr>
          <w:rFonts w:hint="eastAsia" w:ascii="宋体" w:hAnsi="宋体"/>
          <w:bCs/>
          <w:color w:val="auto"/>
          <w:sz w:val="21"/>
          <w:szCs w:val="21"/>
          <w:highlight w:val="none"/>
        </w:rPr>
        <w:t>。</w:t>
      </w:r>
    </w:p>
    <w:p>
      <w:pPr>
        <w:snapToGrid w:val="0"/>
        <w:spacing w:line="440" w:lineRule="exact"/>
        <w:ind w:firstLine="397"/>
        <w:rPr>
          <w:rFonts w:ascii="宋体" w:hAnsi="宋体"/>
          <w:bCs/>
          <w:color w:val="auto"/>
          <w:sz w:val="21"/>
          <w:szCs w:val="21"/>
          <w:highlight w:val="none"/>
        </w:rPr>
      </w:pPr>
      <w:r>
        <w:rPr>
          <w:rFonts w:ascii="宋体" w:hAnsi="宋体"/>
          <w:bCs/>
          <w:color w:val="auto"/>
          <w:sz w:val="21"/>
          <w:szCs w:val="21"/>
          <w:highlight w:val="none"/>
        </w:rPr>
        <w:t>15.6</w:t>
      </w:r>
      <w:r>
        <w:rPr>
          <w:rFonts w:hint="eastAsia" w:ascii="宋体" w:hAnsi="宋体"/>
          <w:bCs/>
          <w:color w:val="auto"/>
          <w:sz w:val="21"/>
          <w:szCs w:val="21"/>
          <w:highlight w:val="none"/>
          <w:u w:val="single"/>
        </w:rPr>
        <w:t>发生须紧急抢修事故，承包人接到通知后，应立即到达事故现场抢修；否则，发包人可以另委托单位抢修，属承包人施工质量问题造成的修复等费用全部由承包人承担</w:t>
      </w:r>
      <w:r>
        <w:rPr>
          <w:rFonts w:hint="eastAsia" w:ascii="宋体" w:hAnsi="宋体"/>
          <w:bCs/>
          <w:color w:val="auto"/>
          <w:sz w:val="21"/>
          <w:szCs w:val="21"/>
          <w:highlight w:val="none"/>
        </w:rPr>
        <w:t>。</w:t>
      </w:r>
    </w:p>
    <w:p>
      <w:pPr>
        <w:snapToGrid w:val="0"/>
        <w:spacing w:line="440" w:lineRule="exact"/>
        <w:ind w:firstLine="397"/>
        <w:rPr>
          <w:rFonts w:ascii="宋体" w:hAnsi="宋体"/>
          <w:bCs/>
          <w:color w:val="auto"/>
          <w:sz w:val="21"/>
          <w:szCs w:val="21"/>
          <w:highlight w:val="none"/>
        </w:rPr>
      </w:pPr>
      <w:r>
        <w:rPr>
          <w:rFonts w:ascii="宋体" w:hAnsi="宋体"/>
          <w:bCs/>
          <w:color w:val="auto"/>
          <w:sz w:val="21"/>
          <w:szCs w:val="21"/>
          <w:highlight w:val="none"/>
        </w:rPr>
        <w:t>15.7</w:t>
      </w:r>
      <w:r>
        <w:rPr>
          <w:rFonts w:hint="eastAsia" w:ascii="宋体" w:hAnsi="宋体"/>
          <w:bCs/>
          <w:color w:val="auto"/>
          <w:sz w:val="21"/>
          <w:szCs w:val="21"/>
          <w:highlight w:val="none"/>
          <w:u w:val="single"/>
        </w:rPr>
        <w:t>本工程按照本合同专用条款</w:t>
      </w:r>
      <w:r>
        <w:rPr>
          <w:rFonts w:ascii="宋体" w:hAnsi="宋体"/>
          <w:bCs/>
          <w:color w:val="auto"/>
          <w:sz w:val="21"/>
          <w:szCs w:val="21"/>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w:t>
      </w:r>
      <w:r>
        <w:rPr>
          <w:rFonts w:hint="eastAsia" w:ascii="宋体" w:hAnsi="宋体"/>
          <w:bCs/>
          <w:color w:val="auto"/>
          <w:sz w:val="21"/>
          <w:szCs w:val="21"/>
          <w:highlight w:val="none"/>
          <w:u w:val="single"/>
        </w:rPr>
        <w:t>质量标准规范版本的，是否采用新版本规定，由监理工程师与有关各方洽商决定</w:t>
      </w:r>
      <w:r>
        <w:rPr>
          <w:rFonts w:hint="eastAsia" w:ascii="宋体" w:hAnsi="宋体"/>
          <w:bCs/>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16、检查和返工</w:t>
      </w:r>
    </w:p>
    <w:p>
      <w:pPr>
        <w:snapToGrid w:val="0"/>
        <w:spacing w:line="440" w:lineRule="exact"/>
        <w:ind w:firstLine="397"/>
        <w:rPr>
          <w:rFonts w:ascii="宋体" w:hAnsi="宋体"/>
          <w:bCs/>
          <w:color w:val="auto"/>
          <w:sz w:val="21"/>
          <w:szCs w:val="21"/>
          <w:highlight w:val="none"/>
        </w:rPr>
      </w:pPr>
      <w:r>
        <w:rPr>
          <w:rFonts w:ascii="宋体" w:hAnsi="宋体"/>
          <w:bCs/>
          <w:color w:val="auto"/>
          <w:sz w:val="21"/>
          <w:szCs w:val="21"/>
          <w:highlight w:val="none"/>
        </w:rPr>
        <w:t>16.3工程师的检查检验：</w:t>
      </w:r>
      <w:r>
        <w:rPr>
          <w:rFonts w:hint="eastAsia" w:ascii="宋体" w:hAnsi="宋体"/>
          <w:bCs/>
          <w:color w:val="auto"/>
          <w:sz w:val="21"/>
          <w:szCs w:val="21"/>
          <w:highlight w:val="none"/>
          <w:u w:val="single"/>
        </w:rPr>
        <w:t>工程师按规范、标准、设计图纸要求和频率所进行的检查检测不应成为承包人工期顺延的理由</w:t>
      </w:r>
      <w:r>
        <w:rPr>
          <w:rFonts w:hint="eastAsia" w:ascii="宋体" w:hAnsi="宋体"/>
          <w:bCs/>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17</w:t>
      </w:r>
      <w:r>
        <w:rPr>
          <w:rFonts w:hint="eastAsia" w:ascii="宋体" w:hAnsi="宋体"/>
          <w:b/>
          <w:color w:val="auto"/>
          <w:sz w:val="24"/>
          <w:highlight w:val="none"/>
        </w:rPr>
        <w:t>、隐蔽工程和中间验收</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17.1</w:t>
      </w:r>
      <w:r>
        <w:rPr>
          <w:rFonts w:hint="eastAsia" w:ascii="宋体" w:hAnsi="宋体"/>
          <w:color w:val="auto"/>
          <w:sz w:val="21"/>
          <w:szCs w:val="21"/>
          <w:highlight w:val="none"/>
        </w:rPr>
        <w:t>双方约定中间验收部位：</w:t>
      </w:r>
      <w:r>
        <w:rPr>
          <w:rFonts w:hint="eastAsia" w:ascii="宋体" w:hAnsi="宋体"/>
          <w:color w:val="auto"/>
          <w:sz w:val="21"/>
          <w:szCs w:val="21"/>
          <w:highlight w:val="none"/>
          <w:u w:val="single"/>
        </w:rPr>
        <w:t>按相应工程施工及验收规范要求执行</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19</w:t>
      </w:r>
      <w:r>
        <w:rPr>
          <w:rFonts w:hint="eastAsia" w:ascii="宋体" w:hAnsi="宋体"/>
          <w:b/>
          <w:color w:val="auto"/>
          <w:sz w:val="24"/>
          <w:highlight w:val="none"/>
        </w:rPr>
        <w:t>、工程试车</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19.5</w:t>
      </w:r>
      <w:r>
        <w:rPr>
          <w:rFonts w:hint="eastAsia" w:ascii="宋体" w:hAnsi="宋体"/>
          <w:color w:val="auto"/>
          <w:sz w:val="21"/>
          <w:szCs w:val="21"/>
          <w:highlight w:val="none"/>
        </w:rPr>
        <w:t>试车费用的承担：</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4"/>
          <w:highlight w:val="none"/>
        </w:rPr>
      </w:pPr>
      <w:r>
        <w:rPr>
          <w:rFonts w:hint="eastAsia" w:ascii="宋体" w:hAnsi="宋体"/>
          <w:b/>
          <w:color w:val="auto"/>
          <w:sz w:val="24"/>
          <w:highlight w:val="none"/>
        </w:rPr>
        <w:t>五、安全施工</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20、安全施工与检查</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20.3</w:t>
      </w:r>
      <w:r>
        <w:rPr>
          <w:rFonts w:hint="eastAsia" w:ascii="宋体" w:hAnsi="宋体"/>
          <w:color w:val="auto"/>
          <w:sz w:val="21"/>
          <w:szCs w:val="21"/>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20.4</w:t>
      </w:r>
      <w:r>
        <w:rPr>
          <w:rFonts w:hint="eastAsia" w:ascii="宋体" w:hAnsi="宋体"/>
          <w:color w:val="auto"/>
          <w:sz w:val="21"/>
          <w:szCs w:val="21"/>
          <w:highlight w:val="none"/>
          <w:u w:val="single"/>
        </w:rPr>
        <w:t>承包人按规定数量配置安全员</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20.5</w:t>
      </w:r>
      <w:r>
        <w:rPr>
          <w:rFonts w:hint="eastAsia" w:ascii="宋体" w:hAnsi="宋体"/>
          <w:color w:val="auto"/>
          <w:sz w:val="21"/>
          <w:szCs w:val="21"/>
          <w:highlight w:val="none"/>
          <w:u w:val="single"/>
        </w:rPr>
        <w:t>承包人在开工前须向质量安全监督机构提交备案的书面资料</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20.6</w:t>
      </w:r>
      <w:r>
        <w:rPr>
          <w:rFonts w:hint="eastAsia" w:ascii="宋体" w:hAnsi="宋体"/>
          <w:color w:val="auto"/>
          <w:sz w:val="21"/>
          <w:szCs w:val="21"/>
          <w:highlight w:val="none"/>
          <w:u w:val="single"/>
        </w:rPr>
        <w:t>承包人在编制施工组织设计时，应当根据工程的特点编制相应的安全技术措施</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20.7</w:t>
      </w:r>
      <w:r>
        <w:rPr>
          <w:rFonts w:hint="eastAsia" w:ascii="宋体" w:hAnsi="宋体"/>
          <w:color w:val="auto"/>
          <w:sz w:val="21"/>
          <w:szCs w:val="21"/>
          <w:highlight w:val="none"/>
          <w:u w:val="single"/>
        </w:rPr>
        <w:t>承包人按有关安全和防护的规定组织施工生产，不得使用不合标准的防护器材、机具和材料</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20.8</w:t>
      </w:r>
      <w:r>
        <w:rPr>
          <w:rFonts w:hint="eastAsia" w:ascii="宋体" w:hAnsi="宋体"/>
          <w:color w:val="auto"/>
          <w:sz w:val="21"/>
          <w:szCs w:val="21"/>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21、安全防护</w:t>
      </w:r>
    </w:p>
    <w:p>
      <w:pPr>
        <w:spacing w:line="440" w:lineRule="exact"/>
        <w:ind w:firstLine="420" w:firstLineChars="200"/>
        <w:rPr>
          <w:rFonts w:hint="eastAsia" w:ascii="宋体" w:hAnsi="宋体"/>
          <w:color w:val="auto"/>
          <w:sz w:val="21"/>
          <w:szCs w:val="21"/>
          <w:highlight w:val="none"/>
        </w:rPr>
      </w:pPr>
      <w:r>
        <w:rPr>
          <w:rFonts w:ascii="宋体" w:hAnsi="宋体"/>
          <w:color w:val="auto"/>
          <w:sz w:val="21"/>
          <w:szCs w:val="21"/>
          <w:highlight w:val="none"/>
        </w:rPr>
        <w:t>21.3</w:t>
      </w:r>
      <w:r>
        <w:rPr>
          <w:rFonts w:hint="eastAsia" w:ascii="宋体" w:hAnsi="宋体"/>
          <w:color w:val="auto"/>
          <w:sz w:val="21"/>
          <w:szCs w:val="21"/>
          <w:highlight w:val="none"/>
          <w:u w:val="single"/>
        </w:rPr>
        <w:t>承包人应在施工现场采取维护安全、防范危险、预防火灾等措施，在特殊作业环境应对作业人员采取劳动保护措施</w:t>
      </w:r>
      <w:r>
        <w:rPr>
          <w:rFonts w:hint="eastAsia" w:ascii="宋体" w:hAnsi="宋体"/>
          <w:color w:val="auto"/>
          <w:sz w:val="21"/>
          <w:szCs w:val="21"/>
          <w:highlight w:val="none"/>
        </w:rPr>
        <w:t>。</w:t>
      </w:r>
    </w:p>
    <w:p>
      <w:pPr>
        <w:pStyle w:val="307"/>
        <w:ind w:firstLine="432"/>
        <w:rPr>
          <w:rFonts w:hint="eastAsia" w:ascii="宋体" w:hAnsi="宋体"/>
          <w:color w:val="auto"/>
          <w:sz w:val="24"/>
          <w:szCs w:val="24"/>
          <w:highlight w:val="none"/>
          <w:u w:val="single"/>
        </w:rPr>
      </w:pPr>
      <w:r>
        <w:rPr>
          <w:rFonts w:ascii="宋体" w:hAnsi="宋体"/>
          <w:color w:val="auto"/>
          <w:szCs w:val="21"/>
          <w:highlight w:val="none"/>
        </w:rPr>
        <w:t>21.4</w:t>
      </w:r>
      <w:r>
        <w:rPr>
          <w:rFonts w:hint="eastAsia" w:ascii="宋体" w:hAnsi="宋体"/>
          <w:color w:val="auto"/>
          <w:szCs w:val="21"/>
          <w:highlight w:val="none"/>
          <w:u w:val="single"/>
        </w:rPr>
        <w:t>承包人应加强周边学校、居民住宅的环境保护，制定文明施工措施（包括防尘、防噪音、施工围蔽等），施工现场严格按照《广州市建设工程文明施工管理规定》（广州市人民政府令</w:t>
      </w:r>
      <w:r>
        <w:rPr>
          <w:rFonts w:hint="eastAsia" w:ascii="宋体" w:hAnsi="宋体"/>
          <w:color w:val="auto"/>
          <w:szCs w:val="21"/>
          <w:highlight w:val="none"/>
          <w:u w:val="single"/>
          <w:lang w:val="en-US" w:eastAsia="zh-CN"/>
        </w:rPr>
        <w:t>158</w:t>
      </w:r>
      <w:r>
        <w:rPr>
          <w:rFonts w:hint="eastAsia" w:ascii="宋体" w:hAnsi="宋体"/>
          <w:color w:val="auto"/>
          <w:szCs w:val="21"/>
          <w:highlight w:val="none"/>
          <w:u w:val="single"/>
        </w:rPr>
        <w:t>号）、《广州市建设工程现场文明施工管理办法》（穗建质【2008】937号）实施，施工围蔽严格按照《关于进一步加强我区建设工地文明施工管理的通知》（穗开规建[2006]74号）、广州市建委《关于进一步规范建设工程施工现场围蔽的通知》（穗建质[2008]1008号）、《关于完善广州市建设工程施工围蔽管理提升实施技术要求和标准图集的通知》（穗建质[2016]1085号）、《关于对知识城九龙大道沿线建设工地施工围蔽规范整改的通知》（穗开建环知函[2016]11号）、《关于进一步提升黄埔区广州开发区建设工程施工围蔽管理的通知》（穗开建[ 2017]2号）、《穗开建知发[2018]14号、关于进一步提升中新广州知识城建设工程施工围蔽管理的通知》（穗开建环知函〔2017〕127号）、广州市住房和城乡建设委员会关于《广州市建设工程绿色施工围蔽指导图集(Vl.0拭行版 )》(穂建质〔2018〕1953号)、</w:t>
      </w:r>
      <w:r>
        <w:rPr>
          <w:rFonts w:hint="eastAsia" w:ascii="宋体" w:hAnsi="宋体"/>
          <w:color w:val="auto"/>
          <w:sz w:val="24"/>
          <w:highlight w:val="none"/>
          <w:u w:val="single"/>
        </w:rPr>
        <w:t>广州市住房和城乡建设委员会关于《广州市建设工程绿色施工围蔽指导图集(V2.0拭行版 )》(穂建质〔2020〕1号)</w:t>
      </w:r>
      <w:r>
        <w:rPr>
          <w:rFonts w:hint="eastAsia" w:ascii="宋体" w:hAnsi="宋体"/>
          <w:color w:val="auto"/>
          <w:szCs w:val="21"/>
          <w:highlight w:val="none"/>
          <w:u w:val="single"/>
        </w:rPr>
        <w:t xml:space="preserve"> 及《广州市住房和城乡建设委员会关于印发建设工程扬尘防治“6个100%”管理标准细化措施的通知》（穗建质〔2018〕1394号）的相关文件要求的标准实施。以上文件要求不一致的，以后发布文件为准，若相关部门发布有关施工围蔽新文件规定的，按新规定执行。实施相关费用已含在合同价中。</w:t>
      </w:r>
      <w:r>
        <w:rPr>
          <w:rFonts w:hint="eastAsia" w:ascii="宋体" w:hAnsi="宋体"/>
          <w:color w:val="auto"/>
          <w:sz w:val="24"/>
          <w:szCs w:val="24"/>
          <w:highlight w:val="none"/>
          <w:u w:val="single"/>
        </w:rPr>
        <w:t>如承包人未及时按要求做好围蔽等安全文明施工措施，建设业主可另行委托单位实施，建设业主按实际发生的费用在</w:t>
      </w:r>
      <w:r>
        <w:rPr>
          <w:rFonts w:hint="eastAsia" w:ascii="宋体" w:hAnsi="宋体"/>
          <w:bCs/>
          <w:snapToGrid w:val="0"/>
          <w:color w:val="auto"/>
          <w:kern w:val="0"/>
          <w:sz w:val="24"/>
          <w:szCs w:val="24"/>
          <w:highlight w:val="none"/>
        </w:rPr>
        <w:t>绿色施工安全防护措施费</w:t>
      </w:r>
      <w:r>
        <w:rPr>
          <w:rFonts w:hint="eastAsia" w:ascii="宋体" w:hAnsi="宋体"/>
          <w:color w:val="auto"/>
          <w:sz w:val="24"/>
          <w:szCs w:val="24"/>
          <w:highlight w:val="none"/>
          <w:u w:val="single"/>
        </w:rPr>
        <w:t>中扣除。</w:t>
      </w:r>
    </w:p>
    <w:p>
      <w:pPr>
        <w:pStyle w:val="307"/>
        <w:ind w:firstLine="432"/>
        <w:rPr>
          <w:rFonts w:ascii="宋体" w:hAnsi="宋体"/>
          <w:color w:val="auto"/>
          <w:szCs w:val="21"/>
          <w:highlight w:val="none"/>
          <w:u w:val="single"/>
        </w:rPr>
      </w:pPr>
      <w:r>
        <w:rPr>
          <w:rFonts w:ascii="宋体" w:hAnsi="宋体"/>
          <w:color w:val="auto"/>
          <w:szCs w:val="21"/>
          <w:highlight w:val="none"/>
        </w:rPr>
        <w:t>21.5</w:t>
      </w:r>
      <w:r>
        <w:rPr>
          <w:rFonts w:hint="eastAsia" w:ascii="宋体" w:hAnsi="宋体"/>
          <w:color w:val="auto"/>
          <w:szCs w:val="21"/>
          <w:highlight w:val="none"/>
          <w:u w:val="single"/>
        </w:rPr>
        <w:t>承包人应按规定对工程施工人员进行安全教育和管理</w:t>
      </w:r>
      <w:r>
        <w:rPr>
          <w:rFonts w:hint="eastAsia" w:ascii="宋体" w:hAnsi="宋体"/>
          <w:color w:val="auto"/>
          <w:szCs w:val="21"/>
          <w:highlight w:val="none"/>
        </w:rPr>
        <w:t>。</w:t>
      </w:r>
    </w:p>
    <w:p>
      <w:pPr>
        <w:snapToGrid w:val="0"/>
        <w:spacing w:line="440" w:lineRule="exact"/>
        <w:ind w:firstLine="397"/>
        <w:rPr>
          <w:rFonts w:hint="eastAsia" w:ascii="宋体" w:hAnsi="宋体"/>
          <w:color w:val="auto"/>
          <w:sz w:val="21"/>
          <w:szCs w:val="21"/>
          <w:highlight w:val="none"/>
        </w:rPr>
      </w:pPr>
      <w:r>
        <w:rPr>
          <w:rFonts w:ascii="宋体" w:hAnsi="宋体"/>
          <w:color w:val="auto"/>
          <w:sz w:val="21"/>
          <w:szCs w:val="21"/>
          <w:highlight w:val="none"/>
        </w:rPr>
        <w:t>21.6</w:t>
      </w:r>
      <w:r>
        <w:rPr>
          <w:rFonts w:hint="eastAsia" w:ascii="宋体" w:hAnsi="宋体"/>
          <w:color w:val="auto"/>
          <w:sz w:val="21"/>
          <w:szCs w:val="21"/>
          <w:highlight w:val="none"/>
          <w:u w:val="single"/>
        </w:rPr>
        <w:t>承包人应书面记录专项安全施工组织设计方案审查、安全检查、安全技术交底、安全隐患整改、安全教育等重要安全管理活动</w:t>
      </w:r>
      <w:r>
        <w:rPr>
          <w:rFonts w:hint="eastAsia" w:ascii="宋体" w:hAnsi="宋体"/>
          <w:color w:val="auto"/>
          <w:sz w:val="21"/>
          <w:szCs w:val="21"/>
          <w:highlight w:val="none"/>
        </w:rPr>
        <w:t>。</w:t>
      </w:r>
    </w:p>
    <w:p>
      <w:pPr>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21.7承包人用于本项目的非标起重机械设备须严格执行《广州市建设工程非标建筑起重机械设备安全监督管理办法》【穗建安监字[2007]1号】的相关规定，非标起重机械设备是指没有国家或行业制造标准的各类起重机械设备，如非标架桥设备、 竖井提升设备、非标龙门吊、贝雷架式或扒杆式起重装置等。</w:t>
      </w:r>
    </w:p>
    <w:p>
      <w:pPr>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pPr>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21.9承包人在工程实施过程中，按照国家、省、市的相关规定制定相关的专项安全施工方案（如高支模、基坑支护、沉井等），组织专家评审通过后，报监理人、发包人审批后方可开展专项工程的施工。</w:t>
      </w:r>
    </w:p>
    <w:p>
      <w:pPr>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款（2）项承担违约责任。</w:t>
      </w:r>
    </w:p>
    <w:p>
      <w:pPr>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21.11承包人在施工期间要确保工程外场地清洁及道路畅通，如须使用他方道路，则还必须负责养护、保洁责任，否则责任自负。施工和警示标志明显，因施工造成人身损害和财产损失的，由承包人承担责任。</w:t>
      </w:r>
    </w:p>
    <w:p>
      <w:pPr>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21.12承包人必须考虑安全、环保等因素在局部施工范围进行围蔽施工，现场围蔽不符合国家有关安全措施及技术要求的，不得开展施工作业，由此造成的工期延长，由承包人自己负责，当作延误工期处理。</w:t>
      </w:r>
    </w:p>
    <w:p>
      <w:pPr>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pPr>
        <w:snapToGrid w:val="0"/>
        <w:spacing w:line="520" w:lineRule="exact"/>
        <w:ind w:firstLine="397"/>
        <w:rPr>
          <w:rFonts w:hint="eastAsia" w:ascii="宋体" w:hAnsi="宋体" w:eastAsia="楷体_GB2312"/>
          <w:color w:val="auto"/>
          <w:sz w:val="21"/>
          <w:szCs w:val="21"/>
          <w:highlight w:val="none"/>
          <w:u w:val="single"/>
        </w:rPr>
      </w:pPr>
      <w:r>
        <w:rPr>
          <w:rFonts w:hint="eastAsia" w:ascii="宋体" w:hAnsi="宋体" w:eastAsia="楷体_GB2312"/>
          <w:color w:val="auto"/>
          <w:sz w:val="21"/>
          <w:szCs w:val="21"/>
          <w:highlight w:val="none"/>
          <w:u w:val="single"/>
        </w:rPr>
        <w:t>21.15承包人对石方工程施工过程中的人身和财产安全负完全责任,在确保绝对安全的情况施工,作好爆破材料的安全放置并根据有关规定管理(经公安部门认可)。</w:t>
      </w:r>
    </w:p>
    <w:p>
      <w:pPr>
        <w:snapToGrid w:val="0"/>
        <w:spacing w:line="520" w:lineRule="exact"/>
        <w:ind w:firstLine="397"/>
        <w:rPr>
          <w:rFonts w:hint="eastAsia" w:ascii="宋体" w:hAnsi="宋体" w:eastAsia="楷体_GB2312"/>
          <w:color w:val="auto"/>
          <w:sz w:val="21"/>
          <w:szCs w:val="21"/>
          <w:highlight w:val="none"/>
          <w:u w:val="single"/>
        </w:rPr>
      </w:pPr>
      <w:r>
        <w:rPr>
          <w:rFonts w:hint="eastAsia" w:ascii="宋体" w:hAnsi="宋体" w:eastAsia="楷体_GB2312"/>
          <w:color w:val="auto"/>
          <w:sz w:val="21"/>
          <w:szCs w:val="21"/>
          <w:highlight w:val="none"/>
          <w:u w:val="single"/>
        </w:rPr>
        <w:t>21.16承包人应对石方施工周围的房屋和其他设施进行保护,并负责协调相关单位、村民的关系，保护周围人身、财产安全不能损坏其他附属物，危及人身财产安全，如有损坏和纠纷赔偿，乙方应负全部责任，发包人不负任何责任、任何补偿。</w:t>
      </w:r>
    </w:p>
    <w:p>
      <w:pPr>
        <w:snapToGrid w:val="0"/>
        <w:spacing w:line="440" w:lineRule="exact"/>
        <w:ind w:firstLine="397"/>
        <w:rPr>
          <w:rFonts w:ascii="宋体" w:hAnsi="宋体"/>
          <w:b/>
          <w:color w:val="auto"/>
          <w:sz w:val="21"/>
          <w:szCs w:val="21"/>
          <w:highlight w:val="none"/>
        </w:rPr>
      </w:pPr>
      <w:r>
        <w:rPr>
          <w:rFonts w:ascii="宋体" w:hAnsi="宋体"/>
          <w:b/>
          <w:color w:val="auto"/>
          <w:sz w:val="21"/>
          <w:szCs w:val="21"/>
          <w:highlight w:val="none"/>
        </w:rPr>
        <w:t>22、事故处理</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22.3</w:t>
      </w:r>
      <w:r>
        <w:rPr>
          <w:rFonts w:hint="eastAsia" w:ascii="宋体" w:hAnsi="宋体"/>
          <w:color w:val="auto"/>
          <w:sz w:val="21"/>
          <w:szCs w:val="21"/>
          <w:highlight w:val="none"/>
        </w:rPr>
        <w:t>如发生安全事故，除按法定程序办理有关事宜外，还必须按以下程序进行处理：</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22.3.1</w:t>
      </w:r>
      <w:r>
        <w:rPr>
          <w:rFonts w:hint="eastAsia" w:ascii="宋体" w:hAnsi="宋体"/>
          <w:color w:val="auto"/>
          <w:sz w:val="21"/>
          <w:szCs w:val="21"/>
          <w:highlight w:val="none"/>
          <w:u w:val="single"/>
        </w:rPr>
        <w:t>报告安全事故：安全事故发生后，承包人应在</w:t>
      </w:r>
      <w:r>
        <w:rPr>
          <w:rFonts w:ascii="宋体" w:hAnsi="宋体"/>
          <w:color w:val="auto"/>
          <w:sz w:val="21"/>
          <w:szCs w:val="21"/>
          <w:highlight w:val="none"/>
          <w:u w:val="single"/>
        </w:rPr>
        <w:t>1小时内用最快的信息传递手段，将发生事故的时间、地点、伤亡人数、事故原因等情况，报工程师和发包人</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22.3.2</w:t>
      </w:r>
      <w:r>
        <w:rPr>
          <w:rFonts w:hint="eastAsia" w:ascii="宋体" w:hAnsi="宋体"/>
          <w:color w:val="auto"/>
          <w:sz w:val="21"/>
          <w:szCs w:val="21"/>
          <w:highlight w:val="none"/>
          <w:u w:val="single"/>
        </w:rPr>
        <w:t>事故处理：承包人负责抢救伤员、排除险情，防止事故扩大蔓延，保护好现场，并做好标志，启动保险理赔程序</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22.3.3</w:t>
      </w:r>
      <w:r>
        <w:rPr>
          <w:rFonts w:hint="eastAsia" w:ascii="宋体" w:hAnsi="宋体"/>
          <w:color w:val="auto"/>
          <w:sz w:val="21"/>
          <w:szCs w:val="21"/>
          <w:highlight w:val="none"/>
          <w:u w:val="single"/>
        </w:rPr>
        <w:t>事故调查：承包人应组织内部技术安全、质量部门的人员组成调查组，开展调查，并配合做好发包人或政府有关部门组织的调查工作</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22.3.4</w:t>
      </w:r>
      <w:r>
        <w:rPr>
          <w:rFonts w:hint="eastAsia" w:ascii="宋体" w:hAnsi="宋体"/>
          <w:color w:val="auto"/>
          <w:sz w:val="21"/>
          <w:szCs w:val="21"/>
          <w:highlight w:val="none"/>
          <w:u w:val="single"/>
        </w:rPr>
        <w:t>调查报告：承包人应把事故发生经过、原因、性质、损失、责任、处理意见、纠正和预防措施撰写成调查报告，送工程师会审后报发包人</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1"/>
          <w:szCs w:val="21"/>
          <w:highlight w:val="none"/>
        </w:rPr>
      </w:pPr>
      <w:r>
        <w:rPr>
          <w:rFonts w:hint="eastAsia" w:ascii="宋体" w:hAnsi="宋体"/>
          <w:b/>
          <w:color w:val="auto"/>
          <w:sz w:val="21"/>
          <w:szCs w:val="21"/>
          <w:highlight w:val="none"/>
        </w:rPr>
        <w:t>六、合同价款与支付</w:t>
      </w:r>
    </w:p>
    <w:p>
      <w:pPr>
        <w:snapToGrid w:val="0"/>
        <w:spacing w:line="440" w:lineRule="exact"/>
        <w:ind w:firstLine="397"/>
        <w:rPr>
          <w:rFonts w:ascii="宋体" w:hAnsi="宋体"/>
          <w:color w:val="auto"/>
          <w:sz w:val="21"/>
          <w:szCs w:val="21"/>
          <w:highlight w:val="none"/>
          <w:u w:val="single"/>
        </w:rPr>
      </w:pPr>
      <w:r>
        <w:rPr>
          <w:rFonts w:ascii="宋体" w:hAnsi="宋体"/>
          <w:b/>
          <w:color w:val="auto"/>
          <w:sz w:val="21"/>
          <w:szCs w:val="21"/>
          <w:highlight w:val="none"/>
        </w:rPr>
        <w:t>23</w:t>
      </w:r>
      <w:r>
        <w:rPr>
          <w:rFonts w:hint="eastAsia" w:ascii="宋体" w:hAnsi="宋体"/>
          <w:b/>
          <w:color w:val="auto"/>
          <w:sz w:val="21"/>
          <w:szCs w:val="21"/>
          <w:highlight w:val="none"/>
        </w:rPr>
        <w:t>、合同价款及调整</w:t>
      </w:r>
    </w:p>
    <w:p>
      <w:pPr>
        <w:snapToGrid w:val="0"/>
        <w:spacing w:line="520" w:lineRule="exact"/>
        <w:ind w:firstLine="315" w:firstLineChars="150"/>
        <w:rPr>
          <w:rFonts w:hint="eastAsia" w:ascii="宋体" w:hAnsi="宋体" w:eastAsia="楷体_GB2312"/>
          <w:color w:val="auto"/>
          <w:sz w:val="21"/>
          <w:szCs w:val="21"/>
          <w:highlight w:val="none"/>
        </w:rPr>
      </w:pPr>
      <w:r>
        <w:rPr>
          <w:rFonts w:ascii="宋体" w:hAnsi="宋体" w:eastAsia="楷体_GB2312"/>
          <w:color w:val="auto"/>
          <w:sz w:val="21"/>
          <w:szCs w:val="21"/>
          <w:highlight w:val="none"/>
        </w:rPr>
        <w:t>23.2</w:t>
      </w:r>
      <w:r>
        <w:rPr>
          <w:rFonts w:hint="eastAsia" w:ascii="宋体" w:hAnsi="宋体" w:eastAsia="楷体_GB2312"/>
          <w:color w:val="auto"/>
          <w:sz w:val="21"/>
          <w:szCs w:val="21"/>
          <w:highlight w:val="none"/>
        </w:rPr>
        <w:t>本合同价款按照协议书第二条</w:t>
      </w:r>
      <w:r>
        <w:rPr>
          <w:rFonts w:hint="eastAsia" w:ascii="宋体" w:hAnsi="宋体" w:eastAsia="楷体_GB2312"/>
          <w:snapToGrid w:val="0"/>
          <w:color w:val="auto"/>
          <w:kern w:val="0"/>
          <w:sz w:val="21"/>
          <w:szCs w:val="21"/>
          <w:highlight w:val="none"/>
        </w:rPr>
        <w:t>、本条及专用条款23.3款、23.5款</w:t>
      </w:r>
      <w:r>
        <w:rPr>
          <w:rFonts w:hint="eastAsia" w:ascii="宋体" w:hAnsi="宋体" w:eastAsia="楷体_GB2312"/>
          <w:color w:val="auto"/>
          <w:sz w:val="21"/>
          <w:szCs w:val="21"/>
          <w:highlight w:val="none"/>
        </w:rPr>
        <w:t>约定执行，</w:t>
      </w:r>
      <w:r>
        <w:rPr>
          <w:rFonts w:hint="eastAsia" w:ascii="宋体" w:hAnsi="宋体" w:eastAsia="楷体_GB2312"/>
          <w:snapToGrid w:val="0"/>
          <w:color w:val="auto"/>
          <w:kern w:val="0"/>
          <w:sz w:val="21"/>
          <w:szCs w:val="21"/>
          <w:highlight w:val="none"/>
        </w:rPr>
        <w:t>最终按结算终审部门审定价结算</w:t>
      </w:r>
      <w:r>
        <w:rPr>
          <w:rFonts w:hint="eastAsia" w:ascii="宋体" w:hAnsi="宋体" w:eastAsia="楷体_GB2312"/>
          <w:color w:val="auto"/>
          <w:sz w:val="21"/>
          <w:szCs w:val="21"/>
          <w:highlight w:val="none"/>
        </w:rPr>
        <w:t>。</w:t>
      </w:r>
    </w:p>
    <w:p>
      <w:pPr>
        <w:snapToGrid w:val="0"/>
        <w:spacing w:line="520" w:lineRule="exact"/>
        <w:ind w:firstLine="315" w:firstLineChars="150"/>
        <w:rPr>
          <w:rFonts w:hint="eastAsia" w:ascii="宋体" w:hAnsi="宋体" w:eastAsia="楷体_GB2312"/>
          <w:color w:val="auto"/>
          <w:sz w:val="21"/>
          <w:szCs w:val="21"/>
          <w:highlight w:val="none"/>
          <w:u w:val="single"/>
        </w:rPr>
      </w:pPr>
      <w:r>
        <w:rPr>
          <w:rFonts w:hint="eastAsia" w:ascii="宋体" w:hAnsi="宋体" w:eastAsia="楷体_GB2312"/>
          <w:color w:val="auto"/>
          <w:sz w:val="21"/>
          <w:szCs w:val="21"/>
          <w:highlight w:val="none"/>
          <w:u w:val="single"/>
        </w:rPr>
        <w:t>本合同价款采用分部分项工程量清单固定综合单价方式确定，具体办法如下：</w:t>
      </w:r>
    </w:p>
    <w:p>
      <w:pPr>
        <w:snapToGrid w:val="0"/>
        <w:spacing w:line="520" w:lineRule="exact"/>
        <w:ind w:firstLine="315" w:firstLineChars="150"/>
        <w:rPr>
          <w:rFonts w:hint="eastAsia" w:ascii="宋体" w:hAnsi="宋体" w:eastAsia="楷体_GB2312"/>
          <w:color w:val="auto"/>
          <w:sz w:val="21"/>
          <w:szCs w:val="21"/>
          <w:highlight w:val="none"/>
          <w:u w:val="single"/>
        </w:rPr>
      </w:pPr>
      <w:r>
        <w:rPr>
          <w:rFonts w:hint="eastAsia" w:ascii="宋体" w:hAnsi="宋体" w:eastAsia="楷体_GB2312"/>
          <w:color w:val="auto"/>
          <w:sz w:val="21"/>
          <w:szCs w:val="21"/>
          <w:highlight w:val="none"/>
          <w:u w:val="single"/>
        </w:rPr>
        <w:t>（1）分部分项工程量清单费：除23.5.1及23.5.2规定情况外，分部分项工程量清单综合单价固定不变，土石方工程量按广州开发区规划和国土局批复审定工程量为准，运距按发包人实际确认运距为准，超过15公里按15公里包干。</w:t>
      </w:r>
    </w:p>
    <w:p>
      <w:pPr>
        <w:snapToGrid w:val="0"/>
        <w:spacing w:line="520" w:lineRule="exact"/>
        <w:ind w:firstLine="315" w:firstLineChars="150"/>
        <w:rPr>
          <w:rFonts w:hint="eastAsia" w:ascii="宋体" w:hAnsi="宋体" w:eastAsia="楷体_GB2312"/>
          <w:color w:val="auto"/>
          <w:sz w:val="21"/>
          <w:szCs w:val="21"/>
          <w:highlight w:val="none"/>
          <w:u w:val="single"/>
        </w:rPr>
      </w:pPr>
      <w:r>
        <w:rPr>
          <w:rFonts w:hint="eastAsia" w:ascii="宋体" w:hAnsi="宋体" w:eastAsia="楷体_GB2312"/>
          <w:color w:val="auto"/>
          <w:sz w:val="21"/>
          <w:szCs w:val="21"/>
          <w:highlight w:val="none"/>
          <w:u w:val="single"/>
        </w:rPr>
        <w:t>（2）措施项目费：</w:t>
      </w:r>
      <w:r>
        <w:rPr>
          <w:rFonts w:hint="eastAsia" w:ascii="宋体" w:hAnsi="宋体"/>
          <w:color w:val="auto"/>
          <w:sz w:val="21"/>
          <w:szCs w:val="21"/>
          <w:highlight w:val="none"/>
          <w:u w:val="single"/>
        </w:rPr>
        <w:t>措施项目费（除施工围蔽费用外）包干；施工围蔽清单综合单价包干，工程量按实计量</w:t>
      </w:r>
      <w:r>
        <w:rPr>
          <w:rFonts w:hint="eastAsia" w:ascii="宋体" w:hAnsi="宋体"/>
          <w:color w:val="auto"/>
          <w:sz w:val="21"/>
          <w:szCs w:val="21"/>
          <w:highlight w:val="none"/>
        </w:rPr>
        <w:t>。</w:t>
      </w:r>
    </w:p>
    <w:p>
      <w:pPr>
        <w:snapToGrid w:val="0"/>
        <w:spacing w:line="520" w:lineRule="exact"/>
        <w:ind w:firstLine="315" w:firstLineChars="150"/>
        <w:rPr>
          <w:rFonts w:hint="eastAsia" w:ascii="宋体" w:hAnsi="宋体" w:eastAsia="楷体_GB2312"/>
          <w:color w:val="auto"/>
          <w:sz w:val="21"/>
          <w:szCs w:val="21"/>
          <w:highlight w:val="none"/>
          <w:u w:val="single"/>
        </w:rPr>
      </w:pPr>
      <w:r>
        <w:rPr>
          <w:rFonts w:hint="eastAsia" w:ascii="宋体" w:hAnsi="宋体" w:eastAsia="楷体_GB2312"/>
          <w:color w:val="auto"/>
          <w:sz w:val="21"/>
          <w:szCs w:val="21"/>
          <w:highlight w:val="none"/>
          <w:u w:val="single"/>
        </w:rPr>
        <w:t>（3）其他项目部分：</w:t>
      </w:r>
    </w:p>
    <w:p>
      <w:pPr>
        <w:snapToGrid w:val="0"/>
        <w:spacing w:line="520" w:lineRule="exact"/>
        <w:ind w:firstLine="315" w:firstLineChars="150"/>
        <w:rPr>
          <w:rFonts w:hint="eastAsia" w:ascii="宋体" w:hAnsi="宋体" w:eastAsia="楷体_GB2312"/>
          <w:color w:val="auto"/>
          <w:sz w:val="21"/>
          <w:szCs w:val="21"/>
          <w:highlight w:val="none"/>
          <w:u w:val="single"/>
        </w:rPr>
      </w:pPr>
      <w:r>
        <w:rPr>
          <w:rFonts w:hint="eastAsia" w:ascii="宋体" w:hAnsi="宋体" w:eastAsia="楷体_GB2312"/>
          <w:color w:val="auto"/>
          <w:sz w:val="21"/>
          <w:szCs w:val="21"/>
          <w:highlight w:val="none"/>
          <w:u w:val="single"/>
        </w:rPr>
        <w:t>1）招标人部分为暂定价，按实际签订的专业承包合同或预留金使用情况进行调整和结算；</w:t>
      </w:r>
    </w:p>
    <w:p>
      <w:pPr>
        <w:snapToGrid w:val="0"/>
        <w:spacing w:line="520" w:lineRule="exact"/>
        <w:ind w:firstLine="315" w:firstLineChars="150"/>
        <w:rPr>
          <w:rFonts w:hint="eastAsia" w:ascii="宋体" w:hAnsi="宋体" w:eastAsia="楷体_GB2312"/>
          <w:color w:val="auto"/>
          <w:sz w:val="21"/>
          <w:szCs w:val="21"/>
          <w:highlight w:val="none"/>
          <w:u w:val="single"/>
        </w:rPr>
      </w:pPr>
      <w:r>
        <w:rPr>
          <w:rFonts w:hint="eastAsia" w:ascii="宋体" w:hAnsi="宋体" w:eastAsia="楷体_GB2312"/>
          <w:color w:val="auto"/>
          <w:sz w:val="21"/>
          <w:szCs w:val="21"/>
          <w:highlight w:val="none"/>
          <w:u w:val="single"/>
        </w:rPr>
        <w:t>2）投标人部分为固定价格，结算时不作调整。（若实际没有发生，在结算时扣除未发生项目的费用）</w:t>
      </w:r>
    </w:p>
    <w:p>
      <w:pPr>
        <w:snapToGrid w:val="0"/>
        <w:spacing w:line="440" w:lineRule="exact"/>
        <w:ind w:firstLine="360" w:firstLineChars="150"/>
        <w:rPr>
          <w:rFonts w:hint="eastAsia" w:ascii="宋体" w:hAnsi="宋体"/>
          <w:color w:val="auto"/>
          <w:sz w:val="21"/>
          <w:szCs w:val="21"/>
          <w:highlight w:val="none"/>
        </w:rPr>
      </w:pPr>
      <w:r>
        <w:rPr>
          <w:rFonts w:hint="eastAsia" w:ascii="宋体" w:hAnsi="宋体"/>
          <w:color w:val="auto"/>
          <w:sz w:val="24"/>
          <w:highlight w:val="none"/>
        </w:rPr>
        <w:t>3）</w:t>
      </w:r>
      <w:r>
        <w:rPr>
          <w:rFonts w:hint="eastAsia" w:ascii="宋体" w:hAnsi="宋体"/>
          <w:color w:val="auto"/>
          <w:sz w:val="21"/>
          <w:szCs w:val="21"/>
          <w:highlight w:val="none"/>
          <w:u w:val="single"/>
        </w:rPr>
        <w:t>投标人预算包干费部分按投标人报价中的费率取费，费率结算时不作调整。</w:t>
      </w:r>
    </w:p>
    <w:p>
      <w:pPr>
        <w:snapToGrid w:val="0"/>
        <w:spacing w:line="520" w:lineRule="exact"/>
        <w:ind w:firstLine="315" w:firstLineChars="150"/>
        <w:rPr>
          <w:rFonts w:hint="eastAsia" w:ascii="宋体" w:hAnsi="宋体" w:eastAsia="楷体_GB2312"/>
          <w:color w:val="auto"/>
          <w:sz w:val="21"/>
          <w:szCs w:val="21"/>
          <w:highlight w:val="none"/>
          <w:u w:val="single"/>
        </w:rPr>
      </w:pPr>
    </w:p>
    <w:p>
      <w:pPr>
        <w:snapToGrid w:val="0"/>
        <w:spacing w:line="520" w:lineRule="exact"/>
        <w:ind w:firstLine="315" w:firstLineChars="150"/>
        <w:rPr>
          <w:rFonts w:hint="eastAsia" w:ascii="宋体" w:hAnsi="宋体" w:eastAsia="楷体_GB2312"/>
          <w:color w:val="auto"/>
          <w:sz w:val="21"/>
          <w:szCs w:val="21"/>
          <w:highlight w:val="none"/>
          <w:u w:val="single"/>
        </w:rPr>
      </w:pPr>
      <w:r>
        <w:rPr>
          <w:rFonts w:hint="eastAsia" w:ascii="宋体" w:hAnsi="宋体" w:eastAsia="楷体_GB2312"/>
          <w:color w:val="auto"/>
          <w:sz w:val="21"/>
          <w:szCs w:val="21"/>
          <w:highlight w:val="none"/>
          <w:u w:val="single"/>
        </w:rPr>
        <w:t>（4）规费、税金：规费及税金按实计取，费率固定不变。</w:t>
      </w:r>
    </w:p>
    <w:p>
      <w:pPr>
        <w:snapToGrid w:val="0"/>
        <w:spacing w:line="520" w:lineRule="exact"/>
        <w:ind w:firstLine="397"/>
        <w:rPr>
          <w:rFonts w:hint="eastAsia" w:ascii="宋体" w:hAnsi="宋体" w:eastAsia="楷体_GB2312"/>
          <w:color w:val="auto"/>
          <w:sz w:val="21"/>
          <w:szCs w:val="21"/>
          <w:highlight w:val="none"/>
          <w:u w:val="single"/>
        </w:rPr>
      </w:pPr>
      <w:r>
        <w:rPr>
          <w:rFonts w:ascii="宋体" w:hAnsi="宋体" w:eastAsia="楷体_GB2312"/>
          <w:color w:val="auto"/>
          <w:sz w:val="21"/>
          <w:szCs w:val="21"/>
          <w:highlight w:val="none"/>
          <w:u w:val="single"/>
        </w:rPr>
        <w:t xml:space="preserve">23.3 </w:t>
      </w:r>
      <w:r>
        <w:rPr>
          <w:rFonts w:hint="eastAsia" w:ascii="宋体" w:hAnsi="宋体" w:eastAsia="楷体_GB2312"/>
          <w:color w:val="auto"/>
          <w:sz w:val="21"/>
          <w:szCs w:val="21"/>
          <w:highlight w:val="none"/>
          <w:u w:val="single"/>
        </w:rPr>
        <w:t>双方约定合同价款的调整因素：</w:t>
      </w:r>
    </w:p>
    <w:p>
      <w:pPr>
        <w:numPr>
          <w:ilvl w:val="0"/>
          <w:numId w:val="5"/>
        </w:numPr>
        <w:snapToGrid w:val="0"/>
        <w:spacing w:line="520" w:lineRule="exact"/>
        <w:rPr>
          <w:rFonts w:hint="eastAsia" w:ascii="宋体" w:hAnsi="宋体" w:eastAsia="楷体_GB2312"/>
          <w:color w:val="auto"/>
          <w:sz w:val="21"/>
          <w:szCs w:val="21"/>
          <w:highlight w:val="none"/>
        </w:rPr>
      </w:pPr>
      <w:r>
        <w:rPr>
          <w:rFonts w:hint="eastAsia" w:ascii="宋体" w:hAnsi="宋体" w:eastAsia="楷体_GB2312"/>
          <w:color w:val="auto"/>
          <w:sz w:val="21"/>
          <w:szCs w:val="21"/>
          <w:highlight w:val="none"/>
        </w:rPr>
        <w:t>工程量偏差；</w:t>
      </w:r>
    </w:p>
    <w:p>
      <w:pPr>
        <w:numPr>
          <w:ilvl w:val="0"/>
          <w:numId w:val="5"/>
        </w:numPr>
        <w:snapToGrid w:val="0"/>
        <w:spacing w:line="520" w:lineRule="exact"/>
        <w:rPr>
          <w:rFonts w:hint="eastAsia" w:ascii="宋体" w:hAnsi="宋体" w:eastAsia="楷体_GB2312"/>
          <w:color w:val="auto"/>
          <w:sz w:val="21"/>
          <w:szCs w:val="21"/>
          <w:highlight w:val="none"/>
        </w:rPr>
      </w:pPr>
      <w:r>
        <w:rPr>
          <w:rFonts w:hint="eastAsia" w:ascii="宋体" w:hAnsi="宋体" w:eastAsia="楷体_GB2312"/>
          <w:color w:val="auto"/>
          <w:sz w:val="21"/>
          <w:szCs w:val="21"/>
          <w:highlight w:val="none"/>
        </w:rPr>
        <w:t>工程变更、签证和新增工程；</w:t>
      </w:r>
    </w:p>
    <w:p>
      <w:pPr>
        <w:numPr>
          <w:ilvl w:val="0"/>
          <w:numId w:val="5"/>
        </w:numPr>
        <w:snapToGrid w:val="0"/>
        <w:spacing w:line="520" w:lineRule="exact"/>
        <w:rPr>
          <w:rFonts w:hint="eastAsia" w:ascii="宋体" w:hAnsi="宋体" w:eastAsia="楷体_GB2312"/>
          <w:color w:val="auto"/>
          <w:sz w:val="21"/>
          <w:szCs w:val="21"/>
          <w:highlight w:val="none"/>
        </w:rPr>
      </w:pPr>
      <w:r>
        <w:rPr>
          <w:rFonts w:hint="eastAsia" w:ascii="宋体" w:hAnsi="宋体" w:eastAsia="楷体_GB2312"/>
          <w:color w:val="auto"/>
          <w:sz w:val="21"/>
          <w:szCs w:val="21"/>
          <w:highlight w:val="none"/>
        </w:rPr>
        <w:t>承包人严重不平衡报价；</w:t>
      </w:r>
    </w:p>
    <w:p>
      <w:pPr>
        <w:numPr>
          <w:ilvl w:val="0"/>
          <w:numId w:val="5"/>
        </w:numPr>
        <w:snapToGrid w:val="0"/>
        <w:spacing w:line="520" w:lineRule="exact"/>
        <w:rPr>
          <w:rFonts w:hint="eastAsia" w:ascii="宋体" w:hAnsi="宋体" w:eastAsia="楷体_GB2312"/>
          <w:color w:val="auto"/>
          <w:sz w:val="21"/>
          <w:szCs w:val="21"/>
          <w:highlight w:val="none"/>
        </w:rPr>
      </w:pPr>
      <w:r>
        <w:rPr>
          <w:rFonts w:hint="eastAsia" w:ascii="宋体" w:hAnsi="宋体" w:eastAsia="楷体_GB2312"/>
          <w:color w:val="auto"/>
          <w:sz w:val="21"/>
          <w:szCs w:val="21"/>
          <w:highlight w:val="none"/>
        </w:rPr>
        <w:t>费用索赔事件或发包人负责的其他情况。</w:t>
      </w:r>
    </w:p>
    <w:p>
      <w:pPr>
        <w:snapToGrid w:val="0"/>
        <w:spacing w:line="520" w:lineRule="exact"/>
        <w:ind w:firstLine="315" w:firstLineChars="150"/>
        <w:rPr>
          <w:rFonts w:hint="eastAsia" w:ascii="宋体" w:hAnsi="宋体" w:eastAsia="楷体_GB2312"/>
          <w:color w:val="auto"/>
          <w:sz w:val="21"/>
          <w:szCs w:val="21"/>
          <w:highlight w:val="none"/>
        </w:rPr>
      </w:pPr>
      <w:r>
        <w:rPr>
          <w:rFonts w:hint="eastAsia" w:ascii="宋体" w:hAnsi="宋体" w:eastAsia="楷体_GB2312"/>
          <w:color w:val="auto"/>
          <w:sz w:val="21"/>
          <w:szCs w:val="21"/>
          <w:highlight w:val="none"/>
        </w:rPr>
        <w:t>以上调整事项涉及的价款计价原则按23.5款约定执行。</w:t>
      </w:r>
    </w:p>
    <w:p>
      <w:pPr>
        <w:snapToGrid w:val="0"/>
        <w:spacing w:line="520" w:lineRule="exact"/>
        <w:ind w:firstLine="296" w:firstLineChars="141"/>
        <w:rPr>
          <w:rFonts w:ascii="宋体" w:hAnsi="宋体"/>
          <w:color w:val="auto"/>
          <w:sz w:val="21"/>
          <w:szCs w:val="21"/>
          <w:highlight w:val="none"/>
        </w:rPr>
      </w:pPr>
      <w:r>
        <w:rPr>
          <w:rFonts w:ascii="宋体" w:hAnsi="宋体"/>
          <w:color w:val="auto"/>
          <w:sz w:val="21"/>
          <w:szCs w:val="21"/>
          <w:highlight w:val="none"/>
        </w:rPr>
        <w:t>23.4</w:t>
      </w:r>
      <w:r>
        <w:rPr>
          <w:rFonts w:hint="eastAsia" w:ascii="宋体" w:hAnsi="宋体"/>
          <w:color w:val="auto"/>
          <w:sz w:val="21"/>
          <w:szCs w:val="21"/>
          <w:highlight w:val="none"/>
        </w:rPr>
        <w:t>承包人应在专用条款</w:t>
      </w:r>
      <w:r>
        <w:rPr>
          <w:rFonts w:ascii="宋体" w:hAnsi="宋体"/>
          <w:color w:val="auto"/>
          <w:sz w:val="21"/>
          <w:szCs w:val="21"/>
          <w:highlight w:val="none"/>
        </w:rPr>
        <w:t>23.3款情况发生后</w:t>
      </w:r>
      <w:r>
        <w:rPr>
          <w:rFonts w:ascii="宋体" w:hAnsi="宋体"/>
          <w:color w:val="auto"/>
          <w:sz w:val="21"/>
          <w:szCs w:val="21"/>
          <w:highlight w:val="none"/>
          <w:u w:val="single"/>
        </w:rPr>
        <w:t>3-7天（时间视变更大小而定）</w:t>
      </w:r>
      <w:r>
        <w:rPr>
          <w:rFonts w:ascii="宋体" w:hAnsi="宋体"/>
          <w:color w:val="auto"/>
          <w:sz w:val="21"/>
          <w:szCs w:val="21"/>
          <w:highlight w:val="none"/>
        </w:rPr>
        <w:t>内，将调整原因、金额以书面形式通知监理单位，必须经监理单位和发包人书面批准后作为调整合同价款的依据</w:t>
      </w:r>
      <w:r>
        <w:rPr>
          <w:rFonts w:hint="eastAsia" w:ascii="宋体" w:hAnsi="宋体"/>
          <w:color w:val="auto"/>
          <w:sz w:val="21"/>
          <w:szCs w:val="21"/>
          <w:highlight w:val="none"/>
        </w:rPr>
        <w:t>。</w:t>
      </w:r>
      <w:r>
        <w:rPr>
          <w:rFonts w:hint="default" w:ascii="宋体" w:hAnsi="宋体"/>
          <w:color w:val="auto"/>
          <w:sz w:val="21"/>
          <w:szCs w:val="21"/>
          <w:highlight w:val="none"/>
        </w:rPr>
        <w:t>对承包人在没有得到发包人的同意和正式盖章书面函件的前提下进行的调整，发包人不予认可，一切责任和后果由承包人承担。</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23.5</w:t>
      </w:r>
      <w:r>
        <w:rPr>
          <w:rFonts w:hint="eastAsia" w:ascii="宋体" w:hAnsi="宋体"/>
          <w:color w:val="auto"/>
          <w:sz w:val="21"/>
          <w:szCs w:val="21"/>
          <w:highlight w:val="none"/>
          <w:u w:val="single"/>
        </w:rPr>
        <w:t>合同价款调整原则</w:t>
      </w:r>
    </w:p>
    <w:p>
      <w:pPr>
        <w:spacing w:line="360" w:lineRule="auto"/>
        <w:ind w:firstLine="420" w:firstLineChars="200"/>
        <w:rPr>
          <w:rFonts w:hint="eastAsia" w:ascii="宋体" w:hAnsi="宋体" w:eastAsia="楷体_GB2312"/>
          <w:color w:val="auto"/>
          <w:sz w:val="21"/>
          <w:szCs w:val="21"/>
          <w:highlight w:val="none"/>
          <w:u w:val="single"/>
        </w:rPr>
      </w:pPr>
      <w:r>
        <w:rPr>
          <w:rFonts w:hint="eastAsia" w:ascii="宋体" w:hAnsi="宋体" w:eastAsia="楷体_GB2312"/>
          <w:color w:val="auto"/>
          <w:sz w:val="21"/>
          <w:szCs w:val="21"/>
          <w:highlight w:val="none"/>
        </w:rPr>
        <w:t>23.5.1</w:t>
      </w:r>
      <w:r>
        <w:rPr>
          <w:rFonts w:hint="eastAsia" w:ascii="宋体" w:hAnsi="宋体" w:eastAsia="楷体_GB2312"/>
          <w:color w:val="auto"/>
          <w:sz w:val="21"/>
          <w:szCs w:val="21"/>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本工程经广州开发区规划和国土局批复的土石方工程量不作调整，变更、签证工程和新增工程按以下先后顺序确定价格：</w:t>
      </w:r>
    </w:p>
    <w:p>
      <w:pPr>
        <w:snapToGrid w:val="0"/>
        <w:spacing w:line="440" w:lineRule="exact"/>
        <w:ind w:firstLine="296" w:firstLineChars="141"/>
        <w:rPr>
          <w:rFonts w:hint="eastAsia" w:ascii="宋体" w:hAnsi="宋体"/>
          <w:color w:val="auto"/>
          <w:sz w:val="21"/>
          <w:szCs w:val="21"/>
          <w:highlight w:val="none"/>
          <w:u w:val="single"/>
        </w:rPr>
      </w:pPr>
      <w:r>
        <w:rPr>
          <w:rFonts w:hint="eastAsia" w:ascii="宋体" w:hAnsi="宋体"/>
          <w:color w:val="auto"/>
          <w:sz w:val="21"/>
          <w:szCs w:val="21"/>
          <w:highlight w:val="none"/>
        </w:rPr>
        <w:t>（1）</w:t>
      </w:r>
      <w:r>
        <w:rPr>
          <w:rFonts w:hint="eastAsia" w:ascii="宋体" w:hAnsi="宋体"/>
          <w:color w:val="auto"/>
          <w:sz w:val="21"/>
          <w:szCs w:val="21"/>
          <w:highlight w:val="none"/>
          <w:u w:val="single"/>
        </w:rPr>
        <w:t>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r>
        <w:rPr>
          <w:rFonts w:hint="eastAsia" w:ascii="宋体" w:hAnsi="宋体"/>
          <w:color w:val="auto"/>
          <w:sz w:val="21"/>
          <w:szCs w:val="21"/>
          <w:highlight w:val="none"/>
        </w:rPr>
        <w:t>。</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color w:val="auto"/>
          <w:sz w:val="21"/>
          <w:highlight w:val="none"/>
        </w:rPr>
        <w:t>且需</w:t>
      </w:r>
      <w:r>
        <w:rPr>
          <w:color w:val="auto"/>
          <w:sz w:val="21"/>
          <w:highlight w:val="none"/>
        </w:rPr>
        <w:t>对选用的厂商价格信息重新进行市场调研询价</w:t>
      </w:r>
      <w:r>
        <w:rPr>
          <w:rFonts w:hint="eastAsia"/>
          <w:color w:val="auto"/>
          <w:sz w:val="21"/>
          <w:highlight w:val="none"/>
        </w:rPr>
        <w:t>后</w:t>
      </w:r>
      <w:r>
        <w:rPr>
          <w:color w:val="auto"/>
          <w:sz w:val="21"/>
          <w:highlight w:val="none"/>
        </w:rPr>
        <w:t>方可使用</w:t>
      </w:r>
      <w:r>
        <w:rPr>
          <w:rFonts w:hint="eastAsia"/>
          <w:color w:val="auto"/>
          <w:sz w:val="21"/>
          <w:highlight w:val="none"/>
        </w:rPr>
        <w:t>。</w:t>
      </w:r>
      <w:r>
        <w:rPr>
          <w:rFonts w:hint="eastAsia" w:ascii="宋体" w:hAnsi="宋体"/>
          <w:color w:val="auto"/>
          <w:sz w:val="21"/>
          <w:szCs w:val="21"/>
          <w:highlight w:val="none"/>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hint="eastAsia" w:ascii="宋体" w:hAnsi="宋体"/>
          <w:color w:val="auto"/>
          <w:sz w:val="21"/>
          <w:szCs w:val="21"/>
          <w:highlight w:val="none"/>
        </w:rPr>
        <w:t>。</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u w:val="single"/>
        </w:rPr>
        <w:t>合同工程量清单报价中没有相同或类似适用项目的，按以下原则计价</w:t>
      </w:r>
      <w:r>
        <w:rPr>
          <w:rFonts w:hint="eastAsia" w:ascii="宋体" w:hAnsi="宋体"/>
          <w:color w:val="auto"/>
          <w:sz w:val="21"/>
          <w:szCs w:val="21"/>
          <w:highlight w:val="none"/>
        </w:rPr>
        <w:t>：</w:t>
      </w:r>
    </w:p>
    <w:p>
      <w:pPr>
        <w:snapToGrid w:val="0"/>
        <w:spacing w:line="440" w:lineRule="exact"/>
        <w:ind w:firstLine="296" w:firstLineChars="141"/>
        <w:jc w:val="center"/>
        <w:rPr>
          <w:rFonts w:hint="eastAsia" w:ascii="宋体" w:hAnsi="宋体"/>
          <w:color w:val="auto"/>
          <w:sz w:val="21"/>
          <w:szCs w:val="21"/>
          <w:highlight w:val="none"/>
        </w:rPr>
      </w:pPr>
      <w:r>
        <w:rPr>
          <w:rFonts w:hint="eastAsia" w:ascii="宋体" w:hAnsi="宋体"/>
          <w:color w:val="auto"/>
          <w:sz w:val="21"/>
          <w:szCs w:val="21"/>
          <w:highlight w:val="none"/>
        </w:rPr>
        <w:t xml:space="preserve">① </w:t>
      </w:r>
      <w:r>
        <w:rPr>
          <w:rFonts w:hint="eastAsia" w:ascii="宋体" w:hAnsi="宋体"/>
          <w:color w:val="auto"/>
          <w:sz w:val="21"/>
          <w:szCs w:val="21"/>
          <w:highlight w:val="none"/>
          <w:u w:val="single"/>
        </w:rPr>
        <w:t>由承包人依据变更工程资料，计量原则，按《广东省建设工程计价依据（2018）》[含《广东省房屋建筑与装饰工程综合定额》（2018年）、《广东省市政工程综合定额》（2018年）、《广东省通用安装工程综合定额》（2018年）、《广东省园林绿化工程综合定额》（2018年）、《广东省建设工程施工机具台班费用编制规则(2018)》</w:t>
      </w:r>
      <w:r>
        <w:rPr>
          <w:rFonts w:ascii="宋体" w:hAnsi="宋体"/>
          <w:color w:val="auto"/>
          <w:sz w:val="21"/>
          <w:szCs w:val="21"/>
          <w:highlight w:val="none"/>
          <w:u w:val="single"/>
        </w:rPr>
        <w:t>]</w:t>
      </w:r>
      <w:r>
        <w:rPr>
          <w:rFonts w:hint="eastAsia" w:ascii="宋体" w:hAnsi="宋体"/>
          <w:color w:val="auto"/>
          <w:sz w:val="21"/>
          <w:szCs w:val="21"/>
          <w:highlight w:val="none"/>
          <w:u w:val="single"/>
        </w:rPr>
        <w:t>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color w:val="auto"/>
          <w:sz w:val="21"/>
          <w:highlight w:val="none"/>
        </w:rPr>
        <w:t>，且需</w:t>
      </w:r>
      <w:r>
        <w:rPr>
          <w:color w:val="auto"/>
          <w:sz w:val="21"/>
          <w:highlight w:val="none"/>
        </w:rPr>
        <w:t>对选用的厂商价格信息重新进行市场调研询价</w:t>
      </w:r>
      <w:r>
        <w:rPr>
          <w:rFonts w:hint="eastAsia"/>
          <w:color w:val="auto"/>
          <w:sz w:val="21"/>
          <w:highlight w:val="none"/>
        </w:rPr>
        <w:t>后</w:t>
      </w:r>
      <w:r>
        <w:rPr>
          <w:color w:val="auto"/>
          <w:sz w:val="21"/>
          <w:highlight w:val="none"/>
        </w:rPr>
        <w:t>方可使用</w:t>
      </w:r>
      <w:r>
        <w:rPr>
          <w:rFonts w:hint="eastAsia"/>
          <w:color w:val="auto"/>
          <w:sz w:val="21"/>
          <w:highlight w:val="none"/>
        </w:rPr>
        <w:t>。</w:t>
      </w:r>
      <w:r>
        <w:rPr>
          <w:rFonts w:hint="eastAsia" w:ascii="宋体" w:hAnsi="宋体"/>
          <w:color w:val="auto"/>
          <w:sz w:val="21"/>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color w:val="auto"/>
          <w:sz w:val="21"/>
          <w:szCs w:val="21"/>
          <w:highlight w:val="none"/>
        </w:rPr>
        <w:t>。按上述原则调整后的换算综合单</w:t>
      </w:r>
    </w:p>
    <w:p>
      <w:pPr>
        <w:snapToGrid w:val="0"/>
        <w:spacing w:line="440" w:lineRule="exact"/>
        <w:rPr>
          <w:rFonts w:hint="eastAsia" w:hAnsi="宋体"/>
          <w:color w:val="auto"/>
          <w:sz w:val="21"/>
          <w:szCs w:val="21"/>
          <w:highlight w:val="none"/>
        </w:rPr>
      </w:pPr>
      <w:r>
        <w:rPr>
          <w:rFonts w:hint="eastAsia" w:ascii="宋体" w:hAnsi="宋体"/>
          <w:color w:val="auto"/>
          <w:sz w:val="21"/>
          <w:szCs w:val="21"/>
          <w:highlight w:val="none"/>
        </w:rPr>
        <w:t>价最终均应执行中标下浮率。</w:t>
      </w:r>
    </w:p>
    <w:p>
      <w:pPr>
        <w:snapToGrid w:val="0"/>
        <w:spacing w:line="440" w:lineRule="exact"/>
        <w:ind w:firstLine="296" w:firstLineChars="141"/>
        <w:rPr>
          <w:rFonts w:hint="eastAsia" w:hAnsi="宋体"/>
          <w:color w:val="auto"/>
          <w:sz w:val="21"/>
          <w:szCs w:val="21"/>
          <w:highlight w:val="none"/>
        </w:rPr>
      </w:pPr>
      <w:r>
        <w:rPr>
          <w:rFonts w:hint="eastAsia" w:hAnsi="宋体"/>
          <w:color w:val="auto"/>
          <w:sz w:val="21"/>
          <w:szCs w:val="21"/>
          <w:highlight w:val="none"/>
        </w:rPr>
        <w:t xml:space="preserve">② </w:t>
      </w:r>
      <w:r>
        <w:rPr>
          <w:rFonts w:hint="eastAsia" w:hAnsi="宋体"/>
          <w:color w:val="auto"/>
          <w:sz w:val="21"/>
          <w:szCs w:val="21"/>
          <w:highlight w:val="none"/>
          <w:u w:val="single"/>
        </w:rPr>
        <w:t>合同工程量清单没有相同或相类似且无相关定额的项目，承包人参照《广东省房屋建筑与装饰工程综合定额》（2018年）、《广东省市政工程综合定额》（2018年）、《广东省通用安装工程综合定额》（2018年）、《广东省园林绿化工程综合定额》（2018年）、《广东省建设工程施工机具台班费用编制规则(2018)》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w:t>
      </w:r>
      <w:r>
        <w:rPr>
          <w:rFonts w:hint="eastAsia" w:ascii="宋体" w:hAnsi="宋体"/>
          <w:color w:val="auto"/>
          <w:sz w:val="21"/>
          <w:szCs w:val="21"/>
          <w:highlight w:val="none"/>
          <w:u w:val="single"/>
        </w:rPr>
        <w:t>计算税前价格</w:t>
      </w:r>
      <w:r>
        <w:rPr>
          <w:rFonts w:hint="eastAsia" w:hAnsi="宋体"/>
          <w:color w:val="auto"/>
          <w:sz w:val="21"/>
          <w:szCs w:val="21"/>
          <w:highlight w:val="none"/>
          <w:u w:val="single"/>
        </w:rPr>
        <w:t>（实际施工跨月份的，则按监理单位确认的各月施工完成的工程量为基础分别进行计算）</w:t>
      </w:r>
      <w:r>
        <w:rPr>
          <w:rFonts w:hint="eastAsia"/>
          <w:color w:val="auto"/>
          <w:sz w:val="21"/>
          <w:highlight w:val="none"/>
        </w:rPr>
        <w:t>，且需</w:t>
      </w:r>
      <w:r>
        <w:rPr>
          <w:color w:val="auto"/>
          <w:sz w:val="21"/>
          <w:highlight w:val="none"/>
        </w:rPr>
        <w:t>对选用的厂商价格信息重新进行市场调研询价</w:t>
      </w:r>
      <w:r>
        <w:rPr>
          <w:rFonts w:hint="eastAsia"/>
          <w:color w:val="auto"/>
          <w:sz w:val="21"/>
          <w:highlight w:val="none"/>
        </w:rPr>
        <w:t>后</w:t>
      </w:r>
      <w:r>
        <w:rPr>
          <w:color w:val="auto"/>
          <w:sz w:val="21"/>
          <w:highlight w:val="none"/>
        </w:rPr>
        <w:t>方可使用</w:t>
      </w:r>
      <w:r>
        <w:rPr>
          <w:rFonts w:hint="eastAsia"/>
          <w:color w:val="auto"/>
          <w:sz w:val="21"/>
          <w:highlight w:val="none"/>
        </w:rPr>
        <w:t>。</w:t>
      </w:r>
      <w:r>
        <w:rPr>
          <w:rFonts w:hint="eastAsia" w:hAnsi="宋体"/>
          <w:color w:val="auto"/>
          <w:sz w:val="21"/>
          <w:szCs w:val="21"/>
          <w:highlight w:val="none"/>
          <w:u w:val="single"/>
        </w:rPr>
        <w:t>《广州地区建设工程常用材料税前综合价格》及《广州地区建设工程材料（设备）厂商价格信息》均没有的相关价格的，由发包人、监理单位、承包人结合市场价共同协商确定</w:t>
      </w:r>
      <w:r>
        <w:rPr>
          <w:rFonts w:hint="eastAsia" w:hAnsi="宋体"/>
          <w:color w:val="auto"/>
          <w:sz w:val="21"/>
          <w:szCs w:val="21"/>
          <w:highlight w:val="none"/>
        </w:rPr>
        <w:t>。按上述原则调整后的换算综合单价最终均应执行中标下浮率。</w:t>
      </w:r>
    </w:p>
    <w:p>
      <w:pPr>
        <w:pStyle w:val="253"/>
        <w:adjustRightInd w:val="0"/>
        <w:snapToGrid w:val="0"/>
        <w:spacing w:line="360" w:lineRule="auto"/>
        <w:ind w:right="11" w:firstLine="315" w:firstLineChars="150"/>
        <w:rPr>
          <w:rFonts w:hint="eastAsia" w:hAnsi="宋体"/>
          <w:color w:val="auto"/>
          <w:sz w:val="21"/>
          <w:szCs w:val="21"/>
          <w:highlight w:val="none"/>
        </w:rPr>
      </w:pPr>
    </w:p>
    <w:p>
      <w:pPr>
        <w:pStyle w:val="253"/>
        <w:adjustRightInd w:val="0"/>
        <w:snapToGrid w:val="0"/>
        <w:spacing w:line="360" w:lineRule="auto"/>
        <w:ind w:right="11" w:firstLine="315" w:firstLineChars="150"/>
        <w:rPr>
          <w:rFonts w:hint="eastAsia" w:ascii="宋体"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u w:val="single"/>
        </w:rPr>
        <w:t>按上述原则确定价格时，措施项目费用（除施工围蔽外）不计取,清单计价及规费、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等相关文件的规定。</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 xml:space="preserve">23.5.2 </w:t>
      </w:r>
      <w:r>
        <w:rPr>
          <w:rFonts w:hint="eastAsia" w:ascii="宋体" w:hAnsi="宋体"/>
          <w:color w:val="auto"/>
          <w:sz w:val="21"/>
          <w:szCs w:val="21"/>
          <w:highlight w:val="none"/>
          <w:u w:val="single"/>
        </w:rPr>
        <w:t>工程量发生变化时，如项目综合单价与招标控制价对应的综合单价×（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color w:val="auto"/>
          <w:sz w:val="21"/>
          <w:szCs w:val="21"/>
          <w:highlight w:val="none"/>
        </w:rPr>
        <w:t>。</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23.5.3</w:t>
      </w:r>
      <w:r>
        <w:rPr>
          <w:rFonts w:hint="eastAsia" w:ascii="宋体" w:hAnsi="宋体"/>
          <w:color w:val="auto"/>
          <w:sz w:val="21"/>
          <w:szCs w:val="21"/>
          <w:highlight w:val="none"/>
          <w:u w:val="single"/>
        </w:rPr>
        <w:t>物价涨跌的价格调整</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u w:val="single"/>
        </w:rPr>
        <w:t>合同履行期间，出现非因承包方原因导致工程造价管理机构发布的人工、材料、工程设备和施工设备、机械台班单价与本工程招标文件规定的投标截止日期前28天时广州市建设工程造价管理部门发布的人工、材料、工程设备和施工设备、机械台班相应单价项目相比，涨跌幅度超过±10%以上且符合以下规定的，应调整合同价款</w:t>
      </w:r>
      <w:r>
        <w:rPr>
          <w:rFonts w:hint="eastAsia" w:ascii="宋体" w:hAnsi="宋体"/>
          <w:color w:val="auto"/>
          <w:sz w:val="21"/>
          <w:szCs w:val="21"/>
          <w:highlight w:val="none"/>
        </w:rPr>
        <w:t>：</w:t>
      </w:r>
    </w:p>
    <w:p>
      <w:pPr>
        <w:snapToGrid w:val="0"/>
        <w:spacing w:line="440" w:lineRule="exact"/>
        <w:ind w:firstLine="296" w:firstLineChars="141"/>
        <w:rPr>
          <w:rFonts w:hint="eastAsia" w:ascii="宋体" w:hAnsi="宋体"/>
          <w:color w:val="auto"/>
          <w:sz w:val="21"/>
          <w:szCs w:val="21"/>
          <w:highlight w:val="none"/>
          <w:u w:val="single"/>
        </w:rPr>
      </w:pPr>
      <w:r>
        <w:rPr>
          <w:rFonts w:hint="eastAsia" w:ascii="宋体" w:hAnsi="宋体"/>
          <w:color w:val="auto"/>
          <w:sz w:val="21"/>
          <w:szCs w:val="21"/>
          <w:highlight w:val="none"/>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u w:val="single"/>
        </w:rPr>
        <w:t>价款调整的方法</w:t>
      </w:r>
    </w:p>
    <w:p>
      <w:pPr>
        <w:snapToGrid w:val="0"/>
        <w:spacing w:line="440" w:lineRule="exact"/>
        <w:ind w:firstLine="296" w:firstLineChars="141"/>
        <w:rPr>
          <w:rFonts w:hint="eastAsia" w:ascii="宋体" w:hAnsi="宋体"/>
          <w:color w:val="auto"/>
          <w:sz w:val="21"/>
          <w:szCs w:val="21"/>
          <w:highlight w:val="none"/>
          <w:u w:val="single"/>
        </w:rPr>
      </w:pPr>
      <w:r>
        <w:rPr>
          <w:rFonts w:hint="eastAsia" w:ascii="宋体" w:hAnsi="宋体"/>
          <w:color w:val="auto"/>
          <w:sz w:val="21"/>
          <w:szCs w:val="21"/>
          <w:highlight w:val="none"/>
        </w:rPr>
        <w:t>①</w:t>
      </w:r>
      <w:r>
        <w:rPr>
          <w:rFonts w:hint="eastAsia" w:ascii="宋体" w:hAnsi="宋体"/>
          <w:color w:val="auto"/>
          <w:sz w:val="21"/>
          <w:szCs w:val="21"/>
          <w:highlight w:val="none"/>
          <w:u w:val="single"/>
        </w:rPr>
        <w:t>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 xml:space="preserve">② </w:t>
      </w:r>
      <w:r>
        <w:rPr>
          <w:rFonts w:hint="eastAsia" w:ascii="宋体" w:hAnsi="宋体"/>
          <w:color w:val="auto"/>
          <w:sz w:val="21"/>
          <w:szCs w:val="21"/>
          <w:highlight w:val="none"/>
          <w:u w:val="single"/>
        </w:rPr>
        <w:t>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28天时工程造价管理机构发布的人工、材料、工程设备和施工设备、机械台班信息价格差值计取</w:t>
      </w:r>
      <w:r>
        <w:rPr>
          <w:rFonts w:hint="eastAsia" w:ascii="宋体" w:hAnsi="宋体"/>
          <w:color w:val="auto"/>
          <w:sz w:val="21"/>
          <w:szCs w:val="21"/>
          <w:highlight w:val="none"/>
        </w:rPr>
        <w:t>。</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③价款调整以月为单位计算，结算时一次性调整，如施工期间需调整价款的，经发包人、承包人协商一致后可签订价差补充协议，作为追加（减）合同价款和支付工程进度款的依据。</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 xml:space="preserve">④ </w:t>
      </w:r>
      <w:r>
        <w:rPr>
          <w:rFonts w:hint="eastAsia" w:ascii="宋体" w:hAnsi="宋体"/>
          <w:color w:val="auto"/>
          <w:sz w:val="21"/>
          <w:szCs w:val="21"/>
          <w:highlight w:val="none"/>
          <w:u w:val="single"/>
        </w:rPr>
        <w:t>各调价材料、设备的信息价格按广州市建设工程造价管理部门发布的当月 “综合价格”计取，综合价格中没有的材料、设备单价，价差不予调整。</w:t>
      </w:r>
    </w:p>
    <w:p>
      <w:pPr>
        <w:snapToGrid w:val="0"/>
        <w:spacing w:line="440" w:lineRule="exact"/>
        <w:ind w:firstLine="296" w:firstLineChars="141"/>
        <w:rPr>
          <w:rFonts w:hint="eastAsia" w:ascii="宋体" w:hAnsi="宋体"/>
          <w:color w:val="auto"/>
          <w:sz w:val="24"/>
          <w:szCs w:val="32"/>
          <w:highlight w:val="none"/>
        </w:rPr>
      </w:pPr>
      <w:r>
        <w:rPr>
          <w:rFonts w:hint="eastAsia" w:ascii="宋体" w:hAnsi="宋体"/>
          <w:color w:val="auto"/>
          <w:sz w:val="21"/>
          <w:szCs w:val="21"/>
          <w:highlight w:val="none"/>
        </w:rPr>
        <w:t>（3）</w:t>
      </w:r>
      <w:r>
        <w:rPr>
          <w:rFonts w:hint="eastAsia" w:ascii="宋体" w:hAnsi="宋体"/>
          <w:color w:val="auto"/>
          <w:sz w:val="21"/>
          <w:szCs w:val="21"/>
          <w:highlight w:val="none"/>
          <w:u w:val="single"/>
        </w:rPr>
        <w:t>由于承包人原因导致工期延误的，所延误时段内物价上涨的风险全部由承包人承担，不予调整；如物价下跌，则仍按第（2）款约定计算及扣回相应价款</w:t>
      </w:r>
      <w:r>
        <w:rPr>
          <w:rFonts w:hint="eastAsia" w:ascii="宋体" w:hAnsi="宋体"/>
          <w:color w:val="auto"/>
          <w:sz w:val="21"/>
          <w:szCs w:val="21"/>
          <w:highlight w:val="none"/>
        </w:rPr>
        <w:t>。</w:t>
      </w:r>
    </w:p>
    <w:p>
      <w:pPr>
        <w:snapToGrid w:val="0"/>
        <w:spacing w:line="440" w:lineRule="exact"/>
        <w:ind w:firstLine="338" w:firstLineChars="141"/>
        <w:rPr>
          <w:rFonts w:hint="eastAsia" w:ascii="宋体" w:hAnsi="宋体"/>
          <w:b/>
          <w:color w:val="auto"/>
          <w:sz w:val="24"/>
          <w:highlight w:val="none"/>
        </w:rPr>
      </w:pPr>
      <w:r>
        <w:rPr>
          <w:rFonts w:ascii="宋体" w:hAnsi="宋体"/>
          <w:color w:val="auto"/>
          <w:sz w:val="24"/>
          <w:highlight w:val="none"/>
        </w:rPr>
        <w:t>24</w:t>
      </w:r>
      <w:r>
        <w:rPr>
          <w:rFonts w:hint="eastAsia" w:ascii="宋体" w:hAnsi="宋体"/>
          <w:b/>
          <w:color w:val="auto"/>
          <w:sz w:val="24"/>
          <w:highlight w:val="none"/>
        </w:rPr>
        <w:t>、工程预付款及工人工资</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24.1工程预付款</w:t>
      </w:r>
    </w:p>
    <w:p>
      <w:pPr>
        <w:spacing w:after="120"/>
        <w:ind w:firstLine="560" w:firstLineChars="200"/>
        <w:rPr>
          <w:rFonts w:hint="default" w:ascii="仿宋_GB2312" w:eastAsia="仿宋_GB2312" w:cs="宋体"/>
          <w:color w:val="auto"/>
          <w:sz w:val="28"/>
          <w:szCs w:val="28"/>
          <w:highlight w:val="none"/>
          <w:lang w:val="en-US" w:eastAsia="zh-CN"/>
        </w:rPr>
      </w:pPr>
      <w:bookmarkStart w:id="21" w:name="_Hlk107912658"/>
      <w:r>
        <w:rPr>
          <w:rFonts w:hint="eastAsia" w:ascii="仿宋_GB2312" w:eastAsia="仿宋_GB2312" w:cs="宋体"/>
          <w:color w:val="auto"/>
          <w:sz w:val="28"/>
          <w:szCs w:val="28"/>
          <w:highlight w:val="none"/>
        </w:rPr>
        <w:t>24.1.1</w:t>
      </w:r>
      <w:bookmarkStart w:id="22" w:name="_Hlk107910210"/>
      <w:r>
        <w:rPr>
          <w:rFonts w:hint="eastAsia" w:ascii="仿宋_GB2312" w:eastAsia="仿宋_GB2312" w:cs="宋体"/>
          <w:color w:val="auto"/>
          <w:sz w:val="28"/>
          <w:szCs w:val="28"/>
          <w:highlight w:val="none"/>
        </w:rPr>
        <w:t>发包人向承包人预付工程款的时间和金额或占合同价款总额的比例：合同生效、满足26.4款约定条件且财政拨款到位后，发包人预付合同价（扣除绿色施工安全防护措施费，若工程量清单中有</w:t>
      </w:r>
      <w:r>
        <w:rPr>
          <w:rFonts w:hint="eastAsia" w:ascii="仿宋_GB2312" w:eastAsia="仿宋_GB2312" w:cs="宋体"/>
          <w:color w:val="auto"/>
          <w:sz w:val="28"/>
          <w:szCs w:val="28"/>
          <w:highlight w:val="none"/>
          <w:lang w:eastAsia="zh-CN"/>
        </w:rPr>
        <w:t>暂定金（含暂列金和暂估价）</w:t>
      </w:r>
      <w:r>
        <w:rPr>
          <w:rFonts w:hint="eastAsia" w:ascii="仿宋_GB2312" w:eastAsia="仿宋_GB2312" w:cs="宋体"/>
          <w:color w:val="auto"/>
          <w:sz w:val="28"/>
          <w:szCs w:val="28"/>
          <w:highlight w:val="none"/>
        </w:rPr>
        <w:t>则扣除</w:t>
      </w:r>
      <w:r>
        <w:rPr>
          <w:rFonts w:hint="eastAsia" w:ascii="仿宋_GB2312" w:eastAsia="仿宋_GB2312" w:cs="宋体"/>
          <w:color w:val="auto"/>
          <w:sz w:val="28"/>
          <w:szCs w:val="28"/>
          <w:highlight w:val="none"/>
          <w:lang w:eastAsia="zh-CN"/>
        </w:rPr>
        <w:t>暂定金（含暂列金和暂估价）</w:t>
      </w:r>
      <w:r>
        <w:rPr>
          <w:rFonts w:hint="eastAsia" w:ascii="仿宋_GB2312" w:eastAsia="仿宋_GB2312" w:cs="宋体"/>
          <w:color w:val="auto"/>
          <w:sz w:val="28"/>
          <w:szCs w:val="28"/>
          <w:highlight w:val="none"/>
        </w:rPr>
        <w:t>部分）的</w:t>
      </w:r>
      <w:r>
        <w:rPr>
          <w:rFonts w:hint="eastAsia" w:ascii="仿宋_GB2312" w:eastAsia="仿宋_GB2312" w:cs="宋体"/>
          <w:color w:val="auto"/>
          <w:sz w:val="28"/>
          <w:szCs w:val="28"/>
          <w:highlight w:val="none"/>
          <w:lang w:val="en-US" w:eastAsia="zh-CN"/>
        </w:rPr>
        <w:t>2</w:t>
      </w:r>
      <w:r>
        <w:rPr>
          <w:rFonts w:hint="eastAsia" w:ascii="仿宋_GB2312" w:eastAsia="仿宋_GB2312" w:cs="宋体"/>
          <w:color w:val="auto"/>
          <w:sz w:val="28"/>
          <w:szCs w:val="28"/>
          <w:highlight w:val="none"/>
        </w:rPr>
        <w:t>0%作为预付款</w:t>
      </w:r>
      <w:bookmarkEnd w:id="22"/>
      <w:r>
        <w:rPr>
          <w:rFonts w:hint="eastAsia" w:ascii="仿宋_GB2312" w:eastAsia="仿宋_GB2312" w:cs="宋体"/>
          <w:color w:val="auto"/>
          <w:sz w:val="28"/>
          <w:szCs w:val="28"/>
          <w:highlight w:val="none"/>
          <w:lang w:eastAsia="zh-CN"/>
        </w:rPr>
        <w:t>，</w:t>
      </w:r>
      <w:r>
        <w:rPr>
          <w:rFonts w:hint="eastAsia" w:ascii="仿宋_GB2312" w:eastAsia="仿宋_GB2312" w:cs="宋体"/>
          <w:color w:val="auto"/>
          <w:sz w:val="28"/>
          <w:szCs w:val="28"/>
          <w:highlight w:val="none"/>
          <w:lang w:val="en-US" w:eastAsia="zh-CN"/>
        </w:rPr>
        <w:t>不超过1000万元。</w:t>
      </w:r>
    </w:p>
    <w:p>
      <w:pPr>
        <w:spacing w:after="120"/>
        <w:ind w:firstLine="840" w:firstLineChars="300"/>
        <w:rPr>
          <w:rFonts w:ascii="仿宋_GB2312" w:eastAsia="仿宋_GB2312" w:cs="宋体"/>
          <w:color w:val="auto"/>
          <w:sz w:val="28"/>
          <w:szCs w:val="28"/>
          <w:highlight w:val="none"/>
        </w:rPr>
      </w:pPr>
      <w:r>
        <w:rPr>
          <w:rFonts w:hint="eastAsia" w:ascii="仿宋_GB2312" w:eastAsia="仿宋_GB2312" w:cs="宋体"/>
          <w:color w:val="auto"/>
          <w:sz w:val="28"/>
          <w:szCs w:val="28"/>
          <w:highlight w:val="none"/>
        </w:rPr>
        <w:t>预付款中的工人工资款（即预付款×工人工资比例）需支付至工人工资专用账户。</w:t>
      </w:r>
    </w:p>
    <w:bookmarkEnd w:id="21"/>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 xml:space="preserve"> 24.1.2承包人收取预付款后，应优先用于按有关规定缴纳工伤保险和办理建筑意外伤害险，专款专用。</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24.1.3扣回预付款（不含工人工资款）的时间、比例：按本合同专用条款26条约定执行。</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24.2工人工资</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24.2.1承包人需按有关规定与商业银行另行签订广州市建设领域工人工资支付专用账户管理协议、开设专用账户并报发包人备案,工人工资支付至专用账户。</w:t>
      </w:r>
    </w:p>
    <w:p>
      <w:pPr>
        <w:snapToGrid w:val="0"/>
        <w:spacing w:line="440" w:lineRule="exact"/>
        <w:ind w:firstLine="296" w:firstLineChars="141"/>
        <w:rPr>
          <w:rFonts w:hint="eastAsia" w:ascii="宋体" w:hAnsi="宋体"/>
          <w:color w:val="auto"/>
          <w:sz w:val="21"/>
          <w:szCs w:val="21"/>
          <w:highlight w:val="none"/>
        </w:rPr>
      </w:pPr>
      <w:r>
        <w:rPr>
          <w:rFonts w:hint="eastAsia" w:ascii="宋体" w:hAnsi="宋体"/>
          <w:color w:val="auto"/>
          <w:sz w:val="21"/>
          <w:szCs w:val="21"/>
          <w:highlight w:val="none"/>
        </w:rPr>
        <w:t>24.2.2工人工资进度款与工程进度款同步支付，其中每期需支付的工程进度款×工人工资比例为该期工人工资进度款，支付至工人工资专用账户。</w:t>
      </w:r>
    </w:p>
    <w:p>
      <w:pPr>
        <w:snapToGrid w:val="0"/>
        <w:spacing w:line="440" w:lineRule="exact"/>
        <w:ind w:firstLine="360" w:firstLineChars="150"/>
        <w:rPr>
          <w:rFonts w:ascii="宋体" w:hAnsi="宋体"/>
          <w:color w:val="auto"/>
          <w:sz w:val="24"/>
          <w:highlight w:val="none"/>
        </w:rPr>
      </w:pPr>
      <w:r>
        <w:rPr>
          <w:rFonts w:ascii="宋体" w:hAnsi="宋体"/>
          <w:color w:val="auto"/>
          <w:sz w:val="24"/>
          <w:highlight w:val="none"/>
        </w:rPr>
        <w:t>25</w:t>
      </w:r>
      <w:r>
        <w:rPr>
          <w:rFonts w:hint="eastAsia" w:ascii="宋体" w:hAnsi="宋体"/>
          <w:b/>
          <w:color w:val="auto"/>
          <w:sz w:val="24"/>
          <w:highlight w:val="none"/>
        </w:rPr>
        <w:t>、工程量确认</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25.1</w:t>
      </w:r>
      <w:r>
        <w:rPr>
          <w:rFonts w:hint="eastAsia" w:ascii="宋体" w:hAnsi="宋体"/>
          <w:color w:val="auto"/>
          <w:sz w:val="21"/>
          <w:szCs w:val="21"/>
          <w:highlight w:val="none"/>
        </w:rPr>
        <w:t>承包人向工程师提交已完工程量报告的时间：</w:t>
      </w:r>
      <w:r>
        <w:rPr>
          <w:rFonts w:hint="eastAsia" w:ascii="宋体" w:hAnsi="宋体"/>
          <w:color w:val="auto"/>
          <w:sz w:val="21"/>
          <w:szCs w:val="21"/>
          <w:highlight w:val="none"/>
          <w:u w:val="single"/>
        </w:rPr>
        <w:t>自开工之日起每周及每月报告已完成工程状况</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25.2双方一致同意不适用通用条款25.2款</w:t>
      </w:r>
      <w:r>
        <w:rPr>
          <w:rFonts w:hint="eastAsia" w:ascii="宋体" w:hAnsi="宋体"/>
          <w:color w:val="auto"/>
          <w:sz w:val="21"/>
          <w:szCs w:val="21"/>
          <w:highlight w:val="none"/>
        </w:rPr>
        <w:t>，承包人完成工程量必须经发包人书面确认。</w:t>
      </w:r>
    </w:p>
    <w:p>
      <w:pPr>
        <w:snapToGrid w:val="0"/>
        <w:spacing w:line="440" w:lineRule="exact"/>
        <w:ind w:firstLine="397"/>
        <w:rPr>
          <w:rFonts w:ascii="宋体" w:hAnsi="宋体"/>
          <w:color w:val="auto"/>
          <w:sz w:val="24"/>
          <w:highlight w:val="none"/>
        </w:rPr>
      </w:pPr>
      <w:r>
        <w:rPr>
          <w:rFonts w:ascii="宋体" w:hAnsi="宋体"/>
          <w:color w:val="auto"/>
          <w:sz w:val="24"/>
          <w:highlight w:val="none"/>
        </w:rPr>
        <w:t>26</w:t>
      </w:r>
      <w:r>
        <w:rPr>
          <w:rFonts w:hint="eastAsia" w:ascii="宋体" w:hAnsi="宋体"/>
          <w:color w:val="auto"/>
          <w:sz w:val="24"/>
          <w:highlight w:val="none"/>
        </w:rPr>
        <w:t>、</w:t>
      </w:r>
      <w:r>
        <w:rPr>
          <w:rFonts w:hint="eastAsia" w:ascii="宋体" w:hAnsi="宋体"/>
          <w:b/>
          <w:color w:val="auto"/>
          <w:sz w:val="24"/>
          <w:highlight w:val="none"/>
        </w:rPr>
        <w:t>工程款（进度款）支付</w:t>
      </w:r>
    </w:p>
    <w:p>
      <w:pPr>
        <w:snapToGrid w:val="0"/>
        <w:spacing w:line="440" w:lineRule="exact"/>
        <w:ind w:firstLine="480"/>
        <w:rPr>
          <w:rFonts w:ascii="宋体" w:hAnsi="宋体"/>
          <w:color w:val="auto"/>
          <w:sz w:val="21"/>
          <w:szCs w:val="21"/>
          <w:highlight w:val="none"/>
        </w:rPr>
      </w:pPr>
      <w:r>
        <w:rPr>
          <w:rFonts w:ascii="宋体" w:hAnsi="宋体"/>
          <w:color w:val="auto"/>
          <w:sz w:val="21"/>
          <w:szCs w:val="21"/>
          <w:highlight w:val="none"/>
        </w:rPr>
        <w:t>26.1双方约定的工程款（进度款）支付采取如下的</w:t>
      </w:r>
      <w:r>
        <w:rPr>
          <w:rFonts w:ascii="宋体" w:hAnsi="宋体"/>
          <w:color w:val="auto"/>
          <w:sz w:val="21"/>
          <w:szCs w:val="21"/>
          <w:highlight w:val="none"/>
          <w:u w:val="single"/>
        </w:rPr>
        <w:t xml:space="preserve"> </w:t>
      </w:r>
      <w:r>
        <w:rPr>
          <w:rFonts w:hint="eastAsia" w:ascii="宋体" w:hAnsi="宋体" w:eastAsia="宋体"/>
          <w:color w:val="auto"/>
          <w:sz w:val="21"/>
          <w:szCs w:val="21"/>
          <w:highlight w:val="none"/>
          <w:u w:val="single"/>
          <w:lang w:val="en-US" w:eastAsia="zh-CN"/>
        </w:rPr>
        <w:t>26.1.2</w:t>
      </w:r>
      <w:r>
        <w:rPr>
          <w:rFonts w:hint="eastAsia" w:ascii="宋体" w:hAnsi="宋体"/>
          <w:color w:val="auto"/>
          <w:sz w:val="21"/>
          <w:szCs w:val="21"/>
          <w:highlight w:val="none"/>
        </w:rPr>
        <w:t>方式进行：</w:t>
      </w:r>
    </w:p>
    <w:p>
      <w:pPr>
        <w:snapToGrid w:val="0"/>
        <w:spacing w:line="440" w:lineRule="exact"/>
        <w:ind w:firstLine="480"/>
        <w:rPr>
          <w:rFonts w:ascii="宋体" w:hAnsi="宋体"/>
          <w:color w:val="auto"/>
          <w:sz w:val="21"/>
          <w:szCs w:val="21"/>
          <w:highlight w:val="none"/>
        </w:rPr>
      </w:pPr>
      <w:r>
        <w:rPr>
          <w:rFonts w:ascii="宋体" w:hAnsi="宋体"/>
          <w:color w:val="auto"/>
          <w:sz w:val="21"/>
          <w:szCs w:val="21"/>
          <w:highlight w:val="none"/>
        </w:rPr>
        <w:t>26.1.1</w:t>
      </w:r>
      <w:r>
        <w:rPr>
          <w:rFonts w:hint="eastAsia" w:ascii="宋体" w:hAnsi="宋体"/>
          <w:color w:val="auto"/>
          <w:sz w:val="21"/>
          <w:szCs w:val="21"/>
          <w:highlight w:val="none"/>
        </w:rPr>
        <w:t>按累计完成工作量百分率支付工程款（进度款）方式：</w:t>
      </w:r>
    </w:p>
    <w:p>
      <w:pPr>
        <w:snapToGrid w:val="0"/>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u w:val="single"/>
        </w:rPr>
        <w:t>当完成工作量达到</w:t>
      </w:r>
      <w:r>
        <w:rPr>
          <w:rFonts w:ascii="宋体" w:hAnsi="宋体"/>
          <w:color w:val="auto"/>
          <w:sz w:val="21"/>
          <w:szCs w:val="21"/>
          <w:highlight w:val="none"/>
          <w:u w:val="single"/>
        </w:rPr>
        <w:t>60%</w:t>
      </w:r>
      <w:r>
        <w:rPr>
          <w:rFonts w:hint="eastAsia" w:ascii="宋体" w:hAnsi="宋体"/>
          <w:color w:val="auto"/>
          <w:sz w:val="21"/>
          <w:szCs w:val="21"/>
          <w:highlight w:val="none"/>
          <w:u w:val="single"/>
        </w:rPr>
        <w:t xml:space="preserve">时，支付工程进度款25 </w:t>
      </w:r>
      <w:r>
        <w:rPr>
          <w:rFonts w:ascii="宋体" w:hAnsi="宋体"/>
          <w:color w:val="auto"/>
          <w:sz w:val="21"/>
          <w:szCs w:val="21"/>
          <w:highlight w:val="none"/>
          <w:u w:val="single"/>
        </w:rPr>
        <w:t>%（累计付款至合同价款扣除</w:t>
      </w:r>
      <w:r>
        <w:rPr>
          <w:rFonts w:hint="eastAsia" w:ascii="宋体" w:hAnsi="宋体" w:cs="宋体"/>
          <w:color w:val="auto"/>
          <w:sz w:val="24"/>
          <w:highlight w:val="none"/>
          <w:u w:val="single"/>
        </w:rPr>
        <w:t>绿色施工安全防护措施费</w:t>
      </w:r>
      <w:r>
        <w:rPr>
          <w:rFonts w:ascii="宋体" w:hAnsi="宋体"/>
          <w:color w:val="auto"/>
          <w:sz w:val="21"/>
          <w:szCs w:val="21"/>
          <w:highlight w:val="none"/>
          <w:u w:val="single"/>
        </w:rPr>
        <w:t>、</w:t>
      </w:r>
      <w:r>
        <w:rPr>
          <w:rFonts w:hint="eastAsia" w:ascii="宋体" w:hAnsi="宋体"/>
          <w:color w:val="auto"/>
          <w:sz w:val="21"/>
          <w:szCs w:val="21"/>
          <w:highlight w:val="none"/>
          <w:u w:val="single"/>
        </w:rPr>
        <w:t>若有</w:t>
      </w:r>
      <w:r>
        <w:rPr>
          <w:rFonts w:hint="eastAsia" w:ascii="宋体" w:hAnsi="宋体" w:eastAsia="宋体"/>
          <w:color w:val="auto"/>
          <w:sz w:val="21"/>
          <w:szCs w:val="21"/>
          <w:highlight w:val="none"/>
          <w:u w:val="single"/>
          <w:lang w:eastAsia="zh-CN"/>
        </w:rPr>
        <w:t>暂定金（含暂列金和暂估价）</w:t>
      </w:r>
      <w:r>
        <w:rPr>
          <w:rFonts w:hint="eastAsia" w:ascii="宋体" w:hAnsi="宋体"/>
          <w:color w:val="auto"/>
          <w:sz w:val="21"/>
          <w:szCs w:val="21"/>
          <w:highlight w:val="none"/>
          <w:u w:val="single"/>
        </w:rPr>
        <w:t>扣除未计量部分</w:t>
      </w:r>
      <w:r>
        <w:rPr>
          <w:rFonts w:hint="eastAsia" w:ascii="宋体" w:hAnsi="宋体" w:eastAsia="宋体"/>
          <w:color w:val="auto"/>
          <w:sz w:val="21"/>
          <w:szCs w:val="21"/>
          <w:highlight w:val="none"/>
          <w:u w:val="single"/>
          <w:lang w:eastAsia="zh-CN"/>
        </w:rPr>
        <w:t>暂定金（含暂列金和暂估价）</w:t>
      </w:r>
      <w:r>
        <w:rPr>
          <w:rFonts w:hint="eastAsia" w:ascii="宋体" w:hAnsi="宋体"/>
          <w:color w:val="auto"/>
          <w:sz w:val="21"/>
          <w:szCs w:val="21"/>
          <w:highlight w:val="none"/>
          <w:u w:val="single"/>
        </w:rPr>
        <w:t>后的</w:t>
      </w:r>
      <w:r>
        <w:rPr>
          <w:rFonts w:ascii="宋体" w:hAnsi="宋体"/>
          <w:color w:val="auto"/>
          <w:sz w:val="21"/>
          <w:szCs w:val="21"/>
          <w:highlight w:val="none"/>
          <w:u w:val="single"/>
        </w:rPr>
        <w:t>55%）</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u w:val="single"/>
        </w:rPr>
        <w:t>工程完工，并通过初验后支付合同价款</w:t>
      </w:r>
      <w:r>
        <w:rPr>
          <w:rFonts w:ascii="宋体" w:hAnsi="宋体"/>
          <w:color w:val="auto"/>
          <w:sz w:val="21"/>
          <w:szCs w:val="21"/>
          <w:highlight w:val="none"/>
          <w:u w:val="single"/>
        </w:rPr>
        <w:t>30%（累计付款至合同价款扣除</w:t>
      </w:r>
      <w:r>
        <w:rPr>
          <w:rFonts w:hint="eastAsia" w:ascii="宋体" w:hAnsi="宋体" w:cs="宋体"/>
          <w:color w:val="auto"/>
          <w:sz w:val="24"/>
          <w:highlight w:val="none"/>
          <w:u w:val="single"/>
        </w:rPr>
        <w:t>绿色施工安全防护措施费</w:t>
      </w:r>
      <w:r>
        <w:rPr>
          <w:rFonts w:ascii="宋体" w:hAnsi="宋体"/>
          <w:color w:val="auto"/>
          <w:sz w:val="21"/>
          <w:szCs w:val="21"/>
          <w:highlight w:val="none"/>
          <w:u w:val="single"/>
        </w:rPr>
        <w:t>、</w:t>
      </w:r>
      <w:r>
        <w:rPr>
          <w:rFonts w:hint="eastAsia" w:ascii="宋体" w:hAnsi="宋体"/>
          <w:color w:val="auto"/>
          <w:sz w:val="21"/>
          <w:szCs w:val="21"/>
          <w:highlight w:val="none"/>
          <w:u w:val="single"/>
        </w:rPr>
        <w:t>若有</w:t>
      </w:r>
      <w:r>
        <w:rPr>
          <w:rFonts w:hint="eastAsia" w:ascii="宋体" w:hAnsi="宋体" w:eastAsia="宋体"/>
          <w:color w:val="auto"/>
          <w:sz w:val="21"/>
          <w:szCs w:val="21"/>
          <w:highlight w:val="none"/>
          <w:u w:val="single"/>
          <w:lang w:eastAsia="zh-CN"/>
        </w:rPr>
        <w:t>暂定金（含暂列金和暂估价）</w:t>
      </w:r>
      <w:r>
        <w:rPr>
          <w:rFonts w:hint="eastAsia" w:ascii="宋体" w:hAnsi="宋体"/>
          <w:color w:val="auto"/>
          <w:sz w:val="21"/>
          <w:szCs w:val="21"/>
          <w:highlight w:val="none"/>
          <w:u w:val="single"/>
        </w:rPr>
        <w:t>扣除未计量部分</w:t>
      </w:r>
      <w:r>
        <w:rPr>
          <w:rFonts w:hint="eastAsia" w:ascii="宋体" w:hAnsi="宋体" w:eastAsia="宋体"/>
          <w:color w:val="auto"/>
          <w:sz w:val="21"/>
          <w:szCs w:val="21"/>
          <w:highlight w:val="none"/>
          <w:u w:val="single"/>
          <w:lang w:eastAsia="zh-CN"/>
        </w:rPr>
        <w:t>暂定金（含暂列金和暂估价）</w:t>
      </w:r>
      <w:r>
        <w:rPr>
          <w:rFonts w:hint="eastAsia" w:ascii="宋体" w:hAnsi="宋体"/>
          <w:color w:val="auto"/>
          <w:sz w:val="21"/>
          <w:szCs w:val="21"/>
          <w:highlight w:val="none"/>
          <w:u w:val="single"/>
        </w:rPr>
        <w:t>后的</w:t>
      </w:r>
      <w:r>
        <w:rPr>
          <w:rFonts w:ascii="宋体" w:hAnsi="宋体"/>
          <w:color w:val="auto"/>
          <w:sz w:val="21"/>
          <w:szCs w:val="21"/>
          <w:highlight w:val="none"/>
          <w:u w:val="single"/>
        </w:rPr>
        <w:t>85%）</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u w:val="single"/>
        </w:rPr>
        <w:t>工程通过验收并经广州开发区财政局审定施工结算后支付工程款至结算价（扣除绿色施工安全防护措施费）的</w:t>
      </w:r>
      <w:r>
        <w:rPr>
          <w:rFonts w:ascii="宋体" w:hAnsi="宋体"/>
          <w:color w:val="auto"/>
          <w:sz w:val="21"/>
          <w:szCs w:val="21"/>
          <w:highlight w:val="none"/>
          <w:u w:val="single"/>
        </w:rPr>
        <w:t>9</w:t>
      </w:r>
      <w:r>
        <w:rPr>
          <w:rFonts w:hint="eastAsia" w:ascii="宋体" w:hAnsi="宋体"/>
          <w:color w:val="auto"/>
          <w:sz w:val="21"/>
          <w:szCs w:val="21"/>
          <w:highlight w:val="none"/>
          <w:u w:val="single"/>
        </w:rPr>
        <w:t>7</w:t>
      </w:r>
      <w:r>
        <w:rPr>
          <w:rFonts w:ascii="宋体" w:hAnsi="宋体"/>
          <w:color w:val="auto"/>
          <w:sz w:val="21"/>
          <w:szCs w:val="21"/>
          <w:highlight w:val="none"/>
          <w:u w:val="single"/>
        </w:rPr>
        <w:t>%；工程结算价款额度的</w:t>
      </w:r>
      <w:r>
        <w:rPr>
          <w:rFonts w:hint="eastAsia" w:ascii="宋体" w:hAnsi="宋体"/>
          <w:color w:val="auto"/>
          <w:sz w:val="21"/>
          <w:szCs w:val="21"/>
          <w:highlight w:val="none"/>
          <w:u w:val="single"/>
        </w:rPr>
        <w:t>3</w:t>
      </w:r>
      <w:r>
        <w:rPr>
          <w:rFonts w:ascii="宋体" w:hAnsi="宋体"/>
          <w:color w:val="auto"/>
          <w:sz w:val="21"/>
          <w:szCs w:val="21"/>
          <w:highlight w:val="none"/>
          <w:u w:val="single"/>
        </w:rPr>
        <w:t>%作为</w:t>
      </w:r>
      <w:r>
        <w:rPr>
          <w:rFonts w:hint="eastAsia" w:ascii="宋体" w:hAnsi="宋体"/>
          <w:color w:val="auto"/>
          <w:sz w:val="21"/>
          <w:szCs w:val="21"/>
          <w:highlight w:val="none"/>
          <w:u w:val="single"/>
        </w:rPr>
        <w:t>质量</w:t>
      </w:r>
      <w:r>
        <w:rPr>
          <w:rFonts w:ascii="宋体" w:hAnsi="宋体"/>
          <w:color w:val="auto"/>
          <w:sz w:val="21"/>
          <w:szCs w:val="21"/>
          <w:highlight w:val="none"/>
          <w:u w:val="single"/>
        </w:rPr>
        <w:t>保修金，待</w:t>
      </w:r>
      <w:r>
        <w:rPr>
          <w:rFonts w:hint="eastAsia" w:ascii="宋体" w:hAnsi="宋体"/>
          <w:color w:val="auto"/>
          <w:sz w:val="21"/>
          <w:szCs w:val="21"/>
          <w:highlight w:val="none"/>
          <w:u w:val="single"/>
        </w:rPr>
        <w:t>缺陷责任</w:t>
      </w:r>
      <w:r>
        <w:rPr>
          <w:rFonts w:ascii="宋体" w:hAnsi="宋体"/>
          <w:color w:val="auto"/>
          <w:sz w:val="21"/>
          <w:szCs w:val="21"/>
          <w:highlight w:val="none"/>
          <w:u w:val="single"/>
        </w:rPr>
        <w:t>期结束后结清（不计利息）</w:t>
      </w:r>
      <w:r>
        <w:rPr>
          <w:rFonts w:hint="eastAsia" w:ascii="宋体" w:hAnsi="宋体"/>
          <w:color w:val="auto"/>
          <w:sz w:val="21"/>
          <w:szCs w:val="21"/>
          <w:highlight w:val="none"/>
        </w:rPr>
        <w:t>。</w:t>
      </w:r>
    </w:p>
    <w:p>
      <w:pPr>
        <w:snapToGrid w:val="0"/>
        <w:spacing w:line="440" w:lineRule="exact"/>
        <w:ind w:firstLine="296" w:firstLineChars="141"/>
        <w:rPr>
          <w:rFonts w:ascii="宋体" w:hAnsi="宋体"/>
          <w:color w:val="auto"/>
          <w:sz w:val="21"/>
          <w:szCs w:val="21"/>
          <w:highlight w:val="none"/>
        </w:rPr>
      </w:pPr>
      <w:r>
        <w:rPr>
          <w:rFonts w:hint="eastAsia" w:ascii="宋体" w:hAnsi="宋体"/>
          <w:color w:val="auto"/>
          <w:sz w:val="21"/>
          <w:szCs w:val="21"/>
          <w:highlight w:val="none"/>
        </w:rPr>
        <w:t>上述所有款项均在广州开发区财政局审定该专项资金并拨款到位后支付，每期需支付的工人工资进度款为工程进度款×工人工资比例，应支付至工人工资专用账户。办理工程款财政请款手续的时间不计入付款期限。</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26.1.2按月度支付工程款（进度款）</w:t>
      </w:r>
      <w:r>
        <w:rPr>
          <w:rFonts w:hint="eastAsia" w:ascii="宋体" w:hAnsi="宋体"/>
          <w:color w:val="auto"/>
          <w:sz w:val="21"/>
          <w:szCs w:val="21"/>
          <w:highlight w:val="none"/>
        </w:rPr>
        <w:t>：</w:t>
      </w:r>
    </w:p>
    <w:p>
      <w:pPr>
        <w:adjustRightInd w:val="0"/>
        <w:snapToGrid w:val="0"/>
        <w:spacing w:line="440" w:lineRule="exact"/>
        <w:ind w:right="11" w:firstLine="367" w:firstLineChars="175"/>
        <w:rPr>
          <w:rFonts w:hint="eastAsia" w:ascii="宋体" w:hAnsi="宋体"/>
          <w:color w:val="auto"/>
          <w:sz w:val="21"/>
          <w:szCs w:val="21"/>
          <w:highlight w:val="none"/>
        </w:rPr>
      </w:pPr>
      <w:r>
        <w:rPr>
          <w:rFonts w:hint="eastAsia" w:ascii="宋体" w:hAnsi="宋体"/>
          <w:color w:val="auto"/>
          <w:sz w:val="21"/>
          <w:szCs w:val="21"/>
          <w:highlight w:val="none"/>
        </w:rPr>
        <w:t>（1）承包人每月上报完成工程量报表，经监理审核及发包人确认后，发包人按经审定月度完成工程造价</w:t>
      </w:r>
      <w:r>
        <w:rPr>
          <w:rFonts w:hint="eastAsia" w:ascii="宋体" w:hAnsi="宋体" w:cs="宋体"/>
          <w:color w:val="auto"/>
          <w:sz w:val="24"/>
          <w:highlight w:val="none"/>
          <w:u w:val="single"/>
        </w:rPr>
        <w:t>（不含绿色施工安全防护措施费及若有</w:t>
      </w:r>
      <w:r>
        <w:rPr>
          <w:rFonts w:hint="eastAsia" w:ascii="宋体" w:hAnsi="宋体" w:eastAsia="宋体" w:cs="宋体"/>
          <w:color w:val="auto"/>
          <w:sz w:val="24"/>
          <w:highlight w:val="none"/>
          <w:u w:val="single"/>
          <w:lang w:eastAsia="zh-CN"/>
        </w:rPr>
        <w:t>暂定金（含暂列金和暂估价）</w:t>
      </w:r>
      <w:r>
        <w:rPr>
          <w:rFonts w:hint="eastAsia" w:ascii="宋体" w:hAnsi="宋体" w:cs="宋体"/>
          <w:color w:val="auto"/>
          <w:sz w:val="24"/>
          <w:highlight w:val="none"/>
          <w:u w:val="single"/>
        </w:rPr>
        <w:t>则不含未计量部分）</w:t>
      </w:r>
      <w:r>
        <w:rPr>
          <w:rFonts w:hint="eastAsia" w:ascii="宋体" w:hAnsi="宋体"/>
          <w:color w:val="auto"/>
          <w:sz w:val="21"/>
          <w:szCs w:val="21"/>
          <w:highlight w:val="none"/>
        </w:rPr>
        <w:t>的85%支付工程进度款。</w:t>
      </w:r>
    </w:p>
    <w:p>
      <w:pPr>
        <w:adjustRightInd w:val="0"/>
        <w:snapToGrid w:val="0"/>
        <w:spacing w:line="440" w:lineRule="exact"/>
        <w:ind w:right="11" w:firstLine="367" w:firstLineChars="175"/>
        <w:rPr>
          <w:rFonts w:hint="eastAsia" w:ascii="宋体" w:hAnsi="宋体"/>
          <w:color w:val="auto"/>
          <w:sz w:val="21"/>
          <w:szCs w:val="21"/>
          <w:highlight w:val="none"/>
        </w:rPr>
      </w:pPr>
      <w:r>
        <w:rPr>
          <w:rFonts w:hint="eastAsia" w:ascii="宋体" w:hAnsi="宋体"/>
          <w:color w:val="auto"/>
          <w:sz w:val="21"/>
          <w:szCs w:val="21"/>
          <w:highlight w:val="none"/>
        </w:rPr>
        <w:t>（2）从本工程发生的第一次进度款支付起，发包人每次按审定月度进度款的50%扣回预付款，直至预付款全部扣回完毕止。预付款扣回完毕后，发包人按审定月度完成工程造价</w:t>
      </w:r>
      <w:r>
        <w:rPr>
          <w:rFonts w:hint="eastAsia" w:ascii="宋体" w:hAnsi="宋体" w:cs="宋体"/>
          <w:color w:val="auto"/>
          <w:sz w:val="24"/>
          <w:highlight w:val="none"/>
          <w:u w:val="single"/>
        </w:rPr>
        <w:t>（不含绿色施工安全防护措施费及若有</w:t>
      </w:r>
      <w:r>
        <w:rPr>
          <w:rFonts w:hint="eastAsia" w:ascii="宋体" w:hAnsi="宋体" w:eastAsia="宋体" w:cs="宋体"/>
          <w:color w:val="auto"/>
          <w:sz w:val="24"/>
          <w:highlight w:val="none"/>
          <w:u w:val="single"/>
          <w:lang w:eastAsia="zh-CN"/>
        </w:rPr>
        <w:t>暂定金（含暂列金和暂估价）</w:t>
      </w:r>
      <w:r>
        <w:rPr>
          <w:rFonts w:hint="eastAsia" w:ascii="宋体" w:hAnsi="宋体" w:cs="宋体"/>
          <w:color w:val="auto"/>
          <w:sz w:val="24"/>
          <w:highlight w:val="none"/>
          <w:u w:val="single"/>
        </w:rPr>
        <w:t>则不含未计量部分）</w:t>
      </w:r>
      <w:r>
        <w:rPr>
          <w:rFonts w:hint="eastAsia" w:ascii="宋体" w:hAnsi="宋体"/>
          <w:color w:val="auto"/>
          <w:sz w:val="21"/>
          <w:szCs w:val="21"/>
          <w:highlight w:val="none"/>
        </w:rPr>
        <w:t>的85%支付工程进度款；工程完工，累计支付工程款至合同价扣除绿色施工安全防护措施费及若有</w:t>
      </w:r>
      <w:r>
        <w:rPr>
          <w:rFonts w:hint="eastAsia" w:ascii="宋体" w:hAnsi="宋体" w:eastAsia="宋体"/>
          <w:color w:val="auto"/>
          <w:sz w:val="21"/>
          <w:szCs w:val="21"/>
          <w:highlight w:val="none"/>
          <w:lang w:eastAsia="zh-CN"/>
        </w:rPr>
        <w:t>暂定金（含暂列金和暂估价）</w:t>
      </w:r>
      <w:r>
        <w:rPr>
          <w:rFonts w:hint="eastAsia" w:ascii="宋体" w:hAnsi="宋体"/>
          <w:color w:val="auto"/>
          <w:sz w:val="21"/>
          <w:szCs w:val="21"/>
          <w:highlight w:val="none"/>
        </w:rPr>
        <w:t>则扣除未计量部分</w:t>
      </w:r>
      <w:r>
        <w:rPr>
          <w:rFonts w:hint="eastAsia" w:ascii="宋体" w:hAnsi="宋体" w:eastAsia="宋体"/>
          <w:color w:val="auto"/>
          <w:sz w:val="21"/>
          <w:szCs w:val="21"/>
          <w:highlight w:val="none"/>
          <w:lang w:eastAsia="zh-CN"/>
        </w:rPr>
        <w:t>暂定金（含暂列金和暂估价）</w:t>
      </w:r>
      <w:r>
        <w:rPr>
          <w:rFonts w:hint="eastAsia" w:ascii="宋体" w:hAnsi="宋体"/>
          <w:color w:val="auto"/>
          <w:sz w:val="21"/>
          <w:szCs w:val="21"/>
          <w:highlight w:val="none"/>
        </w:rPr>
        <w:t>后的85%。</w:t>
      </w:r>
    </w:p>
    <w:p>
      <w:pPr>
        <w:snapToGrid w:val="0"/>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u w:val="single"/>
        </w:rPr>
        <w:t>工程通过验收并经广州开发区财政局审定施工结算后支付工程款至结算价（扣除绿色施工安全防护措施费）的</w:t>
      </w:r>
      <w:r>
        <w:rPr>
          <w:rFonts w:ascii="宋体" w:hAnsi="宋体"/>
          <w:color w:val="auto"/>
          <w:sz w:val="21"/>
          <w:szCs w:val="21"/>
          <w:highlight w:val="none"/>
          <w:u w:val="single"/>
        </w:rPr>
        <w:t>9</w:t>
      </w:r>
      <w:r>
        <w:rPr>
          <w:rFonts w:hint="eastAsia" w:ascii="宋体" w:hAnsi="宋体"/>
          <w:color w:val="auto"/>
          <w:sz w:val="21"/>
          <w:szCs w:val="21"/>
          <w:highlight w:val="none"/>
          <w:u w:val="single"/>
        </w:rPr>
        <w:t>7</w:t>
      </w:r>
      <w:r>
        <w:rPr>
          <w:rFonts w:ascii="宋体" w:hAnsi="宋体"/>
          <w:color w:val="auto"/>
          <w:sz w:val="21"/>
          <w:szCs w:val="21"/>
          <w:highlight w:val="none"/>
          <w:u w:val="single"/>
        </w:rPr>
        <w:t>%；工程结算价款</w:t>
      </w:r>
      <w:r>
        <w:rPr>
          <w:rFonts w:hint="eastAsia" w:ascii="宋体" w:hAnsi="宋体"/>
          <w:color w:val="auto"/>
          <w:sz w:val="21"/>
          <w:szCs w:val="21"/>
          <w:highlight w:val="none"/>
          <w:u w:val="single"/>
        </w:rPr>
        <w:t>（扣除绿色施工安全防护措施费）</w:t>
      </w:r>
      <w:r>
        <w:rPr>
          <w:rFonts w:ascii="宋体" w:hAnsi="宋体"/>
          <w:color w:val="auto"/>
          <w:sz w:val="21"/>
          <w:szCs w:val="21"/>
          <w:highlight w:val="none"/>
          <w:u w:val="single"/>
        </w:rPr>
        <w:t>额度的</w:t>
      </w:r>
      <w:r>
        <w:rPr>
          <w:rFonts w:hint="eastAsia" w:ascii="宋体" w:hAnsi="宋体"/>
          <w:color w:val="auto"/>
          <w:sz w:val="21"/>
          <w:szCs w:val="21"/>
          <w:highlight w:val="none"/>
          <w:u w:val="single"/>
        </w:rPr>
        <w:t>3</w:t>
      </w:r>
      <w:r>
        <w:rPr>
          <w:rFonts w:ascii="宋体" w:hAnsi="宋体"/>
          <w:color w:val="auto"/>
          <w:sz w:val="21"/>
          <w:szCs w:val="21"/>
          <w:highlight w:val="none"/>
          <w:u w:val="single"/>
        </w:rPr>
        <w:t>%作为</w:t>
      </w:r>
      <w:r>
        <w:rPr>
          <w:rFonts w:hint="eastAsia" w:ascii="宋体" w:hAnsi="宋体"/>
          <w:color w:val="auto"/>
          <w:sz w:val="21"/>
          <w:szCs w:val="21"/>
          <w:highlight w:val="none"/>
          <w:u w:val="single"/>
        </w:rPr>
        <w:t>质量</w:t>
      </w:r>
      <w:r>
        <w:rPr>
          <w:rFonts w:ascii="宋体" w:hAnsi="宋体"/>
          <w:color w:val="auto"/>
          <w:sz w:val="21"/>
          <w:szCs w:val="21"/>
          <w:highlight w:val="none"/>
          <w:u w:val="single"/>
        </w:rPr>
        <w:t>保修金，待</w:t>
      </w:r>
      <w:r>
        <w:rPr>
          <w:rFonts w:hint="eastAsia" w:ascii="宋体" w:hAnsi="宋体"/>
          <w:color w:val="auto"/>
          <w:sz w:val="21"/>
          <w:szCs w:val="21"/>
          <w:highlight w:val="none"/>
          <w:u w:val="single"/>
        </w:rPr>
        <w:t>缺陷责任</w:t>
      </w:r>
      <w:r>
        <w:rPr>
          <w:rFonts w:ascii="宋体" w:hAnsi="宋体"/>
          <w:color w:val="auto"/>
          <w:sz w:val="21"/>
          <w:szCs w:val="21"/>
          <w:highlight w:val="none"/>
          <w:u w:val="single"/>
        </w:rPr>
        <w:t>期结束后结清（不计利息）</w:t>
      </w:r>
      <w:r>
        <w:rPr>
          <w:rFonts w:hint="eastAsia" w:ascii="宋体" w:hAnsi="宋体"/>
          <w:color w:val="auto"/>
          <w:sz w:val="21"/>
          <w:szCs w:val="21"/>
          <w:highlight w:val="none"/>
        </w:rPr>
        <w:t>。</w:t>
      </w:r>
    </w:p>
    <w:p>
      <w:pPr>
        <w:snapToGrid w:val="0"/>
        <w:spacing w:line="440" w:lineRule="exact"/>
        <w:ind w:firstLine="296" w:firstLineChars="141"/>
        <w:rPr>
          <w:rFonts w:ascii="宋体" w:hAnsi="宋体"/>
          <w:color w:val="auto"/>
          <w:sz w:val="21"/>
          <w:szCs w:val="21"/>
          <w:highlight w:val="none"/>
        </w:rPr>
      </w:pPr>
      <w:r>
        <w:rPr>
          <w:rFonts w:hint="eastAsia" w:ascii="宋体" w:hAnsi="宋体"/>
          <w:color w:val="auto"/>
          <w:sz w:val="21"/>
          <w:szCs w:val="21"/>
          <w:highlight w:val="none"/>
        </w:rPr>
        <w:t>上述所有款项均在广州开发区财政局审定该专项资金并拨款到位后支付，每期需支付的工人工资进度款为工程进度款×工人工资比例，应支付至工人工资专用账户。办理工程款财政请款手续的时间不计入付款期限。</w:t>
      </w:r>
    </w:p>
    <w:p>
      <w:pPr>
        <w:adjustRightInd w:val="0"/>
        <w:snapToGrid w:val="0"/>
        <w:spacing w:line="440" w:lineRule="exact"/>
        <w:ind w:right="11" w:firstLine="367" w:firstLineChars="175"/>
        <w:rPr>
          <w:rFonts w:ascii="宋体" w:hAnsi="宋体"/>
          <w:color w:val="auto"/>
          <w:sz w:val="21"/>
          <w:szCs w:val="21"/>
          <w:highlight w:val="none"/>
        </w:rPr>
      </w:pPr>
      <w:r>
        <w:rPr>
          <w:rFonts w:ascii="宋体" w:hAnsi="宋体"/>
          <w:color w:val="auto"/>
          <w:sz w:val="21"/>
          <w:szCs w:val="21"/>
          <w:highlight w:val="none"/>
        </w:rPr>
        <w:t>26.2所有因变更、签证及价格调整等原因所调整增加的工程价款均应由承包人按广州开发区、</w:t>
      </w:r>
      <w:r>
        <w:rPr>
          <w:rFonts w:hint="eastAsia" w:ascii="宋体" w:hAnsi="宋体"/>
          <w:color w:val="auto"/>
          <w:sz w:val="21"/>
          <w:szCs w:val="21"/>
          <w:highlight w:val="none"/>
        </w:rPr>
        <w:t>黄埔</w:t>
      </w:r>
      <w:r>
        <w:rPr>
          <w:rFonts w:ascii="宋体" w:hAnsi="宋体"/>
          <w:color w:val="auto"/>
          <w:sz w:val="21"/>
          <w:szCs w:val="21"/>
          <w:highlight w:val="none"/>
        </w:rPr>
        <w:t>区及发包人相关规定程序，报监理初审，并经发包人审批同意后，按审定金额另行签订补充协议支付，或在工程结算中一并支付。</w:t>
      </w:r>
    </w:p>
    <w:p>
      <w:pPr>
        <w:snapToGrid w:val="0"/>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26.4</w:t>
      </w:r>
      <w:r>
        <w:rPr>
          <w:rFonts w:hint="eastAsia" w:ascii="宋体" w:hAnsi="宋体"/>
          <w:color w:val="auto"/>
          <w:sz w:val="21"/>
          <w:szCs w:val="21"/>
          <w:highlight w:val="none"/>
        </w:rPr>
        <w:t>工程价款的支付条件：</w:t>
      </w:r>
    </w:p>
    <w:p>
      <w:pPr>
        <w:spacing w:after="120"/>
        <w:ind w:firstLine="840" w:firstLineChars="300"/>
        <w:rPr>
          <w:rFonts w:ascii="仿宋_GB2312" w:eastAsia="仿宋_GB2312" w:cs="宋体"/>
          <w:color w:val="auto"/>
          <w:sz w:val="28"/>
          <w:szCs w:val="28"/>
          <w:highlight w:val="none"/>
        </w:rPr>
      </w:pPr>
      <w:bookmarkStart w:id="23" w:name="_Hlk107912294"/>
      <w:r>
        <w:rPr>
          <w:rFonts w:hint="eastAsia" w:ascii="仿宋_GB2312" w:eastAsia="仿宋_GB2312" w:cs="宋体"/>
          <w:color w:val="auto"/>
          <w:sz w:val="28"/>
          <w:szCs w:val="28"/>
          <w:highlight w:val="none"/>
        </w:rPr>
        <w:t>（1）支付预付款：承包人已与发包人签订工程施工合同，承包人承诺的项目管理人员、机械设备到位，工程具备开工条件，已生效的履约担保已按发包人要求准时提交发包人，且财政拨款已到位。</w:t>
      </w:r>
    </w:p>
    <w:bookmarkEnd w:id="23"/>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2）支付工程款（进度款）：</w:t>
      </w:r>
      <w:r>
        <w:rPr>
          <w:rFonts w:hint="eastAsia" w:ascii="宋体" w:hAnsi="宋体"/>
          <w:color w:val="auto"/>
          <w:sz w:val="21"/>
          <w:szCs w:val="21"/>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color w:val="auto"/>
          <w:sz w:val="21"/>
          <w:szCs w:val="21"/>
          <w:highlight w:val="none"/>
        </w:rPr>
        <w:t>。</w:t>
      </w:r>
    </w:p>
    <w:p>
      <w:pPr>
        <w:ind w:firstLine="420" w:firstLineChars="200"/>
        <w:outlineLvl w:val="1"/>
        <w:rPr>
          <w:rFonts w:hint="eastAsia" w:ascii="宋体" w:hAnsi="宋体"/>
          <w:color w:val="auto"/>
          <w:sz w:val="21"/>
          <w:szCs w:val="21"/>
          <w:highlight w:val="none"/>
          <w:u w:val="single"/>
        </w:rPr>
      </w:pPr>
      <w:r>
        <w:rPr>
          <w:rFonts w:hint="eastAsia" w:ascii="宋体" w:hAnsi="宋体"/>
          <w:color w:val="auto"/>
          <w:sz w:val="21"/>
          <w:szCs w:val="21"/>
          <w:highlight w:val="none"/>
          <w:u w:val="single"/>
        </w:rPr>
        <w:t>26.5绿色施工安全防护措施费支付的支付条件：</w:t>
      </w:r>
    </w:p>
    <w:p>
      <w:pPr>
        <w:ind w:firstLine="420" w:firstLineChars="200"/>
        <w:outlineLvl w:val="1"/>
        <w:rPr>
          <w:rFonts w:hint="eastAsia" w:ascii="宋体" w:hAnsi="宋体"/>
          <w:color w:val="auto"/>
          <w:sz w:val="21"/>
          <w:szCs w:val="21"/>
          <w:highlight w:val="none"/>
          <w:u w:val="single"/>
        </w:rPr>
      </w:pPr>
      <w:r>
        <w:rPr>
          <w:rFonts w:hint="eastAsia" w:ascii="宋体" w:hAnsi="宋体"/>
          <w:color w:val="auto"/>
          <w:sz w:val="21"/>
          <w:szCs w:val="21"/>
          <w:highlight w:val="none"/>
          <w:u w:val="single"/>
        </w:rPr>
        <w:t>绿色施工安全防护措施费按建设业主发布的本工程投标最高投标限价（即招标控制价）中的绿色施工安全防护措施费用计取，并从本施工合同价款中提取（绿色施工安全防护措施费已包含在本工程中标价即施工合同价中），专款专用。该费用根据关于印发《广州开发区财政投资建设项目管理中心建设项目绿色施工安全防护措施费支付管理实施细则（修订）》的通知（穗开建管〔2019〕50号）规定，按照现场验收次数，分阶段支付：</w:t>
      </w:r>
    </w:p>
    <w:p>
      <w:pPr>
        <w:numPr>
          <w:ilvl w:val="0"/>
          <w:numId w:val="6"/>
        </w:numPr>
        <w:outlineLvl w:val="1"/>
        <w:rPr>
          <w:rFonts w:hint="eastAsia" w:ascii="宋体" w:hAnsi="宋体"/>
          <w:color w:val="auto"/>
          <w:sz w:val="21"/>
          <w:szCs w:val="21"/>
          <w:highlight w:val="none"/>
          <w:u w:val="single"/>
        </w:rPr>
      </w:pPr>
      <w:r>
        <w:rPr>
          <w:rFonts w:hint="eastAsia" w:ascii="宋体" w:hAnsi="宋体"/>
          <w:color w:val="auto"/>
          <w:sz w:val="21"/>
          <w:szCs w:val="21"/>
          <w:highlight w:val="none"/>
          <w:u w:val="single"/>
        </w:rPr>
        <w:t>现场验收申报分三次，分别为：</w:t>
      </w:r>
    </w:p>
    <w:p>
      <w:pPr>
        <w:ind w:firstLine="420" w:firstLineChars="200"/>
        <w:outlineLvl w:val="1"/>
        <w:rPr>
          <w:rFonts w:hint="eastAsia" w:ascii="宋体" w:hAnsi="宋体"/>
          <w:color w:val="auto"/>
          <w:sz w:val="21"/>
          <w:szCs w:val="21"/>
          <w:highlight w:val="none"/>
          <w:u w:val="single"/>
        </w:rPr>
      </w:pPr>
      <w:r>
        <w:rPr>
          <w:rFonts w:hint="eastAsia" w:ascii="宋体" w:hAnsi="宋体"/>
          <w:color w:val="auto"/>
          <w:sz w:val="21"/>
          <w:szCs w:val="21"/>
          <w:highlight w:val="none"/>
          <w:u w:val="single"/>
        </w:rPr>
        <w:t>第一次是施工准备期，施工单位进场完成工地围墙、大门、办公用房或临舍、消防设施、临时设施、洗车槽、水枪、场内道路硬化、绿化、钢筋堆放点及加工场、垃圾收集点等部位的建设或布置后。</w:t>
      </w:r>
    </w:p>
    <w:p>
      <w:pPr>
        <w:ind w:firstLine="315" w:firstLineChars="150"/>
        <w:outlineLvl w:val="1"/>
        <w:rPr>
          <w:rFonts w:hint="eastAsia" w:ascii="宋体" w:hAnsi="宋体"/>
          <w:color w:val="auto"/>
          <w:sz w:val="21"/>
          <w:szCs w:val="21"/>
          <w:highlight w:val="none"/>
          <w:u w:val="single"/>
        </w:rPr>
      </w:pPr>
      <w:r>
        <w:rPr>
          <w:rFonts w:hint="eastAsia" w:ascii="宋体" w:hAnsi="宋体"/>
          <w:color w:val="auto"/>
          <w:sz w:val="21"/>
          <w:szCs w:val="21"/>
          <w:highlight w:val="none"/>
          <w:u w:val="single"/>
        </w:rPr>
        <w:t>第二次是房建工程完成主体结构封顶、市政工程完成路基工作、其它工程完成合同约定工程量的60%后。</w:t>
      </w:r>
    </w:p>
    <w:p>
      <w:pPr>
        <w:ind w:firstLine="420" w:firstLineChars="200"/>
        <w:outlineLvl w:val="1"/>
        <w:rPr>
          <w:rFonts w:hint="eastAsia" w:ascii="宋体" w:hAnsi="宋体"/>
          <w:color w:val="auto"/>
          <w:sz w:val="21"/>
          <w:szCs w:val="21"/>
          <w:highlight w:val="none"/>
          <w:u w:val="single"/>
        </w:rPr>
      </w:pPr>
      <w:r>
        <w:rPr>
          <w:rFonts w:hint="eastAsia" w:ascii="宋体" w:hAnsi="宋体"/>
          <w:color w:val="auto"/>
          <w:sz w:val="21"/>
          <w:szCs w:val="21"/>
          <w:highlight w:val="none"/>
          <w:u w:val="single"/>
        </w:rPr>
        <w:t>第三次是工程竣工前。</w:t>
      </w:r>
    </w:p>
    <w:p>
      <w:pPr>
        <w:ind w:firstLine="420" w:firstLineChars="200"/>
        <w:outlineLvl w:val="1"/>
        <w:rPr>
          <w:rFonts w:hint="eastAsia" w:ascii="宋体" w:hAnsi="宋体"/>
          <w:color w:val="auto"/>
          <w:sz w:val="21"/>
          <w:szCs w:val="21"/>
          <w:highlight w:val="none"/>
          <w:u w:val="single"/>
        </w:rPr>
      </w:pPr>
      <w:r>
        <w:rPr>
          <w:rFonts w:hint="eastAsia" w:ascii="宋体" w:hAnsi="宋体"/>
          <w:color w:val="auto"/>
          <w:sz w:val="21"/>
          <w:szCs w:val="21"/>
          <w:highlight w:val="none"/>
        </w:rPr>
        <w:t>2.</w:t>
      </w:r>
      <w:r>
        <w:rPr>
          <w:rFonts w:hint="eastAsia"/>
          <w:color w:val="auto"/>
          <w:highlight w:val="none"/>
        </w:rPr>
        <w:t xml:space="preserve"> </w:t>
      </w:r>
      <w:r>
        <w:rPr>
          <w:rFonts w:hint="eastAsia" w:ascii="宋体" w:hAnsi="宋体"/>
          <w:color w:val="auto"/>
          <w:sz w:val="21"/>
          <w:szCs w:val="21"/>
          <w:highlight w:val="none"/>
          <w:u w:val="single"/>
        </w:rPr>
        <w:t>第一次现场验收合格后可以申请绿色施工安全防护措施费的50%，申请资料需提供《建设工程项目申办施工许可证安全文明施工现场查勘表》（区质监站资料）和《建设工程项目安全生产及文明施工检查记录表》均评定为合格或以上且财政拨款到位后，支付绿色施工安全防护措施费的50%。</w:t>
      </w:r>
    </w:p>
    <w:p>
      <w:pPr>
        <w:ind w:firstLine="420" w:firstLineChars="200"/>
        <w:outlineLvl w:val="1"/>
        <w:rPr>
          <w:rFonts w:hint="eastAsia" w:ascii="宋体" w:hAnsi="宋体"/>
          <w:color w:val="auto"/>
          <w:sz w:val="21"/>
          <w:szCs w:val="21"/>
          <w:highlight w:val="none"/>
          <w:u w:val="single"/>
        </w:rPr>
      </w:pPr>
      <w:r>
        <w:rPr>
          <w:rFonts w:hint="eastAsia" w:ascii="宋体" w:hAnsi="宋体"/>
          <w:color w:val="auto"/>
          <w:sz w:val="21"/>
          <w:szCs w:val="21"/>
          <w:highlight w:val="none"/>
          <w:u w:val="single"/>
        </w:rPr>
        <w:t>3.</w:t>
      </w:r>
      <w:r>
        <w:rPr>
          <w:rFonts w:hint="eastAsia"/>
          <w:color w:val="auto"/>
          <w:highlight w:val="none"/>
          <w:u w:val="single"/>
        </w:rPr>
        <w:t xml:space="preserve"> </w:t>
      </w:r>
      <w:r>
        <w:rPr>
          <w:rFonts w:hint="eastAsia" w:ascii="宋体" w:hAnsi="宋体"/>
          <w:color w:val="auto"/>
          <w:sz w:val="21"/>
          <w:szCs w:val="21"/>
          <w:highlight w:val="none"/>
          <w:u w:val="single"/>
        </w:rPr>
        <w:t>第二次现场验收合格后可以申请绿色施工安全防护措施费的40%，申请需提供《建筑工程安全中间检查评价表》（区质监站资料）评定为合格或以上且财政拨款到位后，再支付绿色施工安全防护措施费的40%。</w:t>
      </w:r>
    </w:p>
    <w:p>
      <w:pPr>
        <w:ind w:firstLine="420" w:firstLineChars="200"/>
        <w:outlineLvl w:val="1"/>
        <w:rPr>
          <w:rFonts w:hint="eastAsia" w:ascii="宋体" w:hAnsi="宋体"/>
          <w:color w:val="auto"/>
          <w:sz w:val="21"/>
          <w:szCs w:val="21"/>
          <w:highlight w:val="none"/>
          <w:u w:val="single"/>
        </w:rPr>
      </w:pPr>
      <w:r>
        <w:rPr>
          <w:rFonts w:hint="eastAsia" w:ascii="宋体" w:hAnsi="宋体"/>
          <w:color w:val="auto"/>
          <w:sz w:val="21"/>
          <w:szCs w:val="21"/>
          <w:highlight w:val="none"/>
          <w:u w:val="single"/>
        </w:rPr>
        <w:t>4.第三次现场验收合格或以上且财政拨款到位后可以申请绿色施工安全防护措施费结算价余款，申请需提供《建设工程施工安全评价书》（区质监站资料）评定为合格或以上。</w:t>
      </w:r>
    </w:p>
    <w:p>
      <w:pPr>
        <w:ind w:firstLine="420" w:firstLineChars="200"/>
        <w:outlineLvl w:val="1"/>
        <w:rPr>
          <w:color w:val="auto"/>
          <w:sz w:val="28"/>
          <w:highlight w:val="none"/>
        </w:rPr>
      </w:pPr>
      <w:r>
        <w:rPr>
          <w:rFonts w:hint="eastAsia" w:ascii="宋体" w:hAnsi="宋体"/>
          <w:color w:val="auto"/>
          <w:sz w:val="21"/>
          <w:szCs w:val="21"/>
          <w:highlight w:val="none"/>
          <w:u w:val="single"/>
        </w:rPr>
        <w:t>5.若上述2.3.4条款涉及的相关申请资料按规定不需要由质监站审核的，</w:t>
      </w:r>
      <w:r>
        <w:rPr>
          <w:rFonts w:hint="eastAsia" w:ascii="宋体" w:hAnsi="宋体"/>
          <w:color w:val="auto"/>
          <w:szCs w:val="21"/>
          <w:highlight w:val="none"/>
          <w:u w:val="single"/>
        </w:rPr>
        <w:t>经</w:t>
      </w:r>
      <w:r>
        <w:rPr>
          <w:rFonts w:hint="eastAsia" w:ascii="宋体" w:hAnsi="宋体"/>
          <w:color w:val="auto"/>
          <w:sz w:val="21"/>
          <w:szCs w:val="21"/>
          <w:highlight w:val="none"/>
          <w:u w:val="single"/>
        </w:rPr>
        <w:t>监理、代建、建设业主审批</w:t>
      </w:r>
      <w:r>
        <w:rPr>
          <w:rFonts w:hint="eastAsia" w:ascii="宋体" w:hAnsi="宋体"/>
          <w:color w:val="auto"/>
          <w:szCs w:val="21"/>
          <w:highlight w:val="none"/>
          <w:u w:val="single"/>
        </w:rPr>
        <w:t>同意后，再予以</w:t>
      </w:r>
      <w:r>
        <w:rPr>
          <w:rFonts w:hint="eastAsia" w:ascii="宋体" w:hAnsi="宋体"/>
          <w:color w:val="auto"/>
          <w:sz w:val="21"/>
          <w:szCs w:val="21"/>
          <w:highlight w:val="none"/>
          <w:u w:val="single"/>
        </w:rPr>
        <w:t>支付</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七、材料设备供应</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27</w:t>
      </w:r>
      <w:r>
        <w:rPr>
          <w:rFonts w:hint="eastAsia" w:ascii="宋体" w:hAnsi="宋体"/>
          <w:b/>
          <w:color w:val="auto"/>
          <w:sz w:val="24"/>
          <w:highlight w:val="none"/>
        </w:rPr>
        <w:t>、发包人供应材料设备</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27.4</w:t>
      </w:r>
      <w:r>
        <w:rPr>
          <w:rFonts w:hint="eastAsia" w:ascii="宋体" w:hAnsi="宋体"/>
          <w:color w:val="auto"/>
          <w:sz w:val="21"/>
          <w:szCs w:val="21"/>
          <w:highlight w:val="none"/>
        </w:rPr>
        <w:t>发包人供应的材料设备与一览表不符时，双方约定发包人承担责任如下：</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材料设备单价与一览表不符：</w:t>
      </w:r>
      <w:r>
        <w:rPr>
          <w:rFonts w:ascii="宋体" w:hAnsi="宋体"/>
          <w:color w:val="auto"/>
          <w:sz w:val="21"/>
          <w:szCs w:val="21"/>
          <w:highlight w:val="none"/>
          <w:u w:val="single"/>
        </w:rPr>
        <mc:AlternateContent>
          <mc:Choice Requires="wps">
            <w:drawing>
              <wp:anchor distT="0" distB="0" distL="114300" distR="114300" simplePos="0" relativeHeight="251660288" behindDoc="0" locked="0" layoutInCell="0" allowOverlap="1">
                <wp:simplePos x="0" y="0"/>
                <wp:positionH relativeFrom="column">
                  <wp:posOffset>3556000</wp:posOffset>
                </wp:positionH>
                <wp:positionV relativeFrom="paragraph">
                  <wp:posOffset>0</wp:posOffset>
                </wp:positionV>
                <wp:extent cx="63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0pt;margin-top:0pt;height:0pt;width:0.05pt;z-index:251660288;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zl5BDTAAAABQEAAA8AAAAAAAAAAQAgAAAAIgAAAGRycy9kb3ducmV2LnhtbFBLAQIUABQAAAAI&#10;AIdO4kAr6c+r8gEAAOIDAAAOAAAAAAAAAAEAIAAAACIBAABkcnMvZTJvRG9jLnhtbFBLBQYAAAAA&#10;BgAGAFkBAACGBQAAAAA=&#10;">
                <v:fill on="f" focussize="0,0"/>
                <v:stroke color="#000000" joinstyle="round"/>
                <v:imagedata o:title=""/>
                <o:lock v:ext="edit" aspectratio="f"/>
              </v:line>
            </w:pict>
          </mc:Fallback>
        </mc:AlternateConten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材料设备的品种、规格、型号、质量等级与一览表不符：</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承包人可代为调剂串换的材料：</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到货地点与一览表不符：</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5）</w:t>
      </w:r>
      <w:r>
        <w:rPr>
          <w:rFonts w:hint="eastAsia" w:ascii="宋体" w:hAnsi="宋体"/>
          <w:color w:val="auto"/>
          <w:sz w:val="21"/>
          <w:szCs w:val="21"/>
          <w:highlight w:val="none"/>
        </w:rPr>
        <w:t>供应数量与一览表不符：</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tabs>
          <w:tab w:val="left" w:pos="700"/>
        </w:tabs>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rPr>
        <w:t>）到货时间与一览表不符；</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tabs>
          <w:tab w:val="left" w:pos="700"/>
        </w:tabs>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27.6</w:t>
      </w:r>
      <w:r>
        <w:rPr>
          <w:rFonts w:hint="eastAsia" w:ascii="宋体" w:hAnsi="宋体"/>
          <w:color w:val="auto"/>
          <w:sz w:val="21"/>
          <w:szCs w:val="21"/>
          <w:highlight w:val="none"/>
        </w:rPr>
        <w:t>发包人供应材料设备的结算方法：</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28</w:t>
      </w:r>
      <w:r>
        <w:rPr>
          <w:rFonts w:hint="eastAsia" w:ascii="宋体" w:hAnsi="宋体"/>
          <w:b/>
          <w:color w:val="auto"/>
          <w:sz w:val="24"/>
          <w:highlight w:val="none"/>
        </w:rPr>
        <w:t>、承包人采购材料设备</w:t>
      </w:r>
    </w:p>
    <w:p>
      <w:pPr>
        <w:snapToGrid w:val="0"/>
        <w:spacing w:line="440" w:lineRule="exact"/>
        <w:ind w:firstLine="397"/>
        <w:rPr>
          <w:rFonts w:hint="eastAsia" w:ascii="宋体" w:hAnsi="宋体" w:cs="Times New Roman"/>
          <w:b w:val="0"/>
          <w:bCs w:val="0"/>
          <w:color w:val="auto"/>
          <w:sz w:val="21"/>
          <w:szCs w:val="21"/>
          <w:highlight w:val="none"/>
          <w:u w:val="single"/>
        </w:rPr>
      </w:pPr>
      <w:r>
        <w:rPr>
          <w:rFonts w:hint="eastAsia" w:ascii="宋体" w:hAnsi="宋体"/>
          <w:color w:val="auto"/>
          <w:sz w:val="21"/>
          <w:szCs w:val="21"/>
          <w:highlight w:val="none"/>
          <w:u w:val="single"/>
        </w:rPr>
        <w:t>28.1承包人采购材料设备的约定：</w:t>
      </w:r>
      <w:r>
        <w:rPr>
          <w:rFonts w:hint="eastAsia" w:ascii="宋体" w:hAnsi="宋体" w:cs="Times New Roman"/>
          <w:b w:val="0"/>
          <w:bCs w:val="0"/>
          <w:color w:val="auto"/>
          <w:sz w:val="21"/>
          <w:szCs w:val="21"/>
          <w:highlight w:val="none"/>
          <w:u w:val="single"/>
        </w:rPr>
        <w:t>由承包人负责采购材料设备的，</w:t>
      </w:r>
      <w:r>
        <w:rPr>
          <w:rFonts w:hint="eastAsia" w:ascii="宋体" w:hAnsi="宋体"/>
          <w:color w:val="auto"/>
          <w:sz w:val="21"/>
          <w:szCs w:val="21"/>
          <w:highlight w:val="none"/>
          <w:u w:val="single"/>
        </w:rPr>
        <w:t>按招标文件规定和本合同专用条款第47.24条约定、</w:t>
      </w:r>
      <w:r>
        <w:rPr>
          <w:rFonts w:hint="eastAsia" w:ascii="宋体" w:hAnsi="宋体" w:cs="Times New Roman"/>
          <w:b w:val="0"/>
          <w:bCs w:val="0"/>
          <w:color w:val="auto"/>
          <w:sz w:val="21"/>
          <w:szCs w:val="21"/>
          <w:highlight w:val="none"/>
          <w:u w:val="single"/>
        </w:rPr>
        <w:t>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24小时通知工程师清点。</w:t>
      </w:r>
    </w:p>
    <w:p>
      <w:pPr>
        <w:snapToGrid w:val="0"/>
        <w:spacing w:line="440" w:lineRule="exact"/>
        <w:ind w:firstLine="397"/>
        <w:rPr>
          <w:rFonts w:hint="eastAsia" w:ascii="宋体" w:hAnsi="宋体" w:cs="Times New Roman"/>
          <w:b w:val="0"/>
          <w:bCs w:val="0"/>
          <w:color w:val="auto"/>
          <w:sz w:val="21"/>
          <w:szCs w:val="21"/>
          <w:highlight w:val="none"/>
          <w:u w:val="single"/>
        </w:rPr>
      </w:pPr>
      <w:r>
        <w:rPr>
          <w:rFonts w:hint="eastAsia" w:ascii="宋体" w:hAnsi="宋体" w:cs="Times New Roman"/>
          <w:b w:val="0"/>
          <w:bCs w:val="0"/>
          <w:color w:val="auto"/>
          <w:sz w:val="21"/>
          <w:szCs w:val="21"/>
          <w:highlight w:val="none"/>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pPr>
        <w:snapToGrid w:val="0"/>
        <w:spacing w:line="440" w:lineRule="exact"/>
        <w:ind w:firstLine="397"/>
        <w:rPr>
          <w:rFonts w:hint="eastAsia" w:ascii="宋体" w:hAnsi="宋体" w:cs="Times New Roman"/>
          <w:b w:val="0"/>
          <w:bCs w:val="0"/>
          <w:color w:val="auto"/>
          <w:sz w:val="21"/>
          <w:szCs w:val="21"/>
          <w:highlight w:val="none"/>
          <w:u w:val="single"/>
        </w:rPr>
      </w:pPr>
      <w:r>
        <w:rPr>
          <w:rFonts w:hint="eastAsia" w:ascii="宋体" w:hAnsi="宋体" w:cs="Times New Roman"/>
          <w:b w:val="0"/>
          <w:bCs w:val="0"/>
          <w:color w:val="auto"/>
          <w:sz w:val="21"/>
          <w:szCs w:val="21"/>
          <w:highlight w:val="none"/>
          <w:u w:val="single"/>
        </w:rPr>
        <w:t>28.3所有材料、设备报价必须报监理、业主同意后方可使用。</w:t>
      </w:r>
    </w:p>
    <w:p>
      <w:pPr>
        <w:snapToGrid w:val="0"/>
        <w:spacing w:line="440" w:lineRule="exact"/>
        <w:ind w:firstLine="397"/>
        <w:rPr>
          <w:rFonts w:hint="eastAsia" w:ascii="宋体" w:hAnsi="宋体"/>
          <w:b w:val="0"/>
          <w:color w:val="auto"/>
          <w:sz w:val="21"/>
          <w:szCs w:val="21"/>
          <w:highlight w:val="none"/>
          <w:u w:val="single"/>
        </w:rPr>
      </w:pPr>
      <w:r>
        <w:rPr>
          <w:rFonts w:hint="eastAsia" w:ascii="宋体" w:hAnsi="宋体"/>
          <w:b w:val="0"/>
          <w:color w:val="auto"/>
          <w:sz w:val="21"/>
          <w:szCs w:val="21"/>
          <w:highlight w:val="none"/>
          <w:u w:val="single"/>
        </w:rPr>
        <w:t>八、工程变更</w:t>
      </w:r>
    </w:p>
    <w:p>
      <w:pPr>
        <w:snapToGrid w:val="0"/>
        <w:spacing w:line="440" w:lineRule="exact"/>
        <w:ind w:firstLine="397"/>
        <w:rPr>
          <w:rFonts w:hint="eastAsia" w:ascii="宋体" w:hAnsi="宋体"/>
          <w:b w:val="0"/>
          <w:color w:val="auto"/>
          <w:sz w:val="21"/>
          <w:szCs w:val="21"/>
          <w:highlight w:val="none"/>
          <w:u w:val="single"/>
        </w:rPr>
      </w:pPr>
      <w:r>
        <w:rPr>
          <w:rFonts w:hint="eastAsia" w:ascii="宋体" w:hAnsi="宋体"/>
          <w:b w:val="0"/>
          <w:color w:val="auto"/>
          <w:sz w:val="21"/>
          <w:szCs w:val="21"/>
          <w:highlight w:val="none"/>
          <w:u w:val="single"/>
        </w:rPr>
        <w:t>29、工程设计变更</w:t>
      </w:r>
    </w:p>
    <w:p>
      <w:pPr>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u w:val="single"/>
        </w:rPr>
        <w:t>29.4开工前，发包人组织承包人、监理单位、设计单位对施工图纸进行会审。如需实施工程变更签证，承包人需在实施相应变更签证2个月前向发包人提出（确属不可预见因素除外）。否则工程实施过程中每实施一项变更签证，承包人须按该变更签证工程价款的3%向发包人支付违约金，引起的工期延误不予顺延。</w:t>
      </w:r>
      <w:r>
        <w:rPr>
          <w:rFonts w:hint="eastAsia" w:ascii="宋体" w:hAnsi="宋体"/>
          <w:i w:val="0"/>
          <w:color w:val="auto"/>
          <w:sz w:val="21"/>
          <w:szCs w:val="21"/>
          <w:highlight w:val="none"/>
          <w:u w:val="single"/>
        </w:rPr>
        <w:t>（注：涂色部分为3000万以上项目适用，3000万以下项目请删除）</w:t>
      </w:r>
    </w:p>
    <w:p>
      <w:pPr>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u w:val="single"/>
        </w:rPr>
        <w:t>同时，如实施工程变更，承包人应以书面形式通知发包人和监理工程师，经监理工程师审查并报发包人同意后，由发包人与设计单位商定修改或变更设计方案进行实施</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29.5</w:t>
      </w:r>
      <w:r>
        <w:rPr>
          <w:rFonts w:hint="eastAsia" w:ascii="宋体" w:hAnsi="宋体"/>
          <w:color w:val="auto"/>
          <w:sz w:val="21"/>
          <w:szCs w:val="21"/>
          <w:highlight w:val="none"/>
          <w:u w:val="single"/>
        </w:rPr>
        <w:t>变更应由监理工程师发出变更指令，没有监理工程师的指令，承包人不得进行上述变更</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29.6</w:t>
      </w:r>
      <w:r>
        <w:rPr>
          <w:rFonts w:hint="eastAsia" w:ascii="宋体" w:hAnsi="宋体"/>
          <w:color w:val="auto"/>
          <w:sz w:val="21"/>
          <w:szCs w:val="21"/>
          <w:highlight w:val="none"/>
          <w:u w:val="single"/>
        </w:rPr>
        <w:t>按施工图纸实施使得工程量少于施工合同工程量清单中已确定或有规定的数量的，则该项工程量减少不需要任何指令</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29.7</w:t>
      </w:r>
      <w:r>
        <w:rPr>
          <w:rFonts w:hint="eastAsia" w:ascii="宋体" w:hAnsi="宋体"/>
          <w:color w:val="auto"/>
          <w:sz w:val="21"/>
          <w:szCs w:val="21"/>
          <w:highlight w:val="none"/>
          <w:u w:val="single"/>
        </w:rPr>
        <w:t>所有涉及工期和工程量的变更均应获得发包人书面批准才能生效</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29.8</w:t>
      </w:r>
      <w:r>
        <w:rPr>
          <w:rFonts w:hint="eastAsia" w:ascii="宋体" w:hAnsi="宋体"/>
          <w:color w:val="auto"/>
          <w:sz w:val="21"/>
          <w:szCs w:val="21"/>
          <w:highlight w:val="none"/>
          <w:u w:val="single"/>
        </w:rPr>
        <w:t>当发包人提出变更通知，承包人认为产生了增加费用，承包人应在发包人提出通知要求后</w:t>
      </w:r>
      <w:r>
        <w:rPr>
          <w:rFonts w:ascii="宋体" w:hAnsi="宋体"/>
          <w:color w:val="auto"/>
          <w:sz w:val="21"/>
          <w:szCs w:val="21"/>
          <w:highlight w:val="none"/>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29.9</w:t>
      </w:r>
      <w:r>
        <w:rPr>
          <w:rFonts w:hint="eastAsia" w:ascii="宋体" w:hAnsi="宋体"/>
          <w:color w:val="auto"/>
          <w:sz w:val="21"/>
          <w:szCs w:val="21"/>
          <w:highlight w:val="none"/>
          <w:u w:val="single"/>
        </w:rPr>
        <w:t>工程变更申报程序按广州开发区、黄埔区以及建设业主的有关规定执行</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29.10</w:t>
      </w:r>
      <w:r>
        <w:rPr>
          <w:rFonts w:ascii="宋体" w:hAnsi="宋体"/>
          <w:color w:val="auto"/>
          <w:sz w:val="21"/>
          <w:szCs w:val="21"/>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30、其它变更</w:t>
      </w:r>
    </w:p>
    <w:p>
      <w:pPr>
        <w:snapToGrid w:val="0"/>
        <w:spacing w:line="440" w:lineRule="exact"/>
        <w:ind w:firstLine="397"/>
        <w:rPr>
          <w:rFonts w:hint="eastAsia" w:ascii="宋体" w:hAnsi="宋体"/>
          <w:color w:val="auto"/>
          <w:sz w:val="21"/>
          <w:szCs w:val="21"/>
          <w:highlight w:val="none"/>
        </w:rPr>
      </w:pPr>
      <w:r>
        <w:rPr>
          <w:rFonts w:ascii="宋体" w:hAnsi="宋体"/>
          <w:color w:val="auto"/>
          <w:sz w:val="21"/>
          <w:szCs w:val="21"/>
          <w:highlight w:val="none"/>
        </w:rPr>
        <w:t>30.1工程现场签证：</w:t>
      </w:r>
      <w:r>
        <w:rPr>
          <w:rFonts w:hint="eastAsia" w:ascii="宋体" w:hAnsi="宋体"/>
          <w:color w:val="auto"/>
          <w:sz w:val="21"/>
          <w:szCs w:val="21"/>
          <w:highlight w:val="none"/>
          <w:u w:val="single"/>
        </w:rPr>
        <w:t>工程现场签证是指施工生产活动中用以证实在施工中遇到的某些特殊情况的一种书证明资料，一般指按承发包合同约定，由承发包双方代表就施工过程中涉及合同价款之外的责任事件所作的签认证明</w:t>
      </w:r>
      <w:r>
        <w:rPr>
          <w:rFonts w:hint="eastAsia" w:ascii="宋体" w:hAnsi="宋体"/>
          <w:color w:val="auto"/>
          <w:sz w:val="21"/>
          <w:szCs w:val="21"/>
          <w:highlight w:val="none"/>
        </w:rPr>
        <w:t>。</w:t>
      </w:r>
    </w:p>
    <w:p>
      <w:pPr>
        <w:snapToGrid w:val="0"/>
        <w:spacing w:line="440" w:lineRule="exact"/>
        <w:ind w:firstLine="397"/>
        <w:rPr>
          <w:rFonts w:hint="eastAsia" w:ascii="宋体" w:hAnsi="宋体"/>
          <w:color w:val="auto"/>
          <w:sz w:val="21"/>
          <w:szCs w:val="21"/>
          <w:highlight w:val="none"/>
        </w:rPr>
      </w:pPr>
      <w:r>
        <w:rPr>
          <w:rFonts w:hint="eastAsia" w:ascii="宋体" w:hAnsi="宋体"/>
          <w:color w:val="auto"/>
          <w:sz w:val="21"/>
          <w:szCs w:val="21"/>
          <w:highlight w:val="none"/>
          <w:u w:val="single"/>
        </w:rPr>
        <w:t>承包人需对施工图纸进行会审，如需对施工图纸漏项漏量进行确认，承包人需在前四分之一工期阶段内且最长不得超过开工之日起6个月内向发包人提出，</w:t>
      </w:r>
      <w:r>
        <w:rPr>
          <w:rFonts w:hint="eastAsia" w:ascii="宋体" w:hAnsi="宋体"/>
          <w:color w:val="auto"/>
          <w:sz w:val="24"/>
          <w:highlight w:val="none"/>
          <w:u w:val="single"/>
        </w:rPr>
        <w:t>并按关于印发《广州开发区财政投资建设项目管理中心工程量清单错漏申报管理办法（2021年）》</w:t>
      </w:r>
      <w:r>
        <w:rPr>
          <w:rFonts w:hint="eastAsia" w:ascii="宋体" w:hAnsi="宋体"/>
          <w:color w:val="auto"/>
          <w:sz w:val="24"/>
          <w:highlight w:val="none"/>
          <w:u w:val="single"/>
          <w:lang w:eastAsia="zh-CN"/>
        </w:rPr>
        <w:t>（穗开建管〔2021〕78号）（文件有更新的按最新文件要求）规定要求</w:t>
      </w:r>
      <w:r>
        <w:rPr>
          <w:rFonts w:hint="eastAsia" w:ascii="宋体" w:hAnsi="宋体"/>
          <w:color w:val="auto"/>
          <w:sz w:val="24"/>
          <w:highlight w:val="none"/>
          <w:u w:val="single"/>
        </w:rPr>
        <w:t>办理申报手续，</w:t>
      </w:r>
      <w:r>
        <w:rPr>
          <w:rFonts w:hint="eastAsia" w:ascii="宋体" w:hAnsi="宋体"/>
          <w:color w:val="auto"/>
          <w:sz w:val="21"/>
          <w:szCs w:val="21"/>
          <w:highlight w:val="none"/>
          <w:u w:val="single"/>
        </w:rPr>
        <w:t>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30.2签证的计价：</w:t>
      </w:r>
      <w:r>
        <w:rPr>
          <w:rFonts w:hint="eastAsia" w:ascii="宋体" w:hAnsi="宋体"/>
          <w:color w:val="auto"/>
          <w:sz w:val="21"/>
          <w:szCs w:val="21"/>
          <w:highlight w:val="none"/>
          <w:u w:val="single"/>
        </w:rPr>
        <w:t>按招标文件及合同中关于工程变更的计价有关规定执行</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30.3签证实施前所需的施工方案：</w:t>
      </w:r>
      <w:r>
        <w:rPr>
          <w:rFonts w:hint="eastAsia" w:ascii="宋体" w:hAnsi="宋体"/>
          <w:color w:val="auto"/>
          <w:sz w:val="21"/>
          <w:szCs w:val="21"/>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30.4</w:t>
      </w:r>
      <w:r>
        <w:rPr>
          <w:rFonts w:hint="eastAsia" w:ascii="宋体" w:hAnsi="宋体"/>
          <w:color w:val="auto"/>
          <w:sz w:val="21"/>
          <w:szCs w:val="21"/>
          <w:highlight w:val="none"/>
          <w:u w:val="single"/>
        </w:rPr>
        <w:t>工程现场签证申报程序按广州开发区、黄埔区以及建设业主的有关规定执行</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31、确定变更价款</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31.1</w:t>
      </w:r>
      <w:r>
        <w:rPr>
          <w:rFonts w:ascii="宋体" w:hAnsi="宋体"/>
          <w:color w:val="auto"/>
          <w:sz w:val="21"/>
          <w:szCs w:val="21"/>
          <w:highlight w:val="none"/>
          <w:u w:val="single"/>
        </w:rPr>
        <w:t>承包人在工程变更确定后14天内，提出变更工程价款的报告，经工程师确认后调整合同价款。</w:t>
      </w:r>
      <w:r>
        <w:rPr>
          <w:rFonts w:hint="eastAsia" w:ascii="宋体" w:hAnsi="宋体"/>
          <w:color w:val="auto"/>
          <w:sz w:val="21"/>
          <w:szCs w:val="21"/>
          <w:highlight w:val="none"/>
          <w:u w:val="single"/>
        </w:rPr>
        <w:t>变更合同价款确定原则按本合同相关约定执行</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31.3</w:t>
      </w:r>
      <w:r>
        <w:rPr>
          <w:rFonts w:ascii="宋体" w:hAnsi="宋体"/>
          <w:color w:val="auto"/>
          <w:sz w:val="21"/>
          <w:szCs w:val="21"/>
          <w:highlight w:val="none"/>
          <w:u w:val="single"/>
        </w:rPr>
        <w:t>所有变更工程价款的报告必须按规定程序报发包人审核确认</w:t>
      </w:r>
      <w:r>
        <w:rPr>
          <w:rFonts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31.5</w:t>
      </w:r>
      <w:r>
        <w:rPr>
          <w:rFonts w:ascii="宋体" w:hAnsi="宋体"/>
          <w:color w:val="auto"/>
          <w:sz w:val="21"/>
          <w:szCs w:val="21"/>
          <w:highlight w:val="none"/>
          <w:u w:val="single"/>
        </w:rPr>
        <w:t>工程变更价款的支付按本合同相关约定支付</w:t>
      </w:r>
      <w:r>
        <w:rPr>
          <w:rFonts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31.7</w:t>
      </w:r>
      <w:r>
        <w:rPr>
          <w:rFonts w:hint="eastAsia" w:ascii="宋体" w:hAnsi="宋体"/>
          <w:color w:val="auto"/>
          <w:sz w:val="21"/>
          <w:szCs w:val="21"/>
          <w:highlight w:val="none"/>
          <w:u w:val="single"/>
        </w:rPr>
        <w:t>发生上述规定的变更后，承包人在收到发包人变更通知的</w:t>
      </w:r>
      <w:r>
        <w:rPr>
          <w:rFonts w:ascii="宋体" w:hAnsi="宋体"/>
          <w:color w:val="auto"/>
          <w:sz w:val="21"/>
          <w:szCs w:val="21"/>
          <w:highlight w:val="none"/>
          <w:u w:val="single"/>
        </w:rPr>
        <w:t>7天内按合同文件规定的计价方式内容编出变更工程建议送交监理单位</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31.8</w:t>
      </w:r>
      <w:r>
        <w:rPr>
          <w:rFonts w:hint="eastAsia" w:ascii="宋体" w:hAnsi="宋体"/>
          <w:color w:val="auto"/>
          <w:sz w:val="21"/>
          <w:szCs w:val="21"/>
          <w:highlight w:val="none"/>
          <w:u w:val="single"/>
        </w:rPr>
        <w:t>在工程变更价款计算时，承包人应按招标文件相关规定编制变更工程的预算，提供变更依据及详细的计算资料，报监理单位和发包人批准</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31.9</w:t>
      </w:r>
      <w:r>
        <w:rPr>
          <w:rFonts w:hint="eastAsia" w:ascii="宋体" w:hAnsi="宋体"/>
          <w:color w:val="auto"/>
          <w:sz w:val="21"/>
          <w:szCs w:val="21"/>
          <w:highlight w:val="none"/>
          <w:u w:val="single"/>
        </w:rPr>
        <w:t>工程变更、签证申报程序按广州开发区、黄埔区以及建设业主的有关规定执行</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九、竣工验收与结算</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32</w:t>
      </w:r>
      <w:r>
        <w:rPr>
          <w:rFonts w:hint="eastAsia" w:ascii="宋体" w:hAnsi="宋体"/>
          <w:b/>
          <w:color w:val="auto"/>
          <w:sz w:val="24"/>
          <w:highlight w:val="none"/>
        </w:rPr>
        <w:t>、竣工验收</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32.1</w:t>
      </w:r>
      <w:r>
        <w:rPr>
          <w:rFonts w:hint="eastAsia" w:ascii="宋体" w:hAnsi="宋体"/>
          <w:color w:val="auto"/>
          <w:sz w:val="21"/>
          <w:szCs w:val="21"/>
          <w:highlight w:val="none"/>
        </w:rPr>
        <w:t>承包人提供竣工图纸的约定：</w:t>
      </w:r>
      <w:r>
        <w:rPr>
          <w:rFonts w:hint="eastAsia" w:ascii="宋体" w:hAnsi="宋体"/>
          <w:color w:val="auto"/>
          <w:sz w:val="21"/>
          <w:szCs w:val="21"/>
          <w:highlight w:val="none"/>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32.6</w:t>
      </w:r>
      <w:r>
        <w:rPr>
          <w:rFonts w:hint="eastAsia" w:ascii="宋体" w:hAnsi="宋体"/>
          <w:color w:val="auto"/>
          <w:sz w:val="21"/>
          <w:szCs w:val="21"/>
          <w:highlight w:val="none"/>
        </w:rPr>
        <w:t>中间交工工程的范围和竣工时间：</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33、竣工结算</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承发包双方一致同意不适用</w:t>
      </w:r>
      <w:r>
        <w:rPr>
          <w:rFonts w:hint="eastAsia" w:ascii="宋体" w:hAnsi="宋体"/>
          <w:color w:val="auto"/>
          <w:sz w:val="21"/>
          <w:szCs w:val="21"/>
          <w:highlight w:val="none"/>
          <w:u w:val="single"/>
        </w:rPr>
        <w:t>通用条款</w:t>
      </w:r>
      <w:r>
        <w:rPr>
          <w:rFonts w:ascii="宋体" w:hAnsi="宋体"/>
          <w:color w:val="auto"/>
          <w:sz w:val="21"/>
          <w:szCs w:val="21"/>
          <w:highlight w:val="none"/>
          <w:u w:val="single"/>
        </w:rPr>
        <w:t>33.2款、33.3款、33.4款</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竣工结算办法：</w:t>
      </w:r>
      <w:r>
        <w:rPr>
          <w:rFonts w:hint="eastAsia" w:ascii="宋体" w:hAnsi="宋体"/>
          <w:color w:val="auto"/>
          <w:sz w:val="21"/>
          <w:szCs w:val="21"/>
          <w:highlight w:val="none"/>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hint="eastAsia" w:ascii="宋体" w:hAnsi="宋体"/>
          <w:color w:val="auto"/>
          <w:sz w:val="21"/>
          <w:szCs w:val="21"/>
          <w:highlight w:val="none"/>
        </w:rPr>
        <w:t>。</w:t>
      </w:r>
    </w:p>
    <w:p>
      <w:pPr>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竣工结算提交时间：</w:t>
      </w:r>
      <w:r>
        <w:rPr>
          <w:rFonts w:hint="eastAsia" w:ascii="宋体" w:hAnsi="宋体"/>
          <w:color w:val="auto"/>
          <w:sz w:val="21"/>
          <w:szCs w:val="21"/>
          <w:highlight w:val="none"/>
          <w:u w:val="single"/>
        </w:rPr>
        <w:t>承包人须按《广州开发区财政投资建设项目管理中心施工类合同结算编审指引（试行）》及区有关规定编制及办理建设项目工程结算。</w:t>
      </w:r>
    </w:p>
    <w:p>
      <w:pPr>
        <w:snapToGrid w:val="0"/>
        <w:spacing w:line="440" w:lineRule="exact"/>
        <w:ind w:firstLine="397"/>
        <w:rPr>
          <w:rFonts w:hint="eastAsia" w:ascii="宋体" w:hAnsi="宋体"/>
          <w:color w:val="auto"/>
          <w:sz w:val="21"/>
          <w:szCs w:val="21"/>
          <w:highlight w:val="none"/>
          <w:u w:val="single"/>
        </w:rPr>
      </w:pPr>
      <w:r>
        <w:rPr>
          <w:rFonts w:hint="eastAsia" w:ascii="宋体" w:hAnsi="宋体"/>
          <w:b w:val="0"/>
          <w:bCs w:val="0"/>
          <w:color w:val="auto"/>
          <w:sz w:val="21"/>
          <w:szCs w:val="21"/>
          <w:highlight w:val="none"/>
          <w:u w:val="single"/>
        </w:rPr>
        <w:t xml:space="preserve">    承包人未按前款规定的期限和内容编制及办理建设项目工程结算（非承包人原因无法办理工程结算的情况除外），经发包人或代建单位或监理人</w:t>
      </w:r>
      <w:r>
        <w:rPr>
          <w:rFonts w:hint="eastAsia" w:ascii="宋体" w:hAnsi="宋体"/>
          <w:b w:val="0"/>
          <w:bCs w:val="0"/>
          <w:color w:val="auto"/>
          <w:kern w:val="2"/>
          <w:sz w:val="21"/>
          <w:szCs w:val="21"/>
          <w:highlight w:val="none"/>
          <w:u w:val="single"/>
        </w:rPr>
        <w:t>书面通知之日起2个月内（最长期限不得超过6个月）</w:t>
      </w:r>
      <w:r>
        <w:rPr>
          <w:rFonts w:hint="eastAsia" w:ascii="宋体" w:hAnsi="宋体"/>
          <w:b w:val="0"/>
          <w:bCs w:val="0"/>
          <w:color w:val="auto"/>
          <w:sz w:val="21"/>
          <w:szCs w:val="21"/>
          <w:highlight w:val="none"/>
          <w:u w:val="single"/>
        </w:rPr>
        <w:t>仍未提交编制及办理建设项目工程结算的相关文件的，监理人和发包人有权根据发包人已有资料进行审核，并报区财政局审定，区财政局审定的竣工结算合同总价视同是经承包人认可的工程竣工结算合同总价。</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十、违约、索赔和争议</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35</w:t>
      </w:r>
      <w:r>
        <w:rPr>
          <w:rFonts w:hint="eastAsia" w:ascii="宋体" w:hAnsi="宋体"/>
          <w:b/>
          <w:color w:val="auto"/>
          <w:sz w:val="24"/>
          <w:highlight w:val="none"/>
        </w:rPr>
        <w:t>、违约</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35.1</w:t>
      </w:r>
      <w:r>
        <w:rPr>
          <w:rFonts w:hint="eastAsia" w:ascii="宋体" w:hAnsi="宋体"/>
          <w:color w:val="auto"/>
          <w:sz w:val="21"/>
          <w:szCs w:val="21"/>
          <w:highlight w:val="none"/>
        </w:rPr>
        <w:t>本合同中关于发包人违约的具体责任如下：</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本合同通用条款第</w:t>
      </w:r>
      <w:r>
        <w:rPr>
          <w:rFonts w:ascii="宋体" w:hAnsi="宋体"/>
          <w:color w:val="auto"/>
          <w:sz w:val="21"/>
          <w:szCs w:val="21"/>
          <w:highlight w:val="none"/>
        </w:rPr>
        <w:t>35.1条约定发包人违约应承担的责任：</w:t>
      </w:r>
      <w:r>
        <w:rPr>
          <w:rFonts w:hint="eastAsia" w:ascii="宋体" w:hAnsi="宋体"/>
          <w:color w:val="auto"/>
          <w:sz w:val="21"/>
          <w:szCs w:val="21"/>
          <w:highlight w:val="none"/>
          <w:u w:val="single"/>
        </w:rPr>
        <w:t>顺延工期，但不作费用赔偿</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hint="eastAsia" w:ascii="宋体" w:hAnsi="宋体"/>
          <w:color w:val="auto"/>
          <w:sz w:val="21"/>
          <w:szCs w:val="21"/>
          <w:highlight w:val="none"/>
        </w:rPr>
        <w:t>双方约定的发包人其他违约责任：</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35.2</w:t>
      </w:r>
      <w:r>
        <w:rPr>
          <w:rFonts w:hint="eastAsia" w:ascii="宋体" w:hAnsi="宋体"/>
          <w:color w:val="auto"/>
          <w:sz w:val="21"/>
          <w:szCs w:val="21"/>
          <w:highlight w:val="none"/>
        </w:rPr>
        <w:t>本合同中关于承包人违约的具体责任如下：</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35.2.1工期延误的违约责任</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u w:val="single"/>
        </w:rPr>
        <w:t>承包人未按发包人或监理单位开工令要求时间开工的，每迟延开工</w:t>
      </w:r>
      <w:r>
        <w:rPr>
          <w:rFonts w:ascii="宋体" w:hAnsi="宋体"/>
          <w:color w:val="auto"/>
          <w:sz w:val="21"/>
          <w:szCs w:val="21"/>
          <w:highlight w:val="none"/>
          <w:u w:val="single"/>
        </w:rPr>
        <w:t>1</w:t>
      </w:r>
      <w:r>
        <w:rPr>
          <w:rFonts w:hint="eastAsia" w:ascii="宋体" w:hAnsi="宋体"/>
          <w:color w:val="auto"/>
          <w:sz w:val="21"/>
          <w:szCs w:val="21"/>
          <w:highlight w:val="none"/>
          <w:u w:val="single"/>
        </w:rPr>
        <w:t>天，应向发包人支付违约金</w:t>
      </w:r>
      <w:r>
        <w:rPr>
          <w:rFonts w:ascii="宋体" w:hAnsi="宋体"/>
          <w:color w:val="auto"/>
          <w:sz w:val="21"/>
          <w:szCs w:val="21"/>
          <w:highlight w:val="none"/>
          <w:u w:val="single"/>
        </w:rPr>
        <w:t>5000元；迟延开工超过20</w:t>
      </w:r>
      <w:r>
        <w:rPr>
          <w:rFonts w:hint="eastAsia" w:ascii="宋体" w:hAnsi="宋体"/>
          <w:color w:val="auto"/>
          <w:sz w:val="21"/>
          <w:szCs w:val="21"/>
          <w:highlight w:val="none"/>
          <w:u w:val="single"/>
        </w:rPr>
        <w:t>天的，发包人有权根据实际情况单方面解除合同</w:t>
      </w:r>
      <w:r>
        <w:rPr>
          <w:rFonts w:hint="eastAsia" w:ascii="宋体" w:hAnsi="宋体"/>
          <w:color w:val="auto"/>
          <w:sz w:val="21"/>
          <w:szCs w:val="21"/>
          <w:highlight w:val="none"/>
        </w:rPr>
        <w:t>。</w:t>
      </w:r>
    </w:p>
    <w:p>
      <w:pPr>
        <w:spacing w:line="520" w:lineRule="exact"/>
        <w:ind w:firstLine="56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w:t>
      </w:r>
      <w:r>
        <w:rPr>
          <w:rFonts w:hint="eastAsia" w:ascii="宋体" w:hAnsi="宋体"/>
          <w:color w:val="auto"/>
          <w:sz w:val="21"/>
          <w:szCs w:val="21"/>
          <w:highlight w:val="none"/>
          <w:u w:val="single"/>
        </w:rPr>
        <w:t>因承包人的原因造成工期延误，其中属节点工期延误，从延误的第一天起，每天支付违约金</w:t>
      </w:r>
      <w:r>
        <w:rPr>
          <w:rFonts w:ascii="宋体" w:hAnsi="宋体"/>
          <w:color w:val="auto"/>
          <w:sz w:val="21"/>
          <w:szCs w:val="21"/>
          <w:highlight w:val="none"/>
          <w:u w:val="single"/>
        </w:rPr>
        <w:t>5000</w:t>
      </w:r>
      <w:r>
        <w:rPr>
          <w:rFonts w:hint="eastAsia" w:ascii="宋体" w:hAnsi="宋体"/>
          <w:color w:val="auto"/>
          <w:sz w:val="21"/>
          <w:szCs w:val="21"/>
          <w:highlight w:val="none"/>
          <w:u w:val="single"/>
        </w:rPr>
        <w:t>元，如在下一个节点赶回工期，可免除上述违约金。属总工期延误，从总工期延误的第一天起，每天支付违约金</w:t>
      </w:r>
      <w:r>
        <w:rPr>
          <w:rFonts w:ascii="宋体" w:hAnsi="宋体"/>
          <w:color w:val="auto"/>
          <w:sz w:val="21"/>
          <w:szCs w:val="21"/>
          <w:highlight w:val="none"/>
          <w:u w:val="single"/>
        </w:rPr>
        <w:t>20000元</w:t>
      </w:r>
      <w:r>
        <w:rPr>
          <w:rFonts w:hint="eastAsia" w:ascii="宋体" w:hAnsi="宋体"/>
          <w:color w:val="auto"/>
          <w:sz w:val="21"/>
          <w:szCs w:val="21"/>
          <w:highlight w:val="none"/>
          <w:u w:val="single"/>
        </w:rPr>
        <w:t>。延误工期超过20天的，发包人可视情况终止合同。</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w:t>
      </w:r>
      <w:r>
        <w:rPr>
          <w:rFonts w:hint="eastAsia" w:ascii="宋体" w:hAnsi="宋体"/>
          <w:color w:val="auto"/>
          <w:sz w:val="21"/>
          <w:szCs w:val="21"/>
          <w:highlight w:val="none"/>
          <w:u w:val="single"/>
        </w:rPr>
        <w:t>承包人必须按期完成主要工序的施工任务，若属承包人原因逾期达</w:t>
      </w:r>
      <w:r>
        <w:rPr>
          <w:rFonts w:ascii="宋体" w:hAnsi="宋体"/>
          <w:color w:val="auto"/>
          <w:sz w:val="21"/>
          <w:szCs w:val="21"/>
          <w:highlight w:val="none"/>
          <w:u w:val="single"/>
        </w:rPr>
        <w:t>10天未完成主要节点的施工任务时，</w:t>
      </w:r>
      <w:r>
        <w:rPr>
          <w:rFonts w:hint="eastAsia" w:ascii="宋体" w:hAnsi="宋体"/>
          <w:color w:val="auto"/>
          <w:sz w:val="21"/>
          <w:szCs w:val="21"/>
          <w:highlight w:val="none"/>
          <w:u w:val="single"/>
        </w:rPr>
        <w:t>除按第（2</w:t>
      </w:r>
      <w:r>
        <w:rPr>
          <w:rFonts w:ascii="宋体" w:hAnsi="宋体"/>
          <w:color w:val="auto"/>
          <w:sz w:val="21"/>
          <w:szCs w:val="21"/>
          <w:highlight w:val="none"/>
          <w:u w:val="single"/>
        </w:rPr>
        <w:t>）项约定承担违约责任外，</w:t>
      </w:r>
      <w:r>
        <w:rPr>
          <w:rFonts w:hint="eastAsia" w:ascii="宋体" w:hAnsi="宋体"/>
          <w:color w:val="auto"/>
          <w:sz w:val="21"/>
          <w:szCs w:val="21"/>
          <w:highlight w:val="none"/>
          <w:u w:val="single"/>
        </w:rPr>
        <w:t>发包人可要求撤换项目负责人，承包人应予以执行，并在总工期不调整的前提下自行消化节点工期的延误。逾期</w:t>
      </w:r>
      <w:r>
        <w:rPr>
          <w:rFonts w:ascii="宋体" w:hAnsi="宋体"/>
          <w:color w:val="auto"/>
          <w:sz w:val="21"/>
          <w:szCs w:val="21"/>
          <w:highlight w:val="none"/>
          <w:u w:val="single"/>
        </w:rPr>
        <w:t>20天未完成主要节点的施工任务时，属承包人进度严重违约行为，发包人可</w:t>
      </w:r>
      <w:r>
        <w:rPr>
          <w:rFonts w:hint="eastAsia" w:ascii="宋体" w:hAnsi="宋体"/>
          <w:color w:val="auto"/>
          <w:sz w:val="21"/>
          <w:szCs w:val="21"/>
          <w:highlight w:val="none"/>
          <w:u w:val="single"/>
        </w:rPr>
        <w:t>单方面终止合同，将承包人作不良纪录报区建设行政主管部门备案。并由承包人承担相应的进度严重违约责任</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w:t>
      </w:r>
      <w:r>
        <w:rPr>
          <w:rFonts w:hint="eastAsia" w:ascii="宋体" w:hAnsi="宋体"/>
          <w:color w:val="auto"/>
          <w:sz w:val="21"/>
          <w:szCs w:val="21"/>
          <w:highlight w:val="none"/>
          <w:u w:val="single"/>
        </w:rPr>
        <w:t>承包人承担的进度严重违约责任为：如果承包人出现进度严重违约事件，则须无条件接受发包人终止合同，并在接到终止合同通知书之日起</w:t>
      </w:r>
      <w:r>
        <w:rPr>
          <w:rFonts w:ascii="宋体" w:hAnsi="宋体"/>
          <w:color w:val="auto"/>
          <w:sz w:val="21"/>
          <w:szCs w:val="21"/>
          <w:highlight w:val="none"/>
          <w:u w:val="single"/>
        </w:rPr>
        <w:t>5个</w:t>
      </w:r>
      <w:r>
        <w:rPr>
          <w:rFonts w:hint="eastAsia" w:ascii="宋体" w:hAnsi="宋体"/>
          <w:color w:val="auto"/>
          <w:sz w:val="21"/>
          <w:szCs w:val="21"/>
          <w:highlight w:val="none"/>
          <w:u w:val="single"/>
        </w:rPr>
        <w:t>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w:t>
      </w:r>
      <w:r>
        <w:rPr>
          <w:rFonts w:hint="eastAsia" w:ascii="宋体" w:hAnsi="宋体"/>
          <w:color w:val="auto"/>
          <w:sz w:val="21"/>
          <w:szCs w:val="21"/>
          <w:highlight w:val="none"/>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ascii="宋体" w:hAnsi="宋体"/>
          <w:color w:val="auto"/>
          <w:sz w:val="21"/>
          <w:szCs w:val="21"/>
          <w:highlight w:val="none"/>
          <w:u w:val="single"/>
        </w:rPr>
        <w:t>5000元违约金</w:t>
      </w:r>
      <w:r>
        <w:rPr>
          <w:rFonts w:hint="eastAsia" w:ascii="宋体" w:hAnsi="宋体"/>
          <w:color w:val="auto"/>
          <w:sz w:val="21"/>
          <w:szCs w:val="21"/>
          <w:highlight w:val="none"/>
        </w:rPr>
        <w:t>。</w:t>
      </w:r>
    </w:p>
    <w:p>
      <w:pPr>
        <w:snapToGrid w:val="0"/>
        <w:spacing w:line="440" w:lineRule="exact"/>
        <w:ind w:firstLine="397"/>
        <w:rPr>
          <w:rFonts w:ascii="宋体" w:hAnsi="宋体"/>
          <w:snapToGrid w:val="0"/>
          <w:color w:val="auto"/>
          <w:kern w:val="0"/>
          <w:sz w:val="21"/>
          <w:szCs w:val="21"/>
          <w:highlight w:val="none"/>
        </w:rPr>
      </w:pPr>
      <w:r>
        <w:rPr>
          <w:rFonts w:hint="eastAsia" w:ascii="宋体" w:hAnsi="宋体"/>
          <w:snapToGrid w:val="0"/>
          <w:color w:val="auto"/>
          <w:kern w:val="0"/>
          <w:sz w:val="21"/>
          <w:szCs w:val="21"/>
          <w:highlight w:val="none"/>
        </w:rPr>
        <w:t>（</w:t>
      </w:r>
      <w:r>
        <w:rPr>
          <w:rFonts w:ascii="宋体" w:hAnsi="宋体"/>
          <w:snapToGrid w:val="0"/>
          <w:color w:val="auto"/>
          <w:kern w:val="0"/>
          <w:sz w:val="21"/>
          <w:szCs w:val="21"/>
          <w:highlight w:val="none"/>
        </w:rPr>
        <w:t>6</w:t>
      </w:r>
      <w:r>
        <w:rPr>
          <w:rFonts w:hint="eastAsia" w:ascii="宋体" w:hAnsi="宋体"/>
          <w:snapToGrid w:val="0"/>
          <w:color w:val="auto"/>
          <w:kern w:val="0"/>
          <w:sz w:val="21"/>
          <w:szCs w:val="21"/>
          <w:highlight w:val="none"/>
        </w:rPr>
        <w:t>）</w:t>
      </w:r>
      <w:r>
        <w:rPr>
          <w:rFonts w:hint="eastAsia" w:ascii="宋体" w:hAnsi="宋体"/>
          <w:snapToGrid w:val="0"/>
          <w:color w:val="auto"/>
          <w:kern w:val="0"/>
          <w:sz w:val="21"/>
          <w:szCs w:val="21"/>
          <w:highlight w:val="none"/>
          <w:u w:val="single"/>
        </w:rPr>
        <w:t>承包人违反合同专用条款的约定和发包人的规定，逾期完成竣工档案的整理、移交、送审备案工作的，每逾期</w:t>
      </w:r>
      <w:r>
        <w:rPr>
          <w:rFonts w:ascii="宋体" w:hAnsi="宋体"/>
          <w:snapToGrid w:val="0"/>
          <w:color w:val="auto"/>
          <w:kern w:val="0"/>
          <w:sz w:val="21"/>
          <w:szCs w:val="21"/>
          <w:highlight w:val="none"/>
          <w:u w:val="single"/>
        </w:rPr>
        <w:t>1天，承包人支付违约金5000元</w:t>
      </w:r>
      <w:r>
        <w:rPr>
          <w:rFonts w:hint="eastAsia" w:ascii="宋体" w:hAnsi="宋体"/>
          <w:snapToGrid w:val="0"/>
          <w:color w:val="auto"/>
          <w:kern w:val="0"/>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35.2.2</w:t>
      </w:r>
      <w:r>
        <w:rPr>
          <w:rFonts w:hint="eastAsia" w:ascii="宋体" w:hAnsi="宋体"/>
          <w:color w:val="auto"/>
          <w:sz w:val="21"/>
          <w:szCs w:val="21"/>
          <w:highlight w:val="none"/>
        </w:rPr>
        <w:t>安全、文明施工要求及违约处理：</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w:t>
      </w:r>
      <w:r>
        <w:rPr>
          <w:rFonts w:hint="eastAsia" w:ascii="宋体" w:hAnsi="宋体"/>
          <w:color w:val="auto"/>
          <w:sz w:val="21"/>
          <w:szCs w:val="21"/>
          <w:highlight w:val="none"/>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ascii="宋体" w:hAnsi="宋体"/>
          <w:color w:val="auto"/>
          <w:sz w:val="21"/>
          <w:szCs w:val="21"/>
          <w:highlight w:val="none"/>
          <w:u w:val="single"/>
        </w:rPr>
        <w:t>10000</w:t>
      </w:r>
      <w:r>
        <w:rPr>
          <w:rFonts w:hint="eastAsia" w:ascii="宋体" w:hAnsi="宋体"/>
          <w:color w:val="auto"/>
          <w:sz w:val="21"/>
          <w:szCs w:val="21"/>
          <w:highlight w:val="none"/>
          <w:u w:val="single"/>
        </w:rPr>
        <w:t>元人民币违约金给发包人</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w:t>
      </w:r>
      <w:r>
        <w:rPr>
          <w:rFonts w:hint="eastAsia" w:ascii="宋体" w:hAnsi="宋体"/>
          <w:color w:val="auto"/>
          <w:sz w:val="21"/>
          <w:szCs w:val="21"/>
          <w:highlight w:val="none"/>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w:t>
      </w:r>
      <w:r>
        <w:rPr>
          <w:rFonts w:ascii="宋体" w:hAnsi="宋体"/>
          <w:color w:val="auto"/>
          <w:sz w:val="21"/>
          <w:szCs w:val="21"/>
          <w:highlight w:val="none"/>
          <w:u w:val="single"/>
        </w:rPr>
        <w:t>元违约金</w:t>
      </w:r>
      <w:r>
        <w:rPr>
          <w:rFonts w:hint="eastAsia" w:ascii="宋体" w:hAnsi="宋体"/>
          <w:color w:val="auto"/>
          <w:sz w:val="21"/>
          <w:szCs w:val="21"/>
          <w:highlight w:val="none"/>
          <w:u w:val="single"/>
        </w:rPr>
        <w:t>，如发包人因此被相关部门处罚的，罚金由承包人承担</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u w:val="single"/>
        </w:rPr>
        <w:t>如果承包人未按招投标文件及本合同要求做好安全、文明施工相关措施，经监理工程师或发包人检查发现的，每发现一次，承包人支付</w:t>
      </w:r>
      <w:r>
        <w:rPr>
          <w:rFonts w:ascii="宋体" w:hAnsi="宋体"/>
          <w:color w:val="auto"/>
          <w:sz w:val="21"/>
          <w:szCs w:val="21"/>
          <w:highlight w:val="none"/>
          <w:u w:val="single"/>
        </w:rPr>
        <w:t>5000元违约金，并按发包人或监理单位要求限期整改，未在限期内完成整改的，每延期一天，承包人支付</w:t>
      </w:r>
      <w:r>
        <w:rPr>
          <w:rFonts w:hint="eastAsia" w:ascii="宋体" w:hAnsi="宋体"/>
          <w:color w:val="auto"/>
          <w:sz w:val="21"/>
          <w:szCs w:val="21"/>
          <w:highlight w:val="none"/>
          <w:u w:val="single"/>
        </w:rPr>
        <w:t>10000</w:t>
      </w:r>
      <w:r>
        <w:rPr>
          <w:rFonts w:ascii="宋体" w:hAnsi="宋体"/>
          <w:color w:val="auto"/>
          <w:sz w:val="21"/>
          <w:szCs w:val="21"/>
          <w:highlight w:val="none"/>
          <w:u w:val="single"/>
        </w:rPr>
        <w:t>元违约金</w:t>
      </w:r>
      <w:r>
        <w:rPr>
          <w:rFonts w:hint="eastAsia" w:ascii="宋体" w:hAnsi="宋体"/>
          <w:color w:val="auto"/>
          <w:sz w:val="21"/>
          <w:szCs w:val="21"/>
          <w:highlight w:val="none"/>
        </w:rPr>
        <w:t>。</w:t>
      </w:r>
    </w:p>
    <w:p>
      <w:pPr>
        <w:snapToGrid w:val="0"/>
        <w:spacing w:line="440" w:lineRule="exact"/>
        <w:ind w:firstLine="397"/>
        <w:rPr>
          <w:rFonts w:ascii="宋体" w:hAnsi="宋体"/>
          <w:snapToGrid w:val="0"/>
          <w:color w:val="auto"/>
          <w:kern w:val="0"/>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u w:val="single"/>
        </w:rPr>
        <w:t>在施工过程中发生安全事故的，除按照国家、省、市规定进行处理外。若导致人员伤亡的，承包人按下列办法支付违约金：如发生死亡事故，死亡</w:t>
      </w:r>
      <w:r>
        <w:rPr>
          <w:rFonts w:ascii="宋体" w:hAnsi="宋体"/>
          <w:color w:val="auto"/>
          <w:sz w:val="21"/>
          <w:szCs w:val="21"/>
          <w:highlight w:val="none"/>
          <w:u w:val="single"/>
        </w:rPr>
        <w:t>1人，</w:t>
      </w:r>
      <w:r>
        <w:rPr>
          <w:rFonts w:hint="eastAsia" w:ascii="宋体" w:hAnsi="宋体"/>
          <w:color w:val="auto"/>
          <w:sz w:val="21"/>
          <w:szCs w:val="21"/>
          <w:highlight w:val="none"/>
          <w:u w:val="single"/>
        </w:rPr>
        <w:t>支付</w:t>
      </w:r>
      <w:r>
        <w:rPr>
          <w:rFonts w:ascii="宋体" w:hAnsi="宋体"/>
          <w:color w:val="auto"/>
          <w:sz w:val="21"/>
          <w:szCs w:val="21"/>
          <w:highlight w:val="none"/>
          <w:u w:val="single"/>
        </w:rPr>
        <w:t>20万元；死亡2人，</w:t>
      </w:r>
      <w:r>
        <w:rPr>
          <w:rFonts w:hint="eastAsia" w:ascii="宋体" w:hAnsi="宋体"/>
          <w:color w:val="auto"/>
          <w:sz w:val="21"/>
          <w:szCs w:val="21"/>
          <w:highlight w:val="none"/>
          <w:u w:val="single"/>
        </w:rPr>
        <w:t>支付</w:t>
      </w:r>
      <w:r>
        <w:rPr>
          <w:rFonts w:ascii="宋体" w:hAnsi="宋体"/>
          <w:color w:val="auto"/>
          <w:sz w:val="21"/>
          <w:szCs w:val="21"/>
          <w:highlight w:val="none"/>
          <w:u w:val="single"/>
        </w:rPr>
        <w:t>40万元；死亡3人或以上，</w:t>
      </w:r>
      <w:r>
        <w:rPr>
          <w:rFonts w:hint="eastAsia" w:ascii="宋体" w:hAnsi="宋体"/>
          <w:color w:val="auto"/>
          <w:sz w:val="21"/>
          <w:szCs w:val="21"/>
          <w:highlight w:val="none"/>
          <w:u w:val="single"/>
        </w:rPr>
        <w:t>支付</w:t>
      </w:r>
      <w:r>
        <w:rPr>
          <w:rFonts w:ascii="宋体" w:hAnsi="宋体"/>
          <w:color w:val="auto"/>
          <w:sz w:val="21"/>
          <w:szCs w:val="21"/>
          <w:highlight w:val="none"/>
          <w:u w:val="single"/>
        </w:rPr>
        <w:t>80万元。如发生重伤事故，重伤1人，</w:t>
      </w:r>
      <w:r>
        <w:rPr>
          <w:rFonts w:hint="eastAsia" w:ascii="宋体" w:hAnsi="宋体"/>
          <w:color w:val="auto"/>
          <w:sz w:val="21"/>
          <w:szCs w:val="21"/>
          <w:highlight w:val="none"/>
          <w:u w:val="single"/>
        </w:rPr>
        <w:t>支付</w:t>
      </w:r>
      <w:r>
        <w:rPr>
          <w:rFonts w:ascii="宋体" w:hAnsi="宋体"/>
          <w:color w:val="auto"/>
          <w:sz w:val="21"/>
          <w:szCs w:val="21"/>
          <w:highlight w:val="none"/>
          <w:u w:val="single"/>
        </w:rPr>
        <w:t>10万元；重伤2人，</w:t>
      </w:r>
      <w:r>
        <w:rPr>
          <w:rFonts w:hint="eastAsia" w:ascii="宋体" w:hAnsi="宋体"/>
          <w:color w:val="auto"/>
          <w:sz w:val="21"/>
          <w:szCs w:val="21"/>
          <w:highlight w:val="none"/>
          <w:u w:val="single"/>
        </w:rPr>
        <w:t>支付</w:t>
      </w:r>
      <w:r>
        <w:rPr>
          <w:rFonts w:ascii="宋体" w:hAnsi="宋体"/>
          <w:color w:val="auto"/>
          <w:sz w:val="21"/>
          <w:szCs w:val="21"/>
          <w:highlight w:val="none"/>
          <w:u w:val="single"/>
        </w:rPr>
        <w:t>20万元；重伤3人或以上，</w:t>
      </w:r>
      <w:r>
        <w:rPr>
          <w:rFonts w:hint="eastAsia" w:ascii="宋体" w:hAnsi="宋体"/>
          <w:color w:val="auto"/>
          <w:sz w:val="21"/>
          <w:szCs w:val="21"/>
          <w:highlight w:val="none"/>
          <w:u w:val="single"/>
        </w:rPr>
        <w:t>支付</w:t>
      </w:r>
      <w:r>
        <w:rPr>
          <w:rFonts w:ascii="宋体" w:hAnsi="宋体"/>
          <w:color w:val="auto"/>
          <w:sz w:val="21"/>
          <w:szCs w:val="21"/>
          <w:highlight w:val="none"/>
          <w:u w:val="single"/>
        </w:rPr>
        <w:t>40万元。因承包人原因发生一般安全事故，未造成人员伤亡</w:t>
      </w:r>
      <w:r>
        <w:rPr>
          <w:rFonts w:hint="eastAsia" w:ascii="宋体" w:hAnsi="宋体"/>
          <w:color w:val="auto"/>
          <w:sz w:val="21"/>
          <w:szCs w:val="21"/>
          <w:highlight w:val="none"/>
          <w:u w:val="single"/>
        </w:rPr>
        <w:t>或造成人员轻伤及轻微财产损失的，每发生一次，承包人支付违约金</w:t>
      </w:r>
      <w:r>
        <w:rPr>
          <w:rFonts w:ascii="宋体" w:hAnsi="宋体"/>
          <w:color w:val="auto"/>
          <w:sz w:val="21"/>
          <w:szCs w:val="21"/>
          <w:highlight w:val="none"/>
          <w:u w:val="single"/>
        </w:rPr>
        <w:t>5000元</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5</w:t>
      </w:r>
      <w:r>
        <w:rPr>
          <w:rFonts w:hint="eastAsia" w:ascii="宋体" w:hAnsi="宋体"/>
          <w:color w:val="auto"/>
          <w:sz w:val="21"/>
          <w:szCs w:val="21"/>
          <w:highlight w:val="none"/>
        </w:rPr>
        <w:t>）</w:t>
      </w:r>
      <w:r>
        <w:rPr>
          <w:rFonts w:hint="eastAsia" w:ascii="宋体" w:hAnsi="宋体"/>
          <w:color w:val="auto"/>
          <w:sz w:val="21"/>
          <w:szCs w:val="21"/>
          <w:highlight w:val="none"/>
          <w:u w:val="single"/>
        </w:rPr>
        <w:t>在本工程余泥渣土清运施工和建筑垃圾排放运输时，承包人必须严格执行《广州市余泥渣土管理条例》、《广州市市容环境卫生管理规定》、《广州市建设工程现场文明施工管理办法》《关于加强施工现场余泥渣土排放管理工作的通知》（穗建筑【</w:t>
      </w:r>
      <w:r>
        <w:rPr>
          <w:rFonts w:ascii="宋体" w:hAnsi="宋体"/>
          <w:color w:val="auto"/>
          <w:sz w:val="21"/>
          <w:szCs w:val="21"/>
          <w:highlight w:val="none"/>
          <w:u w:val="single"/>
        </w:rPr>
        <w:t>2008】60号）等广州市、</w:t>
      </w:r>
      <w:r>
        <w:rPr>
          <w:rFonts w:hint="eastAsia" w:ascii="宋体" w:hAnsi="宋体"/>
          <w:color w:val="auto"/>
          <w:sz w:val="21"/>
          <w:szCs w:val="21"/>
          <w:highlight w:val="none"/>
          <w:u w:val="single"/>
        </w:rPr>
        <w:t>黄埔</w:t>
      </w:r>
      <w:r>
        <w:rPr>
          <w:rFonts w:ascii="宋体" w:hAnsi="宋体"/>
          <w:color w:val="auto"/>
          <w:sz w:val="21"/>
          <w:szCs w:val="21"/>
          <w:highlight w:val="none"/>
          <w:u w:val="single"/>
        </w:rPr>
        <w:t>区相关管理规定的标准和要求，保证落实“</w:t>
      </w:r>
      <w:r>
        <w:rPr>
          <w:rFonts w:hint="eastAsia" w:ascii="宋体" w:hAnsi="宋体"/>
          <w:color w:val="auto"/>
          <w:sz w:val="21"/>
          <w:szCs w:val="21"/>
          <w:highlight w:val="none"/>
          <w:u w:val="single"/>
        </w:rPr>
        <w:t>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Pr>
          <w:rFonts w:ascii="宋体" w:hAnsi="宋体"/>
          <w:color w:val="auto"/>
          <w:sz w:val="21"/>
          <w:szCs w:val="21"/>
          <w:highlight w:val="none"/>
          <w:u w:val="single"/>
        </w:rPr>
        <w:t>5000元违约金。同时，发包人将根据承包人</w:t>
      </w:r>
      <w:r>
        <w:rPr>
          <w:rFonts w:hint="eastAsia" w:ascii="宋体" w:hAnsi="宋体"/>
          <w:color w:val="auto"/>
          <w:sz w:val="21"/>
          <w:szCs w:val="21"/>
          <w:highlight w:val="none"/>
          <w:u w:val="single"/>
        </w:rPr>
        <w:t>违反余泥渣土运输管理有关规定而造成的不良后果的严重程度，上报区建设行政主管部门进行处理</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u w:val="single"/>
        </w:rPr>
        <w:t>经发包人或监理单位抽查发现承包人违反合同专用条款的约定，其技术管理人员或施工作业人员没有佩带平安卡的，承包人按每人次1000</w:t>
      </w:r>
      <w:r>
        <w:rPr>
          <w:rFonts w:ascii="宋体" w:hAnsi="宋体"/>
          <w:color w:val="auto"/>
          <w:sz w:val="21"/>
          <w:szCs w:val="21"/>
          <w:highlight w:val="none"/>
          <w:u w:val="single"/>
        </w:rPr>
        <w:t>元的标准向发包人支付违约金并立即改正</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35.2.3工程质量方面的违约责任</w:t>
      </w:r>
      <w:r>
        <w:rPr>
          <w:rFonts w:hint="eastAsia" w:ascii="宋体" w:hAnsi="宋体"/>
          <w:color w:val="auto"/>
          <w:sz w:val="21"/>
          <w:szCs w:val="21"/>
          <w:highlight w:val="none"/>
        </w:rPr>
        <w:t>：</w:t>
      </w:r>
    </w:p>
    <w:p>
      <w:pPr>
        <w:snapToGrid w:val="0"/>
        <w:spacing w:line="440" w:lineRule="exact"/>
        <w:ind w:firstLine="397"/>
        <w:rPr>
          <w:rFonts w:hint="eastAsia" w:ascii="宋体" w:hAnsi="宋体"/>
          <w:color w:val="auto"/>
          <w:sz w:val="21"/>
          <w:szCs w:val="21"/>
          <w:highlight w:val="none"/>
        </w:rPr>
      </w:pPr>
      <w:r>
        <w:rPr>
          <w:rFonts w:hint="eastAsia" w:ascii="宋体" w:hAnsi="宋体"/>
          <w:color w:val="auto"/>
          <w:sz w:val="21"/>
          <w:szCs w:val="21"/>
          <w:highlight w:val="none"/>
          <w:u w:val="single"/>
        </w:rPr>
        <w:t>（1）承包人必须保证用于本合同工程所有的材料设备的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hint="eastAsia" w:ascii="宋体" w:hAnsi="宋体"/>
          <w:color w:val="auto"/>
          <w:sz w:val="21"/>
          <w:szCs w:val="21"/>
          <w:highlight w:val="none"/>
        </w:rPr>
        <w:t>。</w:t>
      </w:r>
    </w:p>
    <w:p>
      <w:pPr>
        <w:snapToGrid w:val="0"/>
        <w:spacing w:line="440" w:lineRule="exact"/>
        <w:ind w:firstLine="479"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u w:val="single"/>
        </w:rPr>
        <w:t>（3）对施工质量问题存在争议，应请国家认可的第三方机构出具检测报告，检测费用由责任方承担。</w:t>
      </w:r>
    </w:p>
    <w:p>
      <w:pPr>
        <w:snapToGrid w:val="0"/>
        <w:spacing w:line="440" w:lineRule="exact"/>
        <w:ind w:firstLine="397"/>
        <w:rPr>
          <w:rFonts w:hint="eastAsia" w:ascii="宋体" w:hAnsi="宋体"/>
          <w:color w:val="auto"/>
          <w:sz w:val="21"/>
          <w:szCs w:val="21"/>
          <w:highlight w:val="none"/>
        </w:rPr>
      </w:pP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35.2.4关于农民工工资支付的违约责任</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u w:val="single"/>
        </w:rPr>
        <w:t>承包人拖欠农民工工资（含代发的分包单位工人工资），被农民工投诉属实的，承包人必须在</w:t>
      </w:r>
      <w:r>
        <w:rPr>
          <w:rFonts w:ascii="宋体" w:hAnsi="宋体"/>
          <w:color w:val="auto"/>
          <w:sz w:val="21"/>
          <w:szCs w:val="21"/>
          <w:highlight w:val="none"/>
          <w:u w:val="single"/>
        </w:rPr>
        <w:t>3天内发放拖欠的款项。若继续拖延被投诉2次及以上，经查实，承包人除应立即支付拖欠款项外，还应支付10000</w:t>
      </w:r>
      <w:r>
        <w:rPr>
          <w:rFonts w:hint="eastAsia" w:ascii="宋体" w:hAnsi="宋体"/>
          <w:color w:val="auto"/>
          <w:sz w:val="21"/>
          <w:szCs w:val="21"/>
          <w:highlight w:val="none"/>
          <w:u w:val="single"/>
        </w:rPr>
        <w:t>元违约金给发包人。因承包人拖欠农民工工资，导致农民工采取停工、集聚围阻发包人办公地点甚至政府办公部门等过激行动的，承包人应支付</w:t>
      </w:r>
      <w:r>
        <w:rPr>
          <w:rFonts w:ascii="宋体" w:hAnsi="宋体"/>
          <w:color w:val="auto"/>
          <w:sz w:val="21"/>
          <w:szCs w:val="21"/>
          <w:highlight w:val="none"/>
          <w:u w:val="single"/>
        </w:rPr>
        <w:t>50000</w:t>
      </w:r>
      <w:r>
        <w:rPr>
          <w:rFonts w:hint="eastAsia" w:ascii="宋体" w:hAnsi="宋体"/>
          <w:color w:val="auto"/>
          <w:sz w:val="21"/>
          <w:szCs w:val="21"/>
          <w:highlight w:val="none"/>
          <w:u w:val="single"/>
        </w:rPr>
        <w:t>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hint="eastAsia" w:ascii="宋体" w:hAnsi="宋体"/>
          <w:color w:val="auto"/>
          <w:sz w:val="21"/>
          <w:szCs w:val="21"/>
          <w:highlight w:val="none"/>
        </w:rPr>
        <w:t>。</w:t>
      </w:r>
    </w:p>
    <w:p>
      <w:pPr>
        <w:pStyle w:val="253"/>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35.2.5</w:t>
      </w:r>
      <w:r>
        <w:rPr>
          <w:rFonts w:hint="eastAsia" w:ascii="宋体" w:hAnsi="宋体"/>
          <w:color w:val="auto"/>
          <w:sz w:val="21"/>
          <w:szCs w:val="21"/>
          <w:highlight w:val="none"/>
        </w:rPr>
        <w:t>项目管理机构人员、机械设备、劳动力到位方面的违约责任：</w:t>
      </w:r>
    </w:p>
    <w:p>
      <w:pPr>
        <w:pStyle w:val="253"/>
        <w:numPr>
          <w:ilvl w:val="0"/>
          <w:numId w:val="7"/>
        </w:numPr>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50000元违约金给发包人，擅自更换主要施工管理人员的，每更换一人次，承包人需支付30000元违约金给发包人</w:t>
      </w:r>
      <w:r>
        <w:rPr>
          <w:rFonts w:hint="eastAsia" w:ascii="宋体" w:hAnsi="宋体"/>
          <w:color w:val="auto"/>
          <w:sz w:val="21"/>
          <w:szCs w:val="21"/>
          <w:highlight w:val="none"/>
        </w:rPr>
        <w:t>。但征得</w:t>
      </w:r>
      <w:r>
        <w:rPr>
          <w:rFonts w:hint="eastAsia" w:ascii="宋体" w:hAnsi="宋体"/>
          <w:color w:val="auto"/>
          <w:sz w:val="21"/>
          <w:szCs w:val="21"/>
          <w:highlight w:val="none"/>
          <w:u w:val="single"/>
        </w:rPr>
        <w:t>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p>
    <w:p>
      <w:pPr>
        <w:pStyle w:val="253"/>
        <w:snapToGrid w:val="0"/>
        <w:spacing w:line="440" w:lineRule="exact"/>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2</w:t>
      </w:r>
      <w:r>
        <w:rPr>
          <w:rFonts w:hint="eastAsia" w:ascii="宋体" w:hAnsi="宋体"/>
          <w:color w:val="auto"/>
          <w:sz w:val="21"/>
          <w:szCs w:val="21"/>
          <w:highlight w:val="none"/>
        </w:rPr>
        <w:t>）</w:t>
      </w:r>
      <w:r>
        <w:rPr>
          <w:rFonts w:hint="eastAsia" w:ascii="宋体" w:hAnsi="宋体"/>
          <w:color w:val="auto"/>
          <w:sz w:val="21"/>
          <w:szCs w:val="21"/>
          <w:highlight w:val="none"/>
          <w:u w:val="single"/>
        </w:rPr>
        <w:t>如果承包人未按投标文件中的《拟投入本工程施工的主要机械设备配备表》投入机械设备，经监理工程师或发包人代表检查发现的，将书面告知限期整改，未在限期内完成整改的，每延期一天，承包人需支付10000</w:t>
      </w:r>
      <w:r>
        <w:rPr>
          <w:rFonts w:ascii="宋体" w:hAnsi="宋体"/>
          <w:color w:val="auto"/>
          <w:sz w:val="21"/>
          <w:szCs w:val="21"/>
          <w:highlight w:val="none"/>
          <w:u w:val="single"/>
        </w:rPr>
        <w:t>元违约金给发包人</w:t>
      </w:r>
      <w:r>
        <w:rPr>
          <w:rFonts w:hint="eastAsia" w:ascii="宋体" w:hAnsi="宋体"/>
          <w:color w:val="auto"/>
          <w:sz w:val="21"/>
          <w:szCs w:val="21"/>
          <w:highlight w:val="none"/>
        </w:rPr>
        <w:t>。</w:t>
      </w:r>
    </w:p>
    <w:p>
      <w:pPr>
        <w:pStyle w:val="253"/>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w:t>
      </w:r>
      <w:r>
        <w:rPr>
          <w:rFonts w:hint="eastAsia" w:ascii="宋体" w:hAnsi="宋体"/>
          <w:color w:val="auto"/>
          <w:sz w:val="21"/>
          <w:szCs w:val="21"/>
          <w:highlight w:val="none"/>
          <w:u w:val="single"/>
        </w:rPr>
        <w:t>如果承包人未按投标文件中的人力投入计划投入人力，经监理工程师和发包人代表检查发现的，每发现一次，承包人支付10000</w:t>
      </w:r>
      <w:r>
        <w:rPr>
          <w:rFonts w:ascii="宋体" w:hAnsi="宋体"/>
          <w:color w:val="auto"/>
          <w:sz w:val="21"/>
          <w:szCs w:val="21"/>
          <w:highlight w:val="none"/>
          <w:u w:val="single"/>
        </w:rPr>
        <w:t>元违约金给发包人</w:t>
      </w:r>
      <w:r>
        <w:rPr>
          <w:rFonts w:hint="eastAsia" w:ascii="宋体" w:hAnsi="宋体"/>
          <w:color w:val="auto"/>
          <w:sz w:val="21"/>
          <w:szCs w:val="21"/>
          <w:highlight w:val="none"/>
        </w:rPr>
        <w:t>。</w:t>
      </w:r>
    </w:p>
    <w:p>
      <w:pPr>
        <w:pStyle w:val="253"/>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w:t>
      </w:r>
      <w:r>
        <w:rPr>
          <w:rFonts w:hint="eastAsia" w:ascii="宋体" w:hAnsi="宋体"/>
          <w:color w:val="auto"/>
          <w:sz w:val="21"/>
          <w:szCs w:val="21"/>
          <w:highlight w:val="none"/>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color w:val="auto"/>
          <w:sz w:val="21"/>
          <w:szCs w:val="21"/>
          <w:highlight w:val="none"/>
          <w:u w:val="single"/>
        </w:rPr>
        <w:t>10天，没有按发包人的意见撤换现场负责人；或者按发包人的意见撤换现场负责人后，仍然无法有效控制工程进度，</w:t>
      </w:r>
      <w:r>
        <w:rPr>
          <w:rFonts w:hint="eastAsia" w:ascii="宋体" w:hAnsi="宋体"/>
          <w:color w:val="auto"/>
          <w:sz w:val="21"/>
          <w:szCs w:val="21"/>
          <w:highlight w:val="none"/>
          <w:u w:val="single"/>
        </w:rPr>
        <w:t>承包人除需按本条第（1）项支付违约金外，</w:t>
      </w:r>
      <w:r>
        <w:rPr>
          <w:rFonts w:ascii="宋体" w:hAnsi="宋体"/>
          <w:color w:val="auto"/>
          <w:sz w:val="21"/>
          <w:szCs w:val="21"/>
          <w:highlight w:val="none"/>
          <w:u w:val="single"/>
        </w:rPr>
        <w:t>发包人将发出书面警告，警告发出后15</w:t>
      </w:r>
      <w:r>
        <w:rPr>
          <w:rFonts w:hint="eastAsia" w:ascii="宋体" w:hAnsi="宋体"/>
          <w:color w:val="auto"/>
          <w:sz w:val="21"/>
          <w:szCs w:val="21"/>
          <w:highlight w:val="none"/>
          <w:u w:val="single"/>
        </w:rPr>
        <w:t>天内，主要工序的工期延误仍然超过</w:t>
      </w:r>
      <w:r>
        <w:rPr>
          <w:rFonts w:ascii="宋体" w:hAnsi="宋体"/>
          <w:color w:val="auto"/>
          <w:sz w:val="21"/>
          <w:szCs w:val="21"/>
          <w:highlight w:val="none"/>
          <w:u w:val="single"/>
        </w:rPr>
        <w:t>10天，发包人将作为不良纪录报区建</w:t>
      </w:r>
      <w:r>
        <w:rPr>
          <w:rFonts w:hint="eastAsia" w:ascii="宋体" w:hAnsi="宋体"/>
          <w:color w:val="auto"/>
          <w:sz w:val="21"/>
          <w:szCs w:val="21"/>
          <w:highlight w:val="none"/>
          <w:u w:val="single"/>
        </w:rPr>
        <w:t>设行政主管部门备案。对此，承包人不得有异议</w:t>
      </w:r>
      <w:r>
        <w:rPr>
          <w:rFonts w:hint="eastAsia" w:ascii="宋体" w:hAnsi="宋体"/>
          <w:color w:val="auto"/>
          <w:sz w:val="21"/>
          <w:szCs w:val="21"/>
          <w:highlight w:val="none"/>
        </w:rPr>
        <w:t>。</w:t>
      </w:r>
    </w:p>
    <w:p>
      <w:pPr>
        <w:pStyle w:val="253"/>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5</w:t>
      </w:r>
      <w:r>
        <w:rPr>
          <w:rFonts w:hint="eastAsia" w:ascii="宋体" w:hAnsi="宋体"/>
          <w:color w:val="auto"/>
          <w:sz w:val="21"/>
          <w:szCs w:val="21"/>
          <w:highlight w:val="none"/>
        </w:rPr>
        <w:t>）</w:t>
      </w:r>
      <w:r>
        <w:rPr>
          <w:rFonts w:hint="eastAsia" w:ascii="宋体" w:hAnsi="宋体"/>
          <w:color w:val="auto"/>
          <w:sz w:val="21"/>
          <w:szCs w:val="21"/>
          <w:highlight w:val="none"/>
          <w:u w:val="single"/>
        </w:rPr>
        <w:t>承包人的项目负责人、技术负责人、安全负责人、质量负责人、防火负责人等必须常驻施工现场，且须无条件参加每周的工地例会以及发包人书面通知的其它会议，如有缺席，则每人每缺席一次，承包人需支付5000</w:t>
      </w:r>
      <w:r>
        <w:rPr>
          <w:rFonts w:ascii="宋体" w:hAnsi="宋体"/>
          <w:color w:val="auto"/>
          <w:sz w:val="21"/>
          <w:szCs w:val="21"/>
          <w:highlight w:val="none"/>
          <w:u w:val="single"/>
        </w:rPr>
        <w:t>元人民币违约金</w:t>
      </w:r>
      <w:r>
        <w:rPr>
          <w:rFonts w:hint="eastAsia" w:ascii="宋体" w:hAnsi="宋体"/>
          <w:color w:val="auto"/>
          <w:sz w:val="21"/>
          <w:szCs w:val="21"/>
          <w:highlight w:val="none"/>
        </w:rPr>
        <w:t>。</w:t>
      </w:r>
    </w:p>
    <w:p>
      <w:pPr>
        <w:snapToGrid w:val="0"/>
        <w:spacing w:line="440" w:lineRule="exact"/>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35.2.6工程转包违约责任</w:t>
      </w:r>
      <w:r>
        <w:rPr>
          <w:rFonts w:hint="eastAsia" w:ascii="宋体" w:hAnsi="宋体"/>
          <w:color w:val="auto"/>
          <w:sz w:val="21"/>
          <w:szCs w:val="21"/>
          <w:highlight w:val="none"/>
        </w:rPr>
        <w:t>：</w:t>
      </w:r>
    </w:p>
    <w:p>
      <w:pPr>
        <w:snapToGrid w:val="0"/>
        <w:spacing w:line="440" w:lineRule="exact"/>
        <w:ind w:firstLine="397"/>
        <w:rPr>
          <w:rFonts w:hint="eastAsia" w:ascii="宋体" w:hAnsi="宋体"/>
          <w:color w:val="auto"/>
          <w:sz w:val="21"/>
          <w:szCs w:val="21"/>
          <w:highlight w:val="none"/>
        </w:rPr>
      </w:pPr>
      <w:r>
        <w:rPr>
          <w:rFonts w:hint="eastAsia" w:ascii="宋体" w:hAnsi="宋体"/>
          <w:color w:val="auto"/>
          <w:sz w:val="21"/>
          <w:szCs w:val="21"/>
          <w:highlight w:val="none"/>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Pr>
          <w:rFonts w:hint="eastAsia" w:ascii="宋体" w:hAnsi="宋体"/>
          <w:color w:val="auto"/>
          <w:sz w:val="21"/>
          <w:szCs w:val="21"/>
          <w:highlight w:val="none"/>
        </w:rPr>
        <w:t>。</w:t>
      </w:r>
    </w:p>
    <w:p>
      <w:pPr>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u w:val="single"/>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pPr>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u w:val="single"/>
        </w:rPr>
        <w:t>35.2.7解除合同的违约责任：</w:t>
      </w:r>
    </w:p>
    <w:p>
      <w:pPr>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u w:val="single"/>
        </w:rPr>
        <w:t>35.2.7.1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35.2.7.2不适用通用条款44.6条的约定。</w:t>
      </w:r>
    </w:p>
    <w:p>
      <w:pPr>
        <w:tabs>
          <w:tab w:val="left" w:pos="8280"/>
        </w:tabs>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u w:val="single"/>
        </w:rPr>
        <w:t>35.2.8办理结算的违约责任：</w:t>
      </w:r>
    </w:p>
    <w:p>
      <w:pPr>
        <w:tabs>
          <w:tab w:val="left" w:pos="8280"/>
        </w:tabs>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u w:val="single"/>
        </w:rPr>
        <w:t>承包人不执行《广州开发区财政投资建设项目管理中心施工类合同结算编审指引（试行）》有关规定的，须按该指引有关规定承担违约责任。</w:t>
      </w:r>
    </w:p>
    <w:p>
      <w:pPr>
        <w:snapToGrid w:val="0"/>
        <w:spacing w:line="440" w:lineRule="exact"/>
        <w:ind w:firstLine="397"/>
        <w:rPr>
          <w:rFonts w:hint="eastAsia" w:ascii="宋体" w:hAnsi="宋体"/>
          <w:color w:val="auto"/>
          <w:sz w:val="21"/>
          <w:szCs w:val="21"/>
          <w:highlight w:val="none"/>
          <w:u w:val="single"/>
        </w:rPr>
      </w:pPr>
      <w:r>
        <w:rPr>
          <w:rFonts w:hint="eastAsia" w:ascii="宋体" w:hAnsi="宋体"/>
          <w:color w:val="auto"/>
          <w:sz w:val="21"/>
          <w:szCs w:val="21"/>
          <w:highlight w:val="none"/>
          <w:u w:val="single"/>
        </w:rPr>
        <w:t>35.2.9除上述违约责任外，因承包人履行本合同不符合约定或相关规定，发包人可根据实际情况，给予承包人通报批评及作不良记录等处罚措施；情节严重的，可报请上级行政主管部门给予相应处罚。</w:t>
      </w:r>
    </w:p>
    <w:p>
      <w:pPr>
        <w:adjustRightInd/>
        <w:snapToGrid w:val="0"/>
        <w:spacing w:line="440" w:lineRule="exact"/>
        <w:ind w:firstLine="397" w:firstLineChars="0"/>
        <w:outlineLvl w:val="9"/>
        <w:rPr>
          <w:rFonts w:hint="eastAsia" w:ascii="宋体" w:hAnsi="宋体"/>
          <w:color w:val="auto"/>
          <w:sz w:val="21"/>
          <w:szCs w:val="21"/>
          <w:highlight w:val="none"/>
          <w:u w:val="single"/>
        </w:rPr>
      </w:pPr>
      <w:r>
        <w:rPr>
          <w:rFonts w:hint="eastAsia" w:ascii="宋体" w:hAnsi="宋体"/>
          <w:color w:val="auto"/>
          <w:sz w:val="21"/>
          <w:szCs w:val="21"/>
          <w:highlight w:val="none"/>
          <w:u w:val="single"/>
        </w:rPr>
        <w:t>35.2.10承包人违约责任的认定方式、送达程序及违约金的处理</w:t>
      </w:r>
    </w:p>
    <w:p>
      <w:pPr>
        <w:adjustRightInd/>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（1）认定方式：以发包人发出的通知、通报、会议纪要等书面文件确定的内容为准。</w:t>
      </w:r>
    </w:p>
    <w:p>
      <w:pPr>
        <w:adjustRightInd/>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（2）送达程序：发包人以下列方式之一将书面违约处理决定送达承包人：</w:t>
      </w:r>
    </w:p>
    <w:p>
      <w:pPr>
        <w:adjustRightInd/>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1）承包人现场管理机构工作人员签收。</w:t>
      </w:r>
    </w:p>
    <w:p>
      <w:pPr>
        <w:adjustRightInd/>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2）承包人其他工作人员签收。</w:t>
      </w:r>
    </w:p>
    <w:p>
      <w:pPr>
        <w:adjustRightInd/>
        <w:snapToGrid w:val="0"/>
        <w:spacing w:line="440" w:lineRule="exact"/>
        <w:ind w:firstLine="397" w:firstLineChars="0"/>
        <w:rPr>
          <w:rFonts w:hint="eastAsia" w:ascii="宋体" w:hAnsi="宋体"/>
          <w:color w:val="auto"/>
          <w:sz w:val="21"/>
          <w:szCs w:val="21"/>
          <w:highlight w:val="none"/>
          <w:u w:val="single"/>
        </w:rPr>
      </w:pPr>
      <w:r>
        <w:rPr>
          <w:rFonts w:hint="eastAsia" w:ascii="宋体" w:hAnsi="宋体"/>
          <w:color w:val="auto"/>
          <w:sz w:val="21"/>
          <w:szCs w:val="21"/>
          <w:highlight w:val="none"/>
          <w:u w:val="single"/>
        </w:rPr>
        <w:t>3）发包人邮寄送达。</w:t>
      </w:r>
    </w:p>
    <w:p>
      <w:pPr>
        <w:adjustRightInd/>
        <w:snapToGrid w:val="0"/>
        <w:spacing w:line="440" w:lineRule="exact"/>
        <w:ind w:firstLine="397" w:firstLineChars="0"/>
        <w:outlineLvl w:val="9"/>
        <w:rPr>
          <w:rFonts w:hint="eastAsia" w:ascii="宋体" w:hAnsi="宋体"/>
          <w:color w:val="auto"/>
          <w:sz w:val="21"/>
          <w:szCs w:val="21"/>
          <w:highlight w:val="none"/>
          <w:u w:val="single"/>
        </w:rPr>
      </w:pPr>
      <w:r>
        <w:rPr>
          <w:rFonts w:hint="eastAsia" w:ascii="宋体" w:hAnsi="宋体"/>
          <w:color w:val="auto"/>
          <w:sz w:val="21"/>
          <w:szCs w:val="21"/>
          <w:highlight w:val="none"/>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37</w:t>
      </w:r>
      <w:r>
        <w:rPr>
          <w:rFonts w:hint="eastAsia" w:ascii="宋体" w:hAnsi="宋体"/>
          <w:b/>
          <w:color w:val="auto"/>
          <w:sz w:val="24"/>
          <w:highlight w:val="none"/>
        </w:rPr>
        <w:t>、争议</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37.1</w:t>
      </w:r>
      <w:r>
        <w:rPr>
          <w:rFonts w:hint="eastAsia" w:ascii="宋体" w:hAnsi="宋体"/>
          <w:color w:val="auto"/>
          <w:sz w:val="21"/>
          <w:szCs w:val="21"/>
          <w:highlight w:val="none"/>
        </w:rPr>
        <w:t>双方约定，在履行合同过程中产生争议时：</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）由双方协商解决；</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）协商不成的，向</w:t>
      </w:r>
      <w:r>
        <w:rPr>
          <w:rFonts w:hint="eastAsia" w:ascii="宋体" w:hAnsi="宋体"/>
          <w:color w:val="auto"/>
          <w:sz w:val="21"/>
          <w:szCs w:val="21"/>
          <w:highlight w:val="none"/>
          <w:u w:val="single"/>
        </w:rPr>
        <w:t>工程所在地</w:t>
      </w:r>
      <w:r>
        <w:rPr>
          <w:rFonts w:hint="eastAsia" w:ascii="宋体" w:hAnsi="宋体"/>
          <w:color w:val="auto"/>
          <w:sz w:val="21"/>
          <w:szCs w:val="21"/>
          <w:highlight w:val="none"/>
        </w:rPr>
        <w:t>人民法院提起诉讼。</w:t>
      </w:r>
    </w:p>
    <w:p>
      <w:pPr>
        <w:snapToGrid w:val="0"/>
        <w:spacing w:line="440" w:lineRule="exact"/>
        <w:ind w:firstLine="397"/>
        <w:rPr>
          <w:rFonts w:ascii="宋体" w:hAnsi="宋体"/>
          <w:b/>
          <w:color w:val="auto"/>
          <w:sz w:val="24"/>
          <w:highlight w:val="none"/>
        </w:rPr>
      </w:pPr>
      <w:r>
        <w:rPr>
          <w:rFonts w:hint="eastAsia" w:ascii="宋体" w:hAnsi="宋体"/>
          <w:b/>
          <w:color w:val="auto"/>
          <w:sz w:val="24"/>
          <w:highlight w:val="none"/>
        </w:rPr>
        <w:t>十一、其他</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38</w:t>
      </w:r>
      <w:r>
        <w:rPr>
          <w:rFonts w:hint="eastAsia" w:ascii="宋体" w:hAnsi="宋体"/>
          <w:b/>
          <w:color w:val="auto"/>
          <w:sz w:val="24"/>
          <w:highlight w:val="none"/>
        </w:rPr>
        <w:t>、工程分包</w:t>
      </w:r>
    </w:p>
    <w:p>
      <w:pPr>
        <w:snapToGrid w:val="0"/>
        <w:spacing w:line="440" w:lineRule="exact"/>
        <w:ind w:firstLine="397"/>
        <w:rPr>
          <w:rFonts w:hint="eastAsia" w:ascii="宋体" w:hAnsi="宋体"/>
          <w:color w:val="auto"/>
          <w:sz w:val="21"/>
          <w:szCs w:val="21"/>
          <w:highlight w:val="none"/>
        </w:rPr>
      </w:pPr>
      <w:r>
        <w:rPr>
          <w:rFonts w:hint="eastAsia" w:ascii="宋体" w:hAnsi="宋体"/>
          <w:color w:val="auto"/>
          <w:sz w:val="28"/>
          <w:szCs w:val="28"/>
          <w:highlight w:val="none"/>
        </w:rPr>
        <w:t xml:space="preserve">    </w:t>
      </w:r>
      <w:r>
        <w:rPr>
          <w:rFonts w:hint="eastAsia" w:ascii="宋体" w:hAnsi="宋体"/>
          <w:color w:val="auto"/>
          <w:sz w:val="21"/>
          <w:szCs w:val="21"/>
          <w:highlight w:val="none"/>
        </w:rPr>
        <w:t>38.1（1）本工程发包人同意承包人分包的工程：非主体非关键工程。承包人分包工程的，需先报发包人同意，分包合同签订后必须报发包人备案。承包人与分包单位签订的分包合同中应明确工人工资比例及支付期限。</w:t>
      </w:r>
    </w:p>
    <w:p>
      <w:pPr>
        <w:numPr>
          <w:ilvl w:val="0"/>
          <w:numId w:val="0"/>
        </w:numPr>
        <w:adjustRightInd/>
        <w:snapToGrid w:val="0"/>
        <w:spacing w:line="440" w:lineRule="exact"/>
        <w:ind w:firstLine="397"/>
        <w:rPr>
          <w:rFonts w:hint="eastAsia" w:ascii="宋体" w:hAnsi="宋体"/>
          <w:color w:val="auto"/>
          <w:sz w:val="21"/>
          <w:szCs w:val="21"/>
          <w:highlight w:val="none"/>
        </w:rPr>
      </w:pPr>
      <w:r>
        <w:rPr>
          <w:rFonts w:hint="eastAsia" w:ascii="宋体" w:hAnsi="宋体"/>
          <w:color w:val="auto"/>
          <w:sz w:val="21"/>
          <w:szCs w:val="21"/>
          <w:highlight w:val="none"/>
        </w:rPr>
        <w:t>劳务分包必须严格执行广州市相关规定，禁止分包劳务给无资质单位或个人。在发包人同意承包人进行劳务分包后，不得私自变更劳务分包单位。</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39</w:t>
      </w:r>
      <w:r>
        <w:rPr>
          <w:rFonts w:hint="eastAsia" w:ascii="宋体" w:hAnsi="宋体"/>
          <w:b/>
          <w:color w:val="auto"/>
          <w:sz w:val="24"/>
          <w:highlight w:val="none"/>
        </w:rPr>
        <w:t>、不可抗力</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39.1</w:t>
      </w:r>
      <w:r>
        <w:rPr>
          <w:rFonts w:hint="eastAsia" w:ascii="宋体" w:hAnsi="宋体"/>
          <w:color w:val="auto"/>
          <w:sz w:val="21"/>
          <w:szCs w:val="21"/>
          <w:highlight w:val="none"/>
        </w:rPr>
        <w:t>双方关于不可抗力的约定：按本合同通用条款执行，自然灾害的范围及其认定方式，按下述约定执行：</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u w:val="single"/>
        </w:rPr>
        <w:t>异常天气：仅指</w:t>
      </w:r>
      <w:r>
        <w:rPr>
          <w:rFonts w:ascii="宋体" w:hAnsi="宋体"/>
          <w:color w:val="auto"/>
          <w:sz w:val="21"/>
          <w:szCs w:val="21"/>
          <w:highlight w:val="none"/>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u w:val="single"/>
        </w:rPr>
        <w:t>里氏</w:t>
      </w:r>
      <w:r>
        <w:rPr>
          <w:rFonts w:ascii="宋体" w:hAnsi="宋体"/>
          <w:color w:val="auto"/>
          <w:sz w:val="21"/>
          <w:szCs w:val="21"/>
          <w:highlight w:val="none"/>
          <w:u w:val="single"/>
        </w:rPr>
        <w:t>5级（含本数）以上地震</w:t>
      </w:r>
      <w:r>
        <w:rPr>
          <w:rFonts w:hint="eastAsia" w:ascii="宋体" w:hAnsi="宋体"/>
          <w:color w:val="auto"/>
          <w:sz w:val="21"/>
          <w:szCs w:val="21"/>
          <w:highlight w:val="none"/>
        </w:rPr>
        <w:t>。</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39.3双方关于不可抗力事件导致的</w:t>
      </w:r>
      <w:r>
        <w:rPr>
          <w:rFonts w:hint="eastAsia" w:ascii="宋体" w:hAnsi="宋体"/>
          <w:color w:val="auto"/>
          <w:sz w:val="21"/>
          <w:szCs w:val="21"/>
          <w:highlight w:val="none"/>
        </w:rPr>
        <w:t>费用承担</w:t>
      </w:r>
      <w:r>
        <w:rPr>
          <w:rFonts w:hint="eastAsia" w:ascii="宋体" w:hAnsi="宋体"/>
          <w:color w:val="auto"/>
          <w:sz w:val="21"/>
          <w:szCs w:val="21"/>
          <w:highlight w:val="none"/>
          <w:u w:val="single"/>
        </w:rPr>
        <w:t>按本专用条款</w:t>
      </w:r>
      <w:r>
        <w:rPr>
          <w:rFonts w:ascii="宋体" w:hAnsi="宋体"/>
          <w:color w:val="auto"/>
          <w:sz w:val="21"/>
          <w:szCs w:val="21"/>
          <w:highlight w:val="none"/>
          <w:u w:val="single"/>
        </w:rPr>
        <w:t>12.3款约定</w:t>
      </w:r>
      <w:r>
        <w:rPr>
          <w:rFonts w:ascii="宋体" w:hAnsi="宋体"/>
          <w:color w:val="auto"/>
          <w:sz w:val="21"/>
          <w:szCs w:val="21"/>
          <w:highlight w:val="none"/>
        </w:rPr>
        <w:t>执行</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40</w:t>
      </w:r>
      <w:r>
        <w:rPr>
          <w:rFonts w:hint="eastAsia" w:ascii="宋体" w:hAnsi="宋体"/>
          <w:b/>
          <w:color w:val="auto"/>
          <w:sz w:val="24"/>
          <w:highlight w:val="none"/>
        </w:rPr>
        <w:t>、保险</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40.2承包人对其运至施工场地内用于工程的材料和待安装设备办理保险并支付保险费</w:t>
      </w:r>
      <w:r>
        <w:rPr>
          <w:rFonts w:hint="eastAsia" w:ascii="宋体" w:hAnsi="宋体"/>
          <w:color w:val="auto"/>
          <w:sz w:val="21"/>
          <w:szCs w:val="21"/>
          <w:highlight w:val="none"/>
        </w:rPr>
        <w:t>用。</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40.6</w:t>
      </w:r>
      <w:r>
        <w:rPr>
          <w:rFonts w:hint="eastAsia" w:ascii="宋体" w:hAnsi="宋体"/>
          <w:color w:val="auto"/>
          <w:sz w:val="21"/>
          <w:szCs w:val="21"/>
          <w:highlight w:val="none"/>
        </w:rPr>
        <w:t>本工程双方约定投保内容如下：</w:t>
      </w:r>
    </w:p>
    <w:p>
      <w:pPr>
        <w:snapToGrid w:val="0"/>
        <w:spacing w:line="440" w:lineRule="exact"/>
        <w:ind w:left="397"/>
        <w:rPr>
          <w:rFonts w:ascii="宋体" w:hAns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发包人投保内容：</w:t>
      </w:r>
      <w:r>
        <w:rPr>
          <w:rFonts w:hint="eastAsia" w:ascii="宋体" w:hAnsi="宋体"/>
          <w:color w:val="auto"/>
          <w:sz w:val="21"/>
          <w:szCs w:val="21"/>
          <w:highlight w:val="none"/>
          <w:u w:val="single"/>
        </w:rPr>
        <w:t>按广州市建设项目劳动保险相关规定投保</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发包人委托承包人办理的保险事项：</w:t>
      </w:r>
      <w:r>
        <w:rPr>
          <w:rFonts w:ascii="宋体" w:hAnsi="宋体"/>
          <w:color w:val="auto"/>
          <w:sz w:val="21"/>
          <w:szCs w:val="21"/>
          <w:highlight w:val="none"/>
          <w:u w:val="single"/>
        </w:rPr>
        <w:t xml:space="preserve">       /           </w:t>
      </w:r>
      <w:r>
        <w:rPr>
          <w:rFonts w:hint="eastAsia" w:ascii="宋体" w:hAnsi="宋体"/>
          <w:color w:val="auto"/>
          <w:sz w:val="21"/>
          <w:szCs w:val="21"/>
          <w:highlight w:val="none"/>
        </w:rPr>
        <w:t>。</w:t>
      </w:r>
    </w:p>
    <w:p>
      <w:pPr>
        <w:snapToGrid w:val="0"/>
        <w:spacing w:line="440" w:lineRule="exact"/>
        <w:ind w:firstLine="397"/>
        <w:rPr>
          <w:rFonts w:hint="eastAsia" w:ascii="宋体" w:hAnsi="宋体"/>
          <w:color w:val="auto"/>
          <w:sz w:val="21"/>
          <w:szCs w:val="21"/>
          <w:highlight w:val="none"/>
        </w:rPr>
      </w:pPr>
      <w:r>
        <w:rPr>
          <w:rFonts w:hint="eastAsia" w:ascii="宋体" w:hAnsi="宋体"/>
          <w:color w:val="auto"/>
          <w:sz w:val="21"/>
          <w:szCs w:val="21"/>
          <w:highlight w:val="none"/>
        </w:rPr>
        <w:t>（2）承包人投保内容：</w:t>
      </w:r>
      <w:r>
        <w:rPr>
          <w:rFonts w:hint="eastAsia" w:ascii="宋体" w:hAnsi="宋体"/>
          <w:color w:val="auto"/>
          <w:sz w:val="21"/>
          <w:szCs w:val="21"/>
          <w:highlight w:val="none"/>
          <w:u w:val="single"/>
        </w:rPr>
        <w:t>按政府规定办理。开工前承包人应当投保安全生产责任保险，且该保险保障场所应包含本项目，合同价视作已含该项费用。承包人未按规定购买安全生产责任保险，发包人可视严重程度拒绝该单位一定时期内参与后续工程投标。其它保险项目由承包人自定。</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41</w:t>
      </w:r>
      <w:r>
        <w:rPr>
          <w:rFonts w:hint="eastAsia" w:ascii="宋体" w:hAnsi="宋体"/>
          <w:b/>
          <w:color w:val="auto"/>
          <w:sz w:val="24"/>
          <w:highlight w:val="none"/>
        </w:rPr>
        <w:t>、担保</w:t>
      </w:r>
    </w:p>
    <w:p>
      <w:pPr>
        <w:snapToGrid w:val="0"/>
        <w:spacing w:line="440" w:lineRule="exact"/>
        <w:ind w:firstLine="397"/>
        <w:rPr>
          <w:rFonts w:ascii="宋体" w:hAnsi="宋体"/>
          <w:color w:val="auto"/>
          <w:sz w:val="21"/>
          <w:szCs w:val="21"/>
          <w:highlight w:val="none"/>
        </w:rPr>
      </w:pPr>
      <w:r>
        <w:rPr>
          <w:rFonts w:ascii="宋体" w:hAnsi="宋体"/>
          <w:color w:val="auto"/>
          <w:sz w:val="21"/>
          <w:szCs w:val="21"/>
          <w:highlight w:val="none"/>
        </w:rPr>
        <w:t>41.1</w:t>
      </w:r>
      <w:r>
        <w:rPr>
          <w:rFonts w:hint="eastAsia" w:ascii="宋体" w:hAnsi="宋体"/>
          <w:color w:val="auto"/>
          <w:sz w:val="21"/>
          <w:szCs w:val="21"/>
          <w:highlight w:val="none"/>
        </w:rPr>
        <w:t>本工程双方约定担保事项如下：</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发包人向承包人提供履约担保，担保方式为：</w:t>
      </w:r>
      <w:r>
        <w:rPr>
          <w:rFonts w:ascii="宋体" w:hAnsi="宋体"/>
          <w:color w:val="auto"/>
          <w:sz w:val="21"/>
          <w:szCs w:val="21"/>
          <w:highlight w:val="none"/>
          <w:u w:val="single"/>
        </w:rPr>
        <w:t xml:space="preserve">   /   </w:t>
      </w:r>
      <w:r>
        <w:rPr>
          <w:rFonts w:hint="eastAsia" w:ascii="宋体" w:hAnsi="宋体"/>
          <w:color w:val="auto"/>
          <w:sz w:val="21"/>
          <w:szCs w:val="21"/>
          <w:highlight w:val="none"/>
        </w:rPr>
        <w:t>，担保合同作为本合同附件。</w:t>
      </w:r>
    </w:p>
    <w:p>
      <w:pPr>
        <w:snapToGrid w:val="0"/>
        <w:spacing w:line="440" w:lineRule="exact"/>
        <w:ind w:firstLine="397"/>
        <w:rPr>
          <w:rFonts w:ascii="宋体" w:hAns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承包人按如下方式向发包人提供履约担保：</w:t>
      </w:r>
    </w:p>
    <w:p>
      <w:pPr>
        <w:snapToGrid w:val="0"/>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① 履约担保：</w:t>
      </w:r>
      <w:r>
        <w:rPr>
          <w:rFonts w:hint="eastAsia" w:ascii="宋体" w:hAnsi="宋体"/>
          <w:color w:val="auto"/>
          <w:sz w:val="21"/>
          <w:szCs w:val="21"/>
          <w:highlight w:val="none"/>
          <w:u w:val="single"/>
        </w:rPr>
        <w:t>承包人向发包人提交担保金额为中标价</w:t>
      </w:r>
      <w:r>
        <w:rPr>
          <w:rFonts w:ascii="宋体" w:hAnsi="宋体"/>
          <w:color w:val="auto"/>
          <w:sz w:val="21"/>
          <w:szCs w:val="21"/>
          <w:highlight w:val="none"/>
          <w:u w:val="single"/>
        </w:rPr>
        <w:t>10%</w:t>
      </w:r>
      <w:r>
        <w:rPr>
          <w:rFonts w:hint="eastAsia" w:ascii="宋体" w:hAnsi="宋体"/>
          <w:color w:val="auto"/>
          <w:sz w:val="21"/>
          <w:szCs w:val="21"/>
          <w:highlight w:val="none"/>
          <w:u w:val="single"/>
        </w:rPr>
        <w:t>的履约担保，以银行保函形式提交。须为广州市内分行以上级别的银行开具的无条件、不可撤销、见索即付的保函，保函有效期至工程竣工验收合格之日。履约银行保函到期但工程尚未竣工的，承包人应自觉办理保函延期手续，确保担保期限不出现空缺，否则，发包人不予支付工程款</w:t>
      </w:r>
      <w:r>
        <w:rPr>
          <w:rFonts w:hint="eastAsia" w:ascii="宋体" w:hAnsi="宋体"/>
          <w:color w:val="auto"/>
          <w:sz w:val="21"/>
          <w:szCs w:val="21"/>
          <w:highlight w:val="none"/>
        </w:rPr>
        <w:t>。具体约定如下：</w:t>
      </w:r>
    </w:p>
    <w:p>
      <w:pPr>
        <w:spacing w:line="560" w:lineRule="exact"/>
        <w:ind w:firstLine="640"/>
        <w:jc w:val="left"/>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u w:val="single"/>
        </w:rPr>
        <w:t>履约保函首次办理，如合同工期低于1年的，担保期限可按合同工期，如合同工期高于1年的，担保期限可按1年。履约保函续保应及时，担保期不得出现空档，否则发包人不予支付工程款。</w:t>
      </w:r>
    </w:p>
    <w:p>
      <w:pPr>
        <w:spacing w:line="560" w:lineRule="exact"/>
        <w:ind w:firstLine="640"/>
        <w:jc w:val="left"/>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u w:val="single"/>
        </w:rPr>
        <w:t>履约保函续保时，完成工程量不足一半的项目，担保金额按中标价的10%；完成工程量超过一半的项目，担保金额按中标价的5%；其他特殊情况需调整的，需报建设业主招标委员会或主任办公会议审议同意。</w:t>
      </w:r>
    </w:p>
    <w:p>
      <w:pPr>
        <w:snapToGrid w:val="0"/>
        <w:spacing w:line="440" w:lineRule="exact"/>
        <w:ind w:firstLine="420" w:firstLineChars="200"/>
        <w:rPr>
          <w:rFonts w:ascii="宋体" w:hAnsi="宋体"/>
          <w:color w:val="auto"/>
          <w:sz w:val="21"/>
          <w:szCs w:val="21"/>
          <w:highlight w:val="none"/>
          <w:u w:val="single"/>
        </w:rPr>
      </w:pPr>
    </w:p>
    <w:p>
      <w:pPr>
        <w:snapToGrid w:val="0"/>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② 履约担保的返还方式：</w:t>
      </w:r>
      <w:r>
        <w:rPr>
          <w:rFonts w:ascii="宋体" w:hAnsi="宋体"/>
          <w:color w:val="auto"/>
          <w:sz w:val="21"/>
          <w:szCs w:val="21"/>
          <w:highlight w:val="none"/>
          <w:u w:val="single"/>
        </w:rPr>
        <w:t>履约担保为银行保函的，在工程验收合格</w:t>
      </w:r>
      <w:r>
        <w:rPr>
          <w:rFonts w:hint="eastAsia" w:ascii="宋体" w:hAnsi="宋体"/>
          <w:color w:val="auto"/>
          <w:sz w:val="21"/>
          <w:szCs w:val="21"/>
          <w:highlight w:val="none"/>
          <w:u w:val="single"/>
        </w:rPr>
        <w:t>后返还承包人</w:t>
      </w:r>
      <w:r>
        <w:rPr>
          <w:rFonts w:hint="eastAsia" w:ascii="宋体" w:hAnsi="宋体"/>
          <w:color w:val="auto"/>
          <w:sz w:val="21"/>
          <w:szCs w:val="21"/>
          <w:highlight w:val="none"/>
        </w:rPr>
        <w:t>。</w:t>
      </w:r>
    </w:p>
    <w:p>
      <w:pPr>
        <w:snapToGrid w:val="0"/>
        <w:spacing w:line="44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③ </w:t>
      </w:r>
      <w:r>
        <w:rPr>
          <w:rFonts w:hint="eastAsia" w:ascii="宋体" w:hAnsi="宋体"/>
          <w:color w:val="auto"/>
          <w:sz w:val="21"/>
          <w:szCs w:val="21"/>
          <w:highlight w:val="none"/>
          <w:u w:val="single"/>
        </w:rPr>
        <w:t>银行保函的管理和格式按《广州开发区财政投资建设项目管理中心建设工程保函管理细则》执行</w:t>
      </w:r>
      <w:r>
        <w:rPr>
          <w:rFonts w:hint="eastAsia" w:ascii="宋体" w:hAnsi="宋体"/>
          <w:color w:val="auto"/>
          <w:sz w:val="21"/>
          <w:szCs w:val="21"/>
          <w:highlight w:val="none"/>
        </w:rPr>
        <w:t>。</w:t>
      </w:r>
    </w:p>
    <w:p>
      <w:pPr>
        <w:adjustRightInd/>
        <w:snapToGrid w:val="0"/>
        <w:spacing w:line="440" w:lineRule="exact"/>
        <w:ind w:right="0" w:firstLine="420" w:firstLineChars="200"/>
        <w:outlineLvl w:val="9"/>
        <w:rPr>
          <w:rFonts w:hint="eastAsia" w:ascii="宋体" w:hAnsi="宋体"/>
          <w:color w:val="auto"/>
          <w:sz w:val="21"/>
          <w:szCs w:val="21"/>
          <w:highlight w:val="none"/>
          <w:u w:val="single"/>
        </w:rPr>
      </w:pPr>
      <w:r>
        <w:rPr>
          <w:rFonts w:hint="eastAsia" w:ascii="宋体" w:hAnsi="宋体"/>
          <w:color w:val="auto"/>
          <w:sz w:val="21"/>
          <w:szCs w:val="21"/>
          <w:highlight w:val="none"/>
          <w:u w:val="singl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440" w:lineRule="exact"/>
        <w:ind w:firstLine="420" w:firstLineChars="200"/>
        <w:rPr>
          <w:rFonts w:hint="eastAsia" w:ascii="宋体" w:hAnsi="宋体"/>
          <w:color w:val="auto"/>
          <w:sz w:val="21"/>
          <w:szCs w:val="21"/>
          <w:highlight w:val="none"/>
        </w:rPr>
      </w:pP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46</w:t>
      </w:r>
      <w:r>
        <w:rPr>
          <w:rFonts w:hint="eastAsia" w:ascii="宋体" w:hAnsi="宋体"/>
          <w:b/>
          <w:color w:val="auto"/>
          <w:sz w:val="24"/>
          <w:highlight w:val="none"/>
        </w:rPr>
        <w:t>、合同份数</w:t>
      </w:r>
    </w:p>
    <w:p>
      <w:pPr>
        <w:snapToGrid w:val="0"/>
        <w:spacing w:line="440" w:lineRule="exact"/>
        <w:ind w:firstLine="397"/>
        <w:rPr>
          <w:rFonts w:ascii="宋体" w:hAnsi="宋体"/>
          <w:color w:val="auto"/>
          <w:sz w:val="21"/>
          <w:szCs w:val="21"/>
          <w:highlight w:val="none"/>
          <w:u w:val="single"/>
        </w:rPr>
      </w:pPr>
      <w:r>
        <w:rPr>
          <w:rFonts w:ascii="宋体" w:hAnsi="宋体"/>
          <w:color w:val="auto"/>
          <w:sz w:val="21"/>
          <w:szCs w:val="21"/>
          <w:highlight w:val="none"/>
        </w:rPr>
        <w:t>46.1</w:t>
      </w:r>
      <w:r>
        <w:rPr>
          <w:rFonts w:hint="eastAsia" w:ascii="宋体" w:hAnsi="宋体"/>
          <w:color w:val="auto"/>
          <w:sz w:val="21"/>
          <w:szCs w:val="21"/>
          <w:highlight w:val="none"/>
        </w:rPr>
        <w:t>双方约定合同正副本份数：</w:t>
      </w:r>
      <w:r>
        <w:rPr>
          <w:rFonts w:hint="eastAsia" w:ascii="宋体" w:hAnsi="宋体"/>
          <w:color w:val="auto"/>
          <w:sz w:val="21"/>
          <w:szCs w:val="21"/>
          <w:highlight w:val="none"/>
          <w:u w:val="single"/>
        </w:rPr>
        <w:t>共拾贰份，正本一式贰份，发包人承包人各执壹份；副本拾份，发包人柒份，承包人叁份</w:t>
      </w:r>
      <w:r>
        <w:rPr>
          <w:rFonts w:hint="eastAsia" w:ascii="宋体" w:hAnsi="宋体"/>
          <w:color w:val="auto"/>
          <w:sz w:val="21"/>
          <w:szCs w:val="21"/>
          <w:highlight w:val="none"/>
        </w:rPr>
        <w:t>。</w:t>
      </w:r>
    </w:p>
    <w:p>
      <w:pPr>
        <w:snapToGrid w:val="0"/>
        <w:spacing w:line="440" w:lineRule="exact"/>
        <w:ind w:firstLine="397"/>
        <w:rPr>
          <w:rFonts w:ascii="宋体" w:hAnsi="宋体"/>
          <w:b/>
          <w:color w:val="auto"/>
          <w:sz w:val="24"/>
          <w:highlight w:val="none"/>
        </w:rPr>
      </w:pPr>
      <w:r>
        <w:rPr>
          <w:rFonts w:ascii="宋体" w:hAnsi="宋体"/>
          <w:b/>
          <w:color w:val="auto"/>
          <w:sz w:val="24"/>
          <w:highlight w:val="none"/>
        </w:rPr>
        <w:t>47</w:t>
      </w:r>
      <w:r>
        <w:rPr>
          <w:rFonts w:hint="eastAsia" w:ascii="宋体" w:hAnsi="宋体"/>
          <w:b/>
          <w:color w:val="auto"/>
          <w:sz w:val="24"/>
          <w:highlight w:val="none"/>
        </w:rPr>
        <w:t>、补充条款</w:t>
      </w:r>
    </w:p>
    <w:p>
      <w:pPr>
        <w:spacing w:line="440" w:lineRule="exact"/>
        <w:ind w:firstLine="420" w:firstLineChars="200"/>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w:t>
      </w:r>
      <w:r>
        <w:rPr>
          <w:rFonts w:hint="eastAsia" w:ascii="仿宋_GB2312" w:hAnsi="宋体" w:eastAsia="仿宋_GB2312"/>
          <w:b/>
          <w:color w:val="auto"/>
          <w:sz w:val="21"/>
          <w:szCs w:val="21"/>
          <w:highlight w:val="none"/>
        </w:rPr>
        <w:t>安全、文明、科学、规范的施工要求</w:t>
      </w:r>
      <w:r>
        <w:rPr>
          <w:rFonts w:hint="eastAsia" w:ascii="仿宋_GB2312" w:hAnsi="宋体" w:eastAsia="仿宋_GB2312"/>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47.1</w:t>
      </w:r>
      <w:r>
        <w:rPr>
          <w:rFonts w:hint="eastAsia" w:ascii="宋体" w:hAnsi="宋体"/>
          <w:color w:val="auto"/>
          <w:sz w:val="21"/>
          <w:szCs w:val="21"/>
          <w:highlight w:val="none"/>
          <w:u w:val="single"/>
        </w:rPr>
        <w:t>承包人在开工前，必须按照广州市、开发区有关要求办理好相应的施工手续方可开工</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47.2</w:t>
      </w:r>
      <w:r>
        <w:rPr>
          <w:rFonts w:hint="eastAsia" w:ascii="宋体" w:hAnsi="宋体"/>
          <w:color w:val="auto"/>
          <w:sz w:val="21"/>
          <w:szCs w:val="21"/>
          <w:highlight w:val="none"/>
          <w:u w:val="single"/>
        </w:rPr>
        <w:t>施工范围的具体位置及可交付承包人施工安排的用地范围，由承包人根据现场勘察情况报发包人同意确定，建筑轴线控制基点由承包人联系规划局提供</w:t>
      </w:r>
      <w:r>
        <w:rPr>
          <w:rFonts w:hint="eastAsia" w:ascii="宋体" w:hAnsi="宋体"/>
          <w:color w:val="auto"/>
          <w:sz w:val="21"/>
          <w:szCs w:val="21"/>
          <w:highlight w:val="none"/>
        </w:rPr>
        <w:t>。</w:t>
      </w:r>
    </w:p>
    <w:p>
      <w:pPr>
        <w:spacing w:line="440" w:lineRule="exact"/>
        <w:ind w:firstLine="420" w:firstLineChars="200"/>
        <w:rPr>
          <w:rFonts w:hint="eastAsia" w:ascii="宋体" w:hAnsi="宋体"/>
          <w:color w:val="auto"/>
          <w:sz w:val="21"/>
          <w:szCs w:val="21"/>
          <w:highlight w:val="none"/>
        </w:rPr>
      </w:pPr>
      <w:r>
        <w:rPr>
          <w:rFonts w:ascii="宋体" w:hAnsi="宋体"/>
          <w:color w:val="auto"/>
          <w:sz w:val="21"/>
          <w:szCs w:val="21"/>
          <w:highlight w:val="none"/>
        </w:rPr>
        <w:t>47.3</w:t>
      </w:r>
      <w:r>
        <w:rPr>
          <w:rFonts w:hint="eastAsia" w:ascii="宋体" w:hAnsi="宋体"/>
          <w:color w:val="auto"/>
          <w:sz w:val="21"/>
          <w:szCs w:val="21"/>
          <w:highlight w:val="none"/>
          <w:u w:val="single"/>
        </w:rPr>
        <w:t>承包人必须保证在收到中标通知书后五天内进场作好施工准备，十五天内提交有关开工报告、施工组织设计，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hAnsi="宋体"/>
          <w:color w:val="auto"/>
          <w:sz w:val="21"/>
          <w:szCs w:val="21"/>
          <w:highlight w:val="none"/>
        </w:rPr>
        <w:t>。</w:t>
      </w:r>
    </w:p>
    <w:p>
      <w:pPr>
        <w:spacing w:line="520" w:lineRule="exact"/>
        <w:ind w:firstLine="560" w:firstLineChars="200"/>
        <w:rPr>
          <w:rFonts w:hint="eastAsia" w:ascii="宋体" w:hAnsi="宋体" w:eastAsia="楷体_GB2312"/>
          <w:color w:val="auto"/>
          <w:sz w:val="28"/>
          <w:szCs w:val="28"/>
          <w:highlight w:val="none"/>
          <w:u w:val="single"/>
        </w:rPr>
      </w:pPr>
      <w:r>
        <w:rPr>
          <w:rFonts w:hint="eastAsia" w:ascii="宋体" w:hAnsi="宋体" w:eastAsia="楷体_GB2312"/>
          <w:color w:val="auto"/>
          <w:sz w:val="28"/>
          <w:szCs w:val="28"/>
          <w:highlight w:val="none"/>
          <w:u w:val="single"/>
        </w:rPr>
        <w:t>47.4承包人按发包人提供的土地平衡方案进行平整。平整标高要求严格按发包人要求的标高控制。超出发包人要求标高及发包人指定范围内的土方量不得参与工程结算，并由承包方无偿返工，如果不予及时返工，则按超出土方量及相应定额核算清运工程款，在本合同的工程款中扣除。必须按发包人指定的位置和要求进行填土，超过发包人指定的取土标高和坡度（详见取土标高、坐标范围）的，则按每超一立方米扣承包方填土十立方米工程量。</w:t>
      </w:r>
    </w:p>
    <w:p>
      <w:pPr>
        <w:spacing w:line="520" w:lineRule="exact"/>
        <w:ind w:firstLine="700" w:firstLineChars="250"/>
        <w:rPr>
          <w:rFonts w:hint="eastAsia" w:ascii="宋体" w:hAnsi="宋体" w:eastAsia="楷体_GB2312"/>
          <w:color w:val="auto"/>
          <w:sz w:val="28"/>
          <w:szCs w:val="28"/>
          <w:highlight w:val="none"/>
          <w:u w:val="single"/>
        </w:rPr>
      </w:pPr>
      <w:r>
        <w:rPr>
          <w:rFonts w:hint="eastAsia" w:ascii="宋体" w:hAnsi="宋体" w:eastAsia="楷体_GB2312"/>
          <w:color w:val="auto"/>
          <w:sz w:val="28"/>
          <w:szCs w:val="28"/>
          <w:highlight w:val="none"/>
          <w:u w:val="single"/>
        </w:rPr>
        <w:t>不得植入腐植土、垃圾土、淤泥。不允许有大于20厘米的石、树头、竹子等杂物填入填土场地。大填土密实度为85%以上。如遇山坟由承包方踏勘现场负责保护、并及时报告发包人，不论何种情况发生坟墓破坏、损失，坟主索赔均由承包方承担全部责任，与发包人无关。</w:t>
      </w:r>
    </w:p>
    <w:p>
      <w:pPr>
        <w:spacing w:line="520" w:lineRule="exact"/>
        <w:ind w:firstLine="560" w:firstLineChars="200"/>
        <w:rPr>
          <w:rFonts w:hint="eastAsia" w:ascii="宋体" w:hAnsi="宋体" w:eastAsia="楷体_GB2312"/>
          <w:color w:val="auto"/>
          <w:sz w:val="28"/>
          <w:szCs w:val="28"/>
          <w:highlight w:val="none"/>
          <w:u w:val="single"/>
        </w:rPr>
      </w:pPr>
      <w:r>
        <w:rPr>
          <w:rFonts w:hint="eastAsia" w:ascii="宋体" w:hAnsi="宋体" w:eastAsia="楷体_GB2312"/>
          <w:color w:val="auto"/>
          <w:sz w:val="28"/>
          <w:szCs w:val="28"/>
          <w:highlight w:val="none"/>
          <w:u w:val="single"/>
        </w:rPr>
        <w:t>承包方在平整过程中，必须完善平整土方区排水系统，在挖、填土区周边挖好排水明沟及沉砂池，过滤后并引入现有排水沟渠或明沟。如挖土区域泥土被雨水冲刷到路上或毁坏农作物，以及造成居民房屋受浸、财产损失，则有承包方承担清扫和赔偿责任，否则发包人有权从承包方工程费中扣除相关费用用于支付清扫费和赔偿费。</w:t>
      </w:r>
    </w:p>
    <w:p>
      <w:pPr>
        <w:spacing w:line="520" w:lineRule="exact"/>
        <w:ind w:firstLine="560" w:firstLineChars="200"/>
        <w:rPr>
          <w:rFonts w:hint="eastAsia" w:ascii="宋体" w:hAnsi="宋体" w:eastAsia="楷体_GB2312"/>
          <w:color w:val="auto"/>
          <w:sz w:val="28"/>
          <w:szCs w:val="28"/>
          <w:highlight w:val="none"/>
          <w:u w:val="single"/>
        </w:rPr>
      </w:pPr>
      <w:r>
        <w:rPr>
          <w:rFonts w:hint="eastAsia" w:ascii="宋体" w:hAnsi="宋体" w:eastAsia="楷体_GB2312"/>
          <w:color w:val="auto"/>
          <w:sz w:val="28"/>
          <w:szCs w:val="28"/>
          <w:highlight w:val="none"/>
          <w:u w:val="single"/>
        </w:rPr>
        <w:t>承包方必须服从发包人因规划调整或建设需要等原因而发出的变更挖土位置、标高、范围等指令，否则承担其全部责任。负责协调平整土方用地和周边单位的关系，如发生纠纷和经济责任由承包方解决，承包方负全部责任，发包人不再作任何补偿。</w:t>
      </w:r>
    </w:p>
    <w:p>
      <w:pPr>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47.</w:t>
      </w:r>
      <w:r>
        <w:rPr>
          <w:rFonts w:hint="eastAsia" w:ascii="宋体" w:hAnsi="宋体"/>
          <w:color w:val="auto"/>
          <w:sz w:val="21"/>
          <w:szCs w:val="21"/>
          <w:highlight w:val="none"/>
        </w:rPr>
        <w:t>5</w:t>
      </w:r>
      <w:r>
        <w:rPr>
          <w:rFonts w:hint="eastAsia" w:ascii="宋体" w:hAnsi="宋体"/>
          <w:color w:val="auto"/>
          <w:sz w:val="21"/>
          <w:szCs w:val="21"/>
          <w:highlight w:val="none"/>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47.</w:t>
      </w:r>
      <w:r>
        <w:rPr>
          <w:rFonts w:hint="eastAsia" w:ascii="宋体" w:hAnsi="宋体"/>
          <w:color w:val="auto"/>
          <w:sz w:val="21"/>
          <w:szCs w:val="21"/>
          <w:highlight w:val="none"/>
        </w:rPr>
        <w:t>6</w:t>
      </w:r>
      <w:r>
        <w:rPr>
          <w:rFonts w:hint="eastAsia" w:ascii="宋体" w:hAnsi="宋体"/>
          <w:color w:val="auto"/>
          <w:sz w:val="21"/>
          <w:szCs w:val="21"/>
          <w:highlight w:val="none"/>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w:t>
      </w:r>
      <w:r>
        <w:rPr>
          <w:rFonts w:hint="eastAsia" w:ascii="宋体" w:hAnsi="宋体"/>
          <w:color w:val="auto"/>
          <w:sz w:val="21"/>
          <w:szCs w:val="21"/>
          <w:highlight w:val="none"/>
        </w:rPr>
        <w:t>7</w:t>
      </w:r>
      <w:r>
        <w:rPr>
          <w:rFonts w:hint="eastAsia" w:ascii="宋体" w:hAnsi="宋体"/>
          <w:color w:val="auto"/>
          <w:sz w:val="21"/>
          <w:szCs w:val="21"/>
          <w:highlight w:val="none"/>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w:t>
      </w:r>
      <w:r>
        <w:rPr>
          <w:rFonts w:hint="eastAsia" w:ascii="宋体" w:hAnsi="宋体"/>
          <w:color w:val="auto"/>
          <w:sz w:val="21"/>
          <w:szCs w:val="21"/>
          <w:highlight w:val="none"/>
        </w:rPr>
        <w:t>8</w:t>
      </w:r>
      <w:r>
        <w:rPr>
          <w:rFonts w:hint="eastAsia" w:ascii="宋体" w:hAnsi="宋体"/>
          <w:color w:val="auto"/>
          <w:sz w:val="21"/>
          <w:szCs w:val="21"/>
          <w:highlight w:val="none"/>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w:t>
      </w:r>
      <w:r>
        <w:rPr>
          <w:rFonts w:hint="eastAsia" w:ascii="宋体" w:hAnsi="宋体"/>
          <w:color w:val="auto"/>
          <w:sz w:val="21"/>
          <w:szCs w:val="21"/>
          <w:highlight w:val="none"/>
        </w:rPr>
        <w:t>9</w:t>
      </w:r>
      <w:r>
        <w:rPr>
          <w:rFonts w:hint="eastAsia" w:ascii="宋体" w:hAnsi="宋体"/>
          <w:color w:val="auto"/>
          <w:sz w:val="21"/>
          <w:szCs w:val="21"/>
          <w:highlight w:val="none"/>
          <w:u w:val="single"/>
        </w:rPr>
        <w:t>若遇阻碍施工需拆迁的旧建（构）筑物、地下孤石等障碍物，由承包人负责清障，所需清障费用经监理、发包人现场签证调整</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47.</w:t>
      </w:r>
      <w:r>
        <w:rPr>
          <w:rFonts w:hint="eastAsia" w:ascii="宋体" w:hAnsi="宋体"/>
          <w:color w:val="auto"/>
          <w:sz w:val="21"/>
          <w:szCs w:val="21"/>
          <w:highlight w:val="none"/>
        </w:rPr>
        <w:t>10</w:t>
      </w:r>
      <w:r>
        <w:rPr>
          <w:rFonts w:hint="eastAsia" w:ascii="宋体" w:hAnsi="宋体"/>
          <w:color w:val="auto"/>
          <w:sz w:val="21"/>
          <w:szCs w:val="21"/>
          <w:highlight w:val="none"/>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47.11</w:t>
      </w:r>
      <w:r>
        <w:rPr>
          <w:rFonts w:hint="eastAsia" w:ascii="宋体" w:hAnsi="宋体"/>
          <w:color w:val="auto"/>
          <w:sz w:val="21"/>
          <w:szCs w:val="21"/>
          <w:highlight w:val="none"/>
          <w:u w:val="single"/>
        </w:rPr>
        <w:t>双方根据国家有关规定，结合具体工程约定质量缺陷责任期如下</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1、</w:t>
      </w:r>
      <w:r>
        <w:rPr>
          <w:rFonts w:hint="eastAsia" w:ascii="宋体" w:hAnsi="宋体"/>
          <w:color w:val="auto"/>
          <w:sz w:val="21"/>
          <w:szCs w:val="21"/>
          <w:highlight w:val="none"/>
          <w:u w:val="single"/>
        </w:rPr>
        <w:t>基础设施工程、房屋建筑的地基基础工程和主体结构工程为</w:t>
      </w:r>
      <w:r>
        <w:rPr>
          <w:rFonts w:ascii="宋体" w:hAnsi="宋体"/>
          <w:color w:val="auto"/>
          <w:sz w:val="21"/>
          <w:szCs w:val="21"/>
          <w:highlight w:val="none"/>
          <w:u w:val="single"/>
        </w:rPr>
        <w:t>2年</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2、</w:t>
      </w:r>
      <w:r>
        <w:rPr>
          <w:rFonts w:hint="eastAsia" w:ascii="宋体" w:hAnsi="宋体"/>
          <w:color w:val="auto"/>
          <w:sz w:val="21"/>
          <w:szCs w:val="21"/>
          <w:highlight w:val="none"/>
          <w:u w:val="single"/>
        </w:rPr>
        <w:t>屋面防水工程为</w:t>
      </w:r>
      <w:r>
        <w:rPr>
          <w:rFonts w:ascii="宋体" w:hAnsi="宋体"/>
          <w:color w:val="auto"/>
          <w:sz w:val="21"/>
          <w:szCs w:val="21"/>
          <w:highlight w:val="none"/>
          <w:u w:val="single"/>
        </w:rPr>
        <w:t xml:space="preserve"> 2 </w:t>
      </w:r>
      <w:r>
        <w:rPr>
          <w:rFonts w:hint="eastAsia" w:ascii="宋体" w:hAnsi="宋体"/>
          <w:color w:val="auto"/>
          <w:sz w:val="21"/>
          <w:szCs w:val="21"/>
          <w:highlight w:val="none"/>
          <w:u w:val="single"/>
        </w:rPr>
        <w:t>年，室外装饰工程为</w:t>
      </w:r>
      <w:r>
        <w:rPr>
          <w:rFonts w:ascii="宋体" w:hAnsi="宋体"/>
          <w:color w:val="auto"/>
          <w:sz w:val="21"/>
          <w:szCs w:val="21"/>
          <w:highlight w:val="none"/>
          <w:u w:val="single"/>
        </w:rPr>
        <w:t xml:space="preserve"> 2</w:t>
      </w:r>
      <w:r>
        <w:rPr>
          <w:rFonts w:hint="eastAsia" w:ascii="宋体" w:hAnsi="宋体"/>
          <w:color w:val="auto"/>
          <w:sz w:val="21"/>
          <w:szCs w:val="21"/>
          <w:highlight w:val="none"/>
          <w:u w:val="single"/>
        </w:rPr>
        <w:t xml:space="preserve"> 年</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3、</w:t>
      </w:r>
      <w:r>
        <w:rPr>
          <w:rFonts w:hint="eastAsia" w:ascii="宋体" w:hAnsi="宋体"/>
          <w:color w:val="auto"/>
          <w:sz w:val="21"/>
          <w:szCs w:val="21"/>
          <w:highlight w:val="none"/>
          <w:u w:val="single"/>
        </w:rPr>
        <w:t>电力管线、上下水管线安装工程为</w:t>
      </w:r>
      <w:r>
        <w:rPr>
          <w:rFonts w:ascii="宋体" w:hAnsi="宋体"/>
          <w:color w:val="auto"/>
          <w:sz w:val="21"/>
          <w:szCs w:val="21"/>
          <w:highlight w:val="none"/>
          <w:u w:val="single"/>
        </w:rPr>
        <w:t xml:space="preserve"> 2 </w:t>
      </w:r>
      <w:r>
        <w:rPr>
          <w:rFonts w:hint="eastAsia" w:ascii="宋体" w:hAnsi="宋体"/>
          <w:color w:val="auto"/>
          <w:sz w:val="21"/>
          <w:szCs w:val="21"/>
          <w:highlight w:val="none"/>
          <w:u w:val="single"/>
        </w:rPr>
        <w:t>年</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w:t>
      </w:r>
      <w:r>
        <w:rPr>
          <w:rFonts w:hint="eastAsia" w:ascii="宋体" w:hAnsi="宋体"/>
          <w:color w:val="auto"/>
          <w:sz w:val="21"/>
          <w:szCs w:val="21"/>
          <w:highlight w:val="none"/>
          <w:u w:val="single"/>
        </w:rPr>
        <w:t>供热及供冷为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2</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个采暖期及供冷期</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5、</w:t>
      </w:r>
      <w:r>
        <w:rPr>
          <w:rFonts w:hint="eastAsia" w:ascii="宋体" w:hAnsi="宋体"/>
          <w:color w:val="auto"/>
          <w:sz w:val="21"/>
          <w:szCs w:val="21"/>
          <w:highlight w:val="none"/>
          <w:u w:val="single"/>
        </w:rPr>
        <w:t>室外的上下水和小区道路等市政公用工程为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2</w:t>
      </w:r>
      <w:r>
        <w:rPr>
          <w:rFonts w:ascii="宋体" w:hAnsi="宋体"/>
          <w:color w:val="auto"/>
          <w:sz w:val="21"/>
          <w:szCs w:val="21"/>
          <w:highlight w:val="none"/>
          <w:u w:val="single"/>
        </w:rPr>
        <w:t xml:space="preserve"> 年</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6、</w:t>
      </w:r>
      <w:r>
        <w:rPr>
          <w:rFonts w:hint="eastAsia" w:ascii="宋体" w:hAnsi="宋体"/>
          <w:color w:val="auto"/>
          <w:sz w:val="21"/>
          <w:szCs w:val="21"/>
          <w:highlight w:val="none"/>
          <w:u w:val="single"/>
        </w:rPr>
        <w:t>市政道路排水工程为</w:t>
      </w:r>
      <w:r>
        <w:rPr>
          <w:rFonts w:ascii="宋体" w:hAnsi="宋体"/>
          <w:color w:val="auto"/>
          <w:sz w:val="21"/>
          <w:szCs w:val="21"/>
          <w:highlight w:val="none"/>
          <w:u w:val="single"/>
        </w:rPr>
        <w:t xml:space="preserve"> 2 年，市政供水工程为 2 年</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7、</w:t>
      </w:r>
      <w:r>
        <w:rPr>
          <w:rFonts w:hint="eastAsia" w:ascii="宋体" w:hAnsi="宋体"/>
          <w:color w:val="auto"/>
          <w:sz w:val="21"/>
          <w:szCs w:val="21"/>
          <w:highlight w:val="none"/>
          <w:u w:val="single"/>
        </w:rPr>
        <w:t>市政供电工程为</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2</w:t>
      </w:r>
      <w:r>
        <w:rPr>
          <w:rFonts w:ascii="宋体" w:hAnsi="宋体"/>
          <w:color w:val="auto"/>
          <w:sz w:val="21"/>
          <w:szCs w:val="21"/>
          <w:highlight w:val="none"/>
          <w:u w:val="single"/>
        </w:rPr>
        <w:t xml:space="preserve"> 年，市政道路照明工程 </w:t>
      </w:r>
      <w:r>
        <w:rPr>
          <w:rFonts w:hint="eastAsia" w:ascii="宋体" w:hAnsi="宋体"/>
          <w:color w:val="auto"/>
          <w:sz w:val="21"/>
          <w:szCs w:val="21"/>
          <w:highlight w:val="none"/>
          <w:u w:val="single"/>
        </w:rPr>
        <w:t>2</w:t>
      </w:r>
      <w:r>
        <w:rPr>
          <w:rFonts w:ascii="宋体" w:hAnsi="宋体"/>
          <w:color w:val="auto"/>
          <w:sz w:val="21"/>
          <w:szCs w:val="21"/>
          <w:highlight w:val="none"/>
          <w:u w:val="single"/>
        </w:rPr>
        <w:t xml:space="preserve"> 年，市政交通设施工程为 </w:t>
      </w:r>
      <w:r>
        <w:rPr>
          <w:rFonts w:hint="eastAsia" w:ascii="宋体" w:hAnsi="宋体"/>
          <w:color w:val="auto"/>
          <w:sz w:val="21"/>
          <w:szCs w:val="21"/>
          <w:highlight w:val="none"/>
          <w:u w:val="single"/>
        </w:rPr>
        <w:t>2</w:t>
      </w:r>
      <w:r>
        <w:rPr>
          <w:rFonts w:ascii="宋体" w:hAnsi="宋体"/>
          <w:color w:val="auto"/>
          <w:sz w:val="21"/>
          <w:szCs w:val="21"/>
          <w:highlight w:val="none"/>
          <w:u w:val="single"/>
        </w:rPr>
        <w:t xml:space="preserve"> 年</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8、</w:t>
      </w:r>
      <w:r>
        <w:rPr>
          <w:rFonts w:hint="eastAsia" w:ascii="宋体" w:hAnsi="宋体"/>
          <w:color w:val="auto"/>
          <w:sz w:val="21"/>
          <w:szCs w:val="21"/>
          <w:highlight w:val="none"/>
          <w:u w:val="single"/>
        </w:rPr>
        <w:t>园林建筑工程为</w:t>
      </w:r>
      <w:r>
        <w:rPr>
          <w:rFonts w:ascii="宋体" w:hAnsi="宋体"/>
          <w:color w:val="auto"/>
          <w:sz w:val="21"/>
          <w:szCs w:val="21"/>
          <w:highlight w:val="none"/>
          <w:u w:val="single"/>
        </w:rPr>
        <w:t>1年，喷淋工程为2年，胸径15cm</w:t>
      </w:r>
      <w:r>
        <w:rPr>
          <w:rFonts w:hint="eastAsia" w:ascii="宋体" w:hAnsi="宋体"/>
          <w:color w:val="auto"/>
          <w:sz w:val="21"/>
          <w:szCs w:val="21"/>
          <w:highlight w:val="none"/>
          <w:u w:val="single"/>
        </w:rPr>
        <w:t>以内（含</w:t>
      </w:r>
      <w:r>
        <w:rPr>
          <w:rFonts w:ascii="宋体" w:hAnsi="宋体"/>
          <w:color w:val="auto"/>
          <w:sz w:val="21"/>
          <w:szCs w:val="21"/>
          <w:highlight w:val="none"/>
          <w:u w:val="single"/>
        </w:rPr>
        <w:t>15cm</w:t>
      </w:r>
      <w:r>
        <w:rPr>
          <w:rFonts w:hint="eastAsia" w:ascii="宋体" w:hAnsi="宋体"/>
          <w:color w:val="auto"/>
          <w:sz w:val="21"/>
          <w:szCs w:val="21"/>
          <w:highlight w:val="none"/>
          <w:u w:val="single"/>
        </w:rPr>
        <w:t>）的苗木养护期为</w:t>
      </w:r>
      <w:r>
        <w:rPr>
          <w:rFonts w:ascii="宋体" w:hAnsi="宋体"/>
          <w:color w:val="auto"/>
          <w:sz w:val="21"/>
          <w:szCs w:val="21"/>
          <w:highlight w:val="none"/>
          <w:u w:val="single"/>
        </w:rPr>
        <w:t>3个月，胸径15cm</w:t>
      </w:r>
      <w:r>
        <w:rPr>
          <w:rFonts w:hint="eastAsia" w:ascii="宋体" w:hAnsi="宋体"/>
          <w:color w:val="auto"/>
          <w:sz w:val="21"/>
          <w:szCs w:val="21"/>
          <w:highlight w:val="none"/>
          <w:u w:val="single"/>
        </w:rPr>
        <w:t>以上的苗木养护期为</w:t>
      </w:r>
      <w:r>
        <w:rPr>
          <w:rFonts w:ascii="宋体" w:hAnsi="宋体"/>
          <w:color w:val="auto"/>
          <w:sz w:val="21"/>
          <w:szCs w:val="21"/>
          <w:highlight w:val="none"/>
          <w:u w:val="single"/>
        </w:rPr>
        <w:t>1年</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9、</w:t>
      </w:r>
      <w:r>
        <w:rPr>
          <w:rFonts w:hint="eastAsia" w:ascii="宋体" w:hAnsi="宋体"/>
          <w:color w:val="auto"/>
          <w:sz w:val="21"/>
          <w:szCs w:val="21"/>
          <w:highlight w:val="none"/>
          <w:u w:val="single"/>
        </w:rPr>
        <w:t>除上述专业工程外其它工程的质量缺陷责任期按相关规定或经双方另行协商确定</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u w:val="single"/>
        </w:rPr>
        <w:t>本工程质量缺陷责任期从广州开发区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宋体" w:hAnsi="宋体"/>
          <w:color w:val="auto"/>
          <w:sz w:val="21"/>
          <w:szCs w:val="21"/>
          <w:highlight w:val="none"/>
        </w:rPr>
        <w:t>。</w:t>
      </w:r>
    </w:p>
    <w:p>
      <w:pPr>
        <w:spacing w:line="440" w:lineRule="exact"/>
        <w:ind w:firstLine="420" w:firstLineChars="200"/>
        <w:rPr>
          <w:rFonts w:hint="eastAsia" w:ascii="宋体" w:hAnsi="宋体"/>
          <w:color w:val="auto"/>
          <w:sz w:val="21"/>
          <w:szCs w:val="21"/>
          <w:highlight w:val="none"/>
        </w:rPr>
      </w:pPr>
      <w:r>
        <w:rPr>
          <w:rFonts w:ascii="宋体" w:hAnsi="宋体"/>
          <w:color w:val="auto"/>
          <w:sz w:val="21"/>
          <w:szCs w:val="21"/>
          <w:highlight w:val="none"/>
        </w:rPr>
        <w:t>47.1</w:t>
      </w:r>
      <w:r>
        <w:rPr>
          <w:rFonts w:hint="eastAsia" w:ascii="宋体" w:hAnsi="宋体"/>
          <w:color w:val="auto"/>
          <w:sz w:val="21"/>
          <w:szCs w:val="21"/>
          <w:highlight w:val="none"/>
        </w:rPr>
        <w:t>2 施工现场生活区应设置信息公示栏，每月10日前将上月作业工人考勤和工资结算和支付信息在信息公示栏进行公示，公示期不少于5天。</w:t>
      </w:r>
    </w:p>
    <w:p>
      <w:pPr>
        <w:spacing w:line="440" w:lineRule="exact"/>
        <w:ind w:firstLine="420" w:firstLineChars="200"/>
        <w:rPr>
          <w:rFonts w:ascii="仿宋_GB2312" w:hAnsi="宋体" w:eastAsia="仿宋_GB2312"/>
          <w:color w:val="auto"/>
          <w:sz w:val="21"/>
          <w:szCs w:val="21"/>
          <w:highlight w:val="none"/>
          <w:u w:val="single"/>
        </w:rPr>
      </w:pPr>
      <w:r>
        <w:rPr>
          <w:rFonts w:hint="eastAsia" w:ascii="仿宋_GB2312" w:hAnsi="宋体" w:eastAsia="仿宋_GB2312"/>
          <w:color w:val="auto"/>
          <w:sz w:val="21"/>
          <w:szCs w:val="21"/>
          <w:highlight w:val="none"/>
        </w:rPr>
        <w:t>（</w:t>
      </w:r>
      <w:r>
        <w:rPr>
          <w:rFonts w:hint="eastAsia" w:ascii="仿宋_GB2312" w:hAnsi="宋体" w:eastAsia="仿宋_GB2312"/>
          <w:b/>
          <w:color w:val="auto"/>
          <w:sz w:val="21"/>
          <w:szCs w:val="21"/>
          <w:highlight w:val="none"/>
        </w:rPr>
        <w:t>农民工佣工要求</w:t>
      </w:r>
      <w:r>
        <w:rPr>
          <w:rFonts w:hint="eastAsia" w:ascii="仿宋_GB2312" w:hAnsi="宋体" w:eastAsia="仿宋_GB2312"/>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47.1</w:t>
      </w:r>
      <w:r>
        <w:rPr>
          <w:rFonts w:hint="eastAsia" w:ascii="宋体" w:hAnsi="宋体"/>
          <w:color w:val="auto"/>
          <w:sz w:val="21"/>
          <w:szCs w:val="21"/>
          <w:highlight w:val="none"/>
        </w:rPr>
        <w:t>3</w:t>
      </w:r>
      <w:r>
        <w:rPr>
          <w:rFonts w:hint="eastAsia" w:ascii="宋体" w:hAnsi="宋体"/>
          <w:color w:val="auto"/>
          <w:sz w:val="21"/>
          <w:szCs w:val="21"/>
          <w:highlight w:val="none"/>
          <w:u w:val="single"/>
        </w:rPr>
        <w:t>承包人必须按照穗开规『</w:t>
      </w:r>
      <w:r>
        <w:rPr>
          <w:rFonts w:ascii="宋体" w:hAnsi="宋体"/>
          <w:color w:val="auto"/>
          <w:sz w:val="21"/>
          <w:szCs w:val="21"/>
          <w:highlight w:val="none"/>
          <w:u w:val="single"/>
        </w:rPr>
        <w:t>2004』58号文的有关要求及规定优先使用广州开发区的农民工</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47.1</w:t>
      </w:r>
      <w:r>
        <w:rPr>
          <w:rFonts w:hint="eastAsia" w:ascii="宋体" w:hAnsi="宋体"/>
          <w:color w:val="auto"/>
          <w:sz w:val="21"/>
          <w:szCs w:val="21"/>
          <w:highlight w:val="none"/>
        </w:rPr>
        <w:t>4</w:t>
      </w:r>
      <w:r>
        <w:rPr>
          <w:rFonts w:hint="eastAsia" w:ascii="宋体" w:hAnsi="宋体"/>
          <w:color w:val="auto"/>
          <w:sz w:val="21"/>
          <w:szCs w:val="21"/>
          <w:highlight w:val="none"/>
          <w:u w:val="single"/>
        </w:rPr>
        <w:t>承包人必须严格执行穗开纪</w:t>
      </w:r>
      <w:r>
        <w:rPr>
          <w:rFonts w:ascii="宋体" w:hAnsi="宋体"/>
          <w:color w:val="auto"/>
          <w:sz w:val="21"/>
          <w:szCs w:val="21"/>
          <w:highlight w:val="none"/>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47.1</w:t>
      </w:r>
      <w:r>
        <w:rPr>
          <w:rFonts w:hint="eastAsia" w:ascii="宋体" w:hAnsi="宋体"/>
          <w:color w:val="auto"/>
          <w:sz w:val="21"/>
          <w:szCs w:val="21"/>
          <w:highlight w:val="none"/>
        </w:rPr>
        <w:t>5</w:t>
      </w:r>
      <w:r>
        <w:rPr>
          <w:rFonts w:hint="eastAsia" w:ascii="宋体" w:hAnsi="宋体"/>
          <w:color w:val="auto"/>
          <w:sz w:val="21"/>
          <w:szCs w:val="21"/>
          <w:highlight w:val="none"/>
          <w:u w:val="single"/>
        </w:rPr>
        <w:t>承包人应按照 《广州市住房和城乡建设委员会关于印发&lt;广州市建筑施工实名制管理办法&gt;的通知》（穗建规字[2017]4号）、《关于印发广州市建设领域工人工资支付分帐管理实施细则的通知》（穗建规字[2020]37号）、《保障农民工工资支付条例》(中华人民共和国国务院令第724号)、《广州市根治拖欠农民工工资工作领导小组办公室关于广州市建设领域工程项目全面实施农民工工资总包代发制度的通知》及广州市黄埔区、开发区对应出台的相关文件规定办理建筑工地实名制管理和工人工资支付分帐管理事宜；防止出现拖欠工人工资情况。承包人违法转包、分包工程的或其他承包人原因导致相应工程出现拖欠工人工资情况的，承包人对拖欠工人工资承担清偿责任，对此引起的纠纷负全责，造成甲方损失（包括但不限于甲方因此而支付的赔偿款、律师费、诉讼费、保全费、公证费、鉴定费等）的，承包人须承担全部责任。</w:t>
      </w:r>
    </w:p>
    <w:p>
      <w:pPr>
        <w:spacing w:line="440" w:lineRule="exact"/>
        <w:ind w:firstLine="420" w:firstLineChars="200"/>
        <w:rPr>
          <w:rFonts w:ascii="宋体" w:hAnsi="宋体"/>
          <w:b/>
          <w:color w:val="auto"/>
          <w:sz w:val="21"/>
          <w:szCs w:val="21"/>
          <w:highlight w:val="none"/>
        </w:rPr>
      </w:pPr>
      <w:r>
        <w:rPr>
          <w:rFonts w:ascii="宋体" w:hAnsi="宋体"/>
          <w:color w:val="auto"/>
          <w:sz w:val="21"/>
          <w:szCs w:val="21"/>
          <w:highlight w:val="none"/>
        </w:rPr>
        <w:t>47.1</w:t>
      </w:r>
      <w:r>
        <w:rPr>
          <w:rFonts w:hint="eastAsia" w:ascii="宋体" w:hAnsi="宋体"/>
          <w:color w:val="auto"/>
          <w:sz w:val="21"/>
          <w:szCs w:val="21"/>
          <w:highlight w:val="none"/>
        </w:rPr>
        <w:t>6</w:t>
      </w:r>
      <w:r>
        <w:rPr>
          <w:rFonts w:hint="eastAsia" w:ascii="宋体" w:hAnsi="宋体"/>
          <w:color w:val="auto"/>
          <w:sz w:val="21"/>
          <w:szCs w:val="21"/>
          <w:highlight w:val="none"/>
          <w:u w:val="single"/>
        </w:rPr>
        <w:t>若承包人在本工程内发生无故拖欠农民工工资现象，将被作不良记录，上报区建设行政主管部门</w:t>
      </w:r>
      <w:r>
        <w:rPr>
          <w:rFonts w:hint="eastAsia" w:ascii="宋体" w:hAnsi="宋体"/>
          <w:color w:val="auto"/>
          <w:sz w:val="21"/>
          <w:szCs w:val="21"/>
          <w:highlight w:val="none"/>
        </w:rPr>
        <w:t>。若承包人转包或者违法分包造成拖欠工人工资的，除上报区建设行政主管部门外，还将提请省建设行业主管部门禁止在广东省行政区域范围内承包工程。</w:t>
      </w:r>
    </w:p>
    <w:p>
      <w:pPr>
        <w:snapToGrid w:val="0"/>
        <w:spacing w:line="440" w:lineRule="exact"/>
        <w:ind w:firstLine="480"/>
        <w:rPr>
          <w:rFonts w:ascii="宋体" w:hAnsi="宋体"/>
          <w:color w:val="auto"/>
          <w:sz w:val="21"/>
          <w:szCs w:val="21"/>
          <w:highlight w:val="none"/>
        </w:rPr>
      </w:pPr>
      <w:r>
        <w:rPr>
          <w:rFonts w:hint="eastAsia" w:ascii="仿宋_GB2312" w:hAnsi="宋体" w:eastAsia="仿宋_GB2312"/>
          <w:color w:val="auto"/>
          <w:sz w:val="21"/>
          <w:szCs w:val="21"/>
          <w:highlight w:val="none"/>
        </w:rPr>
        <w:t>（</w:t>
      </w:r>
      <w:r>
        <w:rPr>
          <w:rFonts w:hint="eastAsia" w:ascii="仿宋_GB2312" w:hAnsi="宋体" w:eastAsia="仿宋_GB2312"/>
          <w:b/>
          <w:color w:val="auto"/>
          <w:sz w:val="21"/>
          <w:szCs w:val="21"/>
          <w:highlight w:val="none"/>
        </w:rPr>
        <w:t>项目管理机构人员、机械设备、劳动力到位方面的要求</w:t>
      </w:r>
      <w:r>
        <w:rPr>
          <w:rFonts w:hint="eastAsia" w:ascii="仿宋_GB2312" w:hAnsi="宋体" w:eastAsia="仿宋_GB2312"/>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47.1</w:t>
      </w:r>
      <w:r>
        <w:rPr>
          <w:rFonts w:hint="eastAsia" w:ascii="宋体" w:hAnsi="宋体"/>
          <w:color w:val="auto"/>
          <w:sz w:val="21"/>
          <w:szCs w:val="21"/>
          <w:highlight w:val="none"/>
        </w:rPr>
        <w:t>7</w:t>
      </w:r>
      <w:r>
        <w:rPr>
          <w:rFonts w:hint="eastAsia" w:ascii="宋体" w:hAnsi="宋体"/>
          <w:color w:val="auto"/>
          <w:sz w:val="21"/>
          <w:szCs w:val="21"/>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47.1</w:t>
      </w:r>
      <w:r>
        <w:rPr>
          <w:rFonts w:hint="eastAsia" w:ascii="宋体" w:hAnsi="宋体"/>
          <w:color w:val="auto"/>
          <w:sz w:val="21"/>
          <w:szCs w:val="21"/>
          <w:highlight w:val="none"/>
        </w:rPr>
        <w:t>8</w:t>
      </w:r>
      <w:r>
        <w:rPr>
          <w:rFonts w:hint="eastAsia" w:ascii="宋体" w:hAnsi="宋体"/>
          <w:color w:val="auto"/>
          <w:sz w:val="21"/>
          <w:szCs w:val="21"/>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47.1</w:t>
      </w:r>
      <w:r>
        <w:rPr>
          <w:rFonts w:hint="eastAsia" w:ascii="宋体" w:hAnsi="宋体"/>
          <w:color w:val="auto"/>
          <w:sz w:val="21"/>
          <w:szCs w:val="21"/>
          <w:highlight w:val="none"/>
        </w:rPr>
        <w:t>9</w:t>
      </w:r>
      <w:r>
        <w:rPr>
          <w:rFonts w:hint="eastAsia" w:ascii="宋体" w:hAnsi="宋体"/>
          <w:color w:val="auto"/>
          <w:sz w:val="21"/>
          <w:szCs w:val="21"/>
          <w:highlight w:val="none"/>
          <w:u w:val="single"/>
        </w:rPr>
        <w:t>现场施工时，施工员（技术员）不在施工现场不得施工，否则发包人可随时要求停工，工期延误由承包人负责</w:t>
      </w:r>
      <w:r>
        <w:rPr>
          <w:rFonts w:hint="eastAsia" w:ascii="宋体" w:hAnsi="宋体"/>
          <w:color w:val="auto"/>
          <w:sz w:val="21"/>
          <w:szCs w:val="21"/>
          <w:highlight w:val="none"/>
        </w:rPr>
        <w:t>。</w:t>
      </w:r>
    </w:p>
    <w:p>
      <w:pPr>
        <w:snapToGrid w:val="0"/>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w:t>
      </w:r>
      <w:r>
        <w:rPr>
          <w:rFonts w:hint="eastAsia" w:ascii="宋体" w:hAnsi="宋体"/>
          <w:color w:val="auto"/>
          <w:sz w:val="21"/>
          <w:szCs w:val="21"/>
          <w:highlight w:val="none"/>
        </w:rPr>
        <w:t>20</w:t>
      </w:r>
      <w:r>
        <w:rPr>
          <w:rFonts w:hint="eastAsia" w:ascii="宋体" w:hAnsi="宋体"/>
          <w:color w:val="auto"/>
          <w:sz w:val="21"/>
          <w:szCs w:val="21"/>
          <w:highlight w:val="none"/>
          <w:u w:val="single"/>
        </w:rPr>
        <w:t>承包人派往现场的管理人员若因不负责任、或玩忽职守、或严重失职等给发包人造成经济损失，承包人承担相应的经济责任和连带法律责任</w:t>
      </w:r>
      <w:r>
        <w:rPr>
          <w:rFonts w:hint="eastAsia" w:ascii="宋体" w:hAnsi="宋体"/>
          <w:color w:val="auto"/>
          <w:sz w:val="21"/>
          <w:szCs w:val="21"/>
          <w:highlight w:val="none"/>
        </w:rPr>
        <w:t>。</w:t>
      </w:r>
    </w:p>
    <w:p>
      <w:pPr>
        <w:snapToGrid w:val="0"/>
        <w:spacing w:line="440" w:lineRule="exact"/>
        <w:ind w:firstLine="420" w:firstLineChars="200"/>
        <w:rPr>
          <w:rFonts w:ascii="仿宋_GB2312" w:hAnsi="宋体" w:eastAsia="仿宋_GB2312"/>
          <w:color w:val="auto"/>
          <w:sz w:val="21"/>
          <w:szCs w:val="21"/>
          <w:highlight w:val="none"/>
        </w:rPr>
      </w:pPr>
      <w:r>
        <w:rPr>
          <w:rFonts w:hint="eastAsia" w:ascii="仿宋_GB2312" w:hAnsi="宋体" w:eastAsia="仿宋_GB2312"/>
          <w:color w:val="auto"/>
          <w:sz w:val="21"/>
          <w:szCs w:val="21"/>
          <w:highlight w:val="none"/>
        </w:rPr>
        <w:t>（</w:t>
      </w:r>
      <w:r>
        <w:rPr>
          <w:rFonts w:hint="eastAsia" w:ascii="仿宋_GB2312" w:hAnsi="宋体" w:eastAsia="仿宋_GB2312"/>
          <w:b/>
          <w:color w:val="auto"/>
          <w:sz w:val="21"/>
          <w:szCs w:val="21"/>
          <w:highlight w:val="none"/>
        </w:rPr>
        <w:t>投标报价及造价承包和变更结算方式的要求</w:t>
      </w:r>
      <w:r>
        <w:rPr>
          <w:rFonts w:hint="eastAsia" w:ascii="仿宋_GB2312" w:hAnsi="宋体" w:eastAsia="仿宋_GB2312"/>
          <w:color w:val="auto"/>
          <w:sz w:val="21"/>
          <w:szCs w:val="21"/>
          <w:highlight w:val="none"/>
        </w:rPr>
        <w:t>）</w:t>
      </w:r>
    </w:p>
    <w:p>
      <w:pPr>
        <w:spacing w:line="440" w:lineRule="exact"/>
        <w:ind w:firstLine="420" w:firstLineChars="200"/>
        <w:rPr>
          <w:rFonts w:hint="eastAsia" w:ascii="宋体" w:hAnsi="宋体"/>
          <w:color w:val="auto"/>
          <w:sz w:val="21"/>
          <w:szCs w:val="21"/>
          <w:highlight w:val="none"/>
          <w:u w:val="single"/>
        </w:rPr>
      </w:pPr>
      <w:r>
        <w:rPr>
          <w:rFonts w:ascii="宋体" w:hAnsi="宋体"/>
          <w:color w:val="auto"/>
          <w:sz w:val="21"/>
          <w:szCs w:val="21"/>
          <w:highlight w:val="none"/>
        </w:rPr>
        <w:t>47.</w:t>
      </w:r>
      <w:r>
        <w:rPr>
          <w:rFonts w:hint="eastAsia" w:ascii="宋体" w:hAnsi="宋体"/>
          <w:color w:val="auto"/>
          <w:sz w:val="21"/>
          <w:szCs w:val="21"/>
          <w:highlight w:val="none"/>
        </w:rPr>
        <w:t>21</w:t>
      </w:r>
      <w:r>
        <w:rPr>
          <w:rFonts w:hint="eastAsia" w:ascii="宋体" w:hAnsi="宋体"/>
          <w:color w:val="auto"/>
          <w:sz w:val="21"/>
          <w:szCs w:val="21"/>
          <w:highlight w:val="none"/>
          <w:u w:val="single"/>
        </w:rPr>
        <w:t>工程量清单报价中有关问题的说明：</w:t>
      </w:r>
    </w:p>
    <w:p>
      <w:pPr>
        <w:pStyle w:val="253"/>
        <w:spacing w:line="440" w:lineRule="exact"/>
        <w:ind w:firstLine="400" w:firstLineChars="200"/>
        <w:rPr>
          <w:rFonts w:hint="eastAsia" w:ascii="宋体" w:hAnsi="宋体"/>
          <w:color w:val="auto"/>
          <w:sz w:val="21"/>
          <w:szCs w:val="21"/>
          <w:highlight w:val="none"/>
          <w:u w:val="single"/>
        </w:rPr>
      </w:pPr>
      <w:r>
        <w:rPr>
          <w:rFonts w:hint="eastAsia" w:ascii="宋体" w:hAnsi="宋体"/>
          <w:color w:val="auto"/>
          <w:sz w:val="20"/>
          <w:szCs w:val="21"/>
          <w:highlight w:val="none"/>
          <w:u w:val="single"/>
        </w:rPr>
        <w:t>①工程量清单中的标志杆等设施基础中的土方开挖、运输、外运等费用包含在相应项目中，不包含在土石方工程的相关</w:t>
      </w:r>
      <w:r>
        <w:rPr>
          <w:rFonts w:hint="eastAsia" w:ascii="宋体" w:hAnsi="宋体"/>
          <w:color w:val="auto"/>
          <w:sz w:val="21"/>
          <w:szCs w:val="21"/>
          <w:highlight w:val="none"/>
          <w:u w:val="single"/>
        </w:rPr>
        <w:t>项目中</w:t>
      </w:r>
      <w:r>
        <w:rPr>
          <w:rFonts w:hint="eastAsia" w:ascii="宋体" w:hAnsi="宋体"/>
          <w:color w:val="auto"/>
          <w:sz w:val="21"/>
          <w:szCs w:val="21"/>
          <w:highlight w:val="none"/>
        </w:rPr>
        <w:t>；</w:t>
      </w:r>
    </w:p>
    <w:p>
      <w:pPr>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 xml:space="preserve">② </w:t>
      </w:r>
      <w:r>
        <w:rPr>
          <w:rFonts w:hint="eastAsia"/>
          <w:color w:val="auto"/>
          <w:sz w:val="21"/>
          <w:szCs w:val="22"/>
          <w:highlight w:val="none"/>
          <w:u w:val="single"/>
        </w:rPr>
        <w:t>场地平整单位工程中</w:t>
      </w:r>
      <w:r>
        <w:rPr>
          <w:rFonts w:hint="eastAsia" w:ascii="Calibri" w:hAnsi="Calibri"/>
          <w:color w:val="auto"/>
          <w:sz w:val="21"/>
          <w:szCs w:val="22"/>
          <w:highlight w:val="none"/>
          <w:u w:val="single"/>
        </w:rPr>
        <w:t>的土方单价，按照《广州开发区、萝岗区财政投资土地平整工程实施细则 》（穗开环建〔2012〕197号）及广州开发区管委会办公室《关于调整我区土地平整项目土方单价的复函》（穗开内收【2016】58号）文控制：（1）土地平整综合单价按3公里内13.2元／立方米进行控制，运距超出3公里后每增加1公里运距的运土综合单价为2.14元／立方米，运距最高计算至15公里，若选定的弃土点超出该地块15公里范围之外的，仍按15公里计算的综合单价38.88元/立方米包干。此综合单价包含挖填、运输、推平、压实、地块内清表、临时排水、临时道路、修坡工程费用及</w:t>
      </w:r>
      <w:r>
        <w:rPr>
          <w:rFonts w:hint="eastAsia"/>
          <w:color w:val="auto"/>
          <w:sz w:val="21"/>
          <w:szCs w:val="22"/>
          <w:highlight w:val="none"/>
          <w:u w:val="single"/>
        </w:rPr>
        <w:t>措施费、规费、</w:t>
      </w:r>
      <w:r>
        <w:rPr>
          <w:rFonts w:hint="eastAsia" w:ascii="Calibri" w:hAnsi="Calibri"/>
          <w:color w:val="auto"/>
          <w:sz w:val="21"/>
          <w:szCs w:val="22"/>
          <w:highlight w:val="none"/>
          <w:u w:val="single"/>
        </w:rPr>
        <w:t>税</w:t>
      </w:r>
      <w:r>
        <w:rPr>
          <w:rFonts w:hint="eastAsia"/>
          <w:color w:val="auto"/>
          <w:sz w:val="21"/>
          <w:szCs w:val="22"/>
          <w:highlight w:val="none"/>
          <w:u w:val="single"/>
        </w:rPr>
        <w:t>金</w:t>
      </w:r>
      <w:r>
        <w:rPr>
          <w:rFonts w:hint="eastAsia" w:ascii="Calibri" w:hAnsi="Calibri"/>
          <w:color w:val="auto"/>
          <w:sz w:val="21"/>
          <w:szCs w:val="22"/>
          <w:highlight w:val="none"/>
          <w:u w:val="single"/>
        </w:rPr>
        <w:t>。（2）</w:t>
      </w:r>
      <w:r>
        <w:rPr>
          <w:rFonts w:hint="eastAsia"/>
          <w:color w:val="auto"/>
          <w:sz w:val="21"/>
          <w:szCs w:val="22"/>
          <w:highlight w:val="none"/>
          <w:u w:val="single"/>
        </w:rPr>
        <w:t>场地平整单位工程内</w:t>
      </w:r>
      <w:r>
        <w:rPr>
          <w:rFonts w:hint="eastAsia" w:ascii="Calibri" w:hAnsi="Calibri"/>
          <w:color w:val="auto"/>
          <w:sz w:val="21"/>
          <w:szCs w:val="22"/>
          <w:highlight w:val="none"/>
          <w:u w:val="single"/>
        </w:rPr>
        <w:t>的石方工程，距离厂房、民房、桥梁及高速公路等建、构筑物50米范围内的控制爆破炸石综合单价按70元／立方米进行控制，50米至300米范围内的控制爆破炸石综合单价按60元／立方米进行控制；在高压线（1万伏以上供电线路）周围300米范围内控制爆破炸石综合单价按70元／立方米进行控制，在高压线（1万伏以上供电线路）周围300至500米范围内控制爆破炸石综合单价按60元／立方米进行控制，其他范围内的炸石综合单价按40元／立方米进行控制，此综合单价包含挖土露石、炸石及土石方清运等综合费用，石方工程量按爆破前的天然密实体积计算。（因清表、树木砍伐和地上附着物的清理及土方工程中不能利用产生的余泥渣土排放由承包人按照有关规定进行外运，费用不另行计算）；（3）</w:t>
      </w:r>
      <w:r>
        <w:rPr>
          <w:rFonts w:hint="eastAsia"/>
          <w:color w:val="auto"/>
          <w:sz w:val="21"/>
          <w:szCs w:val="22"/>
          <w:highlight w:val="none"/>
          <w:u w:val="single"/>
        </w:rPr>
        <w:t>其他单位工程</w:t>
      </w:r>
      <w:r>
        <w:rPr>
          <w:rFonts w:hint="eastAsia" w:ascii="Calibri" w:hAnsi="Calibri"/>
          <w:color w:val="auto"/>
          <w:sz w:val="21"/>
          <w:szCs w:val="22"/>
          <w:highlight w:val="none"/>
          <w:u w:val="single"/>
        </w:rPr>
        <w:t>中：土方的挖运单价按定额计算</w:t>
      </w:r>
      <w:r>
        <w:rPr>
          <w:rFonts w:hint="eastAsia"/>
          <w:color w:val="auto"/>
          <w:sz w:val="21"/>
          <w:szCs w:val="22"/>
          <w:highlight w:val="none"/>
          <w:u w:val="single"/>
        </w:rPr>
        <w:t>，</w:t>
      </w:r>
      <w:r>
        <w:rPr>
          <w:rFonts w:hint="eastAsia" w:ascii="Calibri" w:hAnsi="Calibri"/>
          <w:color w:val="auto"/>
          <w:sz w:val="21"/>
          <w:szCs w:val="22"/>
          <w:highlight w:val="none"/>
          <w:u w:val="single"/>
        </w:rPr>
        <w:t>土方的弃运距离暂按15km内考虑，超过15km按15km计算</w:t>
      </w:r>
      <w:r>
        <w:rPr>
          <w:rFonts w:hint="eastAsia"/>
          <w:color w:val="auto"/>
          <w:sz w:val="21"/>
          <w:szCs w:val="22"/>
          <w:highlight w:val="none"/>
          <w:u w:val="single"/>
        </w:rPr>
        <w:t>，</w:t>
      </w:r>
      <w:r>
        <w:rPr>
          <w:rFonts w:hint="eastAsia" w:ascii="Calibri" w:hAnsi="Calibri"/>
          <w:color w:val="auto"/>
          <w:sz w:val="21"/>
          <w:szCs w:val="22"/>
          <w:highlight w:val="none"/>
          <w:u w:val="single"/>
        </w:rPr>
        <w:t>结算时按招标人确认的实际运距计算,实际运距超过15公里时，按15公里包干。</w:t>
      </w:r>
    </w:p>
    <w:p>
      <w:pPr>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u w:val="single"/>
        </w:rPr>
        <w:t>③工程量清单中措施项目清单费计价表中的绿色施工安全防护措施费执行《广东省住房和城乡建设厅关于印发&lt;广东省建设工程计价依据（2018)&gt;的通知》（穗建市〔2019〕6号）文</w:t>
      </w:r>
      <w:r>
        <w:rPr>
          <w:rFonts w:ascii="宋体" w:hAnsi="宋体"/>
          <w:color w:val="auto"/>
          <w:sz w:val="21"/>
          <w:szCs w:val="21"/>
          <w:highlight w:val="none"/>
          <w:u w:val="single"/>
        </w:rPr>
        <w:t>，</w:t>
      </w:r>
      <w:r>
        <w:rPr>
          <w:rFonts w:hint="eastAsia" w:ascii="宋体" w:hAnsi="宋体"/>
          <w:color w:val="auto"/>
          <w:sz w:val="21"/>
          <w:szCs w:val="21"/>
          <w:highlight w:val="none"/>
          <w:u w:val="single"/>
        </w:rPr>
        <w:t>绿色施工安全防护措施费</w:t>
      </w:r>
      <w:r>
        <w:rPr>
          <w:rFonts w:ascii="宋体" w:hAnsi="宋体"/>
          <w:color w:val="auto"/>
          <w:sz w:val="21"/>
          <w:szCs w:val="21"/>
          <w:highlight w:val="none"/>
          <w:u w:val="single"/>
        </w:rPr>
        <w:t>按</w:t>
      </w:r>
      <w:r>
        <w:rPr>
          <w:rFonts w:hint="eastAsia" w:ascii="宋体" w:hAnsi="宋体"/>
          <w:color w:val="auto"/>
          <w:sz w:val="21"/>
          <w:szCs w:val="21"/>
          <w:highlight w:val="none"/>
          <w:u w:val="single"/>
        </w:rPr>
        <w:t>建设业主公布的本工程招标控制价中的绿色施工安全防护措施费计取，作为非竞争费用，在投标报价中单列，不参与投标竞价，该费用从工程施工中标价中提取，专款专用</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u w:val="single"/>
        </w:rPr>
        <w:t>47.2</w:t>
      </w:r>
      <w:r>
        <w:rPr>
          <w:rFonts w:hint="eastAsia" w:ascii="宋体" w:hAnsi="宋体"/>
          <w:color w:val="auto"/>
          <w:sz w:val="21"/>
          <w:szCs w:val="21"/>
          <w:highlight w:val="none"/>
          <w:u w:val="single"/>
        </w:rPr>
        <w:t>2本工程承包人通过现场考察，提出具体施工方案，无论在工程施工期间或是在质量保修期内，若因施工而引起的一切索赔、赔偿、诉讼费用和其他开支，由承包人承担全部责任。该项费用包含在总投标报价中，不另行计费。承包人不得以任何理由要求发包人另行增加该部分费用（承包人要充分考虑最不利因素影响而采用的施工方案所需的费用）</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47.2</w:t>
      </w:r>
      <w:r>
        <w:rPr>
          <w:rFonts w:hint="eastAsia" w:ascii="宋体" w:hAnsi="宋体"/>
          <w:color w:val="auto"/>
          <w:sz w:val="21"/>
          <w:szCs w:val="21"/>
          <w:highlight w:val="none"/>
        </w:rPr>
        <w:t>3</w:t>
      </w:r>
      <w:r>
        <w:rPr>
          <w:rFonts w:hint="eastAsia" w:ascii="宋体" w:hAnsi="宋体"/>
          <w:color w:val="auto"/>
          <w:sz w:val="21"/>
          <w:szCs w:val="21"/>
          <w:highlight w:val="none"/>
          <w:u w:val="single"/>
        </w:rPr>
        <w:t>在整个合同执行期间发包人如发现有不合理投标报价的，发包人有权按有关规定和合同约定进行调整，并将书面通知承包人，并以此作为结算依据</w:t>
      </w:r>
      <w:r>
        <w:rPr>
          <w:rFonts w:hint="eastAsia" w:ascii="宋体" w:hAnsi="宋体"/>
          <w:color w:val="auto"/>
          <w:sz w:val="21"/>
          <w:szCs w:val="21"/>
          <w:highlight w:val="none"/>
        </w:rPr>
        <w:t>。</w:t>
      </w:r>
    </w:p>
    <w:p>
      <w:pPr>
        <w:spacing w:line="440" w:lineRule="exact"/>
        <w:ind w:firstLine="420" w:firstLineChars="200"/>
        <w:rPr>
          <w:rFonts w:hint="eastAsia" w:ascii="宋体" w:hAnsi="宋体"/>
          <w:color w:val="auto"/>
          <w:sz w:val="21"/>
          <w:szCs w:val="21"/>
          <w:highlight w:val="none"/>
          <w:u w:val="single"/>
        </w:rPr>
      </w:pPr>
      <w:r>
        <w:rPr>
          <w:rFonts w:ascii="宋体" w:hAnsi="宋体"/>
          <w:color w:val="auto"/>
          <w:sz w:val="21"/>
          <w:szCs w:val="21"/>
          <w:highlight w:val="none"/>
        </w:rPr>
        <w:t>47.2</w:t>
      </w:r>
      <w:r>
        <w:rPr>
          <w:rFonts w:hint="eastAsia" w:ascii="宋体" w:hAnsi="宋体"/>
          <w:color w:val="auto"/>
          <w:sz w:val="21"/>
          <w:szCs w:val="21"/>
          <w:highlight w:val="none"/>
        </w:rPr>
        <w:t>4</w:t>
      </w:r>
      <w:r>
        <w:rPr>
          <w:rFonts w:hint="eastAsia" w:ascii="宋体" w:hAnsi="宋体"/>
          <w:color w:val="auto"/>
          <w:sz w:val="21"/>
          <w:szCs w:val="21"/>
          <w:highlight w:val="none"/>
          <w:u w:val="single"/>
        </w:rPr>
        <w:t>本工程所有材料品牌选择均须报发包人、监理</w:t>
      </w:r>
      <w:r>
        <w:rPr>
          <w:rFonts w:hint="eastAsia" w:ascii="宋体" w:hAnsi="宋体"/>
          <w:color w:val="auto"/>
          <w:sz w:val="21"/>
          <w:szCs w:val="21"/>
          <w:highlight w:val="none"/>
          <w:u w:val="single"/>
          <w:lang w:val="en-US" w:eastAsia="zh-CN"/>
        </w:rPr>
        <w:t>单位</w:t>
      </w:r>
      <w:r>
        <w:rPr>
          <w:rFonts w:hint="eastAsia" w:ascii="宋体" w:hAnsi="宋体"/>
          <w:color w:val="auto"/>
          <w:sz w:val="21"/>
          <w:szCs w:val="21"/>
          <w:highlight w:val="none"/>
          <w:u w:val="single"/>
        </w:rPr>
        <w:t>确认，且经检验合格后方能使用。</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47.2</w:t>
      </w:r>
      <w:r>
        <w:rPr>
          <w:rFonts w:hint="eastAsia" w:ascii="宋体" w:hAnsi="宋体"/>
          <w:color w:val="auto"/>
          <w:sz w:val="21"/>
          <w:szCs w:val="21"/>
          <w:highlight w:val="none"/>
        </w:rPr>
        <w:t>5</w:t>
      </w:r>
      <w:r>
        <w:rPr>
          <w:rFonts w:hint="eastAsia" w:ascii="宋体" w:hAnsi="宋体"/>
          <w:color w:val="auto"/>
          <w:sz w:val="21"/>
          <w:szCs w:val="21"/>
          <w:highlight w:val="none"/>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47.2</w:t>
      </w:r>
      <w:r>
        <w:rPr>
          <w:rFonts w:hint="eastAsia" w:ascii="宋体" w:hAnsi="宋体"/>
          <w:color w:val="auto"/>
          <w:sz w:val="21"/>
          <w:szCs w:val="21"/>
          <w:highlight w:val="none"/>
        </w:rPr>
        <w:t>6</w:t>
      </w:r>
      <w:r>
        <w:rPr>
          <w:rFonts w:hint="eastAsia" w:ascii="宋体" w:hAnsi="宋体"/>
          <w:color w:val="auto"/>
          <w:sz w:val="21"/>
          <w:szCs w:val="21"/>
          <w:highlight w:val="none"/>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47.2</w:t>
      </w:r>
      <w:r>
        <w:rPr>
          <w:rFonts w:hint="eastAsia" w:ascii="宋体" w:hAnsi="宋体"/>
          <w:color w:val="auto"/>
          <w:sz w:val="21"/>
          <w:szCs w:val="21"/>
          <w:highlight w:val="none"/>
        </w:rPr>
        <w:t>7</w:t>
      </w:r>
      <w:r>
        <w:rPr>
          <w:rFonts w:hint="eastAsia" w:ascii="宋体" w:hAnsi="宋体"/>
          <w:color w:val="auto"/>
          <w:sz w:val="21"/>
          <w:szCs w:val="21"/>
          <w:highlight w:val="none"/>
          <w:u w:val="single"/>
        </w:rPr>
        <w:t>承包人须按照发包人与监理人签订的委托监理合同接受监理人的全过程监理</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w:t>
      </w:r>
      <w:r>
        <w:rPr>
          <w:rFonts w:hint="eastAsia" w:ascii="宋体" w:hAnsi="宋体"/>
          <w:color w:val="auto"/>
          <w:sz w:val="21"/>
          <w:szCs w:val="21"/>
          <w:highlight w:val="none"/>
        </w:rPr>
        <w:t>28</w:t>
      </w:r>
      <w:r>
        <w:rPr>
          <w:rFonts w:hint="eastAsia" w:ascii="宋体" w:hAnsi="宋体"/>
          <w:color w:val="auto"/>
          <w:sz w:val="21"/>
          <w:szCs w:val="21"/>
          <w:highlight w:val="none"/>
          <w:u w:val="single"/>
        </w:rPr>
        <w:t>如广州开发区、黄埔区对工程竣工验收及备案有相关规定，则本合同执行该规定</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w:t>
      </w:r>
      <w:r>
        <w:rPr>
          <w:rFonts w:hint="eastAsia" w:ascii="宋体" w:hAnsi="宋体"/>
          <w:color w:val="auto"/>
          <w:sz w:val="21"/>
          <w:szCs w:val="21"/>
          <w:highlight w:val="none"/>
        </w:rPr>
        <w:t>29</w:t>
      </w:r>
      <w:r>
        <w:rPr>
          <w:rFonts w:hint="eastAsia" w:ascii="宋体" w:hAnsi="宋体"/>
          <w:color w:val="auto"/>
          <w:sz w:val="21"/>
          <w:szCs w:val="21"/>
          <w:highlight w:val="none"/>
          <w:u w:val="single"/>
        </w:rPr>
        <w:t>如果审计机关依法对本工程实施审计，发包人、承包人及监理单位应积极配合</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w:t>
      </w:r>
      <w:r>
        <w:rPr>
          <w:rFonts w:hint="eastAsia" w:ascii="宋体" w:hAnsi="宋体"/>
          <w:color w:val="auto"/>
          <w:sz w:val="21"/>
          <w:szCs w:val="21"/>
          <w:highlight w:val="none"/>
        </w:rPr>
        <w:t>30</w:t>
      </w:r>
      <w:r>
        <w:rPr>
          <w:rFonts w:hint="eastAsia" w:ascii="宋体" w:hAnsi="宋体"/>
          <w:color w:val="auto"/>
          <w:sz w:val="21"/>
          <w:szCs w:val="21"/>
          <w:highlight w:val="none"/>
          <w:u w:val="single"/>
        </w:rPr>
        <w:t>本合同在实施过程中所发生的文件来往，双方不得拒绝签收。如果发生类似事件，发文一方可以监理工程师签收为准，视为送达</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47.3</w:t>
      </w:r>
      <w:r>
        <w:rPr>
          <w:rFonts w:hint="eastAsia" w:ascii="宋体" w:hAnsi="宋体"/>
          <w:color w:val="auto"/>
          <w:sz w:val="21"/>
          <w:szCs w:val="21"/>
          <w:highlight w:val="none"/>
        </w:rPr>
        <w:t>1</w:t>
      </w:r>
      <w:r>
        <w:rPr>
          <w:rFonts w:hint="eastAsia" w:ascii="宋体" w:hAnsi="宋体"/>
          <w:color w:val="auto"/>
          <w:sz w:val="21"/>
          <w:szCs w:val="21"/>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47.3</w:t>
      </w:r>
      <w:r>
        <w:rPr>
          <w:rFonts w:hint="eastAsia" w:ascii="宋体" w:hAnsi="宋体"/>
          <w:color w:val="auto"/>
          <w:sz w:val="21"/>
          <w:szCs w:val="21"/>
          <w:highlight w:val="none"/>
        </w:rPr>
        <w:t>2</w:t>
      </w:r>
      <w:r>
        <w:rPr>
          <w:rFonts w:hint="eastAsia" w:ascii="宋体" w:hAnsi="宋体"/>
          <w:color w:val="auto"/>
          <w:sz w:val="21"/>
          <w:szCs w:val="21"/>
          <w:highlight w:val="none"/>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47.3</w:t>
      </w:r>
      <w:r>
        <w:rPr>
          <w:rFonts w:hint="eastAsia" w:ascii="宋体" w:hAnsi="宋体"/>
          <w:color w:val="auto"/>
          <w:sz w:val="21"/>
          <w:szCs w:val="21"/>
          <w:highlight w:val="none"/>
        </w:rPr>
        <w:t>3</w:t>
      </w:r>
      <w:r>
        <w:rPr>
          <w:rFonts w:hint="eastAsia" w:ascii="宋体" w:hAnsi="宋体"/>
          <w:color w:val="auto"/>
          <w:sz w:val="21"/>
          <w:szCs w:val="21"/>
          <w:highlight w:val="none"/>
          <w:u w:val="single"/>
        </w:rPr>
        <w:t>承包人施工过程中不得侵犯他人的专利权或者其他合法权益，否则由承包人承担相关责任，并保证不因该侵权行为影响工程建设</w:t>
      </w:r>
      <w:r>
        <w:rPr>
          <w:rFonts w:hint="eastAsia" w:ascii="宋体" w:hAnsi="宋体"/>
          <w:color w:val="auto"/>
          <w:sz w:val="21"/>
          <w:szCs w:val="21"/>
          <w:highlight w:val="none"/>
        </w:rPr>
        <w:t>。</w:t>
      </w:r>
    </w:p>
    <w:p>
      <w:pPr>
        <w:spacing w:line="440" w:lineRule="exact"/>
        <w:ind w:firstLine="420" w:firstLineChars="200"/>
        <w:rPr>
          <w:rFonts w:ascii="宋体" w:hAnsi="宋体"/>
          <w:color w:val="auto"/>
          <w:sz w:val="21"/>
          <w:szCs w:val="21"/>
          <w:highlight w:val="none"/>
          <w:u w:val="single"/>
        </w:rPr>
      </w:pPr>
      <w:r>
        <w:rPr>
          <w:rFonts w:ascii="宋体" w:hAnsi="宋体"/>
          <w:color w:val="auto"/>
          <w:sz w:val="21"/>
          <w:szCs w:val="21"/>
          <w:highlight w:val="none"/>
        </w:rPr>
        <w:t>47.3</w:t>
      </w:r>
      <w:r>
        <w:rPr>
          <w:rFonts w:hint="eastAsia" w:ascii="宋体" w:hAnsi="宋体"/>
          <w:color w:val="auto"/>
          <w:sz w:val="21"/>
          <w:szCs w:val="21"/>
          <w:highlight w:val="none"/>
        </w:rPr>
        <w:t>4</w:t>
      </w:r>
      <w:r>
        <w:rPr>
          <w:rFonts w:hint="eastAsia" w:ascii="宋体" w:hAnsi="宋体"/>
          <w:color w:val="auto"/>
          <w:sz w:val="21"/>
          <w:szCs w:val="21"/>
          <w:highlight w:val="none"/>
          <w:u w:val="single"/>
        </w:rPr>
        <w:t>承包人与发包人签订合同时所提供的开户银行名称及帐号不得擅自变更，如需变更必须征得发包人的书面同意，否则发包人有权停止工程款的拨付，所造成的一切后果由承包人承担</w:t>
      </w:r>
      <w:r>
        <w:rPr>
          <w:rFonts w:hint="eastAsia" w:ascii="宋体" w:hAnsi="宋体"/>
          <w:color w:val="auto"/>
          <w:sz w:val="21"/>
          <w:szCs w:val="21"/>
          <w:highlight w:val="none"/>
        </w:rPr>
        <w:t>。</w:t>
      </w:r>
    </w:p>
    <w:p>
      <w:pPr>
        <w:spacing w:line="440" w:lineRule="exact"/>
        <w:ind w:firstLine="420" w:firstLineChars="200"/>
        <w:rPr>
          <w:rFonts w:hint="eastAsia" w:ascii="宋体" w:hAnsi="宋体"/>
          <w:color w:val="auto"/>
          <w:sz w:val="21"/>
          <w:szCs w:val="21"/>
          <w:highlight w:val="none"/>
          <w:u w:val="single"/>
        </w:rPr>
      </w:pPr>
      <w:r>
        <w:rPr>
          <w:rFonts w:ascii="宋体" w:hAnsi="宋体"/>
          <w:color w:val="auto"/>
          <w:sz w:val="21"/>
          <w:szCs w:val="21"/>
          <w:highlight w:val="none"/>
        </w:rPr>
        <w:t>47.3</w:t>
      </w:r>
      <w:r>
        <w:rPr>
          <w:rFonts w:hint="eastAsia" w:ascii="宋体" w:hAnsi="宋体"/>
          <w:color w:val="auto"/>
          <w:sz w:val="21"/>
          <w:szCs w:val="21"/>
          <w:highlight w:val="none"/>
        </w:rPr>
        <w:t>5</w:t>
      </w:r>
      <w:r>
        <w:rPr>
          <w:rFonts w:hint="eastAsia" w:ascii="宋体" w:hAnsi="宋体"/>
          <w:color w:val="auto"/>
          <w:sz w:val="24"/>
          <w:highlight w:val="none"/>
          <w:u w:val="single"/>
        </w:rPr>
        <w:t>如发包人为本工程的代建单位，则本工程建设业主同时享有本合同项下属发包人的权利，并且合同中约定需发包人审批的事项，必须经建设业主审批同意后方可实施。</w:t>
      </w:r>
      <w:r>
        <w:rPr>
          <w:rFonts w:hint="eastAsia" w:ascii="宋体" w:hAnsi="宋体"/>
          <w:color w:val="auto"/>
          <w:sz w:val="21"/>
          <w:szCs w:val="21"/>
          <w:highlight w:val="none"/>
          <w:u w:val="single"/>
        </w:rPr>
        <w:t>本工程费用由建设业主支付，承包人应向建设业主开具发票，发票抬头为“中新广州知识城财政投资建设项目管理中心”。</w:t>
      </w:r>
    </w:p>
    <w:p>
      <w:pPr>
        <w:spacing w:line="440" w:lineRule="exact"/>
        <w:ind w:firstLine="420" w:firstLineChars="200"/>
        <w:rPr>
          <w:rFonts w:ascii="宋体" w:hAnsi="宋体"/>
          <w:color w:val="auto"/>
          <w:sz w:val="21"/>
          <w:szCs w:val="21"/>
          <w:highlight w:val="none"/>
        </w:rPr>
      </w:pPr>
    </w:p>
    <w:p>
      <w:pPr>
        <w:spacing w:line="440" w:lineRule="exact"/>
        <w:ind w:firstLine="420" w:firstLineChars="200"/>
        <w:rPr>
          <w:rFonts w:ascii="宋体" w:hAnsi="宋体"/>
          <w:i/>
          <w:color w:val="auto"/>
          <w:sz w:val="21"/>
          <w:szCs w:val="21"/>
          <w:highlight w:val="none"/>
        </w:rPr>
      </w:pPr>
      <w:r>
        <w:rPr>
          <w:rFonts w:hint="eastAsia" w:ascii="宋体" w:hAnsi="宋体"/>
          <w:color w:val="auto"/>
          <w:sz w:val="21"/>
          <w:szCs w:val="21"/>
          <w:highlight w:val="none"/>
        </w:rPr>
        <w:t>47.36</w:t>
      </w:r>
      <w:r>
        <w:rPr>
          <w:rFonts w:hint="eastAsia" w:ascii="宋体" w:hAnsi="宋体"/>
          <w:color w:val="auto"/>
          <w:sz w:val="21"/>
          <w:szCs w:val="21"/>
          <w:highlight w:val="none"/>
          <w:u w:val="single"/>
        </w:rPr>
        <w:t>《广州开发区财政投资建设项目管理中心 绿化景观工程计量管理办法》将作为合同附件，各相关单位须遵照执行</w:t>
      </w:r>
      <w:r>
        <w:rPr>
          <w:rFonts w:hint="eastAsia" w:ascii="宋体" w:hAnsi="宋体"/>
          <w:color w:val="auto"/>
          <w:sz w:val="21"/>
          <w:szCs w:val="21"/>
          <w:highlight w:val="none"/>
        </w:rPr>
        <w:t>。</w:t>
      </w:r>
      <w:r>
        <w:rPr>
          <w:rFonts w:ascii="宋体" w:hAnsi="宋体"/>
          <w:i/>
          <w:color w:val="auto"/>
          <w:sz w:val="21"/>
          <w:szCs w:val="21"/>
          <w:highlight w:val="none"/>
        </w:rPr>
        <w:t>(</w:t>
      </w:r>
      <w:r>
        <w:rPr>
          <w:rFonts w:hint="eastAsia" w:ascii="宋体" w:hAnsi="宋体"/>
          <w:i/>
          <w:color w:val="auto"/>
          <w:sz w:val="21"/>
          <w:szCs w:val="21"/>
          <w:highlight w:val="none"/>
        </w:rPr>
        <w:t>注：该条款适用于绿化施工工程</w:t>
      </w:r>
      <w:r>
        <w:rPr>
          <w:rFonts w:ascii="宋体" w:hAnsi="宋体"/>
          <w:i/>
          <w:color w:val="auto"/>
          <w:sz w:val="21"/>
          <w:szCs w:val="21"/>
          <w:highlight w:val="none"/>
        </w:rPr>
        <w:t>)</w:t>
      </w:r>
    </w:p>
    <w:p>
      <w:pPr>
        <w:spacing w:line="440" w:lineRule="exact"/>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47.37</w:t>
      </w:r>
      <w:r>
        <w:rPr>
          <w:rFonts w:hint="eastAsia" w:ascii="宋体" w:hAnsi="宋体"/>
          <w:color w:val="auto"/>
          <w:sz w:val="21"/>
          <w:szCs w:val="21"/>
          <w:highlight w:val="none"/>
          <w:u w:val="single"/>
        </w:rPr>
        <w:t>工程获得国家、省级、市级所发奖项的，可给予通报表彰，但不给予任何物质奖励</w:t>
      </w:r>
      <w:r>
        <w:rPr>
          <w:rFonts w:hint="eastAsia" w:ascii="宋体" w:hAnsi="宋体"/>
          <w:color w:val="auto"/>
          <w:sz w:val="21"/>
          <w:szCs w:val="21"/>
          <w:highlight w:val="none"/>
        </w:rPr>
        <w:t>。</w:t>
      </w:r>
    </w:p>
    <w:p>
      <w:pPr>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47.38如承包人为联合体的，本合同由联合体的主办方负责签订。并由联合体主办方负责开具合同价款全额发票、收取合同款项，联合体主办方收取合同款项后由联合体各方自行分配相应款项，</w:t>
      </w:r>
      <w:r>
        <w:rPr>
          <w:rFonts w:ascii="宋体" w:hAnsi="宋体"/>
          <w:color w:val="auto"/>
          <w:sz w:val="21"/>
          <w:szCs w:val="21"/>
          <w:highlight w:val="none"/>
          <w:u w:val="single"/>
        </w:rPr>
        <w:t>或由联合体各方负责开具其对应价款的全额发票</w:t>
      </w:r>
      <w:r>
        <w:rPr>
          <w:rFonts w:hint="eastAsia" w:ascii="宋体" w:hAnsi="宋体"/>
          <w:color w:val="auto"/>
          <w:sz w:val="21"/>
          <w:szCs w:val="21"/>
          <w:highlight w:val="none"/>
          <w:u w:val="single"/>
        </w:rPr>
        <w:t>，具体分配事宜与发包人无关。</w:t>
      </w:r>
    </w:p>
    <w:p>
      <w:pPr>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rPr>
        <w:t>47.39</w:t>
      </w:r>
      <w:r>
        <w:rPr>
          <w:rFonts w:hint="eastAsia" w:ascii="宋体" w:hAnsi="宋体"/>
          <w:color w:val="auto"/>
          <w:sz w:val="21"/>
          <w:szCs w:val="21"/>
          <w:highlight w:val="none"/>
          <w:u w:val="single"/>
        </w:rPr>
        <w:t>如本合同需缴纳合同印花税，承包人需在有关税务部门规定期限及结清本合同费用前，代缴按规定属发包人缴纳的部分，代缴后发包人按代缴金额实报实销</w:t>
      </w:r>
      <w:r>
        <w:rPr>
          <w:rFonts w:hint="eastAsia" w:ascii="宋体" w:hAnsi="宋体"/>
          <w:color w:val="auto"/>
          <w:sz w:val="21"/>
          <w:szCs w:val="21"/>
          <w:highlight w:val="none"/>
        </w:rPr>
        <w:t>。</w:t>
      </w:r>
      <w:r>
        <w:rPr>
          <w:rFonts w:hint="eastAsia" w:ascii="宋体" w:hAnsi="宋体"/>
          <w:color w:val="auto"/>
          <w:sz w:val="21"/>
          <w:szCs w:val="21"/>
          <w:highlight w:val="none"/>
          <w:u w:val="single"/>
        </w:rPr>
        <w:t>承包人未按规定期限代缴印花税的，因此产生的滞纳金由承包人承担。</w:t>
      </w:r>
    </w:p>
    <w:p>
      <w:pPr>
        <w:spacing w:line="440" w:lineRule="exact"/>
        <w:ind w:firstLine="420" w:firstLineChars="200"/>
        <w:rPr>
          <w:rFonts w:ascii="宋体" w:hAnsi="宋体"/>
          <w:color w:val="auto"/>
          <w:sz w:val="21"/>
          <w:szCs w:val="21"/>
          <w:highlight w:val="none"/>
          <w:u w:val="single"/>
        </w:rPr>
      </w:pPr>
      <w:bookmarkStart w:id="24" w:name="_Hlk110350920"/>
      <w:r>
        <w:rPr>
          <w:rFonts w:hint="eastAsia" w:ascii="宋体" w:hAnsi="宋体"/>
          <w:color w:val="auto"/>
          <w:sz w:val="21"/>
          <w:szCs w:val="21"/>
          <w:highlight w:val="none"/>
          <w:u w:val="single"/>
        </w:rPr>
        <w:t>47.40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pPr>
        <w:spacing w:line="440" w:lineRule="exact"/>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47.41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pPr>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u w:val="single"/>
        </w:rPr>
        <w:t>47.42 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w:t>
      </w:r>
      <w:r>
        <w:rPr>
          <w:rFonts w:hint="eastAsia" w:ascii="宋体" w:hAnsi="宋体"/>
          <w:color w:val="auto"/>
          <w:sz w:val="21"/>
          <w:szCs w:val="21"/>
          <w:highlight w:val="none"/>
          <w:u w:val="single"/>
        </w:rPr>
        <w:br w:type="textWrapping"/>
      </w:r>
      <w:r>
        <w:rPr>
          <w:rFonts w:hint="eastAsia" w:ascii="宋体" w:hAnsi="宋体"/>
          <w:color w:val="auto"/>
          <w:sz w:val="21"/>
          <w:szCs w:val="21"/>
          <w:highlight w:val="none"/>
          <w:u w:val="single"/>
        </w:rPr>
        <w:t xml:space="preserve">  47.43 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bookmarkEnd w:id="24"/>
    <w:p>
      <w:pPr>
        <w:spacing w:line="440" w:lineRule="exact"/>
        <w:ind w:firstLine="420" w:firstLineChars="200"/>
        <w:rPr>
          <w:rFonts w:hint="eastAsia" w:ascii="宋体" w:hAnsi="宋体"/>
          <w:color w:val="auto"/>
          <w:sz w:val="21"/>
          <w:szCs w:val="21"/>
          <w:highlight w:val="none"/>
          <w:u w:val="single"/>
          <w:lang w:val="en-US" w:eastAsia="zh-CN"/>
        </w:rPr>
      </w:pPr>
      <w:r>
        <w:rPr>
          <w:rFonts w:hint="eastAsia" w:ascii="宋体" w:hAnsi="宋体"/>
          <w:color w:val="auto"/>
          <w:sz w:val="21"/>
          <w:szCs w:val="21"/>
          <w:highlight w:val="none"/>
          <w:u w:val="single"/>
        </w:rPr>
        <w:t>47.4</w:t>
      </w:r>
      <w:r>
        <w:rPr>
          <w:rFonts w:hint="eastAsia" w:ascii="宋体" w:hAnsi="宋体"/>
          <w:color w:val="auto"/>
          <w:sz w:val="21"/>
          <w:szCs w:val="21"/>
          <w:highlight w:val="none"/>
          <w:u w:val="single"/>
          <w:lang w:val="en-US" w:eastAsia="zh-CN"/>
        </w:rPr>
        <w:t>4</w:t>
      </w:r>
      <w:r>
        <w:rPr>
          <w:rFonts w:ascii="宋体" w:hAnsi="宋体" w:eastAsia="宋体" w:cs="宋体"/>
          <w:color w:val="auto"/>
          <w:sz w:val="24"/>
          <w:szCs w:val="24"/>
          <w:highlight w:val="none"/>
        </w:rPr>
        <w:t>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 </w:t>
      </w:r>
    </w:p>
    <w:p>
      <w:pPr>
        <w:spacing w:line="440" w:lineRule="exact"/>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lang w:val="en-US" w:eastAsia="zh-CN"/>
        </w:rPr>
        <w:t>47.45</w:t>
      </w:r>
      <w:r>
        <w:rPr>
          <w:rFonts w:hint="eastAsia" w:ascii="宋体" w:hAnsi="宋体"/>
          <w:color w:val="auto"/>
          <w:sz w:val="21"/>
          <w:szCs w:val="21"/>
          <w:highlight w:val="none"/>
          <w:u w:val="single"/>
        </w:rPr>
        <w:t>未尽事宜，经双方友好协商解决。</w:t>
      </w:r>
    </w:p>
    <w:p>
      <w:pPr>
        <w:spacing w:line="440" w:lineRule="exact"/>
        <w:ind w:firstLine="420" w:firstLineChars="200"/>
        <w:rPr>
          <w:rFonts w:hint="eastAsia" w:ascii="宋体" w:hAnsi="宋体"/>
          <w:color w:val="auto"/>
          <w:sz w:val="21"/>
          <w:szCs w:val="21"/>
          <w:highlight w:val="none"/>
          <w:u w:val="single"/>
        </w:rPr>
      </w:pPr>
    </w:p>
    <w:p>
      <w:pPr>
        <w:spacing w:line="440" w:lineRule="exact"/>
        <w:ind w:firstLine="420" w:firstLineChars="200"/>
        <w:rPr>
          <w:rFonts w:hint="eastAsia" w:ascii="宋体" w:hAnsi="宋体"/>
          <w:color w:val="auto"/>
          <w:sz w:val="21"/>
          <w:szCs w:val="21"/>
          <w:highlight w:val="none"/>
          <w:u w:val="single"/>
        </w:rPr>
      </w:pPr>
    </w:p>
    <w:p>
      <w:pPr>
        <w:ind w:firstLine="420" w:firstLineChars="200"/>
        <w:rPr>
          <w:rFonts w:hint="eastAsia" w:ascii="宋体" w:hAnsi="宋体"/>
          <w:color w:val="auto"/>
          <w:sz w:val="21"/>
          <w:szCs w:val="21"/>
          <w:highlight w:val="none"/>
          <w:u w:val="single"/>
        </w:rPr>
      </w:pPr>
      <w:r>
        <w:rPr>
          <w:rFonts w:hint="eastAsia" w:ascii="宋体" w:hAnsi="宋体"/>
          <w:color w:val="auto"/>
          <w:sz w:val="21"/>
          <w:szCs w:val="21"/>
          <w:highlight w:val="none"/>
          <w:u w:val="single"/>
        </w:rPr>
        <w:t>附件：</w:t>
      </w:r>
    </w:p>
    <w:p>
      <w:pPr>
        <w:numPr>
          <w:ilvl w:val="0"/>
          <w:numId w:val="8"/>
        </w:numPr>
        <w:spacing w:line="520" w:lineRule="exact"/>
        <w:rPr>
          <w:rFonts w:hint="eastAsia" w:ascii="宋体" w:hAnsi="宋体"/>
          <w:color w:val="auto"/>
          <w:sz w:val="21"/>
          <w:szCs w:val="21"/>
          <w:highlight w:val="none"/>
        </w:rPr>
      </w:pPr>
      <w:r>
        <w:rPr>
          <w:rFonts w:hint="eastAsia" w:ascii="宋体" w:hAnsi="宋体"/>
          <w:color w:val="auto"/>
          <w:sz w:val="21"/>
          <w:szCs w:val="21"/>
          <w:highlight w:val="none"/>
        </w:rPr>
        <w:t>履约保函格式；</w:t>
      </w:r>
    </w:p>
    <w:p>
      <w:pPr>
        <w:numPr>
          <w:ilvl w:val="0"/>
          <w:numId w:val="8"/>
        </w:numPr>
        <w:spacing w:line="520" w:lineRule="exact"/>
        <w:rPr>
          <w:rFonts w:hint="eastAsia" w:ascii="宋体" w:hAnsi="宋体"/>
          <w:color w:val="auto"/>
          <w:sz w:val="21"/>
          <w:szCs w:val="21"/>
          <w:highlight w:val="none"/>
        </w:rPr>
      </w:pPr>
      <w:r>
        <w:rPr>
          <w:rFonts w:hint="eastAsia" w:ascii="宋体" w:hAnsi="宋体"/>
          <w:color w:val="auto"/>
          <w:sz w:val="21"/>
          <w:szCs w:val="21"/>
          <w:highlight w:val="none"/>
        </w:rPr>
        <w:t>施工单位投入本工程管理架构表；</w:t>
      </w:r>
    </w:p>
    <w:p>
      <w:pPr>
        <w:numPr>
          <w:ilvl w:val="0"/>
          <w:numId w:val="8"/>
        </w:numPr>
        <w:spacing w:line="520" w:lineRule="exact"/>
        <w:rPr>
          <w:rFonts w:hint="eastAsia" w:ascii="宋体" w:hAnsi="宋体"/>
          <w:color w:val="auto"/>
          <w:sz w:val="21"/>
          <w:szCs w:val="21"/>
          <w:highlight w:val="none"/>
        </w:rPr>
      </w:pPr>
      <w:r>
        <w:rPr>
          <w:rFonts w:hint="eastAsia" w:ascii="宋体" w:hAnsi="宋体"/>
          <w:color w:val="auto"/>
          <w:sz w:val="21"/>
          <w:szCs w:val="21"/>
          <w:highlight w:val="none"/>
        </w:rPr>
        <w:t>工程建设项目廉政责任书；</w:t>
      </w:r>
    </w:p>
    <w:p>
      <w:pPr>
        <w:numPr>
          <w:ilvl w:val="0"/>
          <w:numId w:val="8"/>
        </w:numPr>
        <w:spacing w:line="520" w:lineRule="exact"/>
        <w:rPr>
          <w:rFonts w:hint="eastAsia" w:ascii="宋体" w:hAnsi="宋体"/>
          <w:color w:val="auto"/>
          <w:sz w:val="21"/>
          <w:szCs w:val="21"/>
          <w:highlight w:val="none"/>
        </w:rPr>
      </w:pPr>
      <w:r>
        <w:rPr>
          <w:rFonts w:hint="eastAsia" w:ascii="宋体" w:hAnsi="宋体"/>
          <w:color w:val="auto"/>
          <w:sz w:val="21"/>
          <w:szCs w:val="21"/>
          <w:highlight w:val="none"/>
        </w:rPr>
        <w:t>安全责任书；</w:t>
      </w:r>
    </w:p>
    <w:p>
      <w:pPr>
        <w:numPr>
          <w:ilvl w:val="0"/>
          <w:numId w:val="8"/>
        </w:numPr>
        <w:spacing w:line="520" w:lineRule="exact"/>
        <w:rPr>
          <w:rFonts w:hint="eastAsia" w:ascii="宋体" w:hAnsi="宋体"/>
          <w:color w:val="auto"/>
          <w:sz w:val="21"/>
          <w:szCs w:val="21"/>
          <w:highlight w:val="none"/>
        </w:rPr>
      </w:pPr>
      <w:r>
        <w:rPr>
          <w:rFonts w:hint="eastAsia" w:ascii="宋体" w:hAnsi="宋体"/>
          <w:color w:val="auto"/>
          <w:sz w:val="24"/>
          <w:highlight w:val="none"/>
          <w:u w:val="single"/>
        </w:rPr>
        <w:t>《拟投入本工程施工的主要机械设备配备表》</w:t>
      </w:r>
    </w:p>
    <w:p>
      <w:pPr>
        <w:ind w:firstLine="420" w:firstLineChars="200"/>
        <w:rPr>
          <w:rFonts w:hint="eastAsia" w:ascii="宋体" w:hAnsi="宋体"/>
          <w:color w:val="auto"/>
          <w:sz w:val="21"/>
          <w:szCs w:val="21"/>
          <w:highlight w:val="none"/>
          <w:u w:val="single"/>
        </w:rPr>
      </w:pPr>
    </w:p>
    <w:p>
      <w:pPr>
        <w:rPr>
          <w:rFonts w:hint="eastAsia" w:ascii="宋体" w:hAnsi="宋体"/>
          <w:color w:val="auto"/>
          <w:sz w:val="21"/>
          <w:szCs w:val="21"/>
          <w:highlight w:val="none"/>
          <w:u w:val="single"/>
        </w:rPr>
      </w:pPr>
    </w:p>
    <w:p>
      <w:pPr>
        <w:rPr>
          <w:rFonts w:hint="eastAsia" w:ascii="宋体" w:hAnsi="宋体"/>
          <w:color w:val="auto"/>
          <w:sz w:val="21"/>
          <w:szCs w:val="21"/>
          <w:highlight w:val="none"/>
          <w:u w:val="single"/>
        </w:rPr>
      </w:pPr>
    </w:p>
    <w:p>
      <w:pPr>
        <w:spacing w:line="440" w:lineRule="exact"/>
        <w:jc w:val="left"/>
        <w:rPr>
          <w:rFonts w:hint="eastAsia" w:ascii="宋体" w:hAnsi="宋体"/>
          <w:color w:val="auto"/>
          <w:sz w:val="21"/>
          <w:szCs w:val="21"/>
          <w:highlight w:val="none"/>
        </w:rPr>
      </w:pPr>
      <w:r>
        <w:rPr>
          <w:rFonts w:hint="eastAsia" w:ascii="宋体" w:hAnsi="宋体"/>
          <w:color w:val="auto"/>
          <w:sz w:val="28"/>
          <w:szCs w:val="28"/>
          <w:highlight w:val="none"/>
        </w:rPr>
        <w:t>附件1：</w:t>
      </w:r>
      <w:r>
        <w:rPr>
          <w:rFonts w:ascii="宋体" w:hAnsi="宋体"/>
          <w:b/>
          <w:color w:val="auto"/>
          <w:sz w:val="24"/>
          <w:highlight w:val="none"/>
        </w:rPr>
        <w:t xml:space="preserve">  </w:t>
      </w:r>
    </w:p>
    <w:p>
      <w:pPr>
        <w:pStyle w:val="274"/>
        <w:spacing w:line="440" w:lineRule="exact"/>
        <w:ind w:firstLine="397"/>
        <w:jc w:val="left"/>
        <w:rPr>
          <w:rFonts w:hint="eastAsia" w:ascii="宋体" w:hAnsi="宋体"/>
          <w:color w:val="auto"/>
          <w:szCs w:val="24"/>
          <w:highlight w:val="none"/>
        </w:rPr>
      </w:pPr>
    </w:p>
    <w:p>
      <w:pPr>
        <w:pStyle w:val="274"/>
        <w:spacing w:line="440" w:lineRule="exact"/>
        <w:ind w:firstLine="0"/>
        <w:jc w:val="left"/>
        <w:rPr>
          <w:rFonts w:hint="eastAsia" w:ascii="宋体" w:hAnsi="宋体"/>
          <w:color w:val="auto"/>
          <w:szCs w:val="24"/>
          <w:highlight w:val="none"/>
        </w:rPr>
      </w:pPr>
    </w:p>
    <w:p>
      <w:pPr>
        <w:adjustRightInd w:val="0"/>
        <w:snapToGrid w:val="0"/>
        <w:spacing w:line="440" w:lineRule="exact"/>
        <w:jc w:val="center"/>
        <w:rPr>
          <w:rFonts w:hint="eastAsia" w:ascii="宋体" w:hAnsi="宋体"/>
          <w:b/>
          <w:snapToGrid w:val="0"/>
          <w:color w:val="auto"/>
          <w:sz w:val="28"/>
          <w:szCs w:val="28"/>
          <w:highlight w:val="none"/>
        </w:rPr>
      </w:pPr>
      <w:r>
        <w:rPr>
          <w:rFonts w:hint="eastAsia" w:ascii="宋体" w:hAnsi="宋体"/>
          <w:b/>
          <w:snapToGrid w:val="0"/>
          <w:color w:val="auto"/>
          <w:sz w:val="28"/>
          <w:szCs w:val="28"/>
          <w:highlight w:val="none"/>
        </w:rPr>
        <w:t>履约保函</w:t>
      </w:r>
    </w:p>
    <w:p>
      <w:pPr>
        <w:adjustRightInd w:val="0"/>
        <w:snapToGrid w:val="0"/>
        <w:spacing w:line="300" w:lineRule="exact"/>
        <w:ind w:firstLine="5812"/>
        <w:contextualSpacing/>
        <w:rPr>
          <w:rFonts w:hint="eastAsia" w:ascii="宋体" w:hAnsi="宋体"/>
          <w:snapToGrid w:val="0"/>
          <w:color w:val="auto"/>
          <w:sz w:val="28"/>
          <w:szCs w:val="28"/>
          <w:highlight w:val="none"/>
        </w:rPr>
      </w:pPr>
    </w:p>
    <w:p>
      <w:pPr>
        <w:adjustRightInd w:val="0"/>
        <w:snapToGrid w:val="0"/>
        <w:spacing w:line="360" w:lineRule="exact"/>
        <w:ind w:firstLine="5812"/>
        <w:contextualSpacing/>
        <w:rPr>
          <w:rFonts w:hint="eastAsia" w:ascii="宋体" w:hAnsi="宋体"/>
          <w:snapToGrid w:val="0"/>
          <w:color w:val="auto"/>
          <w:sz w:val="28"/>
          <w:szCs w:val="28"/>
          <w:highlight w:val="none"/>
        </w:rPr>
      </w:pPr>
      <w:r>
        <w:rPr>
          <w:rFonts w:hint="eastAsia" w:ascii="宋体" w:hAnsi="宋体"/>
          <w:snapToGrid w:val="0"/>
          <w:color w:val="auto"/>
          <w:sz w:val="28"/>
          <w:szCs w:val="28"/>
          <w:highlight w:val="none"/>
        </w:rPr>
        <w:t>编号：</w:t>
      </w:r>
    </w:p>
    <w:p>
      <w:pPr>
        <w:adjustRightInd w:val="0"/>
        <w:snapToGrid w:val="0"/>
        <w:spacing w:line="360" w:lineRule="exact"/>
        <w:rPr>
          <w:rFonts w:hint="eastAsia" w:ascii="宋体" w:hAnsi="宋体"/>
          <w:snapToGrid w:val="0"/>
          <w:color w:val="auto"/>
          <w:sz w:val="28"/>
          <w:szCs w:val="28"/>
          <w:highlight w:val="none"/>
        </w:rPr>
      </w:pPr>
    </w:p>
    <w:p>
      <w:pPr>
        <w:adjustRightInd w:val="0"/>
        <w:snapToGrid w:val="0"/>
        <w:spacing w:line="400" w:lineRule="exact"/>
        <w:rPr>
          <w:rFonts w:hint="eastAsia" w:ascii="宋体" w:hAnsi="宋体"/>
          <w:snapToGrid w:val="0"/>
          <w:color w:val="auto"/>
          <w:sz w:val="28"/>
          <w:szCs w:val="28"/>
          <w:highlight w:val="none"/>
        </w:rPr>
      </w:pPr>
      <w:r>
        <w:rPr>
          <w:rFonts w:hint="eastAsia" w:ascii="宋体" w:hAnsi="宋体"/>
          <w:snapToGrid w:val="0"/>
          <w:color w:val="auto"/>
          <w:sz w:val="28"/>
          <w:szCs w:val="28"/>
          <w:highlight w:val="none"/>
        </w:rPr>
        <w:t>致：</w:t>
      </w:r>
    </w:p>
    <w:p>
      <w:pPr>
        <w:adjustRightInd w:val="0"/>
        <w:snapToGrid w:val="0"/>
        <w:spacing w:line="400" w:lineRule="exact"/>
        <w:ind w:firstLine="480"/>
        <w:rPr>
          <w:rFonts w:hint="eastAsia" w:ascii="宋体" w:hAnsi="宋体" w:cs="宋体"/>
          <w:snapToGrid w:val="0"/>
          <w:color w:val="auto"/>
          <w:sz w:val="28"/>
          <w:szCs w:val="28"/>
          <w:highlight w:val="none"/>
          <w:lang w:val="zh-CN"/>
        </w:rPr>
      </w:pPr>
      <w:r>
        <w:rPr>
          <w:rFonts w:hint="eastAsia" w:ascii="宋体" w:hAnsi="宋体"/>
          <w:snapToGrid w:val="0"/>
          <w:color w:val="auto"/>
          <w:sz w:val="28"/>
          <w:szCs w:val="28"/>
          <w:highlight w:val="none"/>
        </w:rPr>
        <w:t>鉴于</w:t>
      </w:r>
      <w:r>
        <w:rPr>
          <w:rFonts w:hint="eastAsia" w:ascii="宋体" w:hAnsi="宋体"/>
          <w:snapToGrid w:val="0"/>
          <w:color w:val="auto"/>
          <w:sz w:val="28"/>
          <w:szCs w:val="28"/>
          <w:highlight w:val="none"/>
          <w:u w:val="single"/>
        </w:rPr>
        <w:t xml:space="preserve">                  </w:t>
      </w:r>
      <w:r>
        <w:rPr>
          <w:rFonts w:hint="eastAsia" w:ascii="宋体" w:hAnsi="宋体"/>
          <w:snapToGrid w:val="0"/>
          <w:color w:val="auto"/>
          <w:sz w:val="28"/>
          <w:szCs w:val="28"/>
          <w:highlight w:val="none"/>
        </w:rPr>
        <w:t xml:space="preserve">（以下称“承包人”）与 </w:t>
      </w:r>
      <w:r>
        <w:rPr>
          <w:rFonts w:hint="eastAsia" w:ascii="宋体" w:hAnsi="宋体"/>
          <w:snapToGrid w:val="0"/>
          <w:color w:val="auto"/>
          <w:sz w:val="28"/>
          <w:szCs w:val="28"/>
          <w:highlight w:val="none"/>
          <w:u w:val="single"/>
        </w:rPr>
        <w:t xml:space="preserve">                         </w:t>
      </w:r>
      <w:r>
        <w:rPr>
          <w:rFonts w:hint="eastAsia" w:ascii="宋体" w:hAnsi="宋体"/>
          <w:snapToGrid w:val="0"/>
          <w:color w:val="auto"/>
          <w:sz w:val="28"/>
          <w:szCs w:val="28"/>
          <w:highlight w:val="none"/>
        </w:rPr>
        <w:t>（以下称“发包人”）签订了《</w:t>
      </w:r>
      <w:r>
        <w:rPr>
          <w:rFonts w:hint="eastAsia" w:ascii="宋体" w:hAnsi="宋体"/>
          <w:snapToGrid w:val="0"/>
          <w:color w:val="auto"/>
          <w:sz w:val="28"/>
          <w:szCs w:val="28"/>
          <w:highlight w:val="none"/>
          <w:u w:val="single"/>
        </w:rPr>
        <w:t xml:space="preserve">                                  施工合同</w:t>
      </w:r>
      <w:r>
        <w:rPr>
          <w:rFonts w:hint="eastAsia" w:ascii="宋体" w:hAnsi="宋体"/>
          <w:snapToGrid w:val="0"/>
          <w:color w:val="auto"/>
          <w:sz w:val="28"/>
          <w:szCs w:val="28"/>
          <w:highlight w:val="none"/>
        </w:rPr>
        <w:t>》（合同编号为     ） ，</w:t>
      </w:r>
      <w:r>
        <w:rPr>
          <w:rFonts w:hint="eastAsia" w:ascii="宋体" w:hAnsi="宋体"/>
          <w:color w:val="auto"/>
          <w:sz w:val="28"/>
          <w:szCs w:val="28"/>
          <w:highlight w:val="none"/>
        </w:rPr>
        <w:t>并要求承包人通过经认可的银行向发包人提交合同规定金额的保函，作为承包人履行本合同责任的担保等事实，</w:t>
      </w:r>
      <w:r>
        <w:rPr>
          <w:rFonts w:hint="eastAsia" w:ascii="宋体" w:hAnsi="宋体"/>
          <w:snapToGrid w:val="0"/>
          <w:color w:val="auto"/>
          <w:sz w:val="28"/>
          <w:szCs w:val="28"/>
          <w:highlight w:val="none"/>
        </w:rPr>
        <w:t>我行</w:t>
      </w:r>
      <w:r>
        <w:rPr>
          <w:rFonts w:hint="eastAsia" w:ascii="宋体" w:hAnsi="宋体" w:cs="宋体"/>
          <w:snapToGrid w:val="0"/>
          <w:color w:val="auto"/>
          <w:sz w:val="28"/>
          <w:szCs w:val="28"/>
          <w:highlight w:val="none"/>
          <w:lang w:val="zh-CN"/>
        </w:rPr>
        <w:t>同意为承包人出具</w:t>
      </w:r>
      <w:r>
        <w:rPr>
          <w:rFonts w:hint="eastAsia" w:ascii="宋体" w:hAnsi="宋体"/>
          <w:snapToGrid w:val="0"/>
          <w:color w:val="auto"/>
          <w:sz w:val="28"/>
          <w:szCs w:val="28"/>
          <w:highlight w:val="none"/>
        </w:rPr>
        <w:t>人民币</w:t>
      </w:r>
      <w:r>
        <w:rPr>
          <w:rFonts w:hint="eastAsia" w:ascii="宋体" w:hAnsi="宋体"/>
          <w:b/>
          <w:snapToGrid w:val="0"/>
          <w:color w:val="auto"/>
          <w:sz w:val="28"/>
          <w:szCs w:val="28"/>
          <w:highlight w:val="none"/>
          <w:u w:val="single"/>
        </w:rPr>
        <w:t xml:space="preserve">               _</w:t>
      </w:r>
      <w:r>
        <w:rPr>
          <w:rFonts w:hint="eastAsia" w:ascii="宋体" w:hAnsi="宋体"/>
          <w:b/>
          <w:snapToGrid w:val="0"/>
          <w:color w:val="auto"/>
          <w:sz w:val="28"/>
          <w:szCs w:val="28"/>
          <w:highlight w:val="none"/>
        </w:rPr>
        <w:t>（￥</w:t>
      </w:r>
      <w:r>
        <w:rPr>
          <w:rFonts w:hint="eastAsia" w:ascii="宋体" w:hAnsi="宋体"/>
          <w:b/>
          <w:snapToGrid w:val="0"/>
          <w:color w:val="auto"/>
          <w:sz w:val="28"/>
          <w:szCs w:val="28"/>
          <w:highlight w:val="none"/>
          <w:u w:val="single"/>
        </w:rPr>
        <w:t xml:space="preserve">       元</w:t>
      </w:r>
      <w:r>
        <w:rPr>
          <w:rFonts w:hint="eastAsia" w:ascii="宋体" w:hAnsi="宋体"/>
          <w:b/>
          <w:snapToGrid w:val="0"/>
          <w:color w:val="auto"/>
          <w:sz w:val="28"/>
          <w:szCs w:val="28"/>
          <w:highlight w:val="none"/>
        </w:rPr>
        <w:t>）</w:t>
      </w:r>
      <w:r>
        <w:rPr>
          <w:rFonts w:hint="eastAsia" w:ascii="宋体" w:hAnsi="宋体" w:cs="宋体"/>
          <w:snapToGrid w:val="0"/>
          <w:color w:val="auto"/>
          <w:sz w:val="28"/>
          <w:szCs w:val="28"/>
          <w:highlight w:val="none"/>
          <w:lang w:val="zh-CN"/>
        </w:rPr>
        <w:t>的保函作为承包人向发包人履约的担保。</w:t>
      </w:r>
    </w:p>
    <w:p>
      <w:pPr>
        <w:tabs>
          <w:tab w:val="center" w:pos="4560"/>
        </w:tabs>
        <w:autoSpaceDE w:val="0"/>
        <w:autoSpaceDN w:val="0"/>
        <w:adjustRightInd w:val="0"/>
        <w:snapToGrid w:val="0"/>
        <w:spacing w:line="400" w:lineRule="exact"/>
        <w:ind w:firstLine="480"/>
        <w:rPr>
          <w:rFonts w:ascii="宋体" w:hAnsi="宋体" w:cs="宋体"/>
          <w:snapToGrid w:val="0"/>
          <w:color w:val="auto"/>
          <w:sz w:val="28"/>
          <w:szCs w:val="28"/>
          <w:highlight w:val="none"/>
          <w:lang w:val="zh-CN"/>
        </w:rPr>
      </w:pPr>
      <w:r>
        <w:rPr>
          <w:rFonts w:hint="eastAsia" w:ascii="宋体" w:hAnsi="宋体" w:cs="宋体"/>
          <w:snapToGrid w:val="0"/>
          <w:color w:val="auto"/>
          <w:sz w:val="28"/>
          <w:szCs w:val="28"/>
          <w:highlight w:val="none"/>
          <w:lang w:val="zh-CN"/>
        </w:rPr>
        <w:t>我行承诺如下：</w:t>
      </w:r>
      <w:r>
        <w:rPr>
          <w:rFonts w:ascii="宋体" w:hAnsi="宋体" w:cs="宋体"/>
          <w:snapToGrid w:val="0"/>
          <w:color w:val="auto"/>
          <w:sz w:val="28"/>
          <w:szCs w:val="28"/>
          <w:highlight w:val="none"/>
          <w:lang w:val="zh-CN"/>
        </w:rPr>
        <w:tab/>
      </w:r>
    </w:p>
    <w:p>
      <w:pPr>
        <w:autoSpaceDE w:val="0"/>
        <w:autoSpaceDN w:val="0"/>
        <w:adjustRightInd w:val="0"/>
        <w:snapToGrid w:val="0"/>
        <w:spacing w:line="400" w:lineRule="exact"/>
        <w:ind w:firstLine="480"/>
        <w:rPr>
          <w:rFonts w:hint="eastAsia" w:ascii="宋体" w:hAnsi="宋体" w:cs="宋体"/>
          <w:snapToGrid w:val="0"/>
          <w:color w:val="auto"/>
          <w:sz w:val="28"/>
          <w:szCs w:val="28"/>
          <w:highlight w:val="none"/>
          <w:lang w:val="zh-CN"/>
        </w:rPr>
      </w:pPr>
      <w:r>
        <w:rPr>
          <w:rFonts w:hint="eastAsia" w:ascii="宋体" w:hAnsi="宋体" w:cs="宋体"/>
          <w:snapToGrid w:val="0"/>
          <w:color w:val="auto"/>
          <w:sz w:val="28"/>
          <w:szCs w:val="28"/>
          <w:highlight w:val="none"/>
          <w:lang w:val="zh-CN"/>
        </w:rPr>
        <w:t>1、本行无条件、不可撤销、见索即付的按发包人书面索赔通知和本保函原件立即支付累计不超过上述金额的任何款项，无需发包人出具任何证明或说明背景、理由。</w:t>
      </w:r>
    </w:p>
    <w:p>
      <w:pPr>
        <w:autoSpaceDE w:val="0"/>
        <w:autoSpaceDN w:val="0"/>
        <w:adjustRightInd w:val="0"/>
        <w:snapToGrid w:val="0"/>
        <w:spacing w:line="400" w:lineRule="exact"/>
        <w:ind w:firstLine="480"/>
        <w:rPr>
          <w:rFonts w:hint="eastAsia" w:ascii="宋体" w:hAnsi="宋体" w:cs="宋体"/>
          <w:snapToGrid w:val="0"/>
          <w:color w:val="auto"/>
          <w:sz w:val="28"/>
          <w:szCs w:val="28"/>
          <w:highlight w:val="none"/>
          <w:lang w:val="zh-CN"/>
        </w:rPr>
      </w:pPr>
      <w:r>
        <w:rPr>
          <w:rFonts w:hint="eastAsia" w:ascii="宋体" w:hAnsi="宋体" w:cs="宋体"/>
          <w:snapToGrid w:val="0"/>
          <w:color w:val="auto"/>
          <w:sz w:val="28"/>
          <w:szCs w:val="28"/>
          <w:highlight w:val="none"/>
          <w:lang w:val="zh-CN"/>
        </w:rPr>
        <w:t>2、我行放弃发包人应先向承包人要求赔偿上述金额然后再向我行提出要求的权利。</w:t>
      </w:r>
    </w:p>
    <w:p>
      <w:pPr>
        <w:autoSpaceDE w:val="0"/>
        <w:autoSpaceDN w:val="0"/>
        <w:adjustRightInd w:val="0"/>
        <w:snapToGrid w:val="0"/>
        <w:spacing w:line="400" w:lineRule="exact"/>
        <w:ind w:firstLine="480"/>
        <w:rPr>
          <w:rFonts w:hint="eastAsia" w:ascii="宋体" w:hAnsi="宋体" w:cs="宋体"/>
          <w:snapToGrid w:val="0"/>
          <w:color w:val="auto"/>
          <w:sz w:val="28"/>
          <w:szCs w:val="28"/>
          <w:highlight w:val="none"/>
          <w:lang w:val="zh-CN"/>
        </w:rPr>
      </w:pPr>
      <w:r>
        <w:rPr>
          <w:rFonts w:hint="eastAsia" w:ascii="宋体" w:hAnsi="宋体" w:cs="宋体"/>
          <w:snapToGrid w:val="0"/>
          <w:color w:val="auto"/>
          <w:sz w:val="28"/>
          <w:szCs w:val="28"/>
          <w:highlight w:val="none"/>
          <w:lang w:val="zh-CN"/>
        </w:rPr>
        <w:t>3、我行进一步同意，在发包人和承包人之间的合同条件、合同项下的工程或合同发生变化、补充或修改，</w:t>
      </w:r>
      <w:r>
        <w:rPr>
          <w:rFonts w:hint="eastAsia" w:ascii="宋体" w:hAnsi="宋体"/>
          <w:snapToGrid w:val="0"/>
          <w:color w:val="auto"/>
          <w:sz w:val="28"/>
          <w:szCs w:val="28"/>
          <w:highlight w:val="none"/>
        </w:rPr>
        <w:t>在不加重我行担保责任的情况下，</w:t>
      </w:r>
      <w:r>
        <w:rPr>
          <w:rFonts w:hint="eastAsia" w:ascii="宋体" w:hAnsi="宋体" w:cs="宋体"/>
          <w:snapToGrid w:val="0"/>
          <w:color w:val="auto"/>
          <w:sz w:val="28"/>
          <w:szCs w:val="28"/>
          <w:highlight w:val="none"/>
          <w:lang w:val="zh-CN"/>
        </w:rPr>
        <w:t>我行承担本保函的责任也不改变。有关上述变化、补充和修改也无须通知我行。</w:t>
      </w:r>
    </w:p>
    <w:p>
      <w:pPr>
        <w:adjustRightInd w:val="0"/>
        <w:snapToGrid w:val="0"/>
        <w:spacing w:line="400" w:lineRule="exact"/>
        <w:ind w:firstLine="480"/>
        <w:rPr>
          <w:rFonts w:hint="eastAsia" w:ascii="宋体" w:hAnsi="宋体"/>
          <w:snapToGrid w:val="0"/>
          <w:color w:val="auto"/>
          <w:sz w:val="28"/>
          <w:szCs w:val="28"/>
          <w:highlight w:val="none"/>
        </w:rPr>
      </w:pPr>
      <w:r>
        <w:rPr>
          <w:rFonts w:hint="eastAsia" w:ascii="宋体" w:hAnsi="宋体"/>
          <w:color w:val="auto"/>
          <w:sz w:val="28"/>
          <w:szCs w:val="28"/>
          <w:highlight w:val="none"/>
        </w:rPr>
        <w:t>4、我行的保证期限为：</w:t>
      </w:r>
      <w:r>
        <w:rPr>
          <w:rFonts w:hint="eastAsia" w:ascii="宋体" w:hAnsi="宋体" w:cs="宋体"/>
          <w:snapToGrid w:val="0"/>
          <w:color w:val="auto"/>
          <w:sz w:val="28"/>
          <w:szCs w:val="28"/>
          <w:highlight w:val="none"/>
          <w:lang w:val="zh-CN"/>
        </w:rPr>
        <w:t>自本保函开立之日起</w:t>
      </w:r>
      <w:r>
        <w:rPr>
          <w:rFonts w:hint="eastAsia" w:ascii="宋体" w:hAnsi="宋体"/>
          <w:color w:val="auto"/>
          <w:sz w:val="28"/>
          <w:szCs w:val="28"/>
          <w:highlight w:val="none"/>
        </w:rPr>
        <w:t>至承包人收到业主颁发的最终工程竣工验收证明之日止。</w:t>
      </w:r>
    </w:p>
    <w:p>
      <w:pPr>
        <w:autoSpaceDE w:val="0"/>
        <w:autoSpaceDN w:val="0"/>
        <w:adjustRightInd w:val="0"/>
        <w:snapToGrid w:val="0"/>
        <w:spacing w:line="400" w:lineRule="exact"/>
        <w:rPr>
          <w:rFonts w:hint="eastAsia" w:ascii="宋体" w:hAnsi="宋体" w:cs="宋体"/>
          <w:snapToGrid w:val="0"/>
          <w:color w:val="auto"/>
          <w:sz w:val="28"/>
          <w:szCs w:val="28"/>
          <w:highlight w:val="none"/>
        </w:rPr>
      </w:pPr>
      <w:r>
        <w:rPr>
          <w:rFonts w:hint="eastAsia" w:ascii="宋体" w:hAnsi="宋体" w:cs="宋体"/>
          <w:snapToGrid w:val="0"/>
          <w:color w:val="auto"/>
          <w:sz w:val="28"/>
          <w:szCs w:val="28"/>
          <w:highlight w:val="none"/>
        </w:rPr>
        <w:t xml:space="preserve">      5、因本保函发生诉讼的，由工程所在地人民法院管辖。</w:t>
      </w:r>
    </w:p>
    <w:p>
      <w:pPr>
        <w:autoSpaceDE w:val="0"/>
        <w:autoSpaceDN w:val="0"/>
        <w:adjustRightInd w:val="0"/>
        <w:snapToGrid w:val="0"/>
        <w:spacing w:line="400" w:lineRule="exact"/>
        <w:rPr>
          <w:rFonts w:hint="eastAsia" w:ascii="宋体" w:hAnsi="宋体" w:cs="宋体"/>
          <w:snapToGrid w:val="0"/>
          <w:color w:val="auto"/>
          <w:sz w:val="28"/>
          <w:szCs w:val="28"/>
          <w:highlight w:val="none"/>
          <w:lang w:val="zh-CN"/>
        </w:rPr>
      </w:pPr>
    </w:p>
    <w:p>
      <w:pPr>
        <w:autoSpaceDE w:val="0"/>
        <w:autoSpaceDN w:val="0"/>
        <w:adjustRightInd w:val="0"/>
        <w:snapToGrid w:val="0"/>
        <w:spacing w:line="400" w:lineRule="exact"/>
        <w:rPr>
          <w:rFonts w:hint="eastAsia" w:ascii="宋体" w:hAnsi="宋体" w:cs="宋体"/>
          <w:snapToGrid w:val="0"/>
          <w:color w:val="auto"/>
          <w:sz w:val="28"/>
          <w:szCs w:val="28"/>
          <w:highlight w:val="none"/>
        </w:rPr>
      </w:pPr>
    </w:p>
    <w:p>
      <w:pPr>
        <w:autoSpaceDE w:val="0"/>
        <w:autoSpaceDN w:val="0"/>
        <w:adjustRightInd w:val="0"/>
        <w:snapToGrid w:val="0"/>
        <w:spacing w:line="400" w:lineRule="exact"/>
        <w:rPr>
          <w:rFonts w:hint="eastAsia" w:ascii="宋体" w:hAnsi="宋体" w:cs="宋体"/>
          <w:snapToGrid w:val="0"/>
          <w:color w:val="auto"/>
          <w:sz w:val="28"/>
          <w:szCs w:val="28"/>
          <w:highlight w:val="none"/>
          <w:lang w:val="zh-CN"/>
        </w:rPr>
      </w:pPr>
    </w:p>
    <w:p>
      <w:pPr>
        <w:autoSpaceDE w:val="0"/>
        <w:autoSpaceDN w:val="0"/>
        <w:adjustRightInd w:val="0"/>
        <w:snapToGrid w:val="0"/>
        <w:spacing w:line="400" w:lineRule="exact"/>
        <w:ind w:firstLine="5460" w:firstLineChars="1950"/>
        <w:rPr>
          <w:rFonts w:ascii="宋体" w:hAnsi="宋体" w:cs="宋体"/>
          <w:snapToGrid w:val="0"/>
          <w:color w:val="auto"/>
          <w:sz w:val="28"/>
          <w:szCs w:val="28"/>
          <w:highlight w:val="none"/>
          <w:lang w:val="zh-CN"/>
        </w:rPr>
      </w:pPr>
      <w:r>
        <w:rPr>
          <w:rFonts w:hint="eastAsia" w:ascii="宋体" w:hAnsi="宋体" w:cs="宋体"/>
          <w:snapToGrid w:val="0"/>
          <w:color w:val="auto"/>
          <w:sz w:val="28"/>
          <w:szCs w:val="28"/>
          <w:highlight w:val="none"/>
          <w:lang w:val="zh-CN"/>
        </w:rPr>
        <w:t>银行名称：（盖章）</w:t>
      </w:r>
    </w:p>
    <w:p>
      <w:pPr>
        <w:autoSpaceDE w:val="0"/>
        <w:autoSpaceDN w:val="0"/>
        <w:adjustRightInd w:val="0"/>
        <w:snapToGrid w:val="0"/>
        <w:spacing w:line="400" w:lineRule="exact"/>
        <w:rPr>
          <w:rFonts w:hint="eastAsia" w:ascii="宋体" w:hAnsi="宋体" w:cs="宋体"/>
          <w:snapToGrid w:val="0"/>
          <w:color w:val="auto"/>
          <w:sz w:val="28"/>
          <w:szCs w:val="28"/>
          <w:highlight w:val="none"/>
          <w:lang w:val="zh-CN"/>
        </w:rPr>
      </w:pPr>
    </w:p>
    <w:p>
      <w:pPr>
        <w:autoSpaceDE w:val="0"/>
        <w:autoSpaceDN w:val="0"/>
        <w:adjustRightInd w:val="0"/>
        <w:snapToGrid w:val="0"/>
        <w:spacing w:line="400" w:lineRule="exact"/>
        <w:ind w:firstLine="5460" w:firstLineChars="1950"/>
        <w:rPr>
          <w:rFonts w:ascii="宋体" w:hAnsi="宋体" w:cs="宋体"/>
          <w:snapToGrid w:val="0"/>
          <w:color w:val="auto"/>
          <w:sz w:val="28"/>
          <w:szCs w:val="28"/>
          <w:highlight w:val="none"/>
          <w:lang w:val="zh-CN"/>
        </w:rPr>
      </w:pPr>
      <w:r>
        <w:rPr>
          <w:rFonts w:hint="eastAsia" w:ascii="宋体" w:hAnsi="宋体" w:cs="宋体"/>
          <w:snapToGrid w:val="0"/>
          <w:color w:val="auto"/>
          <w:sz w:val="28"/>
          <w:szCs w:val="28"/>
          <w:highlight w:val="none"/>
          <w:lang w:val="zh-CN"/>
        </w:rPr>
        <w:t>银行负责人（或委托代理人）：</w:t>
      </w:r>
    </w:p>
    <w:p>
      <w:pPr>
        <w:autoSpaceDE w:val="0"/>
        <w:autoSpaceDN w:val="0"/>
        <w:adjustRightInd w:val="0"/>
        <w:snapToGrid w:val="0"/>
        <w:spacing w:line="400" w:lineRule="exact"/>
        <w:rPr>
          <w:rFonts w:hint="eastAsia" w:ascii="宋体" w:hAnsi="宋体" w:cs="宋体"/>
          <w:snapToGrid w:val="0"/>
          <w:color w:val="auto"/>
          <w:sz w:val="28"/>
          <w:szCs w:val="28"/>
          <w:highlight w:val="none"/>
          <w:lang w:val="zh-CN"/>
        </w:rPr>
      </w:pPr>
    </w:p>
    <w:p>
      <w:pPr>
        <w:autoSpaceDE w:val="0"/>
        <w:autoSpaceDN w:val="0"/>
        <w:adjustRightInd w:val="0"/>
        <w:snapToGrid w:val="0"/>
        <w:spacing w:line="400" w:lineRule="exact"/>
        <w:ind w:firstLine="5460" w:firstLineChars="1950"/>
        <w:rPr>
          <w:rFonts w:ascii="宋体" w:hAnsi="宋体" w:cs="宋体"/>
          <w:snapToGrid w:val="0"/>
          <w:color w:val="auto"/>
          <w:sz w:val="28"/>
          <w:szCs w:val="28"/>
          <w:highlight w:val="none"/>
          <w:lang w:val="zh-CN"/>
        </w:rPr>
      </w:pPr>
      <w:r>
        <w:rPr>
          <w:rFonts w:hint="eastAsia" w:ascii="宋体" w:hAnsi="宋体" w:cs="宋体"/>
          <w:snapToGrid w:val="0"/>
          <w:color w:val="auto"/>
          <w:sz w:val="28"/>
          <w:szCs w:val="28"/>
          <w:highlight w:val="none"/>
          <w:lang w:val="zh-CN"/>
        </w:rPr>
        <w:t>地址：</w:t>
      </w:r>
    </w:p>
    <w:p>
      <w:pPr>
        <w:autoSpaceDE w:val="0"/>
        <w:autoSpaceDN w:val="0"/>
        <w:adjustRightInd w:val="0"/>
        <w:snapToGrid w:val="0"/>
        <w:spacing w:line="400" w:lineRule="exact"/>
        <w:ind w:firstLine="5460" w:firstLineChars="1950"/>
        <w:rPr>
          <w:rFonts w:hint="eastAsia" w:ascii="宋体" w:hAnsi="宋体" w:cs="宋体"/>
          <w:snapToGrid w:val="0"/>
          <w:color w:val="auto"/>
          <w:sz w:val="28"/>
          <w:szCs w:val="28"/>
          <w:highlight w:val="none"/>
          <w:lang w:val="zh-CN"/>
        </w:rPr>
      </w:pPr>
      <w:r>
        <w:rPr>
          <w:rFonts w:hint="eastAsia" w:ascii="宋体" w:hAnsi="宋体" w:cs="宋体"/>
          <w:snapToGrid w:val="0"/>
          <w:color w:val="auto"/>
          <w:sz w:val="28"/>
          <w:szCs w:val="28"/>
          <w:highlight w:val="none"/>
          <w:lang w:val="zh-CN"/>
        </w:rPr>
        <w:t>邮政编码：</w:t>
      </w:r>
    </w:p>
    <w:p>
      <w:pPr>
        <w:autoSpaceDE w:val="0"/>
        <w:autoSpaceDN w:val="0"/>
        <w:adjustRightInd w:val="0"/>
        <w:snapToGrid w:val="0"/>
        <w:spacing w:line="400" w:lineRule="exact"/>
        <w:ind w:firstLine="5460" w:firstLineChars="1950"/>
        <w:rPr>
          <w:rFonts w:ascii="宋体" w:hAnsi="宋体" w:cs="宋体"/>
          <w:snapToGrid w:val="0"/>
          <w:color w:val="auto"/>
          <w:sz w:val="28"/>
          <w:szCs w:val="28"/>
          <w:highlight w:val="none"/>
          <w:lang w:val="zh-CN"/>
        </w:rPr>
      </w:pPr>
      <w:r>
        <w:rPr>
          <w:rFonts w:hint="eastAsia" w:ascii="宋体" w:hAnsi="宋体" w:cs="宋体"/>
          <w:snapToGrid w:val="0"/>
          <w:color w:val="auto"/>
          <w:sz w:val="28"/>
          <w:szCs w:val="28"/>
          <w:highlight w:val="none"/>
          <w:lang w:val="zh-CN"/>
        </w:rPr>
        <w:t>联系电话：</w:t>
      </w:r>
    </w:p>
    <w:p>
      <w:pPr>
        <w:adjustRightInd w:val="0"/>
        <w:snapToGrid w:val="0"/>
        <w:spacing w:line="400" w:lineRule="exact"/>
        <w:ind w:firstLine="5460" w:firstLineChars="1950"/>
        <w:rPr>
          <w:rFonts w:hint="eastAsia" w:ascii="宋体" w:hAnsi="宋体" w:cs="宋体"/>
          <w:snapToGrid w:val="0"/>
          <w:color w:val="auto"/>
          <w:sz w:val="28"/>
          <w:szCs w:val="28"/>
          <w:highlight w:val="none"/>
          <w:lang w:val="zh-CN"/>
        </w:rPr>
      </w:pPr>
      <w:r>
        <w:rPr>
          <w:rFonts w:hint="eastAsia" w:ascii="宋体" w:hAnsi="宋体" w:cs="宋体"/>
          <w:snapToGrid w:val="0"/>
          <w:color w:val="auto"/>
          <w:sz w:val="28"/>
          <w:szCs w:val="28"/>
          <w:highlight w:val="none"/>
          <w:lang w:val="zh-CN"/>
        </w:rPr>
        <w:t>日期：</w:t>
      </w:r>
      <w:r>
        <w:rPr>
          <w:rFonts w:hint="eastAsia" w:ascii="宋体" w:hAnsi="宋体" w:cs="宋体"/>
          <w:snapToGrid w:val="0"/>
          <w:color w:val="auto"/>
          <w:sz w:val="28"/>
          <w:szCs w:val="28"/>
          <w:highlight w:val="none"/>
          <w:u w:val="single"/>
          <w:lang w:val="zh-CN"/>
        </w:rPr>
        <w:t xml:space="preserve">    </w:t>
      </w:r>
      <w:r>
        <w:rPr>
          <w:rFonts w:hint="eastAsia" w:ascii="宋体" w:hAnsi="宋体" w:cs="宋体"/>
          <w:snapToGrid w:val="0"/>
          <w:color w:val="auto"/>
          <w:sz w:val="28"/>
          <w:szCs w:val="28"/>
          <w:highlight w:val="none"/>
          <w:lang w:val="zh-CN"/>
        </w:rPr>
        <w:t>年</w:t>
      </w:r>
      <w:r>
        <w:rPr>
          <w:rFonts w:ascii="宋体" w:hAnsi="宋体" w:cs="宋体"/>
          <w:snapToGrid w:val="0"/>
          <w:color w:val="auto"/>
          <w:sz w:val="28"/>
          <w:szCs w:val="28"/>
          <w:highlight w:val="none"/>
          <w:u w:val="single"/>
          <w:lang w:val="zh-CN"/>
        </w:rPr>
        <w:t xml:space="preserve">   </w:t>
      </w:r>
      <w:r>
        <w:rPr>
          <w:rFonts w:hint="eastAsia" w:ascii="宋体" w:hAnsi="宋体" w:cs="宋体"/>
          <w:snapToGrid w:val="0"/>
          <w:color w:val="auto"/>
          <w:sz w:val="28"/>
          <w:szCs w:val="28"/>
          <w:highlight w:val="none"/>
          <w:lang w:val="zh-CN"/>
        </w:rPr>
        <w:t>月</w:t>
      </w:r>
      <w:r>
        <w:rPr>
          <w:rFonts w:ascii="宋体" w:hAnsi="宋体" w:cs="宋体"/>
          <w:snapToGrid w:val="0"/>
          <w:color w:val="auto"/>
          <w:sz w:val="28"/>
          <w:szCs w:val="28"/>
          <w:highlight w:val="none"/>
          <w:u w:val="single"/>
          <w:lang w:val="zh-CN"/>
        </w:rPr>
        <w:t xml:space="preserve">   </w:t>
      </w:r>
      <w:r>
        <w:rPr>
          <w:rFonts w:hint="eastAsia" w:ascii="宋体" w:hAnsi="宋体" w:cs="宋体"/>
          <w:snapToGrid w:val="0"/>
          <w:color w:val="auto"/>
          <w:sz w:val="28"/>
          <w:szCs w:val="28"/>
          <w:highlight w:val="none"/>
          <w:lang w:val="zh-CN"/>
        </w:rPr>
        <w:t>日</w:t>
      </w:r>
    </w:p>
    <w:p>
      <w:pPr>
        <w:adjustRightInd w:val="0"/>
        <w:snapToGrid w:val="0"/>
        <w:spacing w:line="300" w:lineRule="exact"/>
        <w:rPr>
          <w:rFonts w:hint="eastAsia" w:ascii="宋体" w:hAnsi="宋体"/>
          <w:snapToGrid w:val="0"/>
          <w:color w:val="auto"/>
          <w:sz w:val="28"/>
          <w:szCs w:val="28"/>
          <w:highlight w:val="none"/>
        </w:rPr>
      </w:pPr>
    </w:p>
    <w:p>
      <w:pPr>
        <w:adjustRightInd w:val="0"/>
        <w:snapToGrid w:val="0"/>
        <w:spacing w:line="400" w:lineRule="exact"/>
        <w:ind w:firstLine="5460" w:firstLineChars="1950"/>
        <w:rPr>
          <w:rFonts w:hint="eastAsia" w:ascii="宋体" w:hAnsi="宋体" w:cs="宋体"/>
          <w:snapToGrid w:val="0"/>
          <w:color w:val="auto"/>
          <w:sz w:val="28"/>
          <w:szCs w:val="28"/>
          <w:highlight w:val="none"/>
          <w:lang w:val="zh-CN"/>
        </w:rPr>
      </w:pPr>
    </w:p>
    <w:p>
      <w:pPr>
        <w:spacing w:line="520" w:lineRule="exact"/>
        <w:rPr>
          <w:rFonts w:hint="eastAsia" w:ascii="宋体" w:hAnsi="宋体"/>
          <w:color w:val="auto"/>
          <w:sz w:val="28"/>
          <w:szCs w:val="28"/>
          <w:highlight w:val="none"/>
        </w:rPr>
      </w:pPr>
    </w:p>
    <w:p>
      <w:pPr>
        <w:adjustRightInd w:val="0"/>
        <w:snapToGrid w:val="0"/>
        <w:spacing w:line="400" w:lineRule="exact"/>
        <w:rPr>
          <w:rFonts w:hint="eastAsia" w:ascii="宋体" w:hAnsi="宋体"/>
          <w:color w:val="auto"/>
          <w:sz w:val="28"/>
          <w:szCs w:val="28"/>
          <w:highlight w:val="none"/>
        </w:rPr>
      </w:pPr>
    </w:p>
    <w:p>
      <w:pPr>
        <w:spacing w:line="520" w:lineRule="exact"/>
        <w:rPr>
          <w:rFonts w:hint="eastAsia" w:ascii="宋体" w:hAnsi="宋体"/>
          <w:color w:val="auto"/>
          <w:sz w:val="28"/>
          <w:szCs w:val="28"/>
          <w:highlight w:val="none"/>
        </w:rPr>
      </w:pPr>
      <w:r>
        <w:rPr>
          <w:rFonts w:hint="eastAsia" w:ascii="宋体" w:hAnsi="宋体"/>
          <w:color w:val="auto"/>
          <w:sz w:val="28"/>
          <w:szCs w:val="28"/>
          <w:highlight w:val="none"/>
        </w:rPr>
        <w:t>附件2：施工单位投入本工程管理架构表；</w:t>
      </w:r>
    </w:p>
    <w:p>
      <w:pPr>
        <w:adjustRightInd w:val="0"/>
        <w:snapToGrid w:val="0"/>
        <w:spacing w:line="400" w:lineRule="exact"/>
        <w:rPr>
          <w:rFonts w:hint="eastAsia" w:ascii="宋体" w:hAnsi="宋体"/>
          <w:color w:val="auto"/>
          <w:sz w:val="28"/>
          <w:szCs w:val="28"/>
          <w:highlight w:val="none"/>
        </w:rPr>
      </w:pPr>
    </w:p>
    <w:p>
      <w:pPr>
        <w:adjustRightInd w:val="0"/>
        <w:snapToGrid w:val="0"/>
        <w:spacing w:line="400" w:lineRule="exact"/>
        <w:rPr>
          <w:rFonts w:hint="eastAsia" w:ascii="宋体" w:hAnsi="宋体"/>
          <w:color w:val="auto"/>
          <w:sz w:val="28"/>
          <w:szCs w:val="28"/>
          <w:highlight w:val="none"/>
        </w:rPr>
      </w:pPr>
    </w:p>
    <w:p>
      <w:pPr>
        <w:adjustRightInd w:val="0"/>
        <w:snapToGrid w:val="0"/>
        <w:spacing w:line="400" w:lineRule="exact"/>
        <w:rPr>
          <w:rFonts w:hint="eastAsia" w:ascii="宋体" w:hAnsi="宋体"/>
          <w:color w:val="auto"/>
          <w:sz w:val="28"/>
          <w:szCs w:val="28"/>
          <w:highlight w:val="none"/>
        </w:rPr>
      </w:pPr>
      <w:r>
        <w:rPr>
          <w:rFonts w:hint="eastAsia" w:ascii="宋体" w:hAnsi="宋体"/>
          <w:color w:val="auto"/>
          <w:sz w:val="28"/>
          <w:szCs w:val="28"/>
          <w:highlight w:val="none"/>
        </w:rPr>
        <w:t>附件:3：</w:t>
      </w:r>
    </w:p>
    <w:p>
      <w:pPr>
        <w:keepNext/>
        <w:keepLines/>
        <w:spacing w:line="400" w:lineRule="exact"/>
        <w:jc w:val="center"/>
        <w:outlineLvl w:val="1"/>
        <w:rPr>
          <w:rFonts w:hint="eastAsia" w:ascii="宋体" w:hAnsi="宋体" w:cs="宋体"/>
          <w:snapToGrid w:val="0"/>
          <w:color w:val="auto"/>
          <w:kern w:val="0"/>
          <w:sz w:val="28"/>
          <w:szCs w:val="28"/>
          <w:highlight w:val="none"/>
        </w:rPr>
      </w:pPr>
      <w:r>
        <w:rPr>
          <w:rFonts w:hint="eastAsia" w:ascii="宋体" w:hAnsi="宋体" w:cs="宋体"/>
          <w:snapToGrid w:val="0"/>
          <w:color w:val="auto"/>
          <w:kern w:val="0"/>
          <w:sz w:val="28"/>
          <w:szCs w:val="28"/>
          <w:highlight w:val="none"/>
        </w:rPr>
        <w:t>工程建设项目廉政责任书</w:t>
      </w:r>
    </w:p>
    <w:p>
      <w:pPr>
        <w:adjustRightInd w:val="0"/>
        <w:snapToGrid w:val="0"/>
        <w:spacing w:line="400" w:lineRule="exact"/>
        <w:ind w:firstLine="560" w:firstLineChars="200"/>
        <w:rPr>
          <w:rFonts w:hint="eastAsia" w:ascii="宋体" w:hAnsi="宋体"/>
          <w:snapToGrid w:val="0"/>
          <w:color w:val="auto"/>
          <w:kern w:val="0"/>
          <w:sz w:val="28"/>
          <w:szCs w:val="28"/>
          <w:highlight w:val="none"/>
        </w:rPr>
      </w:pPr>
    </w:p>
    <w:p>
      <w:pPr>
        <w:adjustRightInd w:val="0"/>
        <w:snapToGrid w:val="0"/>
        <w:spacing w:line="400" w:lineRule="exact"/>
        <w:ind w:left="495" w:hanging="495"/>
        <w:rPr>
          <w:rFonts w:hint="eastAsia" w:ascii="宋体" w:hAnsi="宋体"/>
          <w:color w:val="auto"/>
          <w:sz w:val="28"/>
          <w:szCs w:val="28"/>
          <w:highlight w:val="none"/>
        </w:rPr>
      </w:pPr>
      <w:r>
        <w:rPr>
          <w:rFonts w:hint="eastAsia" w:ascii="宋体" w:hAnsi="宋体"/>
          <w:color w:val="auto"/>
          <w:sz w:val="28"/>
          <w:szCs w:val="28"/>
          <w:highlight w:val="none"/>
        </w:rPr>
        <w:t>工程项目名称：</w:t>
      </w:r>
    </w:p>
    <w:p>
      <w:pPr>
        <w:adjustRightInd w:val="0"/>
        <w:snapToGrid w:val="0"/>
        <w:spacing w:line="400" w:lineRule="exact"/>
        <w:rPr>
          <w:rFonts w:ascii="宋体" w:hAnsi="宋体"/>
          <w:color w:val="auto"/>
          <w:sz w:val="28"/>
          <w:szCs w:val="28"/>
          <w:highlight w:val="none"/>
        </w:rPr>
      </w:pPr>
      <w:r>
        <w:rPr>
          <w:rFonts w:hint="eastAsia" w:ascii="宋体" w:hAnsi="宋体"/>
          <w:color w:val="auto"/>
          <w:sz w:val="28"/>
          <w:szCs w:val="28"/>
          <w:highlight w:val="none"/>
        </w:rPr>
        <w:t xml:space="preserve">工程项目地址： </w:t>
      </w:r>
    </w:p>
    <w:p>
      <w:pPr>
        <w:adjustRightInd w:val="0"/>
        <w:snapToGrid w:val="0"/>
        <w:spacing w:line="400" w:lineRule="exact"/>
        <w:rPr>
          <w:rFonts w:ascii="宋体" w:hAnsi="宋体"/>
          <w:color w:val="auto"/>
          <w:sz w:val="28"/>
          <w:szCs w:val="28"/>
          <w:highlight w:val="none"/>
        </w:rPr>
      </w:pPr>
      <w:r>
        <w:rPr>
          <w:rFonts w:hint="eastAsia" w:ascii="宋体" w:hAnsi="宋体"/>
          <w:color w:val="auto"/>
          <w:sz w:val="28"/>
          <w:szCs w:val="28"/>
          <w:highlight w:val="none"/>
        </w:rPr>
        <w:t xml:space="preserve">委托人（甲方）： </w:t>
      </w:r>
    </w:p>
    <w:p>
      <w:pPr>
        <w:adjustRightInd w:val="0"/>
        <w:snapToGrid w:val="0"/>
        <w:spacing w:line="400" w:lineRule="exact"/>
        <w:rPr>
          <w:rFonts w:hint="eastAsia" w:ascii="宋体" w:hAnsi="宋体"/>
          <w:color w:val="auto"/>
          <w:sz w:val="28"/>
          <w:szCs w:val="28"/>
          <w:highlight w:val="none"/>
        </w:rPr>
      </w:pPr>
      <w:r>
        <w:rPr>
          <w:rFonts w:hint="eastAsia" w:ascii="宋体" w:hAnsi="宋体"/>
          <w:color w:val="auto"/>
          <w:sz w:val="28"/>
          <w:szCs w:val="28"/>
          <w:highlight w:val="none"/>
        </w:rPr>
        <w:t xml:space="preserve">承包人（乙方）： </w:t>
      </w:r>
    </w:p>
    <w:p>
      <w:pPr>
        <w:adjustRightInd w:val="0"/>
        <w:snapToGrid w:val="0"/>
        <w:spacing w:line="400" w:lineRule="exact"/>
        <w:rPr>
          <w:rFonts w:ascii="宋体" w:hAnsi="宋体"/>
          <w:color w:val="auto"/>
          <w:sz w:val="28"/>
          <w:szCs w:val="28"/>
          <w:highlight w:val="none"/>
        </w:rPr>
      </w:pP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440" w:lineRule="exact"/>
        <w:ind w:firstLine="482"/>
        <w:rPr>
          <w:rFonts w:ascii="宋体" w:hAnsi="宋体"/>
          <w:b/>
          <w:snapToGrid w:val="0"/>
          <w:color w:val="auto"/>
          <w:kern w:val="0"/>
          <w:sz w:val="24"/>
          <w:highlight w:val="none"/>
        </w:rPr>
      </w:pPr>
      <w:r>
        <w:rPr>
          <w:rFonts w:hint="eastAsia" w:ascii="宋体" w:hAnsi="宋体"/>
          <w:b/>
          <w:snapToGrid w:val="0"/>
          <w:color w:val="auto"/>
          <w:kern w:val="0"/>
          <w:sz w:val="24"/>
          <w:highlight w:val="none"/>
        </w:rPr>
        <w:t>第一条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甲、乙双方的责任</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（一）应严格遵守国家关于市场准入、项目招标投标、工程建设和市场活动等有关法律、法规、相关政策，以及廉政建设的各项规定。</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（二）严格执行建设工程项目承发包合同文件，自觉按合同办事。</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（三）业务活动必须坚持公开、公平、公正、诚信、透明的原则（除法律法规另有规定者外），不得为获取不正当的利益，损害国家、集体和对方利益，不得违反工程建设过程管理的规章制度。</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（四）发现对方在业务活动中有违规、违纪、违法行为的，应及时提醒对方，情节严重的，应向其上级主管部门或纪检监察、司法等有关机关举报。</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b/>
          <w:snapToGrid w:val="0"/>
          <w:color w:val="auto"/>
          <w:kern w:val="0"/>
          <w:sz w:val="24"/>
          <w:highlight w:val="none"/>
        </w:rPr>
        <w:t>第二条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甲方的责任</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甲方的领导和从事本建设工程项目的工作人员，在工程建设的事前、事中、事后应遵守以下规定：</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（一）不准向乙方和相关单位索要或接受回扣、礼金、有价证券、贵重物品和好处费、感谢费等。</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（二）不准在乙方和相关单位报销任何应由甲方或个人支付的费用。</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（三）不准要求、暗示或接受乙方和相关单位为个人装修住房、婚丧嫁娶、配偶子女的工作安排以及出国（境）、旅游等提供方便。</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（四）不准参加有可能影响公正执行公务的乙方及相关单位的宴请、健身、娱乐等活动。</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（五）不准向乙方介绍或为配偶、子女、亲属参与同甲方项目工程合同有关的设备、材料、工程分包、劳务等经济活动。不得以任何理由向乙方和相关单位推荐分包单位。</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b/>
          <w:snapToGrid w:val="0"/>
          <w:color w:val="auto"/>
          <w:kern w:val="0"/>
          <w:sz w:val="24"/>
          <w:highlight w:val="none"/>
        </w:rPr>
        <w:t>第三条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乙方的责任</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应与甲方保持正常的业务交往，按照有关法律法规和程序开展业务工作，严格执行工程建设过程管理的有关方针、政策，尤其是强制性标准和规范，并遵守以下规定：</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（一）不准以任何理由向甲方、相关单位及其工作人员索要、接受或赠送礼金、有价证券、贵重物品及回扣、好处费、感谢费等。</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（二）不准以任何理由为甲方和相关单位报销应由对方或个人支付的费用。</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（三）不准接受或暗示为甲方、相关单位或个人装修住房、婚丧嫁娶、配偶子女的工作安排以及出国（境）、旅游等提供方便。</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（四）不准以任何理由为甲方、相关单位或个人组织有可能影响公正执行公务的宴请、健身、娱乐等活动。</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b/>
          <w:snapToGrid w:val="0"/>
          <w:color w:val="auto"/>
          <w:kern w:val="0"/>
          <w:sz w:val="24"/>
          <w:highlight w:val="none"/>
        </w:rPr>
        <w:t>第四条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违约责任</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440" w:lineRule="exact"/>
        <w:ind w:firstLine="482"/>
        <w:rPr>
          <w:rFonts w:ascii="宋体" w:hAnsi="宋体"/>
          <w:snapToGrid w:val="0"/>
          <w:color w:val="auto"/>
          <w:kern w:val="0"/>
          <w:sz w:val="24"/>
          <w:highlight w:val="none"/>
        </w:rPr>
      </w:pPr>
      <w:r>
        <w:rPr>
          <w:rFonts w:hint="eastAsia" w:ascii="宋体" w:hAnsi="宋体"/>
          <w:snapToGrid w:val="0"/>
          <w:color w:val="auto"/>
          <w:kern w:val="0"/>
          <w:sz w:val="24"/>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440" w:lineRule="exact"/>
        <w:ind w:firstLine="482"/>
        <w:rPr>
          <w:rFonts w:ascii="宋体" w:hAnsi="宋体"/>
          <w:b/>
          <w:snapToGrid w:val="0"/>
          <w:color w:val="auto"/>
          <w:kern w:val="0"/>
          <w:sz w:val="24"/>
          <w:highlight w:val="none"/>
        </w:rPr>
      </w:pPr>
      <w:r>
        <w:rPr>
          <w:rFonts w:hint="eastAsia" w:ascii="宋体" w:hAnsi="宋体"/>
          <w:b/>
          <w:snapToGrid w:val="0"/>
          <w:color w:val="auto"/>
          <w:kern w:val="0"/>
          <w:sz w:val="24"/>
          <w:highlight w:val="none"/>
        </w:rPr>
        <w:t>第五条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本廉政责任书作为合同的附件，与合同具有同等法律效力。经双方签署后立即生效。</w:t>
      </w:r>
    </w:p>
    <w:p>
      <w:pPr>
        <w:adjustRightInd w:val="0"/>
        <w:snapToGrid w:val="0"/>
        <w:spacing w:line="440" w:lineRule="exact"/>
        <w:ind w:firstLine="482"/>
        <w:rPr>
          <w:rFonts w:ascii="宋体" w:hAnsi="宋体"/>
          <w:b/>
          <w:snapToGrid w:val="0"/>
          <w:color w:val="auto"/>
          <w:kern w:val="0"/>
          <w:sz w:val="24"/>
          <w:highlight w:val="none"/>
        </w:rPr>
      </w:pPr>
      <w:r>
        <w:rPr>
          <w:rFonts w:hint="eastAsia" w:ascii="宋体" w:hAnsi="宋体"/>
          <w:b/>
          <w:snapToGrid w:val="0"/>
          <w:color w:val="auto"/>
          <w:kern w:val="0"/>
          <w:sz w:val="24"/>
          <w:highlight w:val="none"/>
        </w:rPr>
        <w:t>第六条</w:t>
      </w:r>
      <w:r>
        <w:rPr>
          <w:rFonts w:ascii="宋体" w:hAnsi="宋体"/>
          <w:b/>
          <w:snapToGrid w:val="0"/>
          <w:color w:val="auto"/>
          <w:kern w:val="0"/>
          <w:sz w:val="24"/>
          <w:highlight w:val="none"/>
        </w:rPr>
        <w:t xml:space="preserve"> </w:t>
      </w:r>
      <w:r>
        <w:rPr>
          <w:rFonts w:hint="eastAsia" w:ascii="宋体" w:hAnsi="宋体"/>
          <w:snapToGrid w:val="0"/>
          <w:color w:val="auto"/>
          <w:kern w:val="0"/>
          <w:sz w:val="24"/>
          <w:highlight w:val="none"/>
        </w:rPr>
        <w:t>本廉政责任书的有效期与合同的有效期相同。</w:t>
      </w:r>
    </w:p>
    <w:p>
      <w:pPr>
        <w:adjustRightInd w:val="0"/>
        <w:snapToGrid w:val="0"/>
        <w:spacing w:line="440" w:lineRule="exac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hint="eastAsia" w:ascii="宋体" w:hAnsi="宋体"/>
          <w:b/>
          <w:snapToGrid w:val="0"/>
          <w:color w:val="auto"/>
          <w:kern w:val="0"/>
          <w:sz w:val="24"/>
          <w:highlight w:val="none"/>
        </w:rPr>
        <w:t>第七条</w:t>
      </w:r>
      <w:r>
        <w:rPr>
          <w:rFonts w:ascii="宋体" w:hAnsi="宋体"/>
          <w:snapToGrid w:val="0"/>
          <w:color w:val="auto"/>
          <w:kern w:val="0"/>
          <w:sz w:val="24"/>
          <w:highlight w:val="none"/>
        </w:rPr>
        <w:t xml:space="preserve"> </w:t>
      </w:r>
      <w:r>
        <w:rPr>
          <w:rFonts w:hint="eastAsia" w:ascii="宋体" w:hAnsi="宋体"/>
          <w:snapToGrid w:val="0"/>
          <w:color w:val="auto"/>
          <w:kern w:val="0"/>
          <w:sz w:val="24"/>
          <w:highlight w:val="none"/>
        </w:rPr>
        <w:t>本廉政责任书一式十四份，</w:t>
      </w:r>
      <w:r>
        <w:rPr>
          <w:rFonts w:hint="eastAsia" w:ascii="宋体" w:hAnsi="宋体"/>
          <w:bCs/>
          <w:snapToGrid w:val="0"/>
          <w:color w:val="auto"/>
          <w:kern w:val="0"/>
          <w:sz w:val="24"/>
          <w:highlight w:val="none"/>
        </w:rPr>
        <w:t>甲方执十份，乙方执四份。</w:t>
      </w:r>
    </w:p>
    <w:p>
      <w:pPr>
        <w:adjustRightInd w:val="0"/>
        <w:snapToGrid w:val="0"/>
        <w:spacing w:line="360" w:lineRule="auto"/>
        <w:ind w:left="2240" w:right="11" w:hanging="2240" w:hangingChars="800"/>
        <w:rPr>
          <w:rFonts w:hint="eastAsia" w:ascii="宋体" w:hAnsi="宋体"/>
          <w:color w:val="auto"/>
          <w:sz w:val="28"/>
          <w:szCs w:val="28"/>
          <w:highlight w:val="none"/>
        </w:rPr>
      </w:pPr>
      <w:r>
        <w:rPr>
          <w:rFonts w:hint="eastAsia" w:ascii="宋体" w:hAnsi="宋体"/>
          <w:color w:val="auto"/>
          <w:sz w:val="28"/>
          <w:szCs w:val="28"/>
          <w:highlight w:val="none"/>
        </w:rPr>
        <w:t xml:space="preserve">委托人：                               承包人： </w:t>
      </w:r>
    </w:p>
    <w:p>
      <w:pPr>
        <w:adjustRightInd w:val="0"/>
        <w:snapToGrid w:val="0"/>
        <w:spacing w:line="360" w:lineRule="auto"/>
        <w:ind w:left="2211" w:leftChars="513" w:right="11" w:hanging="980" w:hangingChars="350"/>
        <w:rPr>
          <w:rFonts w:hint="eastAsia" w:ascii="宋体" w:hAnsi="宋体"/>
          <w:color w:val="auto"/>
          <w:sz w:val="28"/>
          <w:szCs w:val="28"/>
          <w:highlight w:val="none"/>
        </w:rPr>
      </w:pPr>
      <w:r>
        <w:rPr>
          <w:rFonts w:hint="eastAsia" w:ascii="宋体" w:hAnsi="宋体"/>
          <w:color w:val="auto"/>
          <w:sz w:val="28"/>
          <w:szCs w:val="28"/>
          <w:highlight w:val="none"/>
        </w:rPr>
        <w:t xml:space="preserve">                          </w:t>
      </w:r>
    </w:p>
    <w:p>
      <w:pPr>
        <w:adjustRightInd w:val="0"/>
        <w:snapToGrid w:val="0"/>
        <w:spacing w:line="360" w:lineRule="auto"/>
        <w:ind w:right="11"/>
        <w:rPr>
          <w:rFonts w:hint="eastAsia" w:ascii="宋体" w:hAnsi="宋体"/>
          <w:color w:val="auto"/>
          <w:sz w:val="28"/>
          <w:szCs w:val="28"/>
          <w:highlight w:val="none"/>
        </w:rPr>
      </w:pPr>
      <w:r>
        <w:rPr>
          <w:rFonts w:hint="eastAsia" w:ascii="宋体" w:hAnsi="宋体"/>
          <w:color w:val="auto"/>
          <w:sz w:val="28"/>
          <w:szCs w:val="28"/>
          <w:highlight w:val="none"/>
        </w:rPr>
        <w:t>法定代表人：                           法定代表人：</w:t>
      </w:r>
    </w:p>
    <w:p>
      <w:pPr>
        <w:tabs>
          <w:tab w:val="left" w:pos="5460"/>
        </w:tabs>
        <w:adjustRightInd w:val="0"/>
        <w:snapToGrid w:val="0"/>
        <w:spacing w:line="360" w:lineRule="auto"/>
        <w:ind w:left="-2" w:leftChars="-1" w:right="11"/>
        <w:rPr>
          <w:rFonts w:hint="eastAsia" w:ascii="宋体" w:hAnsi="宋体"/>
          <w:color w:val="auto"/>
          <w:sz w:val="28"/>
          <w:szCs w:val="28"/>
          <w:highlight w:val="none"/>
        </w:rPr>
      </w:pPr>
    </w:p>
    <w:p>
      <w:pPr>
        <w:tabs>
          <w:tab w:val="left" w:pos="5460"/>
        </w:tabs>
        <w:adjustRightInd w:val="0"/>
        <w:snapToGrid w:val="0"/>
        <w:spacing w:line="360" w:lineRule="auto"/>
        <w:ind w:left="-2" w:leftChars="-1" w:right="11"/>
        <w:rPr>
          <w:rFonts w:hint="eastAsia" w:ascii="宋体" w:hAnsi="宋体"/>
          <w:color w:val="auto"/>
          <w:sz w:val="28"/>
          <w:szCs w:val="28"/>
          <w:highlight w:val="none"/>
        </w:rPr>
      </w:pPr>
      <w:r>
        <w:rPr>
          <w:rFonts w:hint="eastAsia" w:ascii="宋体" w:hAnsi="宋体"/>
          <w:color w:val="auto"/>
          <w:sz w:val="28"/>
          <w:szCs w:val="28"/>
          <w:highlight w:val="none"/>
        </w:rPr>
        <w:t>委托代理人：                           委托代理人：</w:t>
      </w:r>
    </w:p>
    <w:p>
      <w:pPr>
        <w:tabs>
          <w:tab w:val="left" w:pos="5460"/>
        </w:tabs>
        <w:adjustRightInd w:val="0"/>
        <w:snapToGrid w:val="0"/>
        <w:spacing w:line="400" w:lineRule="exact"/>
        <w:ind w:left="-2" w:leftChars="-1" w:right="11"/>
        <w:rPr>
          <w:rFonts w:hint="eastAsia" w:ascii="宋体" w:hAnsi="宋体"/>
          <w:color w:val="auto"/>
          <w:sz w:val="28"/>
          <w:szCs w:val="28"/>
          <w:highlight w:val="none"/>
        </w:rPr>
      </w:pPr>
    </w:p>
    <w:p>
      <w:pPr>
        <w:tabs>
          <w:tab w:val="left" w:pos="5460"/>
        </w:tabs>
        <w:adjustRightInd w:val="0"/>
        <w:snapToGrid w:val="0"/>
        <w:spacing w:line="400" w:lineRule="exact"/>
        <w:ind w:left="-2" w:leftChars="-1" w:right="11"/>
        <w:rPr>
          <w:rFonts w:hint="eastAsia" w:ascii="宋体" w:hAnsi="宋体"/>
          <w:color w:val="auto"/>
          <w:sz w:val="28"/>
          <w:szCs w:val="28"/>
          <w:highlight w:val="none"/>
        </w:rPr>
      </w:pPr>
      <w:r>
        <w:rPr>
          <w:rFonts w:hint="eastAsia" w:ascii="宋体" w:hAnsi="宋体"/>
          <w:color w:val="auto"/>
          <w:sz w:val="28"/>
          <w:szCs w:val="28"/>
          <w:highlight w:val="none"/>
        </w:rPr>
        <w:t xml:space="preserve">签约日期：                               签约日期： </w:t>
      </w:r>
    </w:p>
    <w:p>
      <w:pPr>
        <w:spacing w:line="400" w:lineRule="exact"/>
        <w:rPr>
          <w:rFonts w:hint="eastAsia" w:ascii="宋体" w:hAnsi="宋体"/>
          <w:bCs/>
          <w:color w:val="auto"/>
          <w:sz w:val="28"/>
          <w:szCs w:val="28"/>
          <w:highlight w:val="none"/>
        </w:rPr>
      </w:pPr>
      <w:r>
        <w:rPr>
          <w:rFonts w:hint="eastAsia" w:ascii="宋体" w:hAnsi="宋体"/>
          <w:color w:val="auto"/>
          <w:sz w:val="28"/>
          <w:szCs w:val="28"/>
          <w:highlight w:val="none"/>
        </w:rPr>
        <w:t>签约地点：广东省广州市黄埔区。</w:t>
      </w:r>
    </w:p>
    <w:p>
      <w:pPr>
        <w:spacing w:line="520" w:lineRule="exact"/>
        <w:rPr>
          <w:rFonts w:hint="eastAsia" w:ascii="宋体" w:hAnsi="宋体"/>
          <w:b/>
          <w:color w:val="auto"/>
          <w:sz w:val="28"/>
          <w:szCs w:val="28"/>
          <w:highlight w:val="none"/>
        </w:rPr>
      </w:pPr>
    </w:p>
    <w:p>
      <w:pPr>
        <w:spacing w:line="520" w:lineRule="exact"/>
        <w:rPr>
          <w:rFonts w:hint="eastAsia" w:ascii="宋体" w:hAnsi="宋体"/>
          <w:b/>
          <w:color w:val="auto"/>
          <w:sz w:val="28"/>
          <w:szCs w:val="28"/>
          <w:highlight w:val="none"/>
        </w:rPr>
      </w:pPr>
      <w:r>
        <w:rPr>
          <w:rFonts w:hint="eastAsia" w:ascii="宋体" w:hAnsi="宋体"/>
          <w:b/>
          <w:color w:val="auto"/>
          <w:sz w:val="28"/>
          <w:szCs w:val="28"/>
          <w:highlight w:val="none"/>
        </w:rPr>
        <w:t>附件4：</w:t>
      </w:r>
    </w:p>
    <w:p>
      <w:pPr>
        <w:spacing w:line="5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安全责任书</w:t>
      </w:r>
    </w:p>
    <w:p>
      <w:pPr>
        <w:spacing w:line="520" w:lineRule="exact"/>
        <w:jc w:val="center"/>
        <w:rPr>
          <w:rFonts w:hint="eastAsia" w:ascii="宋体" w:hAnsi="宋体"/>
          <w:b/>
          <w:color w:val="auto"/>
          <w:sz w:val="28"/>
          <w:szCs w:val="28"/>
          <w:highlight w:val="none"/>
        </w:rPr>
      </w:pPr>
    </w:p>
    <w:p>
      <w:pPr>
        <w:adjustRightInd w:val="0"/>
        <w:snapToGrid w:val="0"/>
        <w:spacing w:line="520" w:lineRule="exact"/>
        <w:ind w:firstLine="280" w:firstLineChars="100"/>
        <w:jc w:val="left"/>
        <w:rPr>
          <w:rFonts w:hint="eastAsia" w:ascii="宋体" w:hAnsi="宋体"/>
          <w:color w:val="auto"/>
          <w:sz w:val="28"/>
          <w:szCs w:val="28"/>
          <w:highlight w:val="none"/>
          <w:u w:val="single"/>
        </w:rPr>
      </w:pPr>
      <w:r>
        <w:rPr>
          <w:rFonts w:hint="eastAsia" w:ascii="宋体" w:hAnsi="宋体"/>
          <w:bCs/>
          <w:snapToGrid w:val="0"/>
          <w:color w:val="auto"/>
          <w:kern w:val="0"/>
          <w:sz w:val="28"/>
          <w:szCs w:val="28"/>
          <w:highlight w:val="none"/>
        </w:rPr>
        <w:t>发包人：（全称）：</w:t>
      </w:r>
      <w:r>
        <w:rPr>
          <w:rFonts w:hint="eastAsia" w:ascii="宋体" w:hAnsi="宋体"/>
          <w:color w:val="auto"/>
          <w:sz w:val="28"/>
          <w:szCs w:val="28"/>
          <w:highlight w:val="none"/>
          <w:u w:val="single"/>
        </w:rPr>
        <w:t xml:space="preserve">                                </w:t>
      </w:r>
    </w:p>
    <w:p>
      <w:pPr>
        <w:adjustRightInd w:val="0"/>
        <w:snapToGrid w:val="0"/>
        <w:spacing w:line="520" w:lineRule="exact"/>
        <w:ind w:firstLine="280" w:firstLineChars="10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承包人：（全称）：</w:t>
      </w:r>
      <w:r>
        <w:rPr>
          <w:rFonts w:hint="eastAsia" w:ascii="宋体" w:hAnsi="宋体"/>
          <w:color w:val="auto"/>
          <w:sz w:val="28"/>
          <w:szCs w:val="28"/>
          <w:highlight w:val="none"/>
          <w:u w:val="single"/>
        </w:rPr>
        <w:t xml:space="preserve">                               </w:t>
      </w:r>
    </w:p>
    <w:p>
      <w:pPr>
        <w:spacing w:line="520" w:lineRule="exact"/>
        <w:ind w:firstLine="490"/>
        <w:rPr>
          <w:rFonts w:hint="eastAsia" w:ascii="宋体" w:hAnsi="宋体"/>
          <w:bCs/>
          <w:color w:val="auto"/>
          <w:sz w:val="28"/>
          <w:szCs w:val="28"/>
          <w:highlight w:val="none"/>
        </w:rPr>
      </w:pPr>
      <w:r>
        <w:rPr>
          <w:rFonts w:hint="eastAsia" w:ascii="宋体" w:hAnsi="宋体"/>
          <w:bCs/>
          <w:snapToGrid w:val="0"/>
          <w:color w:val="auto"/>
          <w:kern w:val="0"/>
          <w:sz w:val="28"/>
          <w:szCs w:val="28"/>
          <w:highlight w:val="none"/>
        </w:rPr>
        <w:t xml:space="preserve">    为在</w:t>
      </w:r>
      <w:r>
        <w:rPr>
          <w:rFonts w:hint="eastAsia" w:ascii="宋体" w:hAnsi="宋体"/>
          <w:bCs/>
          <w:snapToGrid w:val="0"/>
          <w:color w:val="auto"/>
          <w:kern w:val="0"/>
          <w:sz w:val="28"/>
          <w:szCs w:val="28"/>
          <w:highlight w:val="none"/>
          <w:u w:val="single"/>
        </w:rPr>
        <w:t xml:space="preserve">                 </w:t>
      </w:r>
      <w:r>
        <w:rPr>
          <w:rFonts w:hint="eastAsia" w:ascii="宋体" w:hAnsi="宋体"/>
          <w:bCs/>
          <w:snapToGrid w:val="0"/>
          <w:color w:val="auto"/>
          <w:kern w:val="0"/>
          <w:sz w:val="28"/>
          <w:szCs w:val="28"/>
          <w:highlight w:val="none"/>
        </w:rPr>
        <w:t>项目合同的实施过程中创造安全、高效的施工环境，切实搞好本项目的安全管理工作，本项目发包人</w:t>
      </w:r>
      <w:r>
        <w:rPr>
          <w:rFonts w:hint="eastAsia" w:ascii="宋体" w:hAnsi="宋体"/>
          <w:color w:val="auto"/>
          <w:sz w:val="28"/>
          <w:szCs w:val="28"/>
          <w:highlight w:val="none"/>
          <w:u w:val="single"/>
        </w:rPr>
        <w:t xml:space="preserve">        </w:t>
      </w:r>
      <w:r>
        <w:rPr>
          <w:rFonts w:hint="eastAsia" w:ascii="宋体" w:hAnsi="宋体"/>
          <w:bCs/>
          <w:snapToGrid w:val="0"/>
          <w:color w:val="auto"/>
          <w:kern w:val="0"/>
          <w:sz w:val="28"/>
          <w:szCs w:val="28"/>
          <w:highlight w:val="none"/>
        </w:rPr>
        <w:t>（以下简称“发包人”）与承包人</w:t>
      </w:r>
      <w:r>
        <w:rPr>
          <w:rFonts w:hint="eastAsia" w:ascii="宋体" w:hAnsi="宋体"/>
          <w:color w:val="auto"/>
          <w:sz w:val="28"/>
          <w:szCs w:val="28"/>
          <w:highlight w:val="none"/>
          <w:u w:val="single"/>
        </w:rPr>
        <w:t xml:space="preserve">           </w:t>
      </w:r>
      <w:r>
        <w:rPr>
          <w:rFonts w:hint="eastAsia" w:ascii="宋体" w:hAnsi="宋体"/>
          <w:bCs/>
          <w:snapToGrid w:val="0"/>
          <w:color w:val="auto"/>
          <w:kern w:val="0"/>
          <w:sz w:val="28"/>
          <w:szCs w:val="28"/>
          <w:highlight w:val="none"/>
        </w:rPr>
        <w:t>（以下简称“承包人”），特此签订安全生产合同：</w:t>
      </w:r>
    </w:p>
    <w:p>
      <w:pPr>
        <w:adjustRightInd w:val="0"/>
        <w:snapToGrid w:val="0"/>
        <w:spacing w:line="520" w:lineRule="exact"/>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 xml:space="preserve">     一、发包人职责</w:t>
      </w:r>
    </w:p>
    <w:p>
      <w:pPr>
        <w:adjustRightInd w:val="0"/>
        <w:snapToGrid w:val="0"/>
        <w:spacing w:line="520" w:lineRule="exact"/>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 xml:space="preserve">      1.   严格遵守国家有关安全生产的法律法规，认真执行工程承包合同中的有关安全要求。</w:t>
      </w:r>
    </w:p>
    <w:p>
      <w:pPr>
        <w:adjustRightInd w:val="0"/>
        <w:snapToGrid w:val="0"/>
        <w:spacing w:line="520" w:lineRule="exact"/>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 xml:space="preserve">      2.   按照</w:t>
      </w:r>
      <w:r>
        <w:rPr>
          <w:rFonts w:ascii="宋体" w:hAnsi="宋体"/>
          <w:bCs/>
          <w:snapToGrid w:val="0"/>
          <w:color w:val="auto"/>
          <w:kern w:val="0"/>
          <w:sz w:val="28"/>
          <w:szCs w:val="28"/>
          <w:highlight w:val="none"/>
        </w:rPr>
        <w:t>“</w:t>
      </w:r>
      <w:r>
        <w:rPr>
          <w:rFonts w:hint="eastAsia" w:ascii="宋体" w:hAnsi="宋体"/>
          <w:bCs/>
          <w:snapToGrid w:val="0"/>
          <w:color w:val="auto"/>
          <w:kern w:val="0"/>
          <w:sz w:val="28"/>
          <w:szCs w:val="28"/>
          <w:highlight w:val="none"/>
        </w:rPr>
        <w:t>安全第一、预防为主”和坚持“管生产必须管安全”的原则进行安全生产管理，做到生产和安全工作同时计划、布置、检查、总结和评比。</w:t>
      </w:r>
    </w:p>
    <w:p>
      <w:pPr>
        <w:adjustRightInd w:val="0"/>
        <w:snapToGrid w:val="0"/>
        <w:spacing w:line="520" w:lineRule="exact"/>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 xml:space="preserve">      3.   重要的安全设施必须坚持与主体工程“三同时”的原则，即：同时设计、审批；同时施工；同时验收，投入使用。</w:t>
      </w:r>
    </w:p>
    <w:p>
      <w:pPr>
        <w:adjustRightInd w:val="0"/>
        <w:snapToGrid w:val="0"/>
        <w:spacing w:line="520" w:lineRule="exact"/>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 xml:space="preserve">      4.   定期召开安全生产调度会，及时转达中央及地方有关安全生产的精神。</w:t>
      </w:r>
    </w:p>
    <w:p>
      <w:pPr>
        <w:adjustRightInd w:val="0"/>
        <w:snapToGrid w:val="0"/>
        <w:spacing w:line="520" w:lineRule="exact"/>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 xml:space="preserve">      5.   组织对承包人施工现场安全生产检查，监督承包人及时处理发现的各种安全隐患。</w:t>
      </w:r>
    </w:p>
    <w:p>
      <w:pPr>
        <w:adjustRightInd w:val="0"/>
        <w:snapToGrid w:val="0"/>
        <w:spacing w:line="520" w:lineRule="exact"/>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 xml:space="preserve">     二、承包人职责</w:t>
      </w:r>
    </w:p>
    <w:p>
      <w:pPr>
        <w:adjustRightInd w:val="0"/>
        <w:snapToGrid w:val="0"/>
        <w:spacing w:line="520" w:lineRule="exact"/>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 xml:space="preserve">      1.  严格遵守国家有关安全生产的法律法规，认真执行工程承包合同中的有关安全要求。</w:t>
      </w:r>
    </w:p>
    <w:p>
      <w:pPr>
        <w:adjustRightInd w:val="0"/>
        <w:snapToGrid w:val="0"/>
        <w:spacing w:line="520" w:lineRule="exact"/>
        <w:ind w:firstLine="840" w:firstLineChars="30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2.  坚持</w:t>
      </w:r>
      <w:r>
        <w:rPr>
          <w:rFonts w:ascii="宋体" w:hAnsi="宋体"/>
          <w:bCs/>
          <w:snapToGrid w:val="0"/>
          <w:color w:val="auto"/>
          <w:kern w:val="0"/>
          <w:sz w:val="28"/>
          <w:szCs w:val="28"/>
          <w:highlight w:val="none"/>
        </w:rPr>
        <w:t>“</w:t>
      </w:r>
      <w:r>
        <w:rPr>
          <w:rFonts w:hint="eastAsia" w:ascii="宋体" w:hAnsi="宋体"/>
          <w:bCs/>
          <w:snapToGrid w:val="0"/>
          <w:color w:val="auto"/>
          <w:kern w:val="0"/>
          <w:sz w:val="28"/>
          <w:szCs w:val="28"/>
          <w:highlight w:val="none"/>
        </w:rPr>
        <w:t>安全第一、预防为主”和坚持“管生产必须管安全”的原则,加强安全生产宣传教育,增强全员安全生产意识,建立健全各项安全生产的管理规则和安全生产制度,配备专职及兼职安全检查人员,有组织在领导地开展安全生产活动.各级领导、工程技术人员、生产管理人员和具体操作人员，必须熟悉和遵守本条款的各项规定，做到生产与安全工作同时计划、布置、检查、总结和评比。</w:t>
      </w:r>
    </w:p>
    <w:p>
      <w:pPr>
        <w:adjustRightInd w:val="0"/>
        <w:snapToGrid w:val="0"/>
        <w:spacing w:line="520" w:lineRule="exact"/>
        <w:ind w:firstLine="840" w:firstLineChars="30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3.  建立健全安全生产责任制，从派住项目实施的项目经理到生产工人（包括临时雇请的民工）的安全生产管理系统必须做到纵向到底，一环不漏；各职能部门、人员的安全生产责任制做到横向到位，人人有责，项目经理是安全生产的第一责任人。现场设置的安全机构：应按施工人员的1%—3%配备安全员，专职负责所有的安全和治安保卫工作及预防事故的发生。安全机构人员，在权按有关规定发布指令，并采取保护性措施防止事故发生。</w:t>
      </w:r>
    </w:p>
    <w:p>
      <w:pPr>
        <w:adjustRightInd w:val="0"/>
        <w:snapToGrid w:val="0"/>
        <w:spacing w:line="520" w:lineRule="exact"/>
        <w:ind w:firstLine="840" w:firstLineChars="30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4.  承包人在任何时候都应采取各种合理的预防措施，防止其员工发生各种违法、违禁、暴力或妨碍治安的行为。</w:t>
      </w:r>
    </w:p>
    <w:p>
      <w:pPr>
        <w:adjustRightInd w:val="0"/>
        <w:snapToGrid w:val="0"/>
        <w:spacing w:line="520" w:lineRule="exact"/>
        <w:ind w:firstLine="840" w:firstLineChars="30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5.  承包人必须具有劳动安全管理部门颁发的安全生产证书，参加施工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项目经理必须承担管理责任。</w:t>
      </w:r>
    </w:p>
    <w:p>
      <w:pPr>
        <w:adjustRightInd w:val="0"/>
        <w:snapToGrid w:val="0"/>
        <w:spacing w:line="520" w:lineRule="exact"/>
        <w:ind w:firstLine="840" w:firstLineChars="30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6.  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p>
    <w:p>
      <w:pPr>
        <w:adjustRightInd w:val="0"/>
        <w:snapToGrid w:val="0"/>
        <w:spacing w:line="520" w:lineRule="exact"/>
        <w:ind w:firstLine="840" w:firstLineChars="30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7.  操作人员上岗，必须按规定穿戴防护用品。施工负责人和安全检查员应随时检查劳动防护用品的穿戴情况，不按规定穿戴防护用品的人员不得上岗。</w:t>
      </w:r>
    </w:p>
    <w:p>
      <w:pPr>
        <w:adjustRightInd w:val="0"/>
        <w:snapToGrid w:val="0"/>
        <w:spacing w:line="520" w:lineRule="exact"/>
        <w:ind w:firstLine="840" w:firstLineChars="30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8.  所有施工机具设备和高空作业的设备均应定期检查，并有安全员的签名记录，保证其经常处于完好状态，不合格的机具、设备和劳动保护用品严禁使用。</w:t>
      </w:r>
    </w:p>
    <w:p>
      <w:pPr>
        <w:adjustRightInd w:val="0"/>
        <w:snapToGrid w:val="0"/>
        <w:spacing w:line="520" w:lineRule="exact"/>
        <w:ind w:firstLine="840" w:firstLineChars="30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9.  施工中采用新技术、新工艺、新设备、新材料进，必须制定相应的安全技术措施，施工现场必须具有相关的安全标志牌。</w:t>
      </w:r>
    </w:p>
    <w:p>
      <w:pPr>
        <w:adjustRightInd w:val="0"/>
        <w:snapToGrid w:val="0"/>
        <w:spacing w:line="520" w:lineRule="exact"/>
        <w:ind w:firstLine="840" w:firstLineChars="30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10.  承包人必须按照本工程项目特点，组织制定本工程实施中的生产安全事故应急求援预案；如果发生安全事故，即按照《国务院关于特大安全事故行政责任追究的规定》以及其它有关规定，及进上报有关部门，并坚持“三不放过”的原则，严格处理相关责任人。</w:t>
      </w:r>
    </w:p>
    <w:p>
      <w:pPr>
        <w:adjustRightInd w:val="0"/>
        <w:snapToGrid w:val="0"/>
        <w:spacing w:line="520" w:lineRule="exact"/>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 xml:space="preserve">  三、违约责任</w:t>
      </w:r>
    </w:p>
    <w:p>
      <w:pPr>
        <w:adjustRightInd w:val="0"/>
        <w:snapToGrid w:val="0"/>
        <w:spacing w:line="520" w:lineRule="exact"/>
        <w:ind w:firstLine="48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如因发包人或承包人违约造成安全事故，将依法追究责任。</w:t>
      </w:r>
    </w:p>
    <w:p>
      <w:pPr>
        <w:adjustRightInd w:val="0"/>
        <w:snapToGrid w:val="0"/>
        <w:spacing w:line="520" w:lineRule="exact"/>
        <w:ind w:firstLine="48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本合同由双方法定代表人签署加盖公章后生效，全部工程竣工验收后失效。</w:t>
      </w:r>
    </w:p>
    <w:p>
      <w:pPr>
        <w:adjustRightInd w:val="0"/>
        <w:snapToGrid w:val="0"/>
        <w:spacing w:line="520" w:lineRule="exact"/>
        <w:ind w:firstLine="480"/>
        <w:jc w:val="left"/>
        <w:rPr>
          <w:rFonts w:hint="eastAsia" w:ascii="宋体" w:hAnsi="宋体"/>
          <w:bCs/>
          <w:snapToGrid w:val="0"/>
          <w:color w:val="auto"/>
          <w:kern w:val="0"/>
          <w:sz w:val="28"/>
          <w:szCs w:val="28"/>
          <w:highlight w:val="none"/>
        </w:rPr>
      </w:pPr>
    </w:p>
    <w:p>
      <w:pPr>
        <w:adjustRightInd w:val="0"/>
        <w:snapToGrid w:val="0"/>
        <w:spacing w:line="520" w:lineRule="exact"/>
        <w:ind w:firstLine="480"/>
        <w:jc w:val="left"/>
        <w:rPr>
          <w:rFonts w:hint="eastAsia" w:ascii="宋体" w:hAnsi="宋体"/>
          <w:bCs/>
          <w:snapToGrid w:val="0"/>
          <w:color w:val="auto"/>
          <w:kern w:val="0"/>
          <w:sz w:val="28"/>
          <w:szCs w:val="28"/>
          <w:highlight w:val="none"/>
        </w:rPr>
      </w:pPr>
    </w:p>
    <w:p>
      <w:pPr>
        <w:adjustRightInd w:val="0"/>
        <w:snapToGrid w:val="0"/>
        <w:spacing w:line="520" w:lineRule="exact"/>
        <w:ind w:firstLine="48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发包人（公章）：</w:t>
      </w:r>
    </w:p>
    <w:p>
      <w:pPr>
        <w:adjustRightInd w:val="0"/>
        <w:snapToGrid w:val="0"/>
        <w:spacing w:line="520" w:lineRule="exact"/>
        <w:ind w:firstLine="480"/>
        <w:jc w:val="left"/>
        <w:rPr>
          <w:rFonts w:hint="eastAsia" w:ascii="宋体" w:hAnsi="宋体"/>
          <w:bCs/>
          <w:snapToGrid w:val="0"/>
          <w:color w:val="auto"/>
          <w:kern w:val="0"/>
          <w:sz w:val="28"/>
          <w:szCs w:val="28"/>
          <w:highlight w:val="none"/>
        </w:rPr>
      </w:pPr>
    </w:p>
    <w:p>
      <w:pPr>
        <w:adjustRightInd w:val="0"/>
        <w:snapToGrid w:val="0"/>
        <w:spacing w:line="520" w:lineRule="exact"/>
        <w:ind w:firstLine="48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法定代表人或授权代理人（签章）：</w:t>
      </w:r>
    </w:p>
    <w:p>
      <w:pPr>
        <w:adjustRightInd w:val="0"/>
        <w:snapToGrid w:val="0"/>
        <w:spacing w:line="520" w:lineRule="exact"/>
        <w:ind w:firstLine="480"/>
        <w:jc w:val="left"/>
        <w:rPr>
          <w:rFonts w:hint="eastAsia" w:ascii="宋体" w:hAnsi="宋体"/>
          <w:bCs/>
          <w:snapToGrid w:val="0"/>
          <w:color w:val="auto"/>
          <w:kern w:val="0"/>
          <w:sz w:val="28"/>
          <w:szCs w:val="28"/>
          <w:highlight w:val="none"/>
        </w:rPr>
      </w:pPr>
    </w:p>
    <w:p>
      <w:pPr>
        <w:adjustRightInd w:val="0"/>
        <w:snapToGrid w:val="0"/>
        <w:spacing w:line="520" w:lineRule="exact"/>
        <w:ind w:firstLine="48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 xml:space="preserve">                                           年   月  日</w:t>
      </w:r>
    </w:p>
    <w:p>
      <w:pPr>
        <w:adjustRightInd w:val="0"/>
        <w:snapToGrid w:val="0"/>
        <w:spacing w:line="520" w:lineRule="exact"/>
        <w:jc w:val="left"/>
        <w:rPr>
          <w:rFonts w:hint="eastAsia" w:ascii="宋体" w:hAnsi="宋体"/>
          <w:bCs/>
          <w:snapToGrid w:val="0"/>
          <w:color w:val="auto"/>
          <w:kern w:val="0"/>
          <w:sz w:val="28"/>
          <w:szCs w:val="28"/>
          <w:highlight w:val="none"/>
        </w:rPr>
      </w:pPr>
    </w:p>
    <w:p>
      <w:pPr>
        <w:adjustRightInd w:val="0"/>
        <w:snapToGrid w:val="0"/>
        <w:spacing w:line="520" w:lineRule="exact"/>
        <w:ind w:firstLine="420" w:firstLineChars="15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承包人（公章）：</w:t>
      </w:r>
    </w:p>
    <w:p>
      <w:pPr>
        <w:adjustRightInd w:val="0"/>
        <w:snapToGrid w:val="0"/>
        <w:spacing w:line="520" w:lineRule="exact"/>
        <w:ind w:firstLine="560" w:firstLineChars="200"/>
        <w:jc w:val="left"/>
        <w:rPr>
          <w:rFonts w:hint="eastAsia" w:ascii="宋体" w:hAnsi="宋体"/>
          <w:bCs/>
          <w:snapToGrid w:val="0"/>
          <w:color w:val="auto"/>
          <w:kern w:val="0"/>
          <w:sz w:val="28"/>
          <w:szCs w:val="28"/>
          <w:highlight w:val="none"/>
        </w:rPr>
      </w:pPr>
    </w:p>
    <w:p>
      <w:pPr>
        <w:adjustRightInd w:val="0"/>
        <w:snapToGrid w:val="0"/>
        <w:spacing w:line="520" w:lineRule="exact"/>
        <w:ind w:firstLine="48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法定代表人或授权代理人（签章）：</w:t>
      </w:r>
    </w:p>
    <w:p>
      <w:pPr>
        <w:adjustRightInd w:val="0"/>
        <w:snapToGrid w:val="0"/>
        <w:spacing w:line="520" w:lineRule="exact"/>
        <w:jc w:val="left"/>
        <w:rPr>
          <w:rFonts w:hint="eastAsia" w:ascii="宋体" w:hAnsi="宋体"/>
          <w:bCs/>
          <w:snapToGrid w:val="0"/>
          <w:color w:val="auto"/>
          <w:kern w:val="0"/>
          <w:sz w:val="28"/>
          <w:szCs w:val="28"/>
          <w:highlight w:val="none"/>
        </w:rPr>
      </w:pPr>
    </w:p>
    <w:p>
      <w:pPr>
        <w:adjustRightInd w:val="0"/>
        <w:snapToGrid w:val="0"/>
        <w:spacing w:line="520" w:lineRule="exact"/>
        <w:ind w:firstLine="6440" w:firstLineChars="2300"/>
        <w:jc w:val="left"/>
        <w:rPr>
          <w:rFonts w:hint="eastAsia" w:ascii="宋体" w:hAnsi="宋体"/>
          <w:bCs/>
          <w:snapToGrid w:val="0"/>
          <w:color w:val="auto"/>
          <w:kern w:val="0"/>
          <w:sz w:val="28"/>
          <w:szCs w:val="28"/>
          <w:highlight w:val="none"/>
        </w:rPr>
      </w:pPr>
      <w:r>
        <w:rPr>
          <w:rFonts w:hint="eastAsia" w:ascii="宋体" w:hAnsi="宋体"/>
          <w:bCs/>
          <w:snapToGrid w:val="0"/>
          <w:color w:val="auto"/>
          <w:kern w:val="0"/>
          <w:sz w:val="28"/>
          <w:szCs w:val="28"/>
          <w:highlight w:val="none"/>
        </w:rPr>
        <w:t xml:space="preserve">   年  月 日</w:t>
      </w:r>
    </w:p>
    <w:p>
      <w:pPr>
        <w:rPr>
          <w:rFonts w:hint="eastAsia" w:ascii="宋体" w:hAnsi="宋体"/>
          <w:color w:val="auto"/>
          <w:sz w:val="28"/>
          <w:szCs w:val="28"/>
          <w:highlight w:val="none"/>
        </w:rPr>
      </w:pPr>
    </w:p>
    <w:p>
      <w:pPr>
        <w:spacing w:line="520" w:lineRule="exact"/>
        <w:rPr>
          <w:rFonts w:ascii="宋体" w:hAnsi="宋体"/>
          <w:color w:val="auto"/>
          <w:sz w:val="28"/>
          <w:szCs w:val="28"/>
          <w:highlight w:val="none"/>
        </w:rPr>
      </w:pPr>
    </w:p>
    <w:p>
      <w:pPr>
        <w:spacing w:line="520" w:lineRule="exact"/>
        <w:rPr>
          <w:rFonts w:hint="eastAsia" w:ascii="宋体" w:hAnsi="宋体"/>
          <w:color w:val="auto"/>
          <w:sz w:val="21"/>
          <w:szCs w:val="21"/>
          <w:highlight w:val="none"/>
        </w:rPr>
      </w:pPr>
      <w:bookmarkStart w:id="25" w:name="_Hlk107913185"/>
      <w:r>
        <w:rPr>
          <w:rFonts w:hint="eastAsia" w:ascii="宋体" w:hAnsi="宋体"/>
          <w:color w:val="auto"/>
          <w:sz w:val="21"/>
          <w:szCs w:val="21"/>
          <w:highlight w:val="none"/>
        </w:rPr>
        <w:t>附件6：拟投入本工程施工的主要机械设备配备表</w:t>
      </w:r>
    </w:p>
    <w:bookmarkEnd w:id="25"/>
    <w:p>
      <w:pPr>
        <w:pStyle w:val="306"/>
        <w:adjustRightInd w:val="0"/>
        <w:snapToGrid w:val="0"/>
        <w:spacing w:line="400" w:lineRule="exact"/>
        <w:rPr>
          <w:rFonts w:hint="eastAsia" w:hAnsi="宋体" w:eastAsia="仿宋_GB2312"/>
          <w:color w:val="auto"/>
          <w:sz w:val="28"/>
          <w:szCs w:val="28"/>
          <w:highlight w:val="none"/>
        </w:rPr>
      </w:pPr>
    </w:p>
    <w:p>
      <w:pPr>
        <w:pStyle w:val="2"/>
        <w:rPr>
          <w:rFonts w:hint="eastAsia"/>
          <w:color w:val="auto"/>
          <w:highlight w:val="none"/>
        </w:rPr>
      </w:pPr>
    </w:p>
    <w:p>
      <w:pPr>
        <w:pStyle w:val="48"/>
        <w:spacing w:line="360" w:lineRule="auto"/>
        <w:rPr>
          <w:rFonts w:hint="eastAsia" w:ascii="宋体" w:hAnsi="宋体" w:cs="宋体"/>
          <w:color w:val="auto"/>
          <w:sz w:val="24"/>
          <w:szCs w:val="24"/>
          <w:highlight w:val="none"/>
        </w:rPr>
      </w:pPr>
    </w:p>
    <w:p>
      <w:pPr>
        <w:pStyle w:val="48"/>
        <w:spacing w:line="360" w:lineRule="auto"/>
        <w:rPr>
          <w:rFonts w:hint="eastAsia" w:ascii="宋体" w:hAnsi="宋体" w:cs="宋体"/>
          <w:color w:val="auto"/>
          <w:sz w:val="24"/>
          <w:szCs w:val="24"/>
          <w:highlight w:val="none"/>
        </w:rPr>
      </w:pPr>
    </w:p>
    <w:p>
      <w:pPr>
        <w:pStyle w:val="48"/>
        <w:spacing w:line="360" w:lineRule="auto"/>
        <w:rPr>
          <w:rFonts w:hint="eastAsia" w:ascii="宋体" w:hAnsi="宋体" w:cs="宋体"/>
          <w:color w:val="auto"/>
          <w:sz w:val="24"/>
          <w:szCs w:val="24"/>
          <w:highlight w:val="none"/>
        </w:rPr>
      </w:pPr>
    </w:p>
    <w:p>
      <w:pPr>
        <w:pStyle w:val="48"/>
        <w:spacing w:line="360" w:lineRule="auto"/>
        <w:rPr>
          <w:rFonts w:hint="eastAsia" w:ascii="宋体" w:hAnsi="宋体" w:cs="宋体"/>
          <w:color w:val="auto"/>
          <w:sz w:val="24"/>
          <w:szCs w:val="24"/>
          <w:highlight w:val="none"/>
        </w:rPr>
      </w:pPr>
    </w:p>
    <w:p>
      <w:pPr>
        <w:pStyle w:val="48"/>
        <w:spacing w:line="360" w:lineRule="auto"/>
        <w:rPr>
          <w:rFonts w:hint="eastAsia" w:ascii="宋体" w:hAnsi="宋体" w:cs="宋体"/>
          <w:color w:val="auto"/>
          <w:sz w:val="24"/>
          <w:szCs w:val="24"/>
          <w:highlight w:val="none"/>
        </w:rPr>
      </w:pPr>
    </w:p>
    <w:p>
      <w:pPr>
        <w:pStyle w:val="48"/>
        <w:spacing w:line="360" w:lineRule="auto"/>
        <w:rPr>
          <w:rFonts w:hint="eastAsia" w:ascii="宋体" w:hAnsi="宋体" w:cs="宋体"/>
          <w:color w:val="auto"/>
          <w:sz w:val="24"/>
          <w:szCs w:val="24"/>
          <w:highlight w:val="none"/>
        </w:rPr>
      </w:pPr>
    </w:p>
    <w:p>
      <w:pPr>
        <w:pStyle w:val="48"/>
        <w:spacing w:line="360" w:lineRule="auto"/>
        <w:rPr>
          <w:rFonts w:hint="eastAsia" w:ascii="宋体" w:hAnsi="宋体" w:cs="宋体"/>
          <w:color w:val="auto"/>
          <w:sz w:val="24"/>
          <w:szCs w:val="24"/>
          <w:highlight w:val="none"/>
        </w:rPr>
      </w:pPr>
    </w:p>
    <w:p>
      <w:pPr>
        <w:pStyle w:val="48"/>
        <w:spacing w:line="360" w:lineRule="auto"/>
        <w:rPr>
          <w:rFonts w:hint="eastAsia" w:ascii="宋体" w:hAnsi="宋体" w:cs="宋体"/>
          <w:color w:val="auto"/>
          <w:sz w:val="24"/>
          <w:szCs w:val="24"/>
          <w:highlight w:val="none"/>
        </w:rPr>
      </w:pPr>
    </w:p>
    <w:p>
      <w:pPr>
        <w:pStyle w:val="48"/>
        <w:spacing w:line="360" w:lineRule="auto"/>
        <w:rPr>
          <w:rFonts w:hint="eastAsia" w:ascii="宋体" w:hAnsi="宋体" w:cs="宋体"/>
          <w:color w:val="auto"/>
          <w:sz w:val="24"/>
          <w:szCs w:val="24"/>
          <w:highlight w:val="none"/>
        </w:rPr>
      </w:pPr>
    </w:p>
    <w:p>
      <w:pPr>
        <w:pStyle w:val="48"/>
        <w:spacing w:line="360" w:lineRule="auto"/>
        <w:rPr>
          <w:rFonts w:hint="eastAsia" w:ascii="宋体" w:hAnsi="宋体" w:cs="宋体"/>
          <w:color w:val="auto"/>
          <w:sz w:val="24"/>
          <w:szCs w:val="24"/>
          <w:highlight w:val="none"/>
        </w:rPr>
      </w:pPr>
    </w:p>
    <w:p>
      <w:pPr>
        <w:pStyle w:val="48"/>
        <w:spacing w:line="360" w:lineRule="auto"/>
        <w:rPr>
          <w:rFonts w:hint="eastAsia" w:ascii="宋体" w:hAnsi="宋体" w:cs="宋体"/>
          <w:color w:val="auto"/>
          <w:sz w:val="24"/>
          <w:szCs w:val="24"/>
          <w:highlight w:val="none"/>
        </w:rPr>
      </w:pPr>
    </w:p>
    <w:p>
      <w:pPr>
        <w:pStyle w:val="48"/>
        <w:spacing w:line="360" w:lineRule="auto"/>
        <w:ind w:firstLine="0"/>
        <w:rPr>
          <w:rFonts w:hint="eastAsia" w:ascii="宋体" w:hAnsi="宋体" w:cs="宋体"/>
          <w:color w:val="auto"/>
          <w:sz w:val="24"/>
          <w:szCs w:val="24"/>
          <w:highlight w:val="none"/>
        </w:rPr>
      </w:pPr>
    </w:p>
    <w:p>
      <w:pPr>
        <w:pStyle w:val="3"/>
        <w:jc w:val="center"/>
        <w:rPr>
          <w:rFonts w:hint="eastAsia" w:ascii="宋体" w:hAnsi="宋体" w:cs="宋体"/>
          <w:b/>
          <w:bCs/>
          <w:color w:val="auto"/>
          <w:sz w:val="44"/>
          <w:szCs w:val="44"/>
          <w:highlight w:val="none"/>
        </w:rPr>
      </w:pPr>
      <w:bookmarkStart w:id="26" w:name="_Toc22413"/>
    </w:p>
    <w:p>
      <w:pPr>
        <w:pStyle w:val="3"/>
        <w:jc w:val="center"/>
        <w:rPr>
          <w:rFonts w:hint="eastAsia" w:ascii="宋体" w:hAnsi="宋体" w:cs="宋体"/>
          <w:b/>
          <w:bCs/>
          <w:color w:val="auto"/>
          <w:sz w:val="44"/>
          <w:szCs w:val="44"/>
          <w:highlight w:val="none"/>
        </w:rPr>
      </w:pPr>
    </w:p>
    <w:p>
      <w:pPr>
        <w:pStyle w:val="3"/>
        <w:jc w:val="center"/>
        <w:rPr>
          <w:rFonts w:hint="eastAsia" w:ascii="宋体" w:hAnsi="宋体" w:cs="宋体"/>
          <w:b/>
          <w:bCs/>
          <w:color w:val="auto"/>
          <w:sz w:val="44"/>
          <w:szCs w:val="44"/>
          <w:highlight w:val="none"/>
        </w:rPr>
      </w:pPr>
    </w:p>
    <w:p>
      <w:pPr>
        <w:pStyle w:val="3"/>
        <w:jc w:val="center"/>
        <w:rPr>
          <w:rFonts w:hint="eastAsia" w:ascii="宋体" w:hAnsi="宋体" w:cs="宋体"/>
          <w:b/>
          <w:bCs/>
          <w:color w:val="auto"/>
          <w:sz w:val="44"/>
          <w:szCs w:val="44"/>
          <w:highlight w:val="none"/>
        </w:rPr>
      </w:pPr>
    </w:p>
    <w:p>
      <w:pPr>
        <w:pStyle w:val="3"/>
        <w:jc w:val="center"/>
        <w:rPr>
          <w:rFonts w:hint="eastAsia" w:ascii="宋体" w:hAnsi="宋体" w:cs="宋体"/>
          <w:b/>
          <w:bCs/>
          <w:color w:val="auto"/>
          <w:sz w:val="44"/>
          <w:szCs w:val="44"/>
          <w:highlight w:val="none"/>
        </w:rPr>
      </w:pPr>
    </w:p>
    <w:p>
      <w:pPr>
        <w:pStyle w:val="3"/>
        <w:jc w:val="center"/>
        <w:rPr>
          <w:rFonts w:hint="eastAsia" w:ascii="宋体" w:hAnsi="宋体" w:cs="宋体"/>
          <w:b/>
          <w:bCs/>
          <w:color w:val="auto"/>
          <w:sz w:val="44"/>
          <w:szCs w:val="44"/>
          <w:highlight w:val="none"/>
        </w:rPr>
      </w:pPr>
    </w:p>
    <w:p>
      <w:pPr>
        <w:pStyle w:val="3"/>
        <w:jc w:val="center"/>
        <w:rPr>
          <w:rFonts w:hint="eastAsia" w:ascii="宋体" w:hAnsi="宋体" w:cs="宋体"/>
          <w:color w:val="auto"/>
          <w:sz w:val="44"/>
          <w:szCs w:val="44"/>
          <w:highlight w:val="none"/>
        </w:rPr>
      </w:pPr>
      <w:r>
        <w:rPr>
          <w:rFonts w:hint="eastAsia" w:ascii="宋体" w:hAnsi="宋体" w:cs="宋体"/>
          <w:b/>
          <w:bCs/>
          <w:color w:val="auto"/>
          <w:sz w:val="44"/>
          <w:szCs w:val="44"/>
          <w:highlight w:val="none"/>
        </w:rPr>
        <w:t>第四章  投标文件格式</w:t>
      </w:r>
      <w:bookmarkEnd w:id="26"/>
    </w:p>
    <w:p>
      <w:pPr>
        <w:autoSpaceDE w:val="0"/>
        <w:autoSpaceDN w:val="0"/>
        <w:adjustRightInd w:val="0"/>
        <w:spacing w:line="360" w:lineRule="auto"/>
        <w:rPr>
          <w:rFonts w:hint="eastAsia" w:ascii="宋体" w:hAnsi="宋体" w:cs="宋体"/>
          <w:color w:val="auto"/>
          <w:sz w:val="24"/>
          <w:szCs w:val="24"/>
          <w:highlight w:val="none"/>
        </w:rPr>
      </w:pPr>
    </w:p>
    <w:p>
      <w:pPr>
        <w:autoSpaceDE w:val="0"/>
        <w:autoSpaceDN w:val="0"/>
        <w:adjustRightInd w:val="0"/>
        <w:spacing w:line="360" w:lineRule="auto"/>
        <w:rPr>
          <w:rFonts w:hint="eastAsia" w:ascii="宋体" w:hAnsi="宋体" w:cs="宋体"/>
          <w:color w:val="auto"/>
          <w:sz w:val="24"/>
          <w:szCs w:val="24"/>
          <w:highlight w:val="none"/>
        </w:rPr>
      </w:pPr>
      <w:r>
        <w:rPr>
          <w:rFonts w:hint="eastAsia" w:ascii="宋体" w:hAnsi="宋体" w:cs="宋体"/>
          <w:color w:val="auto"/>
          <w:sz w:val="44"/>
          <w:szCs w:val="44"/>
          <w:highlight w:val="none"/>
        </w:rPr>
        <w:t>一、技术标投标文件格式</w:t>
      </w:r>
    </w:p>
    <w:p>
      <w:pPr>
        <w:autoSpaceDE w:val="0"/>
        <w:autoSpaceDN w:val="0"/>
        <w:adjustRightInd w:val="0"/>
        <w:spacing w:line="360" w:lineRule="auto"/>
        <w:rPr>
          <w:rFonts w:hint="eastAsia" w:ascii="宋体" w:hAnsi="宋体" w:cs="宋体"/>
          <w:color w:val="auto"/>
          <w:sz w:val="24"/>
          <w:szCs w:val="24"/>
          <w:highlight w:val="none"/>
        </w:rPr>
      </w:pPr>
    </w:p>
    <w:p>
      <w:pPr>
        <w:autoSpaceDE w:val="0"/>
        <w:autoSpaceDN w:val="0"/>
        <w:adjustRightInd w:val="0"/>
        <w:spacing w:line="360" w:lineRule="auto"/>
        <w:rPr>
          <w:rFonts w:hint="eastAsia" w:ascii="宋体" w:hAnsi="宋体" w:cs="宋体"/>
          <w:color w:val="auto"/>
          <w:sz w:val="44"/>
          <w:szCs w:val="44"/>
          <w:highlight w:val="none"/>
        </w:rPr>
      </w:pPr>
      <w:r>
        <w:rPr>
          <w:rFonts w:hint="eastAsia" w:ascii="宋体" w:hAnsi="宋体" w:cs="宋体"/>
          <w:color w:val="auto"/>
          <w:sz w:val="44"/>
          <w:szCs w:val="44"/>
          <w:highlight w:val="none"/>
        </w:rPr>
        <w:t xml:space="preserve"> </w:t>
      </w:r>
    </w:p>
    <w:p>
      <w:pPr>
        <w:autoSpaceDE w:val="0"/>
        <w:autoSpaceDN w:val="0"/>
        <w:adjustRightInd w:val="0"/>
        <w:spacing w:line="360" w:lineRule="auto"/>
        <w:rPr>
          <w:rFonts w:hint="eastAsia" w:ascii="宋体" w:hAnsi="宋体" w:cs="宋体"/>
          <w:color w:val="auto"/>
          <w:sz w:val="44"/>
          <w:szCs w:val="44"/>
          <w:highlight w:val="none"/>
        </w:rPr>
      </w:pPr>
    </w:p>
    <w:p>
      <w:pPr>
        <w:autoSpaceDE w:val="0"/>
        <w:autoSpaceDN w:val="0"/>
        <w:adjustRightInd w:val="0"/>
        <w:spacing w:line="360" w:lineRule="auto"/>
        <w:rPr>
          <w:rFonts w:hint="eastAsia" w:ascii="宋体" w:hAnsi="宋体" w:cs="宋体"/>
          <w:color w:val="auto"/>
          <w:sz w:val="44"/>
          <w:szCs w:val="44"/>
          <w:highlight w:val="none"/>
        </w:rPr>
      </w:pPr>
    </w:p>
    <w:p>
      <w:pPr>
        <w:autoSpaceDE w:val="0"/>
        <w:autoSpaceDN w:val="0"/>
        <w:adjustRightInd w:val="0"/>
        <w:spacing w:line="360" w:lineRule="auto"/>
        <w:rPr>
          <w:rFonts w:hint="eastAsia" w:ascii="宋体" w:hAnsi="宋体" w:cs="宋体"/>
          <w:color w:val="auto"/>
          <w:sz w:val="44"/>
          <w:szCs w:val="44"/>
          <w:highlight w:val="none"/>
        </w:rPr>
      </w:pPr>
    </w:p>
    <w:p>
      <w:pPr>
        <w:autoSpaceDE w:val="0"/>
        <w:autoSpaceDN w:val="0"/>
        <w:adjustRightInd w:val="0"/>
        <w:spacing w:line="360" w:lineRule="auto"/>
        <w:rPr>
          <w:rFonts w:hint="eastAsia" w:ascii="宋体" w:hAnsi="宋体" w:cs="宋体"/>
          <w:color w:val="auto"/>
          <w:sz w:val="44"/>
          <w:szCs w:val="44"/>
          <w:highlight w:val="none"/>
        </w:rPr>
      </w:pPr>
    </w:p>
    <w:p>
      <w:pPr>
        <w:autoSpaceDE w:val="0"/>
        <w:autoSpaceDN w:val="0"/>
        <w:adjustRightInd w:val="0"/>
        <w:spacing w:line="360" w:lineRule="auto"/>
        <w:rPr>
          <w:rFonts w:hint="eastAsia" w:ascii="宋体" w:hAnsi="宋体" w:cs="宋体"/>
          <w:color w:val="auto"/>
          <w:sz w:val="44"/>
          <w:szCs w:val="44"/>
          <w:highlight w:val="none"/>
        </w:rPr>
      </w:pPr>
    </w:p>
    <w:p>
      <w:pPr>
        <w:autoSpaceDE w:val="0"/>
        <w:autoSpaceDN w:val="0"/>
        <w:adjustRightInd w:val="0"/>
        <w:spacing w:line="360" w:lineRule="auto"/>
        <w:rPr>
          <w:rFonts w:hint="eastAsia" w:ascii="宋体" w:hAnsi="宋体" w:cs="宋体"/>
          <w:color w:val="auto"/>
          <w:sz w:val="44"/>
          <w:szCs w:val="44"/>
          <w:highlight w:val="none"/>
        </w:rPr>
      </w:pPr>
    </w:p>
    <w:p>
      <w:pPr>
        <w:autoSpaceDE w:val="0"/>
        <w:autoSpaceDN w:val="0"/>
        <w:adjustRightInd w:val="0"/>
        <w:spacing w:line="360" w:lineRule="auto"/>
        <w:rPr>
          <w:rFonts w:hint="eastAsia" w:ascii="宋体" w:hAnsi="宋体" w:cs="宋体"/>
          <w:color w:val="auto"/>
          <w:sz w:val="44"/>
          <w:szCs w:val="44"/>
          <w:highlight w:val="none"/>
        </w:rPr>
      </w:pPr>
    </w:p>
    <w:p>
      <w:pPr>
        <w:autoSpaceDE w:val="0"/>
        <w:autoSpaceDN w:val="0"/>
        <w:adjustRightInd w:val="0"/>
        <w:spacing w:line="360" w:lineRule="auto"/>
        <w:rPr>
          <w:rFonts w:hint="eastAsia" w:ascii="宋体" w:hAnsi="宋体" w:cs="宋体"/>
          <w:color w:val="auto"/>
          <w:sz w:val="44"/>
          <w:szCs w:val="44"/>
          <w:highlight w:val="none"/>
        </w:rPr>
      </w:pPr>
    </w:p>
    <w:p>
      <w:pPr>
        <w:autoSpaceDE w:val="0"/>
        <w:autoSpaceDN w:val="0"/>
        <w:adjustRightInd w:val="0"/>
        <w:spacing w:line="360" w:lineRule="auto"/>
        <w:rPr>
          <w:rFonts w:hint="eastAsia" w:ascii="宋体" w:hAnsi="宋体" w:cs="宋体"/>
          <w:color w:val="auto"/>
          <w:sz w:val="44"/>
          <w:szCs w:val="44"/>
          <w:highlight w:val="none"/>
        </w:rPr>
      </w:pPr>
    </w:p>
    <w:p>
      <w:pPr>
        <w:autoSpaceDE w:val="0"/>
        <w:autoSpaceDN w:val="0"/>
        <w:adjustRightInd w:val="0"/>
        <w:spacing w:line="360" w:lineRule="auto"/>
        <w:rPr>
          <w:rFonts w:hint="eastAsia" w:ascii="宋体" w:hAnsi="宋体" w:cs="宋体"/>
          <w:color w:val="auto"/>
          <w:sz w:val="44"/>
          <w:szCs w:val="44"/>
          <w:highlight w:val="none"/>
        </w:rPr>
      </w:pPr>
    </w:p>
    <w:p>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cs="宋体"/>
          <w:color w:val="auto"/>
          <w:sz w:val="44"/>
          <w:szCs w:val="44"/>
          <w:highlight w:val="none"/>
        </w:rPr>
        <w:t xml:space="preserve">    </w:t>
      </w:r>
    </w:p>
    <w:p>
      <w:pPr>
        <w:topLinePunct/>
        <w:adjustRightInd w:val="0"/>
        <w:snapToGrid w:val="0"/>
        <w:spacing w:after="156" w:afterLines="50"/>
        <w:jc w:val="left"/>
        <w:rPr>
          <w:rFonts w:hint="eastAsia" w:ascii="宋体" w:hAnsi="宋体" w:cs="宋体"/>
          <w:bCs/>
          <w:color w:val="auto"/>
          <w:spacing w:val="4"/>
          <w:kern w:val="0"/>
          <w:sz w:val="24"/>
          <w:szCs w:val="24"/>
          <w:highlight w:val="none"/>
        </w:rPr>
      </w:pPr>
      <w:bookmarkStart w:id="27" w:name="_Toc6493845"/>
      <w:r>
        <w:rPr>
          <w:rFonts w:hint="eastAsia" w:ascii="宋体" w:hAnsi="宋体" w:cs="宋体"/>
          <w:bCs/>
          <w:color w:val="auto"/>
          <w:spacing w:val="4"/>
          <w:kern w:val="0"/>
          <w:sz w:val="24"/>
          <w:szCs w:val="24"/>
          <w:highlight w:val="none"/>
        </w:rPr>
        <w:t>格式一</w:t>
      </w:r>
      <w:bookmarkEnd w:id="27"/>
    </w:p>
    <w:p>
      <w:pPr>
        <w:autoSpaceDE w:val="0"/>
        <w:autoSpaceDN w:val="0"/>
        <w:adjustRightInd w:val="0"/>
        <w:jc w:val="center"/>
        <w:rPr>
          <w:rFonts w:hint="eastAsia" w:ascii="宋体" w:hAnsi="宋体" w:cs="宋体"/>
          <w:b/>
          <w:bCs/>
          <w:color w:val="auto"/>
          <w:sz w:val="44"/>
          <w:szCs w:val="44"/>
          <w:highlight w:val="none"/>
          <w:lang w:val="zh-CN"/>
        </w:rPr>
      </w:pPr>
    </w:p>
    <w:p>
      <w:pPr>
        <w:autoSpaceDE w:val="0"/>
        <w:autoSpaceDN w:val="0"/>
        <w:adjustRightInd w:val="0"/>
        <w:jc w:val="center"/>
        <w:outlineLvl w:val="1"/>
        <w:rPr>
          <w:rFonts w:hint="eastAsia" w:ascii="宋体" w:hAnsi="宋体" w:cs="宋体"/>
          <w:b/>
          <w:bCs/>
          <w:color w:val="auto"/>
          <w:sz w:val="36"/>
          <w:szCs w:val="36"/>
          <w:highlight w:val="none"/>
          <w:lang w:val="zh-CN"/>
        </w:rPr>
      </w:pPr>
      <w:bookmarkStart w:id="28" w:name="_Toc48"/>
      <w:r>
        <w:rPr>
          <w:rFonts w:hint="eastAsia" w:ascii="宋体" w:hAnsi="宋体" w:cs="宋体"/>
          <w:b/>
          <w:bCs/>
          <w:color w:val="auto"/>
          <w:sz w:val="36"/>
          <w:szCs w:val="36"/>
          <w:highlight w:val="none"/>
          <w:lang w:val="zh-CN"/>
        </w:rPr>
        <w:t>广州建设工程施工招标投标书（技术标）</w:t>
      </w:r>
      <w:bookmarkEnd w:id="28"/>
    </w:p>
    <w:tbl>
      <w:tblPr>
        <w:tblStyle w:val="49"/>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工 程 名 称</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投 标 总工 期</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保 修 期 限</w:t>
            </w:r>
          </w:p>
        </w:tc>
        <w:tc>
          <w:tcPr>
            <w:tcW w:w="6045"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p>
        </w:tc>
        <w:tc>
          <w:tcPr>
            <w:tcW w:w="383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834"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color w:val="auto"/>
                <w:sz w:val="24"/>
                <w:szCs w:val="24"/>
                <w:highlight w:val="none"/>
                <w:lang w:val="zh-CN"/>
              </w:rPr>
            </w:pPr>
          </w:p>
        </w:tc>
      </w:tr>
    </w:tbl>
    <w:p>
      <w:pPr>
        <w:autoSpaceDE w:val="0"/>
        <w:autoSpaceDN w:val="0"/>
        <w:adjustRightInd w:val="0"/>
        <w:spacing w:line="360" w:lineRule="auto"/>
        <w:ind w:firstLine="422"/>
        <w:rPr>
          <w:rFonts w:hint="eastAsia" w:ascii="宋体" w:hAnsi="宋体" w:cs="宋体"/>
          <w:snapToGrid w:val="0"/>
          <w:color w:val="auto"/>
          <w:spacing w:val="4"/>
          <w:kern w:val="0"/>
          <w:sz w:val="24"/>
          <w:szCs w:val="24"/>
          <w:highlight w:val="none"/>
        </w:rPr>
      </w:pPr>
      <w:r>
        <w:rPr>
          <w:rFonts w:hint="eastAsia" w:ascii="宋体" w:hAnsi="宋体" w:cs="宋体"/>
          <w:b/>
          <w:color w:val="auto"/>
          <w:highlight w:val="none"/>
        </w:rPr>
        <w:br w:type="page"/>
      </w:r>
      <w:r>
        <w:rPr>
          <w:rFonts w:hint="eastAsia" w:ascii="宋体" w:hAnsi="宋体" w:cs="宋体"/>
          <w:bCs/>
          <w:color w:val="auto"/>
          <w:sz w:val="24"/>
          <w:szCs w:val="24"/>
          <w:highlight w:val="none"/>
        </w:rPr>
        <w:t>格式二：</w:t>
      </w:r>
    </w:p>
    <w:p>
      <w:pPr>
        <w:topLinePunct/>
        <w:adjustRightInd w:val="0"/>
        <w:snapToGrid w:val="0"/>
        <w:spacing w:line="360" w:lineRule="auto"/>
        <w:jc w:val="center"/>
        <w:rPr>
          <w:rFonts w:hint="eastAsia"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投 标 函</w:t>
      </w:r>
    </w:p>
    <w:p>
      <w:pPr>
        <w:topLinePunct/>
        <w:adjustRightInd w:val="0"/>
        <w:snapToGrid w:val="0"/>
        <w:spacing w:line="360" w:lineRule="auto"/>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u w:val="single"/>
        </w:rPr>
        <w:t xml:space="preserve"> （招标人名称） </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工程的招标文件，并已详细审核了全部招标文件及有关附件。</w:t>
      </w:r>
    </w:p>
    <w:p>
      <w:pPr>
        <w:snapToGrid w:val="0"/>
        <w:spacing w:line="360" w:lineRule="auto"/>
        <w:ind w:firstLine="523" w:firstLineChars="218"/>
        <w:rPr>
          <w:rFonts w:hint="eastAsia"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日历天内完成并移交本工程，质量标准达到招标文件中的要求。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pStyle w:val="227"/>
        <w:spacing w:line="360" w:lineRule="auto"/>
        <w:ind w:firstLine="481"/>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kern w:val="0"/>
          <w:sz w:val="24"/>
          <w:szCs w:val="24"/>
          <w:highlight w:val="none"/>
        </w:rPr>
        <w:t>如我方中标,我方承诺：须按《中新广州知识城财政投资建设项目管理中心 施工类合同结算编审指引（试行）》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p>
    <w:p>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360" w:lineRule="auto"/>
        <w:ind w:firstLine="691" w:firstLineChars="279"/>
        <w:rPr>
          <w:rFonts w:hint="eastAsia" w:ascii="宋体" w:hAnsi="宋体" w:cs="宋体"/>
          <w:b/>
          <w:color w:val="auto"/>
          <w:sz w:val="24"/>
          <w:szCs w:val="24"/>
          <w:highlight w:val="none"/>
        </w:rPr>
      </w:pPr>
      <w:r>
        <w:rPr>
          <w:rFonts w:hint="eastAsia" w:ascii="宋体" w:hAnsi="宋体" w:cs="宋体"/>
          <w:snapToGrid w:val="0"/>
          <w:color w:val="auto"/>
          <w:spacing w:val="4"/>
          <w:kern w:val="0"/>
          <w:sz w:val="24"/>
          <w:szCs w:val="24"/>
          <w:highlight w:val="none"/>
        </w:rPr>
        <w:t xml:space="preserve">日    期：    年    月    日 </w:t>
      </w:r>
    </w:p>
    <w:p>
      <w:pPr>
        <w:autoSpaceDE w:val="0"/>
        <w:autoSpaceDN w:val="0"/>
        <w:adjustRightInd w:val="0"/>
        <w:spacing w:line="360" w:lineRule="auto"/>
        <w:rPr>
          <w:rFonts w:hint="eastAsia" w:ascii="宋体" w:hAnsi="宋体" w:cs="宋体"/>
          <w:b/>
          <w:color w:val="auto"/>
          <w:sz w:val="24"/>
          <w:szCs w:val="24"/>
          <w:highlight w:val="none"/>
        </w:rPr>
      </w:pPr>
    </w:p>
    <w:p>
      <w:pPr>
        <w:autoSpaceDE w:val="0"/>
        <w:autoSpaceDN w:val="0"/>
        <w:adjustRightInd w:val="0"/>
        <w:spacing w:line="360" w:lineRule="auto"/>
        <w:rPr>
          <w:rFonts w:hint="eastAsia" w:ascii="宋体" w:hAnsi="宋体" w:cs="宋体"/>
          <w:b/>
          <w:color w:val="auto"/>
          <w:sz w:val="24"/>
          <w:szCs w:val="24"/>
          <w:highlight w:val="none"/>
        </w:rPr>
      </w:pPr>
    </w:p>
    <w:p>
      <w:pPr>
        <w:widowControl/>
        <w:snapToGrid w:val="0"/>
        <w:spacing w:line="360" w:lineRule="auto"/>
        <w:ind w:right="102"/>
        <w:jc w:val="left"/>
        <w:rPr>
          <w:rFonts w:hint="eastAsia" w:ascii="宋体" w:hAnsi="宋体" w:cs="宋体"/>
          <w:color w:val="auto"/>
          <w:sz w:val="24"/>
          <w:szCs w:val="24"/>
          <w:highlight w:val="none"/>
        </w:rPr>
      </w:pPr>
      <w:bookmarkStart w:id="29" w:name="_Toc478375101"/>
      <w:bookmarkStart w:id="30" w:name="_Toc474749524"/>
      <w:r>
        <w:rPr>
          <w:rFonts w:hint="eastAsia" w:ascii="宋体" w:hAnsi="宋体" w:cs="宋体"/>
          <w:bCs/>
          <w:color w:val="auto"/>
          <w:sz w:val="24"/>
          <w:szCs w:val="24"/>
          <w:highlight w:val="none"/>
        </w:rPr>
        <w:br w:type="page"/>
      </w:r>
      <w:r>
        <w:rPr>
          <w:rFonts w:hint="eastAsia" w:ascii="宋体" w:hAnsi="宋体" w:cs="宋体"/>
          <w:color w:val="auto"/>
          <w:sz w:val="24"/>
          <w:szCs w:val="24"/>
          <w:highlight w:val="none"/>
        </w:rPr>
        <w:t>格式三：</w:t>
      </w:r>
    </w:p>
    <w:p>
      <w:pPr>
        <w:spacing w:line="360" w:lineRule="auto"/>
        <w:jc w:val="center"/>
        <w:rPr>
          <w:rFonts w:hint="eastAsia" w:ascii="宋体" w:hAnsi="宋体" w:cs="宋体"/>
          <w:b/>
          <w:color w:val="auto"/>
          <w:sz w:val="24"/>
          <w:szCs w:val="24"/>
          <w:highlight w:val="none"/>
        </w:rPr>
      </w:pPr>
    </w:p>
    <w:p>
      <w:pPr>
        <w:topLinePunct/>
        <w:adjustRightInd w:val="0"/>
        <w:snapToGrid w:val="0"/>
        <w:spacing w:line="360" w:lineRule="auto"/>
        <w:jc w:val="center"/>
        <w:rPr>
          <w:rFonts w:hint="eastAsia" w:ascii="宋体" w:hAnsi="宋体" w:cs="宋体"/>
          <w:b/>
          <w:color w:val="auto"/>
          <w:spacing w:val="4"/>
          <w:kern w:val="0"/>
          <w:sz w:val="36"/>
          <w:szCs w:val="36"/>
          <w:highlight w:val="none"/>
        </w:rPr>
      </w:pPr>
      <w:r>
        <w:rPr>
          <w:rFonts w:hint="eastAsia" w:ascii="宋体" w:hAnsi="宋体" w:cs="宋体"/>
          <w:b/>
          <w:color w:val="auto"/>
          <w:spacing w:val="4"/>
          <w:kern w:val="0"/>
          <w:sz w:val="36"/>
          <w:szCs w:val="36"/>
          <w:highlight w:val="none"/>
        </w:rPr>
        <w:t>已竣工验收的类似工程业绩表</w:t>
      </w:r>
    </w:p>
    <w:tbl>
      <w:tblPr>
        <w:tblStyle w:val="49"/>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2835"/>
        <w:gridCol w:w="2096"/>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2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工程名称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项目概况</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工程对应的企业资质</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2513"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中标金额或合同金额 (人民币：万元)</w:t>
            </w:r>
          </w:p>
        </w:tc>
        <w:tc>
          <w:tcPr>
            <w:tcW w:w="2835"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2096"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1991" w:type="dxa"/>
            <w:tcBorders>
              <w:top w:val="single" w:color="auto" w:sz="4" w:space="0"/>
              <w:left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竣工日期</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项目经理姓名</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项目业主名称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竣工质量评定等级</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2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工程获奖情况</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c>
          <w:tcPr>
            <w:tcW w:w="19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p>
        </w:tc>
      </w:tr>
    </w:tbl>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注：由投标人按评审要求填写本表，并附相关证明材料； </w:t>
      </w:r>
    </w:p>
    <w:p>
      <w:pPr>
        <w:spacing w:line="360" w:lineRule="auto"/>
        <w:jc w:val="left"/>
        <w:rPr>
          <w:rFonts w:hint="eastAsia" w:ascii="宋体" w:hAnsi="宋体" w:cs="宋体"/>
          <w:color w:val="auto"/>
          <w:szCs w:val="21"/>
          <w:highlight w:val="none"/>
        </w:rPr>
      </w:pPr>
    </w:p>
    <w:p>
      <w:pPr>
        <w:topLinePunct/>
        <w:adjustRightInd w:val="0"/>
        <w:snapToGrid w:val="0"/>
        <w:spacing w:line="360" w:lineRule="auto"/>
        <w:ind w:firstLine="3596" w:firstLineChars="145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　　（盖章）</w:t>
      </w:r>
    </w:p>
    <w:p>
      <w:pPr>
        <w:topLinePunct/>
        <w:adjustRightInd w:val="0"/>
        <w:snapToGrid w:val="0"/>
        <w:spacing w:line="360" w:lineRule="auto"/>
        <w:ind w:firstLine="3596" w:firstLineChars="145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法定代表人或授权代理人(签字或盖章)：</w:t>
      </w:r>
    </w:p>
    <w:p>
      <w:pPr>
        <w:autoSpaceDE w:val="0"/>
        <w:autoSpaceDN w:val="0"/>
        <w:adjustRightInd w:val="0"/>
        <w:ind w:firstLine="3720" w:firstLineChars="15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   期：    年    月    日</w:t>
      </w:r>
    </w:p>
    <w:p>
      <w:pPr>
        <w:ind w:firstLine="400" w:firstLineChars="200"/>
        <w:rPr>
          <w:rFonts w:hint="eastAsia" w:ascii="宋体" w:hAnsi="宋体" w:cs="宋体"/>
          <w:color w:val="auto"/>
          <w:sz w:val="20"/>
          <w:szCs w:val="24"/>
          <w:highlight w:val="none"/>
        </w:rPr>
      </w:pPr>
    </w:p>
    <w:p>
      <w:pPr>
        <w:autoSpaceDE w:val="0"/>
        <w:autoSpaceDN w:val="0"/>
        <w:adjustRightInd w:val="0"/>
        <w:spacing w:line="360" w:lineRule="auto"/>
        <w:jc w:val="center"/>
        <w:rPr>
          <w:rFonts w:hint="eastAsia" w:ascii="宋体" w:hAnsi="宋体" w:cs="宋体"/>
          <w:b/>
          <w:bCs/>
          <w:color w:val="auto"/>
          <w:sz w:val="36"/>
          <w:szCs w:val="36"/>
          <w:highlight w:val="none"/>
          <w:lang w:val="zh-CN"/>
        </w:rPr>
      </w:pPr>
    </w:p>
    <w:p>
      <w:pPr>
        <w:autoSpaceDE w:val="0"/>
        <w:autoSpaceDN w:val="0"/>
        <w:adjustRightInd w:val="0"/>
        <w:spacing w:line="360" w:lineRule="auto"/>
        <w:jc w:val="left"/>
        <w:rPr>
          <w:rFonts w:hint="eastAsia" w:ascii="宋体" w:hAnsi="宋体" w:cs="宋体"/>
          <w:b w:val="0"/>
          <w:bCs/>
          <w:color w:val="auto"/>
          <w:sz w:val="24"/>
          <w:szCs w:val="24"/>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val="0"/>
          <w:bCs/>
          <w:color w:val="auto"/>
          <w:sz w:val="24"/>
          <w:szCs w:val="24"/>
          <w:highlight w:val="none"/>
          <w:lang w:val="zh-CN"/>
        </w:rPr>
        <w:t>格式四：</w:t>
      </w:r>
    </w:p>
    <w:p>
      <w:pPr>
        <w:autoSpaceDE w:val="0"/>
        <w:autoSpaceDN w:val="0"/>
        <w:adjustRightInd w:val="0"/>
        <w:spacing w:line="360" w:lineRule="auto"/>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企业承建工程获奖情况表</w:t>
      </w:r>
    </w:p>
    <w:tbl>
      <w:tblPr>
        <w:tblStyle w:val="49"/>
        <w:tblW w:w="51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200"/>
        <w:gridCol w:w="1291"/>
        <w:gridCol w:w="1293"/>
        <w:gridCol w:w="1291"/>
        <w:gridCol w:w="1291"/>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70"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项目名称</w:t>
            </w:r>
          </w:p>
        </w:tc>
        <w:tc>
          <w:tcPr>
            <w:tcW w:w="679"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项目概况</w:t>
            </w: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业主单位</w:t>
            </w:r>
          </w:p>
        </w:tc>
        <w:tc>
          <w:tcPr>
            <w:tcW w:w="732"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完成情况</w:t>
            </w: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颁发单位</w:t>
            </w: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获奖奖项</w:t>
            </w:r>
          </w:p>
        </w:tc>
        <w:tc>
          <w:tcPr>
            <w:tcW w:w="724"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r>
              <w:rPr>
                <w:rFonts w:hint="eastAsia" w:ascii="宋体" w:hAnsi="宋体" w:cs="宋体"/>
                <w:color w:val="auto"/>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70"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679"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670"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679"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70"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679"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70"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679"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670"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679"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670"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679"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70"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679"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2"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top"/>
          </w:tcPr>
          <w:p>
            <w:pPr>
              <w:topLinePunct/>
              <w:spacing w:line="360" w:lineRule="auto"/>
              <w:jc w:val="center"/>
              <w:rPr>
                <w:rFonts w:hint="eastAsia" w:ascii="宋体" w:hAnsi="宋体" w:cs="宋体"/>
                <w:color w:val="auto"/>
                <w:highlight w:val="none"/>
              </w:rPr>
            </w:pPr>
          </w:p>
        </w:tc>
        <w:tc>
          <w:tcPr>
            <w:tcW w:w="731"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c>
          <w:tcPr>
            <w:tcW w:w="724" w:type="pc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color w:val="auto"/>
                <w:highlight w:val="none"/>
              </w:rPr>
            </w:pPr>
          </w:p>
        </w:tc>
      </w:tr>
    </w:tbl>
    <w:p>
      <w:pPr>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 xml:space="preserve">注：由投标人按评审要求填写本表，并附相关证明材料； </w:t>
      </w:r>
    </w:p>
    <w:p>
      <w:pPr>
        <w:spacing w:line="360" w:lineRule="auto"/>
        <w:jc w:val="left"/>
        <w:rPr>
          <w:rFonts w:hint="eastAsia" w:ascii="宋体" w:hAnsi="宋体" w:cs="宋体"/>
          <w:color w:val="auto"/>
          <w:szCs w:val="24"/>
          <w:highlight w:val="none"/>
        </w:rPr>
      </w:pPr>
    </w:p>
    <w:p>
      <w:pPr>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投标人：　　（盖章）</w:t>
      </w:r>
    </w:p>
    <w:p>
      <w:pPr>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法定代表人或授权代理人(签字或盖章)：</w:t>
      </w:r>
    </w:p>
    <w:p>
      <w:pPr>
        <w:spacing w:line="360" w:lineRule="auto"/>
        <w:jc w:val="left"/>
        <w:rPr>
          <w:rFonts w:hint="eastAsia" w:ascii="宋体" w:hAnsi="宋体" w:cs="宋体"/>
          <w:bCs/>
          <w:color w:val="auto"/>
          <w:szCs w:val="24"/>
          <w:highlight w:val="none"/>
        </w:rPr>
      </w:pPr>
      <w:r>
        <w:rPr>
          <w:rFonts w:hint="eastAsia" w:ascii="宋体" w:hAnsi="宋体" w:cs="宋体"/>
          <w:color w:val="auto"/>
          <w:szCs w:val="24"/>
          <w:highlight w:val="none"/>
        </w:rPr>
        <w:t>日   期：    年    月    日</w:t>
      </w:r>
    </w:p>
    <w:p>
      <w:pPr>
        <w:spacing w:line="360" w:lineRule="auto"/>
        <w:jc w:val="left"/>
        <w:rPr>
          <w:rFonts w:hint="eastAsia" w:ascii="宋体" w:hAnsi="宋体" w:cs="宋体"/>
          <w:bCs/>
          <w:color w:val="auto"/>
          <w:szCs w:val="24"/>
          <w:highlight w:val="none"/>
        </w:rPr>
      </w:pPr>
    </w:p>
    <w:p>
      <w:pPr>
        <w:spacing w:line="360" w:lineRule="auto"/>
        <w:jc w:val="left"/>
        <w:rPr>
          <w:rFonts w:hint="eastAsia" w:ascii="宋体" w:hAnsi="宋体" w:cs="宋体"/>
          <w:bCs/>
          <w:color w:val="auto"/>
          <w:szCs w:val="24"/>
          <w:highlight w:val="none"/>
        </w:rPr>
      </w:pPr>
    </w:p>
    <w:p>
      <w:pPr>
        <w:spacing w:line="360" w:lineRule="auto"/>
        <w:jc w:val="left"/>
        <w:rPr>
          <w:rFonts w:hint="eastAsia" w:ascii="宋体" w:hAnsi="宋体" w:cs="宋体"/>
          <w:bCs/>
          <w:color w:val="auto"/>
          <w:szCs w:val="24"/>
          <w:highlight w:val="none"/>
        </w:rPr>
      </w:pPr>
    </w:p>
    <w:p>
      <w:pPr>
        <w:spacing w:line="360" w:lineRule="auto"/>
        <w:jc w:val="left"/>
        <w:rPr>
          <w:rFonts w:hint="eastAsia" w:ascii="宋体" w:hAnsi="宋体" w:cs="宋体"/>
          <w:bCs/>
          <w:color w:val="auto"/>
          <w:szCs w:val="24"/>
          <w:highlight w:val="none"/>
        </w:rPr>
      </w:pPr>
    </w:p>
    <w:p>
      <w:pPr>
        <w:spacing w:line="360" w:lineRule="auto"/>
        <w:jc w:val="left"/>
        <w:rPr>
          <w:rFonts w:hint="eastAsia" w:ascii="宋体" w:hAnsi="宋体" w:cs="宋体"/>
          <w:bCs/>
          <w:color w:val="auto"/>
          <w:szCs w:val="24"/>
          <w:highlight w:val="none"/>
        </w:rPr>
      </w:pPr>
    </w:p>
    <w:p>
      <w:pPr>
        <w:spacing w:line="360" w:lineRule="auto"/>
        <w:jc w:val="left"/>
        <w:rPr>
          <w:rFonts w:hint="eastAsia" w:ascii="宋体" w:hAnsi="宋体" w:cs="宋体"/>
          <w:bCs/>
          <w:color w:val="auto"/>
          <w:szCs w:val="24"/>
          <w:highlight w:val="none"/>
        </w:rPr>
      </w:pPr>
    </w:p>
    <w:p>
      <w:pPr>
        <w:topLinePunct/>
        <w:adjustRightInd w:val="0"/>
        <w:snapToGrid w:val="0"/>
        <w:spacing w:line="360" w:lineRule="auto"/>
        <w:rPr>
          <w:rFonts w:hint="eastAsia" w:ascii="宋体" w:hAnsi="宋体" w:cs="宋体"/>
          <w:b/>
          <w:snapToGrid w:val="0"/>
          <w:color w:val="auto"/>
          <w:spacing w:val="4"/>
          <w:kern w:val="0"/>
          <w:sz w:val="24"/>
          <w:szCs w:val="24"/>
          <w:highlight w:val="none"/>
        </w:rPr>
      </w:pPr>
      <w:r>
        <w:rPr>
          <w:rFonts w:hint="eastAsia" w:ascii="宋体" w:hAnsi="宋体" w:cs="宋体"/>
          <w:bCs/>
          <w:color w:val="auto"/>
          <w:sz w:val="24"/>
          <w:szCs w:val="24"/>
          <w:highlight w:val="none"/>
        </w:rPr>
        <w:br w:type="page"/>
      </w:r>
      <w:r>
        <w:rPr>
          <w:rFonts w:hint="eastAsia" w:ascii="宋体" w:hAnsi="宋体" w:cs="宋体"/>
          <w:bCs/>
          <w:color w:val="auto"/>
          <w:sz w:val="24"/>
          <w:szCs w:val="24"/>
          <w:highlight w:val="none"/>
        </w:rPr>
        <w:t>格式五：</w:t>
      </w:r>
      <w:r>
        <w:rPr>
          <w:rFonts w:hint="eastAsia" w:ascii="宋体" w:hAnsi="宋体" w:cs="宋体"/>
          <w:b/>
          <w:snapToGrid w:val="0"/>
          <w:color w:val="auto"/>
          <w:spacing w:val="4"/>
          <w:kern w:val="0"/>
          <w:sz w:val="24"/>
          <w:szCs w:val="24"/>
          <w:highlight w:val="none"/>
        </w:rPr>
        <w:t xml:space="preserve">                     </w:t>
      </w:r>
    </w:p>
    <w:p>
      <w:pPr>
        <w:topLinePunct/>
        <w:adjustRightInd w:val="0"/>
        <w:snapToGrid w:val="0"/>
        <w:spacing w:line="360" w:lineRule="auto"/>
        <w:jc w:val="center"/>
        <w:rPr>
          <w:rFonts w:hint="eastAsia" w:ascii="宋体" w:hAnsi="宋体" w:cs="宋体"/>
          <w:b/>
          <w:snapToGrid w:val="0"/>
          <w:color w:val="auto"/>
          <w:spacing w:val="4"/>
          <w:kern w:val="0"/>
          <w:sz w:val="24"/>
          <w:szCs w:val="24"/>
          <w:highlight w:val="none"/>
        </w:rPr>
      </w:pPr>
      <w:r>
        <w:rPr>
          <w:rFonts w:hint="eastAsia" w:ascii="宋体" w:hAnsi="宋体" w:cs="宋体"/>
          <w:b/>
          <w:snapToGrid w:val="0"/>
          <w:color w:val="auto"/>
          <w:spacing w:val="4"/>
          <w:kern w:val="0"/>
          <w:sz w:val="24"/>
          <w:szCs w:val="24"/>
          <w:highlight w:val="none"/>
        </w:rPr>
        <w:t>投入主要人员汇总表</w:t>
      </w:r>
    </w:p>
    <w:tbl>
      <w:tblPr>
        <w:tblStyle w:val="49"/>
        <w:tblW w:w="96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15"/>
        <w:gridCol w:w="392"/>
        <w:gridCol w:w="2377"/>
        <w:gridCol w:w="473"/>
        <w:gridCol w:w="1159"/>
        <w:gridCol w:w="801"/>
        <w:gridCol w:w="1221"/>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blHeader/>
        </w:trPr>
        <w:tc>
          <w:tcPr>
            <w:tcW w:w="4902"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招标人要求</w:t>
            </w:r>
          </w:p>
        </w:tc>
        <w:tc>
          <w:tcPr>
            <w:tcW w:w="4713"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投标人拟投入情况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blHeader/>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序号</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kern w:val="44"/>
                <w:szCs w:val="21"/>
                <w:highlight w:val="none"/>
              </w:rPr>
            </w:pPr>
            <w:r>
              <w:rPr>
                <w:rFonts w:hint="eastAsia" w:ascii="宋体" w:hAnsi="宋体" w:cs="宋体"/>
                <w:b/>
                <w:color w:val="auto"/>
                <w:kern w:val="44"/>
                <w:szCs w:val="21"/>
                <w:highlight w:val="none"/>
              </w:rPr>
              <w:t>人员类别</w:t>
            </w:r>
          </w:p>
        </w:tc>
        <w:tc>
          <w:tcPr>
            <w:tcW w:w="3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kern w:val="44"/>
                <w:szCs w:val="21"/>
                <w:highlight w:val="none"/>
              </w:rPr>
            </w:pPr>
            <w:r>
              <w:rPr>
                <w:rFonts w:hint="eastAsia" w:ascii="宋体" w:hAnsi="宋体" w:cs="宋体"/>
                <w:b/>
                <w:color w:val="auto"/>
                <w:kern w:val="44"/>
                <w:szCs w:val="21"/>
                <w:highlight w:val="none"/>
              </w:rPr>
              <w:t>数量</w:t>
            </w:r>
          </w:p>
        </w:tc>
        <w:tc>
          <w:tcPr>
            <w:tcW w:w="23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kern w:val="44"/>
                <w:szCs w:val="21"/>
                <w:highlight w:val="none"/>
              </w:rPr>
            </w:pPr>
            <w:r>
              <w:rPr>
                <w:rFonts w:hint="eastAsia" w:ascii="宋体" w:hAnsi="宋体" w:cs="宋体"/>
                <w:b/>
                <w:color w:val="auto"/>
                <w:kern w:val="44"/>
                <w:szCs w:val="21"/>
                <w:highlight w:val="none"/>
              </w:rPr>
              <w:t>基本要求</w:t>
            </w:r>
          </w:p>
        </w:tc>
        <w:tc>
          <w:tcPr>
            <w:tcW w:w="47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姓名</w:t>
            </w:r>
          </w:p>
        </w:tc>
        <w:tc>
          <w:tcPr>
            <w:tcW w:w="11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专业类别</w:t>
            </w:r>
          </w:p>
        </w:tc>
        <w:tc>
          <w:tcPr>
            <w:tcW w:w="8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职务</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人员资格情况</w:t>
            </w: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
                <w:color w:val="auto"/>
                <w:kern w:val="44"/>
                <w:szCs w:val="21"/>
                <w:highlight w:val="none"/>
              </w:rPr>
            </w:pPr>
            <w:r>
              <w:rPr>
                <w:rFonts w:hint="eastAsia" w:ascii="宋体" w:hAnsi="宋体" w:cs="宋体"/>
                <w:b/>
                <w:color w:val="auto"/>
                <w:kern w:val="44"/>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项目负责人</w:t>
            </w:r>
          </w:p>
        </w:tc>
        <w:tc>
          <w:tcPr>
            <w:tcW w:w="3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3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按招标公告及招标文件要求</w:t>
            </w: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2</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技术负责人</w:t>
            </w:r>
          </w:p>
        </w:tc>
        <w:tc>
          <w:tcPr>
            <w:tcW w:w="3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3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 w:val="18"/>
                <w:szCs w:val="18"/>
                <w:highlight w:val="none"/>
              </w:rPr>
              <w:t>按招标公告及招标文件要求</w:t>
            </w: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3</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专职安全员</w:t>
            </w:r>
          </w:p>
        </w:tc>
        <w:tc>
          <w:tcPr>
            <w:tcW w:w="3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1</w:t>
            </w:r>
          </w:p>
        </w:tc>
        <w:tc>
          <w:tcPr>
            <w:tcW w:w="23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 w:val="18"/>
                <w:szCs w:val="18"/>
                <w:highlight w:val="none"/>
              </w:rPr>
            </w:pPr>
            <w:r>
              <w:rPr>
                <w:rFonts w:hint="eastAsia" w:ascii="宋体" w:hAnsi="宋体" w:cs="宋体"/>
                <w:bCs/>
                <w:color w:val="auto"/>
                <w:spacing w:val="-10"/>
                <w:sz w:val="18"/>
                <w:szCs w:val="18"/>
                <w:highlight w:val="none"/>
              </w:rPr>
              <w:t>按招标公告要求</w:t>
            </w: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kern w:val="0"/>
                <w:szCs w:val="21"/>
                <w:highlight w:val="none"/>
              </w:rPr>
              <w:t>4</w:t>
            </w:r>
          </w:p>
        </w:tc>
        <w:tc>
          <w:tcPr>
            <w:tcW w:w="141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施工员</w:t>
            </w:r>
          </w:p>
        </w:tc>
        <w:tc>
          <w:tcPr>
            <w:tcW w:w="39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3</w:t>
            </w:r>
          </w:p>
        </w:tc>
        <w:tc>
          <w:tcPr>
            <w:tcW w:w="2377"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spacing w:val="6"/>
                <w:kern w:val="0"/>
                <w:szCs w:val="21"/>
                <w:highlight w:val="none"/>
              </w:rPr>
              <w:t>具有相关岗位证或培训合格证件</w:t>
            </w: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vMerge w:val="continue"/>
            <w:tcBorders>
              <w:left w:val="single" w:color="auto" w:sz="4" w:space="0"/>
              <w:right w:val="single" w:color="auto" w:sz="4" w:space="0"/>
            </w:tcBorders>
            <w:noWrap w:val="0"/>
            <w:vAlign w:val="center"/>
          </w:tcPr>
          <w:p>
            <w:pPr>
              <w:adjustRightInd w:val="0"/>
              <w:snapToGrid w:val="0"/>
              <w:jc w:val="center"/>
              <w:rPr>
                <w:rFonts w:hint="eastAsia" w:ascii="宋体" w:hAnsi="宋体" w:cs="宋体"/>
                <w:color w:val="auto"/>
                <w:kern w:val="0"/>
                <w:szCs w:val="21"/>
                <w:highlight w:val="none"/>
              </w:rPr>
            </w:pPr>
          </w:p>
        </w:tc>
        <w:tc>
          <w:tcPr>
            <w:tcW w:w="1415" w:type="dxa"/>
            <w:vMerge w:val="continue"/>
            <w:tcBorders>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392" w:type="dxa"/>
            <w:vMerge w:val="continue"/>
            <w:tcBorders>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2377" w:type="dxa"/>
            <w:vMerge w:val="continue"/>
            <w:tcBorders>
              <w:left w:val="single" w:color="auto" w:sz="4" w:space="0"/>
              <w:right w:val="single" w:color="auto" w:sz="4" w:space="0"/>
            </w:tcBorders>
            <w:noWrap w:val="0"/>
            <w:vAlign w:val="center"/>
          </w:tcPr>
          <w:p>
            <w:pPr>
              <w:adjustRightInd w:val="0"/>
              <w:snapToGrid w:val="0"/>
              <w:jc w:val="center"/>
              <w:rPr>
                <w:rFonts w:hint="eastAsia" w:ascii="宋体" w:hAnsi="宋体" w:cs="宋体"/>
                <w:color w:val="auto"/>
                <w:spacing w:val="6"/>
                <w:kern w:val="0"/>
                <w:szCs w:val="21"/>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kern w:val="0"/>
                <w:szCs w:val="21"/>
                <w:highlight w:val="none"/>
              </w:rPr>
            </w:pPr>
          </w:p>
        </w:tc>
        <w:tc>
          <w:tcPr>
            <w:tcW w:w="141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39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2377"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spacing w:val="6"/>
                <w:kern w:val="0"/>
                <w:szCs w:val="21"/>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vMerge w:val="restart"/>
            <w:tcBorders>
              <w:top w:val="single" w:color="auto" w:sz="4" w:space="0"/>
              <w:left w:val="single" w:color="auto" w:sz="4" w:space="0"/>
              <w:right w:val="single" w:color="auto" w:sz="4" w:space="0"/>
            </w:tcBorders>
            <w:noWrap w:val="0"/>
            <w:vAlign w:val="center"/>
          </w:tcPr>
          <w:p>
            <w:pPr>
              <w:widowControl/>
              <w:adjustRightInd w:val="0"/>
              <w:snapToGrid w:val="0"/>
              <w:ind w:left="-413" w:leftChars="-172" w:firstLine="48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41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质检员</w:t>
            </w:r>
          </w:p>
        </w:tc>
        <w:tc>
          <w:tcPr>
            <w:tcW w:w="39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3</w:t>
            </w:r>
          </w:p>
        </w:tc>
        <w:tc>
          <w:tcPr>
            <w:tcW w:w="2377"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spacing w:val="6"/>
                <w:kern w:val="0"/>
                <w:szCs w:val="21"/>
                <w:highlight w:val="none"/>
              </w:rPr>
              <w:t>具有相关岗位证或培训合格证件</w:t>
            </w:r>
          </w:p>
        </w:tc>
        <w:tc>
          <w:tcPr>
            <w:tcW w:w="47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vMerge w:val="continue"/>
            <w:tcBorders>
              <w:left w:val="single" w:color="auto" w:sz="4" w:space="0"/>
              <w:right w:val="single" w:color="auto" w:sz="4" w:space="0"/>
            </w:tcBorders>
            <w:noWrap w:val="0"/>
            <w:vAlign w:val="center"/>
          </w:tcPr>
          <w:p>
            <w:pPr>
              <w:widowControl/>
              <w:adjustRightInd w:val="0"/>
              <w:snapToGrid w:val="0"/>
              <w:ind w:left="-413" w:leftChars="-172" w:firstLine="480" w:firstLineChars="200"/>
              <w:jc w:val="center"/>
              <w:rPr>
                <w:rFonts w:hint="eastAsia" w:ascii="宋体" w:hAnsi="宋体" w:cs="宋体"/>
                <w:color w:val="auto"/>
                <w:kern w:val="0"/>
                <w:szCs w:val="21"/>
                <w:highlight w:val="none"/>
              </w:rPr>
            </w:pPr>
          </w:p>
        </w:tc>
        <w:tc>
          <w:tcPr>
            <w:tcW w:w="1415" w:type="dxa"/>
            <w:vMerge w:val="continue"/>
            <w:tcBorders>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392" w:type="dxa"/>
            <w:vMerge w:val="continue"/>
            <w:tcBorders>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2377" w:type="dxa"/>
            <w:vMerge w:val="continue"/>
            <w:tcBorders>
              <w:left w:val="single" w:color="auto" w:sz="4" w:space="0"/>
              <w:right w:val="single" w:color="auto" w:sz="4" w:space="0"/>
            </w:tcBorders>
            <w:noWrap w:val="0"/>
            <w:vAlign w:val="center"/>
          </w:tcPr>
          <w:p>
            <w:pPr>
              <w:adjustRightInd w:val="0"/>
              <w:snapToGrid w:val="0"/>
              <w:jc w:val="center"/>
              <w:rPr>
                <w:rFonts w:hint="eastAsia" w:ascii="宋体" w:hAnsi="宋体" w:cs="宋体"/>
                <w:color w:val="auto"/>
                <w:spacing w:val="6"/>
                <w:kern w:val="0"/>
                <w:szCs w:val="21"/>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ind w:left="-413" w:leftChars="-172" w:firstLine="480" w:firstLineChars="200"/>
              <w:jc w:val="center"/>
              <w:rPr>
                <w:rFonts w:hint="eastAsia" w:ascii="宋体" w:hAnsi="宋体" w:cs="宋体"/>
                <w:color w:val="auto"/>
                <w:kern w:val="0"/>
                <w:szCs w:val="21"/>
                <w:highlight w:val="none"/>
              </w:rPr>
            </w:pPr>
          </w:p>
        </w:tc>
        <w:tc>
          <w:tcPr>
            <w:tcW w:w="141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39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2377"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spacing w:val="6"/>
                <w:kern w:val="0"/>
                <w:szCs w:val="21"/>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eastAsia"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vMerge w:val="restart"/>
            <w:tcBorders>
              <w:top w:val="single" w:color="auto" w:sz="4" w:space="0"/>
              <w:left w:val="single" w:color="auto" w:sz="4" w:space="0"/>
              <w:right w:val="single" w:color="auto" w:sz="4" w:space="0"/>
            </w:tcBorders>
            <w:noWrap w:val="0"/>
            <w:vAlign w:val="center"/>
          </w:tcPr>
          <w:p>
            <w:pPr>
              <w:adjustRightInd w:val="0"/>
              <w:snapToGrid w:val="0"/>
              <w:ind w:left="-413" w:leftChars="-172" w:firstLine="48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41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安全员</w:t>
            </w:r>
          </w:p>
        </w:tc>
        <w:tc>
          <w:tcPr>
            <w:tcW w:w="39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3</w:t>
            </w:r>
          </w:p>
        </w:tc>
        <w:tc>
          <w:tcPr>
            <w:tcW w:w="2377"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spacing w:val="6"/>
                <w:kern w:val="0"/>
                <w:szCs w:val="21"/>
                <w:highlight w:val="none"/>
              </w:rPr>
              <w:t>具有相关岗位证或培训合格证件</w:t>
            </w: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vMerge w:val="continue"/>
            <w:tcBorders>
              <w:left w:val="single" w:color="auto" w:sz="4" w:space="0"/>
              <w:right w:val="single" w:color="auto" w:sz="4" w:space="0"/>
            </w:tcBorders>
            <w:noWrap w:val="0"/>
            <w:vAlign w:val="center"/>
          </w:tcPr>
          <w:p>
            <w:pPr>
              <w:adjustRightInd w:val="0"/>
              <w:snapToGrid w:val="0"/>
              <w:ind w:left="-413" w:leftChars="-172" w:firstLine="480" w:firstLineChars="200"/>
              <w:jc w:val="center"/>
              <w:rPr>
                <w:rFonts w:hint="eastAsia" w:ascii="宋体" w:hAnsi="宋体" w:cs="宋体"/>
                <w:color w:val="auto"/>
                <w:kern w:val="0"/>
                <w:szCs w:val="21"/>
                <w:highlight w:val="none"/>
              </w:rPr>
            </w:pPr>
          </w:p>
        </w:tc>
        <w:tc>
          <w:tcPr>
            <w:tcW w:w="1415" w:type="dxa"/>
            <w:vMerge w:val="continue"/>
            <w:tcBorders>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392" w:type="dxa"/>
            <w:vMerge w:val="continue"/>
            <w:tcBorders>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2377" w:type="dxa"/>
            <w:vMerge w:val="continue"/>
            <w:tcBorders>
              <w:left w:val="single" w:color="auto" w:sz="4" w:space="0"/>
              <w:right w:val="single" w:color="auto" w:sz="4" w:space="0"/>
            </w:tcBorders>
            <w:noWrap w:val="0"/>
            <w:vAlign w:val="center"/>
          </w:tcPr>
          <w:p>
            <w:pPr>
              <w:adjustRightInd w:val="0"/>
              <w:snapToGrid w:val="0"/>
              <w:jc w:val="center"/>
              <w:rPr>
                <w:rFonts w:hint="eastAsia" w:ascii="宋体" w:hAnsi="宋体" w:cs="宋体"/>
                <w:color w:val="auto"/>
                <w:spacing w:val="6"/>
                <w:kern w:val="0"/>
                <w:szCs w:val="21"/>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vMerge w:val="continue"/>
            <w:tcBorders>
              <w:left w:val="single" w:color="auto" w:sz="4" w:space="0"/>
              <w:bottom w:val="single" w:color="auto" w:sz="4" w:space="0"/>
              <w:right w:val="single" w:color="auto" w:sz="4" w:space="0"/>
            </w:tcBorders>
            <w:noWrap w:val="0"/>
            <w:vAlign w:val="center"/>
          </w:tcPr>
          <w:p>
            <w:pPr>
              <w:adjustRightInd w:val="0"/>
              <w:snapToGrid w:val="0"/>
              <w:ind w:left="-413" w:leftChars="-172" w:firstLine="480" w:firstLineChars="200"/>
              <w:jc w:val="center"/>
              <w:rPr>
                <w:rFonts w:hint="eastAsia" w:ascii="宋体" w:hAnsi="宋体" w:cs="宋体"/>
                <w:color w:val="auto"/>
                <w:kern w:val="0"/>
                <w:szCs w:val="21"/>
                <w:highlight w:val="none"/>
              </w:rPr>
            </w:pPr>
          </w:p>
        </w:tc>
        <w:tc>
          <w:tcPr>
            <w:tcW w:w="141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39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2377"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spacing w:val="6"/>
                <w:kern w:val="0"/>
                <w:szCs w:val="21"/>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vMerge w:val="restart"/>
            <w:tcBorders>
              <w:top w:val="single" w:color="auto" w:sz="4" w:space="0"/>
              <w:left w:val="single" w:color="auto" w:sz="4" w:space="0"/>
              <w:right w:val="single" w:color="auto" w:sz="4" w:space="0"/>
            </w:tcBorders>
            <w:noWrap w:val="0"/>
            <w:vAlign w:val="center"/>
          </w:tcPr>
          <w:p>
            <w:pPr>
              <w:adjustRightInd w:val="0"/>
              <w:snapToGrid w:val="0"/>
              <w:ind w:left="-413" w:leftChars="-172" w:firstLine="48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41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材料员</w:t>
            </w:r>
          </w:p>
        </w:tc>
        <w:tc>
          <w:tcPr>
            <w:tcW w:w="39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2</w:t>
            </w:r>
          </w:p>
        </w:tc>
        <w:tc>
          <w:tcPr>
            <w:tcW w:w="2377"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spacing w:val="6"/>
                <w:kern w:val="0"/>
                <w:szCs w:val="21"/>
                <w:highlight w:val="none"/>
              </w:rPr>
              <w:t>具有相关岗位证或培训合格证件</w:t>
            </w: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vMerge w:val="continue"/>
            <w:tcBorders>
              <w:left w:val="single" w:color="auto" w:sz="4" w:space="0"/>
              <w:bottom w:val="single" w:color="auto" w:sz="4" w:space="0"/>
              <w:right w:val="single" w:color="auto" w:sz="4" w:space="0"/>
            </w:tcBorders>
            <w:noWrap w:val="0"/>
            <w:vAlign w:val="center"/>
          </w:tcPr>
          <w:p>
            <w:pPr>
              <w:adjustRightInd w:val="0"/>
              <w:snapToGrid w:val="0"/>
              <w:ind w:left="-413" w:leftChars="-172" w:firstLine="480" w:firstLineChars="200"/>
              <w:jc w:val="center"/>
              <w:rPr>
                <w:rFonts w:hint="eastAsia" w:ascii="宋体" w:hAnsi="宋体" w:cs="宋体"/>
                <w:color w:val="auto"/>
                <w:kern w:val="0"/>
                <w:szCs w:val="21"/>
                <w:highlight w:val="none"/>
              </w:rPr>
            </w:pPr>
          </w:p>
        </w:tc>
        <w:tc>
          <w:tcPr>
            <w:tcW w:w="141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39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2377"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spacing w:val="6"/>
                <w:kern w:val="0"/>
                <w:szCs w:val="21"/>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vMerge w:val="restart"/>
            <w:tcBorders>
              <w:top w:val="single" w:color="auto" w:sz="4" w:space="0"/>
              <w:left w:val="single" w:color="auto" w:sz="4" w:space="0"/>
              <w:right w:val="single" w:color="auto" w:sz="4" w:space="0"/>
            </w:tcBorders>
            <w:noWrap w:val="0"/>
            <w:vAlign w:val="center"/>
          </w:tcPr>
          <w:p>
            <w:pPr>
              <w:adjustRightInd w:val="0"/>
              <w:snapToGrid w:val="0"/>
              <w:ind w:left="-413" w:leftChars="-172" w:firstLine="48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415"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资料员</w:t>
            </w:r>
          </w:p>
        </w:tc>
        <w:tc>
          <w:tcPr>
            <w:tcW w:w="39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2</w:t>
            </w:r>
          </w:p>
        </w:tc>
        <w:tc>
          <w:tcPr>
            <w:tcW w:w="2377"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color w:val="auto"/>
                <w:spacing w:val="6"/>
                <w:kern w:val="0"/>
                <w:szCs w:val="21"/>
                <w:highlight w:val="none"/>
              </w:rPr>
              <w:t>具有相关岗位证或培训合格证件</w:t>
            </w: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vMerge w:val="continue"/>
            <w:tcBorders>
              <w:left w:val="single" w:color="auto" w:sz="4" w:space="0"/>
              <w:bottom w:val="single" w:color="auto" w:sz="4" w:space="0"/>
              <w:right w:val="single" w:color="auto" w:sz="4" w:space="0"/>
            </w:tcBorders>
            <w:noWrap w:val="0"/>
            <w:vAlign w:val="center"/>
          </w:tcPr>
          <w:p>
            <w:pPr>
              <w:adjustRightInd w:val="0"/>
              <w:snapToGrid w:val="0"/>
              <w:ind w:left="-413" w:leftChars="-172" w:firstLine="480" w:firstLineChars="200"/>
              <w:jc w:val="center"/>
              <w:rPr>
                <w:rFonts w:hint="eastAsia" w:ascii="宋体" w:hAnsi="宋体" w:cs="宋体"/>
                <w:color w:val="auto"/>
                <w:kern w:val="0"/>
                <w:szCs w:val="21"/>
                <w:highlight w:val="none"/>
              </w:rPr>
            </w:pPr>
          </w:p>
        </w:tc>
        <w:tc>
          <w:tcPr>
            <w:tcW w:w="1415"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39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2377"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color w:val="auto"/>
                <w:spacing w:val="6"/>
                <w:kern w:val="0"/>
                <w:szCs w:val="21"/>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13" w:leftChars="-172" w:firstLine="504" w:firstLineChars="200"/>
              <w:jc w:val="center"/>
              <w:rPr>
                <w:rFonts w:hint="eastAsia" w:ascii="宋体" w:hAnsi="宋体" w:cs="宋体"/>
                <w:dstrike/>
                <w:color w:val="auto"/>
                <w:spacing w:val="4"/>
                <w:kern w:val="0"/>
                <w:szCs w:val="21"/>
                <w:highlight w:val="none"/>
              </w:rPr>
            </w:pPr>
            <w:r>
              <w:rPr>
                <w:rFonts w:hint="eastAsia" w:ascii="宋体" w:hAnsi="宋体" w:cs="宋体"/>
                <w:color w:val="auto"/>
                <w:spacing w:val="6"/>
                <w:kern w:val="0"/>
                <w:szCs w:val="21"/>
                <w:highlight w:val="none"/>
              </w:rPr>
              <w:t>9</w:t>
            </w: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dstrike/>
                <w:color w:val="auto"/>
                <w:spacing w:val="4"/>
                <w:kern w:val="0"/>
                <w:szCs w:val="21"/>
                <w:highlight w:val="none"/>
              </w:rPr>
            </w:pPr>
            <w:r>
              <w:rPr>
                <w:rFonts w:hint="eastAsia" w:ascii="宋体" w:hAnsi="宋体" w:cs="宋体"/>
                <w:color w:val="auto"/>
                <w:spacing w:val="6"/>
                <w:kern w:val="0"/>
                <w:szCs w:val="21"/>
                <w:highlight w:val="none"/>
              </w:rPr>
              <w:t>注册造价工程师</w:t>
            </w:r>
          </w:p>
        </w:tc>
        <w:tc>
          <w:tcPr>
            <w:tcW w:w="3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dstrike/>
                <w:color w:val="auto"/>
                <w:spacing w:val="4"/>
                <w:kern w:val="0"/>
                <w:szCs w:val="21"/>
                <w:highlight w:val="none"/>
              </w:rPr>
            </w:pPr>
            <w:r>
              <w:rPr>
                <w:rFonts w:hint="eastAsia" w:ascii="宋体" w:hAnsi="宋体" w:cs="宋体"/>
                <w:color w:val="auto"/>
                <w:spacing w:val="6"/>
                <w:kern w:val="0"/>
                <w:szCs w:val="21"/>
                <w:highlight w:val="none"/>
              </w:rPr>
              <w:t>1</w:t>
            </w:r>
          </w:p>
        </w:tc>
        <w:tc>
          <w:tcPr>
            <w:tcW w:w="23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dstrike/>
                <w:color w:val="auto"/>
                <w:spacing w:val="4"/>
                <w:kern w:val="0"/>
                <w:szCs w:val="21"/>
                <w:highlight w:val="none"/>
              </w:rPr>
            </w:pPr>
            <w:r>
              <w:rPr>
                <w:rFonts w:hint="eastAsia" w:ascii="宋体" w:hAnsi="宋体" w:cs="宋体"/>
                <w:color w:val="auto"/>
                <w:spacing w:val="6"/>
                <w:kern w:val="0"/>
                <w:szCs w:val="21"/>
                <w:highlight w:val="none"/>
              </w:rPr>
              <w:t>具有在有效期内的注册执业证书</w:t>
            </w:r>
            <w:r>
              <w:rPr>
                <w:rFonts w:hint="eastAsia" w:ascii="宋体" w:hAnsi="宋体" w:eastAsia="宋体" w:cs="宋体"/>
                <w:color w:val="auto"/>
                <w:szCs w:val="21"/>
                <w:highlight w:val="none"/>
              </w:rPr>
              <w:t>（或一级注册造价师</w:t>
            </w:r>
            <w:r>
              <w:rPr>
                <w:rFonts w:hint="eastAsia" w:ascii="宋体" w:hAnsi="宋体" w:cs="宋体"/>
                <w:color w:val="auto"/>
                <w:szCs w:val="21"/>
                <w:highlight w:val="none"/>
                <w:lang w:val="en-US" w:eastAsia="zh-CN"/>
              </w:rPr>
              <w:t>证书</w:t>
            </w:r>
            <w:r>
              <w:rPr>
                <w:rFonts w:hint="eastAsia" w:ascii="宋体" w:hAnsi="宋体" w:eastAsia="宋体" w:cs="宋体"/>
                <w:color w:val="auto"/>
                <w:szCs w:val="21"/>
                <w:highlight w:val="none"/>
              </w:rPr>
              <w:t>）</w:t>
            </w: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dstrike/>
                <w:color w:val="auto"/>
                <w:spacing w:val="4"/>
                <w:kern w:val="0"/>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dstrike/>
                <w:color w:val="auto"/>
                <w:spacing w:val="4"/>
                <w:kern w:val="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dstrike/>
                <w:color w:val="auto"/>
                <w:spacing w:val="4"/>
                <w:kern w:val="0"/>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dstrike/>
                <w:color w:val="auto"/>
                <w:spacing w:val="4"/>
                <w:kern w:val="0"/>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dstrike/>
                <w:color w:val="auto"/>
                <w:spacing w:val="4"/>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413" w:leftChars="-172" w:firstLine="480" w:firstLineChars="200"/>
              <w:jc w:val="center"/>
              <w:rPr>
                <w:rFonts w:hint="eastAsia" w:ascii="宋体" w:hAnsi="宋体" w:cs="宋体"/>
                <w:color w:val="auto"/>
                <w:kern w:val="0"/>
                <w:szCs w:val="21"/>
                <w:highlight w:val="none"/>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r>
              <w:rPr>
                <w:rFonts w:hint="eastAsia" w:ascii="宋体" w:hAnsi="宋体" w:cs="宋体"/>
                <w:bCs/>
                <w:color w:val="auto"/>
                <w:spacing w:val="-10"/>
                <w:szCs w:val="21"/>
                <w:highlight w:val="none"/>
              </w:rPr>
              <w:t>………..</w:t>
            </w:r>
          </w:p>
        </w:tc>
        <w:tc>
          <w:tcPr>
            <w:tcW w:w="3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23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c>
          <w:tcPr>
            <w:tcW w:w="473"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159"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80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jc w:val="left"/>
              <w:rPr>
                <w:rFonts w:hint="eastAsia" w:ascii="宋体" w:hAnsi="宋体" w:cs="宋体"/>
                <w:color w:val="auto"/>
                <w:kern w:val="0"/>
                <w:szCs w:val="21"/>
                <w:highlight w:val="none"/>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cs="宋体"/>
                <w:bCs/>
                <w:color w:val="auto"/>
                <w:spacing w:val="-10"/>
                <w:szCs w:val="21"/>
                <w:highlight w:val="none"/>
              </w:rPr>
            </w:pPr>
          </w:p>
        </w:tc>
      </w:tr>
    </w:tbl>
    <w:p>
      <w:pPr>
        <w:topLinePunct/>
        <w:adjustRightInd w:val="0"/>
        <w:snapToGrid w:val="0"/>
        <w:rPr>
          <w:rFonts w:hint="eastAsia" w:ascii="宋体" w:hAnsi="宋体" w:eastAsia="宋体" w:cs="宋体"/>
          <w:color w:val="auto"/>
          <w:spacing w:val="4"/>
          <w:kern w:val="0"/>
          <w:szCs w:val="21"/>
          <w:highlight w:val="none"/>
          <w:lang w:eastAsia="zh-CN"/>
        </w:rPr>
      </w:pPr>
      <w:r>
        <w:rPr>
          <w:rFonts w:hint="eastAsia" w:ascii="宋体" w:hAnsi="宋体" w:cs="宋体"/>
          <w:color w:val="auto"/>
          <w:spacing w:val="4"/>
          <w:kern w:val="0"/>
          <w:szCs w:val="21"/>
          <w:highlight w:val="none"/>
        </w:rPr>
        <w:t>注：1.人员类别为：项目负责人、技术负责人、各专业负责人及其他招标人要求配置的人员等；</w:t>
      </w:r>
    </w:p>
    <w:p>
      <w:pPr>
        <w:topLinePunct/>
        <w:adjustRightInd w:val="0"/>
        <w:snapToGrid w:val="0"/>
        <w:rPr>
          <w:rFonts w:hint="eastAsia" w:ascii="宋体" w:hAnsi="宋体" w:eastAsia="宋体" w:cs="宋体"/>
          <w:color w:val="auto"/>
          <w:spacing w:val="4"/>
          <w:kern w:val="0"/>
          <w:szCs w:val="21"/>
          <w:highlight w:val="none"/>
          <w:lang w:eastAsia="zh-CN"/>
        </w:rPr>
      </w:pPr>
      <w:r>
        <w:rPr>
          <w:rFonts w:hint="eastAsia" w:ascii="宋体" w:hAnsi="宋体" w:cs="宋体"/>
          <w:color w:val="auto"/>
          <w:spacing w:val="4"/>
          <w:kern w:val="0"/>
          <w:szCs w:val="21"/>
          <w:highlight w:val="none"/>
        </w:rPr>
        <w:t>2、 投入的“主要人员”必须按本表要求填报，投入的“主要人员”岗位、人数及资质均不得低于本表要求。</w:t>
      </w:r>
    </w:p>
    <w:p>
      <w:pPr>
        <w:topLinePunct/>
        <w:adjustRightInd w:val="0"/>
        <w:snapToGrid w:val="0"/>
        <w:rPr>
          <w:rFonts w:hint="eastAsia" w:ascii="宋体" w:hAnsi="宋体" w:eastAsia="宋体" w:cs="宋体"/>
          <w:color w:val="auto"/>
          <w:spacing w:val="4"/>
          <w:kern w:val="0"/>
          <w:szCs w:val="21"/>
          <w:highlight w:val="none"/>
          <w:lang w:eastAsia="zh-CN"/>
        </w:rPr>
      </w:pPr>
      <w:r>
        <w:rPr>
          <w:rFonts w:hint="eastAsia" w:ascii="宋体" w:hAnsi="宋体" w:cs="宋体"/>
          <w:color w:val="auto"/>
          <w:spacing w:val="4"/>
          <w:kern w:val="0"/>
          <w:szCs w:val="21"/>
          <w:highlight w:val="none"/>
        </w:rPr>
        <w:t>3、其它人员由投标人视本工程具体情况结合招标人对本工程的具体要求自行配备；</w:t>
      </w:r>
    </w:p>
    <w:p>
      <w:pPr>
        <w:topLinePunct/>
        <w:adjustRightInd w:val="0"/>
        <w:snapToGrid w:val="0"/>
        <w:rPr>
          <w:rFonts w:hint="eastAsia" w:ascii="宋体" w:hAnsi="宋体" w:eastAsia="宋体" w:cs="宋体"/>
          <w:color w:val="auto"/>
          <w:spacing w:val="4"/>
          <w:kern w:val="0"/>
          <w:szCs w:val="21"/>
          <w:highlight w:val="none"/>
          <w:lang w:eastAsia="zh-CN"/>
        </w:rPr>
      </w:pPr>
      <w:r>
        <w:rPr>
          <w:rFonts w:hint="eastAsia" w:ascii="宋体" w:hAnsi="宋体" w:cs="宋体"/>
          <w:color w:val="auto"/>
          <w:spacing w:val="4"/>
          <w:kern w:val="0"/>
          <w:szCs w:val="21"/>
          <w:highlight w:val="none"/>
        </w:rPr>
        <w:t>4、上述人员须为投标单位人员，并须提供身份证及投标截止前近一个月（</w:t>
      </w:r>
      <w:r>
        <w:rPr>
          <w:rFonts w:hint="eastAsia" w:ascii="宋体" w:hAnsi="宋体" w:eastAsia="宋体" w:cs="宋体"/>
          <w:color w:val="auto"/>
          <w:spacing w:val="4"/>
          <w:kern w:val="0"/>
          <w:szCs w:val="21"/>
          <w:highlight w:val="none"/>
          <w:lang w:eastAsia="zh-CN"/>
        </w:rPr>
        <w:t>2023</w:t>
      </w:r>
      <w:r>
        <w:rPr>
          <w:rFonts w:hint="eastAsia" w:ascii="宋体" w:hAnsi="宋体" w:cs="宋体"/>
          <w:color w:val="auto"/>
          <w:spacing w:val="4"/>
          <w:kern w:val="0"/>
          <w:szCs w:val="21"/>
          <w:highlight w:val="none"/>
        </w:rPr>
        <w:t>年</w:t>
      </w:r>
      <w:r>
        <w:rPr>
          <w:rFonts w:hint="eastAsia" w:ascii="宋体" w:hAnsi="宋体" w:eastAsia="宋体" w:cs="宋体"/>
          <w:color w:val="auto"/>
          <w:spacing w:val="4"/>
          <w:kern w:val="0"/>
          <w:szCs w:val="21"/>
          <w:highlight w:val="none"/>
          <w:lang w:val="en-US" w:eastAsia="zh-CN"/>
        </w:rPr>
        <w:t>6</w:t>
      </w:r>
      <w:r>
        <w:rPr>
          <w:rFonts w:hint="eastAsia" w:ascii="宋体" w:hAnsi="宋体" w:cs="宋体"/>
          <w:color w:val="auto"/>
          <w:spacing w:val="4"/>
          <w:kern w:val="0"/>
          <w:szCs w:val="21"/>
          <w:highlight w:val="none"/>
        </w:rPr>
        <w:t>月）有效社保证明。</w:t>
      </w:r>
    </w:p>
    <w:p>
      <w:pPr>
        <w:topLinePunct/>
        <w:adjustRightInd w:val="0"/>
        <w:snapToGrid w:val="0"/>
        <w:rPr>
          <w:rFonts w:hint="eastAsia" w:ascii="宋体" w:hAnsi="宋体" w:eastAsia="宋体" w:cs="宋体"/>
          <w:color w:val="auto"/>
          <w:spacing w:val="4"/>
          <w:kern w:val="0"/>
          <w:szCs w:val="21"/>
          <w:highlight w:val="none"/>
          <w:lang w:eastAsia="zh-CN"/>
        </w:rPr>
      </w:pPr>
      <w:r>
        <w:rPr>
          <w:rFonts w:hint="eastAsia" w:ascii="宋体" w:hAnsi="宋体" w:cs="宋体"/>
          <w:color w:val="auto"/>
          <w:spacing w:val="4"/>
          <w:kern w:val="0"/>
          <w:szCs w:val="21"/>
          <w:highlight w:val="none"/>
        </w:rPr>
        <w:t>5、上述人员须按招标公告及《技术标详细审查评分表》相应要求提供居民身份证、职称证、有效期内的注册证、岗位证或培训合格证等相关证明资料。所有资料为原件扫描件并加盖投标人电子公章。</w:t>
      </w:r>
    </w:p>
    <w:p>
      <w:pPr>
        <w:topLinePunct/>
        <w:adjustRightInd w:val="0"/>
        <w:snapToGrid w:val="0"/>
        <w:rPr>
          <w:rFonts w:hint="eastAsia" w:ascii="宋体" w:hAnsi="宋体" w:eastAsia="Times New Roman" w:cs="宋体"/>
          <w:color w:val="auto"/>
          <w:spacing w:val="4"/>
          <w:sz w:val="24"/>
          <w:szCs w:val="21"/>
          <w:highlight w:val="none"/>
          <w:lang w:val="en-US" w:eastAsia="zh-CN"/>
        </w:rPr>
      </w:pPr>
      <w:r>
        <w:rPr>
          <w:rFonts w:hint="eastAsia" w:ascii="宋体" w:hAnsi="宋体" w:cs="宋体"/>
          <w:color w:val="auto"/>
          <w:spacing w:val="4"/>
          <w:kern w:val="0"/>
          <w:szCs w:val="21"/>
          <w:highlight w:val="none"/>
        </w:rPr>
        <w:t>6、</w:t>
      </w:r>
      <w:r>
        <w:rPr>
          <w:rFonts w:hint="eastAsia" w:ascii="宋体" w:hAnsi="宋体" w:eastAsia="Times New Roman" w:cs="宋体"/>
          <w:color w:val="auto"/>
          <w:spacing w:val="4"/>
          <w:sz w:val="24"/>
          <w:szCs w:val="21"/>
          <w:highlight w:val="none"/>
          <w:lang w:val="en-US" w:eastAsia="zh-CN"/>
        </w:rPr>
        <w:t>按照《造价工程师职业资格制度规定》的规定，根据原人事部、原建设部发布的《造价工程师执业资格制度暂行规定》（人发[1996]77号）取得的造价工程师执业资格，并经注册且在有效期内的，等同于一级注册造价工程师。</w:t>
      </w:r>
    </w:p>
    <w:p>
      <w:pPr>
        <w:topLinePunct/>
        <w:adjustRightInd w:val="0"/>
        <w:snapToGrid w:val="0"/>
        <w:rPr>
          <w:rFonts w:hint="eastAsia" w:ascii="宋体" w:hAnsi="宋体" w:cs="宋体"/>
          <w:color w:val="auto"/>
          <w:spacing w:val="4"/>
          <w:kern w:val="0"/>
          <w:sz w:val="24"/>
          <w:szCs w:val="24"/>
          <w:highlight w:val="none"/>
        </w:rPr>
      </w:pPr>
      <w:r>
        <w:rPr>
          <w:rFonts w:hint="eastAsia" w:ascii="宋体" w:hAnsi="宋体" w:eastAsia="Times New Roman" w:cs="宋体"/>
          <w:color w:val="auto"/>
          <w:spacing w:val="4"/>
          <w:sz w:val="24"/>
          <w:szCs w:val="21"/>
          <w:highlight w:val="none"/>
          <w:lang w:val="en-US" w:eastAsia="zh-CN"/>
        </w:rPr>
        <w:t>7、</w:t>
      </w:r>
      <w:r>
        <w:rPr>
          <w:rFonts w:hint="eastAsia" w:ascii="宋体" w:hAnsi="宋体" w:cs="宋体"/>
          <w:color w:val="auto"/>
          <w:spacing w:val="4"/>
          <w:kern w:val="0"/>
          <w:szCs w:val="21"/>
          <w:highlight w:val="none"/>
        </w:rPr>
        <w:t>本表中填报的所有人员均需按招标文件第四章《主要人员简历表》格式要求《主要人员简历表》。</w:t>
      </w:r>
    </w:p>
    <w:p>
      <w:pPr>
        <w:topLinePunct/>
        <w:adjustRightInd w:val="0"/>
        <w:snapToGrid w:val="0"/>
        <w:spacing w:line="360" w:lineRule="auto"/>
        <w:ind w:firstLine="3596" w:firstLineChars="145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　　（盖章）</w:t>
      </w:r>
    </w:p>
    <w:p>
      <w:pPr>
        <w:topLinePunct/>
        <w:adjustRightInd w:val="0"/>
        <w:snapToGrid w:val="0"/>
        <w:spacing w:line="360" w:lineRule="auto"/>
        <w:ind w:firstLine="3596" w:firstLineChars="145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法定代表人或授权代理人(签字或盖章)：</w:t>
      </w:r>
    </w:p>
    <w:p>
      <w:pPr>
        <w:topLinePunct/>
        <w:adjustRightInd w:val="0"/>
        <w:snapToGrid w:val="0"/>
        <w:spacing w:before="120" w:after="120" w:line="360" w:lineRule="auto"/>
        <w:ind w:firstLine="3596" w:firstLineChars="145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   期：    年    月    日</w:t>
      </w:r>
    </w:p>
    <w:p>
      <w:pPr>
        <w:topLinePunct/>
        <w:adjustRightInd w:val="0"/>
        <w:snapToGrid w:val="0"/>
        <w:spacing w:line="360" w:lineRule="auto"/>
        <w:jc w:val="center"/>
        <w:rPr>
          <w:rFonts w:hint="eastAsia" w:ascii="宋体" w:hAnsi="宋体" w:cs="宋体"/>
          <w:b/>
          <w:snapToGrid w:val="0"/>
          <w:color w:val="auto"/>
          <w:spacing w:val="4"/>
          <w:kern w:val="0"/>
          <w:sz w:val="24"/>
          <w:szCs w:val="24"/>
          <w:highlight w:val="none"/>
        </w:rPr>
      </w:pPr>
    </w:p>
    <w:p>
      <w:pPr>
        <w:topLinePunct/>
        <w:adjustRightInd w:val="0"/>
        <w:snapToGrid w:val="0"/>
        <w:spacing w:line="360" w:lineRule="auto"/>
        <w:rPr>
          <w:rFonts w:hint="eastAsia" w:ascii="宋体" w:hAnsi="宋体" w:cs="宋体"/>
          <w:b/>
          <w:snapToGrid w:val="0"/>
          <w:color w:val="auto"/>
          <w:spacing w:val="4"/>
          <w:kern w:val="0"/>
          <w:sz w:val="24"/>
          <w:szCs w:val="24"/>
          <w:highlight w:val="none"/>
        </w:rPr>
      </w:pPr>
    </w:p>
    <w:p>
      <w:pPr>
        <w:topLinePunct/>
        <w:adjustRightInd w:val="0"/>
        <w:snapToGrid w:val="0"/>
        <w:spacing w:line="360" w:lineRule="auto"/>
        <w:rPr>
          <w:rFonts w:hint="eastAsia" w:ascii="宋体" w:hAnsi="宋体" w:cs="宋体"/>
          <w:b/>
          <w:snapToGrid w:val="0"/>
          <w:color w:val="auto"/>
          <w:spacing w:val="4"/>
          <w:kern w:val="0"/>
          <w:sz w:val="24"/>
          <w:szCs w:val="24"/>
          <w:highlight w:val="none"/>
        </w:rPr>
      </w:pPr>
    </w:p>
    <w:p>
      <w:pPr>
        <w:topLinePunct/>
        <w:adjustRightInd w:val="0"/>
        <w:snapToGrid w:val="0"/>
        <w:spacing w:line="360" w:lineRule="auto"/>
        <w:rPr>
          <w:rFonts w:hint="eastAsia" w:ascii="宋体" w:hAnsi="宋体" w:cs="宋体"/>
          <w:b/>
          <w:snapToGrid w:val="0"/>
          <w:color w:val="auto"/>
          <w:spacing w:val="4"/>
          <w:kern w:val="0"/>
          <w:sz w:val="24"/>
          <w:szCs w:val="24"/>
          <w:highlight w:val="none"/>
        </w:rPr>
      </w:pPr>
    </w:p>
    <w:p>
      <w:pPr>
        <w:topLinePunct/>
        <w:adjustRightInd w:val="0"/>
        <w:snapToGrid w:val="0"/>
        <w:spacing w:line="360" w:lineRule="auto"/>
        <w:jc w:val="center"/>
        <w:rPr>
          <w:rFonts w:hint="eastAsia" w:ascii="宋体" w:hAnsi="宋体" w:cs="宋体"/>
          <w:b/>
          <w:snapToGrid w:val="0"/>
          <w:color w:val="auto"/>
          <w:spacing w:val="4"/>
          <w:kern w:val="0"/>
          <w:sz w:val="36"/>
          <w:szCs w:val="36"/>
          <w:highlight w:val="none"/>
        </w:rPr>
      </w:pPr>
      <w:r>
        <w:rPr>
          <w:rFonts w:hint="eastAsia" w:ascii="宋体" w:hAnsi="宋体" w:cs="宋体"/>
          <w:b/>
          <w:snapToGrid w:val="0"/>
          <w:color w:val="auto"/>
          <w:spacing w:val="4"/>
          <w:kern w:val="0"/>
          <w:sz w:val="36"/>
          <w:szCs w:val="36"/>
          <w:highlight w:val="none"/>
        </w:rPr>
        <w:br w:type="page"/>
      </w:r>
      <w:r>
        <w:rPr>
          <w:rFonts w:hint="eastAsia" w:ascii="宋体" w:hAnsi="宋体" w:cs="宋体"/>
          <w:b/>
          <w:snapToGrid w:val="0"/>
          <w:color w:val="auto"/>
          <w:spacing w:val="4"/>
          <w:kern w:val="0"/>
          <w:sz w:val="36"/>
          <w:szCs w:val="36"/>
          <w:highlight w:val="none"/>
        </w:rPr>
        <w:t>主要人员简历表</w:t>
      </w:r>
    </w:p>
    <w:p>
      <w:pPr>
        <w:topLinePunct/>
        <w:adjustRightInd w:val="0"/>
        <w:snapToGrid w:val="0"/>
        <w:spacing w:line="360" w:lineRule="auto"/>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工程名称： </w:t>
      </w:r>
    </w:p>
    <w:tbl>
      <w:tblPr>
        <w:tblStyle w:val="49"/>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1223"/>
        <w:gridCol w:w="1650"/>
        <w:gridCol w:w="255"/>
        <w:gridCol w:w="505"/>
        <w:gridCol w:w="762"/>
        <w:gridCol w:w="169"/>
        <w:gridCol w:w="1182"/>
        <w:gridCol w:w="929"/>
        <w:gridCol w:w="319"/>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CellSpacing w:w="0" w:type="dxa"/>
          <w:jc w:val="center"/>
        </w:trPr>
        <w:tc>
          <w:tcPr>
            <w:tcW w:w="724" w:type="pct"/>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977" w:type="pct"/>
            <w:noWrap w:val="0"/>
            <w:vAlign w:val="center"/>
          </w:tcPr>
          <w:p>
            <w:pPr>
              <w:jc w:val="left"/>
              <w:rPr>
                <w:rFonts w:hint="eastAsia" w:ascii="宋体" w:hAnsi="宋体" w:cs="宋体"/>
                <w:color w:val="auto"/>
                <w:sz w:val="24"/>
                <w:szCs w:val="24"/>
                <w:highlight w:val="none"/>
              </w:rPr>
            </w:pPr>
          </w:p>
        </w:tc>
        <w:tc>
          <w:tcPr>
            <w:tcW w:w="450" w:type="pct"/>
            <w:gridSpan w:val="2"/>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性别</w:t>
            </w:r>
          </w:p>
        </w:tc>
        <w:tc>
          <w:tcPr>
            <w:tcW w:w="1251" w:type="pct"/>
            <w:gridSpan w:val="3"/>
            <w:noWrap w:val="0"/>
            <w:vAlign w:val="center"/>
          </w:tcPr>
          <w:p>
            <w:pPr>
              <w:jc w:val="left"/>
              <w:rPr>
                <w:rFonts w:hint="eastAsia" w:ascii="宋体" w:hAnsi="宋体" w:cs="宋体"/>
                <w:color w:val="auto"/>
                <w:sz w:val="24"/>
                <w:szCs w:val="24"/>
                <w:highlight w:val="none"/>
              </w:rPr>
            </w:pPr>
          </w:p>
        </w:tc>
        <w:tc>
          <w:tcPr>
            <w:tcW w:w="739" w:type="pct"/>
            <w:gridSpan w:val="2"/>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年龄</w:t>
            </w:r>
          </w:p>
        </w:tc>
        <w:tc>
          <w:tcPr>
            <w:tcW w:w="859" w:type="pct"/>
            <w:noWrap w:val="0"/>
            <w:vAlign w:val="center"/>
          </w:tcPr>
          <w:p>
            <w:pPr>
              <w:jc w:val="lef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724" w:type="pct"/>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977" w:type="pct"/>
            <w:noWrap w:val="0"/>
            <w:vAlign w:val="center"/>
          </w:tcPr>
          <w:p>
            <w:pPr>
              <w:jc w:val="left"/>
              <w:rPr>
                <w:rFonts w:hint="eastAsia" w:ascii="宋体" w:hAnsi="宋体" w:cs="宋体"/>
                <w:color w:val="auto"/>
                <w:sz w:val="24"/>
                <w:szCs w:val="24"/>
                <w:highlight w:val="none"/>
              </w:rPr>
            </w:pPr>
          </w:p>
        </w:tc>
        <w:tc>
          <w:tcPr>
            <w:tcW w:w="450" w:type="pct"/>
            <w:gridSpan w:val="2"/>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职称</w:t>
            </w:r>
          </w:p>
        </w:tc>
        <w:tc>
          <w:tcPr>
            <w:tcW w:w="1251" w:type="pct"/>
            <w:gridSpan w:val="3"/>
            <w:noWrap w:val="0"/>
            <w:vAlign w:val="center"/>
          </w:tcPr>
          <w:p>
            <w:pPr>
              <w:jc w:val="left"/>
              <w:rPr>
                <w:rFonts w:hint="eastAsia" w:ascii="宋体" w:hAnsi="宋体" w:cs="宋体"/>
                <w:color w:val="auto"/>
                <w:sz w:val="24"/>
                <w:szCs w:val="24"/>
                <w:highlight w:val="none"/>
              </w:rPr>
            </w:pPr>
          </w:p>
        </w:tc>
        <w:tc>
          <w:tcPr>
            <w:tcW w:w="739" w:type="pct"/>
            <w:gridSpan w:val="2"/>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学历</w:t>
            </w:r>
          </w:p>
        </w:tc>
        <w:tc>
          <w:tcPr>
            <w:tcW w:w="859" w:type="pct"/>
            <w:noWrap w:val="0"/>
            <w:vAlign w:val="center"/>
          </w:tcPr>
          <w:p>
            <w:pPr>
              <w:jc w:val="lef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852" w:type="pct"/>
            <w:gridSpan w:val="3"/>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参加工作时间</w:t>
            </w:r>
          </w:p>
        </w:tc>
        <w:tc>
          <w:tcPr>
            <w:tcW w:w="850" w:type="pct"/>
            <w:gridSpan w:val="3"/>
            <w:noWrap w:val="0"/>
            <w:vAlign w:val="center"/>
          </w:tcPr>
          <w:p>
            <w:pPr>
              <w:jc w:val="left"/>
              <w:rPr>
                <w:rFonts w:hint="eastAsia" w:ascii="宋体" w:hAnsi="宋体" w:cs="宋体"/>
                <w:color w:val="auto"/>
                <w:sz w:val="24"/>
                <w:szCs w:val="24"/>
                <w:highlight w:val="none"/>
              </w:rPr>
            </w:pPr>
          </w:p>
        </w:tc>
        <w:tc>
          <w:tcPr>
            <w:tcW w:w="1250" w:type="pct"/>
            <w:gridSpan w:val="2"/>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担任相应职务年限</w:t>
            </w:r>
          </w:p>
        </w:tc>
        <w:tc>
          <w:tcPr>
            <w:tcW w:w="1048" w:type="pct"/>
            <w:gridSpan w:val="2"/>
            <w:noWrap w:val="0"/>
            <w:vAlign w:val="center"/>
          </w:tcPr>
          <w:p>
            <w:pPr>
              <w:jc w:val="lef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852" w:type="pct"/>
            <w:gridSpan w:val="3"/>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148" w:type="pct"/>
            <w:gridSpan w:val="7"/>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月毕业于     学校    系，学制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852" w:type="pct"/>
            <w:gridSpan w:val="3"/>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资格证书号</w:t>
            </w:r>
          </w:p>
        </w:tc>
        <w:tc>
          <w:tcPr>
            <w:tcW w:w="3148" w:type="pct"/>
            <w:gridSpan w:val="7"/>
            <w:noWrap w:val="0"/>
            <w:vAlign w:val="center"/>
          </w:tcPr>
          <w:p>
            <w:pPr>
              <w:jc w:val="lef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5000" w:type="pct"/>
            <w:gridSpan w:val="10"/>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724" w:type="pct"/>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建设单位</w:t>
            </w:r>
          </w:p>
        </w:tc>
        <w:tc>
          <w:tcPr>
            <w:tcW w:w="1128" w:type="pct"/>
            <w:gridSpan w:val="2"/>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50" w:type="pct"/>
            <w:gridSpan w:val="2"/>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建设规模</w:t>
            </w:r>
          </w:p>
        </w:tc>
        <w:tc>
          <w:tcPr>
            <w:tcW w:w="800" w:type="pct"/>
            <w:gridSpan w:val="2"/>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开、竣工日期</w:t>
            </w:r>
          </w:p>
        </w:tc>
        <w:tc>
          <w:tcPr>
            <w:tcW w:w="739" w:type="pct"/>
            <w:gridSpan w:val="2"/>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在建或已完工程质量</w:t>
            </w:r>
          </w:p>
        </w:tc>
        <w:tc>
          <w:tcPr>
            <w:tcW w:w="859" w:type="pct"/>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724" w:type="pct"/>
            <w:noWrap w:val="0"/>
            <w:vAlign w:val="center"/>
          </w:tcPr>
          <w:p>
            <w:pPr>
              <w:jc w:val="left"/>
              <w:rPr>
                <w:rFonts w:hint="eastAsia" w:ascii="宋体" w:hAnsi="宋体" w:cs="宋体"/>
                <w:color w:val="auto"/>
                <w:sz w:val="24"/>
                <w:szCs w:val="24"/>
                <w:highlight w:val="none"/>
              </w:rPr>
            </w:pPr>
          </w:p>
        </w:tc>
        <w:tc>
          <w:tcPr>
            <w:tcW w:w="1128" w:type="pct"/>
            <w:gridSpan w:val="2"/>
            <w:noWrap w:val="0"/>
            <w:vAlign w:val="center"/>
          </w:tcPr>
          <w:p>
            <w:pPr>
              <w:jc w:val="left"/>
              <w:rPr>
                <w:rFonts w:hint="eastAsia" w:ascii="宋体" w:hAnsi="宋体" w:cs="宋体"/>
                <w:color w:val="auto"/>
                <w:sz w:val="24"/>
                <w:szCs w:val="24"/>
                <w:highlight w:val="none"/>
              </w:rPr>
            </w:pPr>
          </w:p>
        </w:tc>
        <w:tc>
          <w:tcPr>
            <w:tcW w:w="750" w:type="pct"/>
            <w:gridSpan w:val="2"/>
            <w:noWrap w:val="0"/>
            <w:vAlign w:val="center"/>
          </w:tcPr>
          <w:p>
            <w:pPr>
              <w:jc w:val="left"/>
              <w:rPr>
                <w:rFonts w:hint="eastAsia" w:ascii="宋体" w:hAnsi="宋体" w:cs="宋体"/>
                <w:color w:val="auto"/>
                <w:sz w:val="24"/>
                <w:szCs w:val="24"/>
                <w:highlight w:val="none"/>
              </w:rPr>
            </w:pPr>
          </w:p>
        </w:tc>
        <w:tc>
          <w:tcPr>
            <w:tcW w:w="800" w:type="pct"/>
            <w:gridSpan w:val="2"/>
            <w:noWrap w:val="0"/>
            <w:vAlign w:val="center"/>
          </w:tcPr>
          <w:p>
            <w:pPr>
              <w:jc w:val="left"/>
              <w:rPr>
                <w:rFonts w:hint="eastAsia" w:ascii="宋体" w:hAnsi="宋体" w:cs="宋体"/>
                <w:color w:val="auto"/>
                <w:sz w:val="24"/>
                <w:szCs w:val="24"/>
                <w:highlight w:val="none"/>
              </w:rPr>
            </w:pPr>
          </w:p>
        </w:tc>
        <w:tc>
          <w:tcPr>
            <w:tcW w:w="739" w:type="pct"/>
            <w:gridSpan w:val="2"/>
            <w:noWrap w:val="0"/>
            <w:vAlign w:val="center"/>
          </w:tcPr>
          <w:p>
            <w:pPr>
              <w:jc w:val="left"/>
              <w:rPr>
                <w:rFonts w:hint="eastAsia" w:ascii="宋体" w:hAnsi="宋体" w:cs="宋体"/>
                <w:color w:val="auto"/>
                <w:sz w:val="24"/>
                <w:szCs w:val="24"/>
                <w:highlight w:val="none"/>
              </w:rPr>
            </w:pPr>
          </w:p>
        </w:tc>
        <w:tc>
          <w:tcPr>
            <w:tcW w:w="859" w:type="pct"/>
            <w:noWrap w:val="0"/>
            <w:vAlign w:val="center"/>
          </w:tcPr>
          <w:p>
            <w:pPr>
              <w:jc w:val="lef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724" w:type="pct"/>
            <w:noWrap w:val="0"/>
            <w:vAlign w:val="center"/>
          </w:tcPr>
          <w:p>
            <w:pPr>
              <w:jc w:val="left"/>
              <w:rPr>
                <w:rFonts w:hint="eastAsia" w:ascii="宋体" w:hAnsi="宋体" w:cs="宋体"/>
                <w:color w:val="auto"/>
                <w:sz w:val="24"/>
                <w:szCs w:val="24"/>
                <w:highlight w:val="none"/>
              </w:rPr>
            </w:pPr>
          </w:p>
        </w:tc>
        <w:tc>
          <w:tcPr>
            <w:tcW w:w="1128" w:type="pct"/>
            <w:gridSpan w:val="2"/>
            <w:noWrap w:val="0"/>
            <w:vAlign w:val="center"/>
          </w:tcPr>
          <w:p>
            <w:pPr>
              <w:jc w:val="left"/>
              <w:rPr>
                <w:rFonts w:hint="eastAsia" w:ascii="宋体" w:hAnsi="宋体" w:cs="宋体"/>
                <w:color w:val="auto"/>
                <w:sz w:val="24"/>
                <w:szCs w:val="24"/>
                <w:highlight w:val="none"/>
              </w:rPr>
            </w:pPr>
          </w:p>
        </w:tc>
        <w:tc>
          <w:tcPr>
            <w:tcW w:w="750" w:type="pct"/>
            <w:gridSpan w:val="2"/>
            <w:noWrap w:val="0"/>
            <w:vAlign w:val="center"/>
          </w:tcPr>
          <w:p>
            <w:pPr>
              <w:jc w:val="left"/>
              <w:rPr>
                <w:rFonts w:hint="eastAsia" w:ascii="宋体" w:hAnsi="宋体" w:cs="宋体"/>
                <w:color w:val="auto"/>
                <w:sz w:val="24"/>
                <w:szCs w:val="24"/>
                <w:highlight w:val="none"/>
              </w:rPr>
            </w:pPr>
          </w:p>
        </w:tc>
        <w:tc>
          <w:tcPr>
            <w:tcW w:w="800" w:type="pct"/>
            <w:gridSpan w:val="2"/>
            <w:noWrap w:val="0"/>
            <w:vAlign w:val="center"/>
          </w:tcPr>
          <w:p>
            <w:pPr>
              <w:jc w:val="left"/>
              <w:rPr>
                <w:rFonts w:hint="eastAsia" w:ascii="宋体" w:hAnsi="宋体" w:cs="宋体"/>
                <w:color w:val="auto"/>
                <w:sz w:val="24"/>
                <w:szCs w:val="24"/>
                <w:highlight w:val="none"/>
              </w:rPr>
            </w:pPr>
          </w:p>
        </w:tc>
        <w:tc>
          <w:tcPr>
            <w:tcW w:w="739" w:type="pct"/>
            <w:gridSpan w:val="2"/>
            <w:noWrap w:val="0"/>
            <w:vAlign w:val="center"/>
          </w:tcPr>
          <w:p>
            <w:pPr>
              <w:jc w:val="left"/>
              <w:rPr>
                <w:rFonts w:hint="eastAsia" w:ascii="宋体" w:hAnsi="宋体" w:cs="宋体"/>
                <w:color w:val="auto"/>
                <w:sz w:val="24"/>
                <w:szCs w:val="24"/>
                <w:highlight w:val="none"/>
              </w:rPr>
            </w:pPr>
          </w:p>
        </w:tc>
        <w:tc>
          <w:tcPr>
            <w:tcW w:w="859" w:type="pct"/>
            <w:noWrap w:val="0"/>
            <w:vAlign w:val="center"/>
          </w:tcPr>
          <w:p>
            <w:pPr>
              <w:jc w:val="left"/>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724" w:type="pct"/>
            <w:noWrap w:val="0"/>
            <w:vAlign w:val="center"/>
          </w:tcPr>
          <w:p>
            <w:pPr>
              <w:jc w:val="left"/>
              <w:rPr>
                <w:rFonts w:hint="eastAsia" w:ascii="宋体" w:hAnsi="宋体" w:cs="宋体"/>
                <w:color w:val="auto"/>
                <w:sz w:val="24"/>
                <w:szCs w:val="24"/>
                <w:highlight w:val="none"/>
              </w:rPr>
            </w:pPr>
          </w:p>
        </w:tc>
        <w:tc>
          <w:tcPr>
            <w:tcW w:w="1128" w:type="pct"/>
            <w:gridSpan w:val="2"/>
            <w:noWrap w:val="0"/>
            <w:vAlign w:val="center"/>
          </w:tcPr>
          <w:p>
            <w:pPr>
              <w:jc w:val="left"/>
              <w:rPr>
                <w:rFonts w:hint="eastAsia" w:ascii="宋体" w:hAnsi="宋体" w:cs="宋体"/>
                <w:color w:val="auto"/>
                <w:sz w:val="24"/>
                <w:szCs w:val="24"/>
                <w:highlight w:val="none"/>
              </w:rPr>
            </w:pPr>
          </w:p>
        </w:tc>
        <w:tc>
          <w:tcPr>
            <w:tcW w:w="750" w:type="pct"/>
            <w:gridSpan w:val="2"/>
            <w:noWrap w:val="0"/>
            <w:vAlign w:val="center"/>
          </w:tcPr>
          <w:p>
            <w:pPr>
              <w:jc w:val="left"/>
              <w:rPr>
                <w:rFonts w:hint="eastAsia" w:ascii="宋体" w:hAnsi="宋体" w:cs="宋体"/>
                <w:color w:val="auto"/>
                <w:sz w:val="24"/>
                <w:szCs w:val="24"/>
                <w:highlight w:val="none"/>
              </w:rPr>
            </w:pPr>
          </w:p>
        </w:tc>
        <w:tc>
          <w:tcPr>
            <w:tcW w:w="800" w:type="pct"/>
            <w:gridSpan w:val="2"/>
            <w:noWrap w:val="0"/>
            <w:vAlign w:val="center"/>
          </w:tcPr>
          <w:p>
            <w:pPr>
              <w:jc w:val="left"/>
              <w:rPr>
                <w:rFonts w:hint="eastAsia" w:ascii="宋体" w:hAnsi="宋体" w:cs="宋体"/>
                <w:color w:val="auto"/>
                <w:sz w:val="24"/>
                <w:szCs w:val="24"/>
                <w:highlight w:val="none"/>
              </w:rPr>
            </w:pPr>
          </w:p>
        </w:tc>
        <w:tc>
          <w:tcPr>
            <w:tcW w:w="739" w:type="pct"/>
            <w:gridSpan w:val="2"/>
            <w:noWrap w:val="0"/>
            <w:vAlign w:val="center"/>
          </w:tcPr>
          <w:p>
            <w:pPr>
              <w:jc w:val="left"/>
              <w:rPr>
                <w:rFonts w:hint="eastAsia" w:ascii="宋体" w:hAnsi="宋体" w:cs="宋体"/>
                <w:color w:val="auto"/>
                <w:sz w:val="24"/>
                <w:szCs w:val="24"/>
                <w:highlight w:val="none"/>
              </w:rPr>
            </w:pPr>
          </w:p>
        </w:tc>
        <w:tc>
          <w:tcPr>
            <w:tcW w:w="859" w:type="pct"/>
            <w:noWrap w:val="0"/>
            <w:vAlign w:val="center"/>
          </w:tcPr>
          <w:p>
            <w:pPr>
              <w:jc w:val="left"/>
              <w:rPr>
                <w:rFonts w:hint="eastAsia" w:ascii="宋体" w:hAnsi="宋体" w:cs="宋体"/>
                <w:color w:val="auto"/>
                <w:sz w:val="24"/>
                <w:szCs w:val="24"/>
                <w:highlight w:val="none"/>
              </w:rPr>
            </w:pPr>
          </w:p>
        </w:tc>
      </w:tr>
    </w:tbl>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pPr>
        <w:topLinePunct/>
        <w:adjustRightInd w:val="0"/>
        <w:snapToGrid w:val="0"/>
        <w:spacing w:line="360" w:lineRule="auto"/>
        <w:ind w:firstLine="3720" w:firstLineChars="15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投标人：　　（盖章）</w:t>
      </w:r>
    </w:p>
    <w:p>
      <w:pPr>
        <w:topLinePunct/>
        <w:adjustRightInd w:val="0"/>
        <w:snapToGrid w:val="0"/>
        <w:spacing w:line="360" w:lineRule="auto"/>
        <w:ind w:firstLine="3720" w:firstLineChars="150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法定代表人或授权代理人(</w:t>
      </w:r>
      <w:r>
        <w:rPr>
          <w:rFonts w:hint="eastAsia" w:ascii="宋体" w:hAnsi="宋体" w:cs="宋体"/>
          <w:color w:val="auto"/>
          <w:spacing w:val="4"/>
          <w:kern w:val="0"/>
          <w:sz w:val="24"/>
          <w:szCs w:val="24"/>
          <w:highlight w:val="none"/>
        </w:rPr>
        <w:t>签字或盖章</w:t>
      </w:r>
      <w:r>
        <w:rPr>
          <w:rFonts w:hint="eastAsia" w:ascii="宋体" w:hAnsi="宋体" w:cs="宋体"/>
          <w:color w:val="auto"/>
          <w:spacing w:val="4"/>
          <w:kern w:val="0"/>
          <w:szCs w:val="21"/>
          <w:highlight w:val="none"/>
        </w:rPr>
        <w:t>)：</w:t>
      </w:r>
    </w:p>
    <w:p>
      <w:pPr>
        <w:spacing w:before="120" w:after="120"/>
        <w:jc w:val="center"/>
        <w:rPr>
          <w:rFonts w:hint="eastAsia" w:ascii="宋体" w:hAnsi="宋体" w:cs="宋体"/>
          <w:b/>
          <w:color w:val="auto"/>
          <w:sz w:val="28"/>
          <w:szCs w:val="28"/>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rPr>
        <w:t xml:space="preserve"> 日   期：    年    月    日</w:t>
      </w:r>
    </w:p>
    <w:p>
      <w:pPr>
        <w:topLinePunct/>
        <w:adjustRightInd w:val="0"/>
        <w:snapToGrid w:val="0"/>
        <w:spacing w:line="360" w:lineRule="auto"/>
        <w:jc w:val="center"/>
        <w:rPr>
          <w:rFonts w:hint="eastAsia" w:ascii="宋体" w:hAnsi="宋体" w:cs="宋体"/>
          <w:b/>
          <w:snapToGrid w:val="0"/>
          <w:color w:val="auto"/>
          <w:spacing w:val="4"/>
          <w:kern w:val="0"/>
          <w:sz w:val="24"/>
          <w:szCs w:val="24"/>
          <w:highlight w:val="none"/>
        </w:rPr>
      </w:pPr>
    </w:p>
    <w:p>
      <w:pPr>
        <w:topLinePunct/>
        <w:adjustRightInd w:val="0"/>
        <w:snapToGrid w:val="0"/>
        <w:spacing w:line="360" w:lineRule="auto"/>
        <w:jc w:val="center"/>
        <w:rPr>
          <w:rFonts w:hint="eastAsia" w:ascii="宋体" w:hAnsi="宋体" w:cs="宋体"/>
          <w:b/>
          <w:snapToGrid w:val="0"/>
          <w:color w:val="auto"/>
          <w:spacing w:val="4"/>
          <w:kern w:val="0"/>
          <w:sz w:val="24"/>
          <w:szCs w:val="24"/>
          <w:highlight w:val="none"/>
        </w:rPr>
      </w:pPr>
    </w:p>
    <w:p>
      <w:pPr>
        <w:topLinePunct/>
        <w:adjustRightInd w:val="0"/>
        <w:snapToGrid w:val="0"/>
        <w:spacing w:before="156" w:beforeLines="50" w:after="156" w:afterLines="50" w:line="360" w:lineRule="auto"/>
        <w:jc w:val="left"/>
        <w:outlineLvl w:val="2"/>
        <w:rPr>
          <w:rFonts w:hint="eastAsia" w:ascii="宋体" w:hAnsi="宋体" w:cs="宋体"/>
          <w:snapToGrid w:val="0"/>
          <w:color w:val="auto"/>
          <w:spacing w:val="4"/>
          <w:kern w:val="0"/>
          <w:sz w:val="24"/>
          <w:szCs w:val="24"/>
          <w:highlight w:val="none"/>
        </w:rPr>
      </w:pPr>
      <w:bookmarkStart w:id="31" w:name="_Toc14291"/>
      <w:r>
        <w:rPr>
          <w:rFonts w:hint="eastAsia" w:ascii="宋体" w:hAnsi="宋体" w:cs="宋体"/>
          <w:snapToGrid w:val="0"/>
          <w:color w:val="auto"/>
          <w:spacing w:val="4"/>
          <w:kern w:val="0"/>
          <w:sz w:val="24"/>
          <w:szCs w:val="24"/>
          <w:highlight w:val="none"/>
        </w:rPr>
        <w:br w:type="page"/>
      </w:r>
      <w:r>
        <w:rPr>
          <w:rFonts w:hint="eastAsia" w:ascii="宋体" w:hAnsi="宋体" w:cs="宋体"/>
          <w:snapToGrid w:val="0"/>
          <w:color w:val="auto"/>
          <w:spacing w:val="4"/>
          <w:kern w:val="0"/>
          <w:sz w:val="24"/>
          <w:szCs w:val="24"/>
          <w:highlight w:val="none"/>
        </w:rPr>
        <w:t>格式</w:t>
      </w:r>
      <w:bookmarkEnd w:id="29"/>
      <w:bookmarkEnd w:id="30"/>
      <w:r>
        <w:rPr>
          <w:rFonts w:hint="eastAsia" w:ascii="宋体" w:hAnsi="宋体" w:cs="宋体"/>
          <w:snapToGrid w:val="0"/>
          <w:color w:val="auto"/>
          <w:spacing w:val="4"/>
          <w:kern w:val="0"/>
          <w:sz w:val="24"/>
          <w:szCs w:val="24"/>
          <w:highlight w:val="none"/>
        </w:rPr>
        <w:t>六：</w:t>
      </w:r>
      <w:bookmarkEnd w:id="31"/>
    </w:p>
    <w:p>
      <w:pPr>
        <w:tabs>
          <w:tab w:val="left" w:pos="720"/>
        </w:tabs>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标函承诺书</w:t>
      </w:r>
    </w:p>
    <w:p>
      <w:pPr>
        <w:pStyle w:val="311"/>
        <w:spacing w:line="360" w:lineRule="auto"/>
        <w:ind w:left="369" w:leftChars="101" w:hanging="127" w:hangingChars="53"/>
        <w:jc w:val="left"/>
        <w:rPr>
          <w:rFonts w:hint="eastAsia" w:ascii="宋体" w:hAnsi="宋体" w:eastAsia="宋体" w:cs="宋体"/>
          <w:color w:val="auto"/>
          <w:sz w:val="24"/>
          <w:szCs w:val="24"/>
          <w:highlight w:val="none"/>
          <w:u w:val="single"/>
        </w:rPr>
      </w:pPr>
    </w:p>
    <w:p>
      <w:pPr>
        <w:pStyle w:val="311"/>
        <w:spacing w:line="360" w:lineRule="auto"/>
        <w:ind w:left="369" w:leftChars="101" w:hanging="127" w:hangingChars="53"/>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致：中新广州知识城财政投资建设项目管理中心</w:t>
      </w:r>
    </w:p>
    <w:p>
      <w:pPr>
        <w:pStyle w:val="311"/>
        <w:spacing w:line="360" w:lineRule="auto"/>
        <w:ind w:left="410" w:leftChars="171"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如果在本招标工程中我司中标，我司将积极响应贵单位提出的合同条件及招标文件的要求，并做出如下承诺：</w:t>
      </w:r>
    </w:p>
    <w:p>
      <w:pPr>
        <w:pStyle w:val="311"/>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1、若我公司中标，我公司承诺按时交纳履约保证金。</w:t>
      </w:r>
    </w:p>
    <w:p>
      <w:pPr>
        <w:pStyle w:val="311"/>
        <w:spacing w:after="156" w:afterLines="50"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2、在本工程施工期间，拟投入的人力不少于下表中的人数</w:t>
      </w:r>
    </w:p>
    <w:tbl>
      <w:tblPr>
        <w:tblStyle w:val="49"/>
        <w:tblW w:w="0" w:type="auto"/>
        <w:tblInd w:w="1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pStyle w:val="345"/>
              <w:spacing w:line="240" w:lineRule="auto"/>
              <w:ind w:firstLine="420" w:firstLineChars="200"/>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工种</w:t>
            </w: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r>
              <w:rPr>
                <w:rFonts w:hint="eastAsia" w:ascii="宋体" w:hAnsi="宋体" w:cs="宋体"/>
                <w:color w:val="auto"/>
                <w:szCs w:val="21"/>
                <w:highlight w:val="none"/>
                <w:u w:val="single"/>
              </w:rPr>
              <w:t>施工低峰期数量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left="-482" w:leftChars="-201" w:firstLine="48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360"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noWrap w:val="0"/>
            <w:vAlign w:val="center"/>
          </w:tcPr>
          <w:p>
            <w:pPr>
              <w:ind w:firstLine="480" w:firstLineChars="200"/>
              <w:jc w:val="center"/>
              <w:rPr>
                <w:rFonts w:hint="eastAsia" w:ascii="宋体" w:hAnsi="宋体" w:cs="宋体"/>
                <w:color w:val="auto"/>
                <w:kern w:val="0"/>
                <w:szCs w:val="21"/>
                <w:highlight w:val="none"/>
                <w:u w:val="single"/>
              </w:rPr>
            </w:pPr>
          </w:p>
        </w:tc>
      </w:tr>
    </w:tbl>
    <w:p>
      <w:pPr>
        <w:pStyle w:val="311"/>
        <w:spacing w:before="156" w:beforeLines="50" w:after="156" w:afterLines="50"/>
        <w:ind w:left="504" w:leftChars="210" w:firstLine="480" w:firstLineChars="200"/>
        <w:jc w:val="left"/>
        <w:rPr>
          <w:rFonts w:hint="eastAsia" w:ascii="宋体" w:hAnsi="宋体" w:eastAsia="宋体" w:cs="宋体"/>
          <w:color w:val="auto"/>
          <w:sz w:val="24"/>
          <w:szCs w:val="24"/>
          <w:highlight w:val="none"/>
          <w:u w:val="single"/>
        </w:rPr>
      </w:pPr>
    </w:p>
    <w:p>
      <w:pPr>
        <w:pStyle w:val="311"/>
        <w:spacing w:before="156" w:beforeLines="50" w:after="156" w:afterLines="50"/>
        <w:ind w:left="504" w:leftChars="210"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3、在工程施工期间，拟投入的主要机械设备按按投标文件所附的《拟投入本工程施工的主要机械设备配备表》。</w:t>
      </w:r>
    </w:p>
    <w:p>
      <w:pPr>
        <w:pStyle w:val="311"/>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4、所选用的主要材料品牌符合招标文件的要求。</w:t>
      </w:r>
    </w:p>
    <w:p>
      <w:pPr>
        <w:pStyle w:val="311"/>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5、拟投入到本工程的主要技术人员、经济和管理人员按投标文件所附的《投入主要人员汇总表》。</w:t>
      </w:r>
    </w:p>
    <w:p>
      <w:pPr>
        <w:pStyle w:val="311"/>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p>
      <w:pPr>
        <w:pStyle w:val="311"/>
        <w:spacing w:line="360" w:lineRule="auto"/>
        <w:ind w:left="360"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我公司保证拟派项目负责人应符合《广州市住房和城乡建设局关于加强建筑工程项目负责人管理的通知》（穗建规字〔2020〕32号）文的要求，将严格按照招标文件要求，自签订合同之日起至工程竣工验收将常驻现场，严格按照有关工程项目管理的要求进行项目管理，如果不能够按照此要求实施，我方自愿接受贵中心的处罚措施。</w:t>
      </w:r>
    </w:p>
    <w:p>
      <w:pPr>
        <w:pStyle w:val="311"/>
        <w:spacing w:line="360" w:lineRule="auto"/>
        <w:ind w:left="360"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7、本工程施工过程中，我司将严格按照国家、省、市有关施工及验收规范、标准进行施工，确保本工程质量达到  （要按本工程投标文件承诺的等级填写）等级。</w:t>
      </w:r>
    </w:p>
    <w:p>
      <w:pPr>
        <w:pStyle w:val="311"/>
        <w:spacing w:line="360" w:lineRule="auto"/>
        <w:ind w:left="360"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8、在确保工程质量的前提下，我司严格控制工程工期，确保工程在      天内完成。</w:t>
      </w:r>
    </w:p>
    <w:p>
      <w:pPr>
        <w:pStyle w:val="311"/>
        <w:spacing w:line="360" w:lineRule="auto"/>
        <w:ind w:left="360"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pPr>
        <w:pStyle w:val="311"/>
        <w:spacing w:line="360" w:lineRule="auto"/>
        <w:ind w:left="360" w:leftChars="15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10、按照发包人、监理工程师的要求及时为各专业工程（电信、电力管线、电力走廊、煤气、道路绿化、路灯、交通设施等）提供工作面，并为专业工程穿插施工所需各项配合工作给予方便。</w:t>
      </w:r>
    </w:p>
    <w:p>
      <w:pPr>
        <w:spacing w:line="360" w:lineRule="auto"/>
        <w:ind w:left="360" w:leftChars="15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Style w:val="49"/>
        <w:tblW w:w="8573"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857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必须分包的专业工程内容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ind w:left="-120" w:leftChars="-50" w:firstLine="103" w:firstLineChars="43"/>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序号</w:t>
            </w:r>
          </w:p>
        </w:tc>
        <w:tc>
          <w:tcPr>
            <w:tcW w:w="752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u w:val="single"/>
              </w:rPr>
            </w:pPr>
          </w:p>
        </w:tc>
      </w:tr>
    </w:tbl>
    <w:p>
      <w:pPr>
        <w:tabs>
          <w:tab w:val="left" w:pos="315"/>
        </w:tabs>
        <w:spacing w:line="360" w:lineRule="auto"/>
        <w:ind w:left="318"/>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12、我司保证在中标后，严格按照 《广州市住房和城乡建设委员会关于印发&lt;广州市建筑施工实名制管理办法&gt;的通知》（穗建规字[2017]4号）、《关于印发广州市建设领域工人工资支付分帐管理实施细则的通知》（穗建规字[2017]10号）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pPr>
        <w:tabs>
          <w:tab w:val="left" w:pos="315"/>
        </w:tabs>
        <w:spacing w:line="360" w:lineRule="auto"/>
        <w:ind w:left="318"/>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13、我司保证在中标后，根据工程特点，编制本工程详细的施工组织设计和施工方案，并报监理和发包人审核批准，并严格按审批的意见和要求组织施工。</w:t>
      </w:r>
    </w:p>
    <w:p>
      <w:pPr>
        <w:spacing w:line="360" w:lineRule="auto"/>
        <w:ind w:left="318"/>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14、我司承诺积极响应并接受招标文件中合同专用专款关于合同价款的调整办法。</w:t>
      </w:r>
    </w:p>
    <w:p>
      <w:pPr>
        <w:pStyle w:val="283"/>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15、我司保证在中标后，施工现场严格按照《广州市建设工程现场文明施工管理办法》（</w:t>
      </w:r>
      <w:r>
        <w:rPr>
          <w:rFonts w:hint="eastAsia" w:ascii="宋体" w:hAnsi="宋体"/>
          <w:bCs/>
          <w:smallCaps/>
          <w:color w:val="auto"/>
          <w:sz w:val="24"/>
          <w:szCs w:val="24"/>
          <w:highlight w:val="none"/>
          <w:u w:val="single"/>
        </w:rPr>
        <w:t>穗建质[2008]937号）</w:t>
      </w:r>
      <w:r>
        <w:rPr>
          <w:rFonts w:hint="eastAsia" w:ascii="宋体" w:hAnsi="宋体"/>
          <w:color w:val="auto"/>
          <w:sz w:val="24"/>
          <w:szCs w:val="24"/>
          <w:highlight w:val="none"/>
          <w:u w:val="single"/>
        </w:rPr>
        <w:t>、《关于进一步加强我区建设工地文明施工管理的通知》（穗开规建[2006]74号）及其他相关规定实施，施工围蔽严格按照《关于进一步加强规范建设施工现场围蔽的通知》（穗建质[2008]1008号）、</w:t>
      </w:r>
      <w:r>
        <w:rPr>
          <w:rFonts w:hint="eastAsia" w:ascii="宋体" w:hAnsi="宋体"/>
          <w:color w:val="auto"/>
          <w:sz w:val="24"/>
          <w:szCs w:val="24"/>
          <w:highlight w:val="none"/>
        </w:rPr>
        <w:t>广州市建委</w:t>
      </w:r>
      <w:r>
        <w:rPr>
          <w:rFonts w:hint="eastAsia" w:ascii="宋体" w:hAnsi="宋体"/>
          <w:color w:val="auto"/>
          <w:sz w:val="24"/>
          <w:szCs w:val="24"/>
          <w:highlight w:val="none"/>
          <w:u w:val="single"/>
        </w:rPr>
        <w:t>《关于完善广州市建设工程施工围蔽管理提升设施技术要求和标准图集的通知》（穗建质【2016】1085号）、《关于进一步提升黄埔区广州开发区建设工程施工围蔽管理的通知》（穗开建</w:t>
      </w:r>
      <w:r>
        <w:rPr>
          <w:rFonts w:ascii="宋体" w:hAnsi="宋体"/>
          <w:color w:val="auto"/>
          <w:sz w:val="24"/>
          <w:szCs w:val="24"/>
          <w:highlight w:val="none"/>
          <w:u w:val="single"/>
        </w:rPr>
        <w:t>[ 2017]2号）、《关于进一步提升中新广州知识城建设工程施工围蔽管理的通知》（穗开建环知函〔2017〕127号）、</w:t>
      </w:r>
      <w:r>
        <w:rPr>
          <w:rFonts w:hint="eastAsia" w:ascii="宋体" w:hAnsi="宋体"/>
          <w:color w:val="auto"/>
          <w:sz w:val="24"/>
          <w:szCs w:val="24"/>
          <w:highlight w:val="none"/>
          <w:u w:val="single"/>
        </w:rPr>
        <w:t>广州开发区建设和交通局《关于在全区建设项目推广使用封闭式外脚手架金属防护网的通知》（房建工程及桥梁工程要求使用）、广州市住房和城乡建设委员会关于《广州市建设工程绿色施工围蔽指导图集</w:t>
      </w:r>
      <w:r>
        <w:rPr>
          <w:rFonts w:ascii="宋体" w:hAnsi="宋体"/>
          <w:color w:val="auto"/>
          <w:sz w:val="24"/>
          <w:szCs w:val="24"/>
          <w:highlight w:val="none"/>
          <w:u w:val="single"/>
        </w:rPr>
        <w:t>(V2.0拭行版 )》(穂建质〔 2020〕1号)及《广州市住房和城乡建设委员会关于印发建设工程扬尘防治“6个100%”管理标准细化措施的通知》（穗建质〔2018〕1394号）的相关文件要求</w:t>
      </w:r>
      <w:r>
        <w:rPr>
          <w:rFonts w:hint="eastAsia" w:ascii="宋体" w:hAnsi="宋体"/>
          <w:color w:val="auto"/>
          <w:sz w:val="24"/>
          <w:szCs w:val="24"/>
          <w:highlight w:val="none"/>
          <w:u w:val="single"/>
        </w:rPr>
        <w:t>实施。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pPr>
        <w:spacing w:line="360" w:lineRule="auto"/>
        <w:ind w:left="318"/>
        <w:rPr>
          <w:rFonts w:hint="eastAsia" w:ascii="宋体" w:hAnsi="宋体" w:cs="宋体"/>
          <w:color w:val="auto"/>
          <w:sz w:val="24"/>
          <w:szCs w:val="24"/>
          <w:highlight w:val="none"/>
          <w:u w:val="single"/>
        </w:rPr>
      </w:pPr>
    </w:p>
    <w:p>
      <w:pPr>
        <w:pStyle w:val="311"/>
        <w:spacing w:line="360" w:lineRule="auto"/>
        <w:ind w:firstLine="5040" w:firstLineChars="2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投标单位：（公章）</w:t>
      </w:r>
    </w:p>
    <w:p>
      <w:pPr>
        <w:pStyle w:val="311"/>
        <w:spacing w:line="360" w:lineRule="auto"/>
        <w:ind w:firstLine="5040" w:firstLineChars="21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法人代表：（签名或盖章）</w:t>
      </w:r>
    </w:p>
    <w:p>
      <w:pPr>
        <w:pStyle w:val="311"/>
        <w:spacing w:line="360" w:lineRule="auto"/>
        <w:ind w:right="560"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Style w:val="311"/>
        <w:spacing w:line="360" w:lineRule="auto"/>
        <w:jc w:val="left"/>
        <w:rPr>
          <w:rFonts w:hint="eastAsia" w:ascii="宋体" w:hAnsi="宋体" w:eastAsia="宋体" w:cs="宋体"/>
          <w:color w:val="auto"/>
          <w:sz w:val="24"/>
          <w:szCs w:val="24"/>
          <w:highlight w:val="none"/>
          <w:u w:val="single"/>
        </w:rPr>
      </w:pPr>
    </w:p>
    <w:p>
      <w:pPr>
        <w:tabs>
          <w:tab w:val="left" w:pos="720"/>
        </w:tabs>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标函承诺书作为投标文件的“实质性响应”文件，投标人应如实填写，中标后必须按填报内容如期实施，否则按“弄虚作假骗取中标”处理。中标后，工程的监理单位将经常核验投标人是否按填报内容实施，行政管理机构也将随时抽查。</w:t>
      </w:r>
    </w:p>
    <w:p>
      <w:pPr>
        <w:topLinePunct/>
        <w:adjustRightInd w:val="0"/>
        <w:snapToGrid w:val="0"/>
        <w:spacing w:before="156" w:beforeLines="50" w:after="156" w:afterLines="50" w:line="360" w:lineRule="auto"/>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32" w:name="_Toc12019"/>
      <w:r>
        <w:rPr>
          <w:rFonts w:hint="eastAsia" w:ascii="宋体" w:hAnsi="宋体" w:cs="宋体"/>
          <w:snapToGrid w:val="0"/>
          <w:color w:val="auto"/>
          <w:spacing w:val="4"/>
          <w:kern w:val="0"/>
          <w:sz w:val="24"/>
          <w:szCs w:val="24"/>
          <w:highlight w:val="none"/>
        </w:rPr>
        <w:t>格式七：</w:t>
      </w:r>
      <w:bookmarkEnd w:id="32"/>
    </w:p>
    <w:p>
      <w:pPr>
        <w:pStyle w:val="48"/>
        <w:spacing w:after="0" w:line="336" w:lineRule="auto"/>
        <w:ind w:left="-2" w:leftChars="-1" w:firstLine="422" w:firstLineChars="175"/>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项目负责人驻场承诺书</w:t>
      </w:r>
    </w:p>
    <w:p>
      <w:pPr>
        <w:pStyle w:val="48"/>
        <w:spacing w:after="0" w:line="336" w:lineRule="auto"/>
        <w:ind w:left="-2" w:leftChars="-1" w:firstLineChars="175"/>
        <w:jc w:val="center"/>
        <w:rPr>
          <w:rFonts w:hint="eastAsia" w:ascii="宋体" w:hAnsi="宋体" w:cs="宋体"/>
          <w:color w:val="auto"/>
          <w:sz w:val="24"/>
          <w:szCs w:val="24"/>
          <w:highlight w:val="none"/>
          <w:u w:val="single"/>
        </w:rPr>
      </w:pPr>
    </w:p>
    <w:p>
      <w:pPr>
        <w:spacing w:line="336"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致（业主/监理）                                           ：</w:t>
      </w:r>
    </w:p>
    <w:p>
      <w:pPr>
        <w:spacing w:line="336" w:lineRule="auto"/>
        <w:rPr>
          <w:rFonts w:hint="eastAsia" w:ascii="宋体" w:hAnsi="宋体" w:cs="宋体"/>
          <w:color w:val="auto"/>
          <w:sz w:val="24"/>
          <w:szCs w:val="24"/>
          <w:highlight w:val="none"/>
          <w:u w:val="single"/>
        </w:rPr>
      </w:pPr>
    </w:p>
    <w:p>
      <w:pPr>
        <w:spacing w:line="336" w:lineRule="auto"/>
        <w:ind w:firstLine="523" w:firstLineChars="218"/>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本人（姓名）              ，项目负责人证书注册编号：                       </w:t>
      </w:r>
    </w:p>
    <w:p>
      <w:pPr>
        <w:spacing w:line="336" w:lineRule="auto"/>
        <w:ind w:left="1"/>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受（投标人）                                                              委派，拟在（项目名称）                                                   担任项目负责人一职。为加强本工程项目管理，保证我公司在中标后严格履行与业主签定的工程建设承包合同，圆满的完成本项工程，我愿就此做出以下承诺；</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2．如果本招标工程我公司中标，我本人保证在工程签订合同之日起至工程竣工验收完成期间只担任此工程的项目经理，不参加其他任何工程的报名和任何工作，不在其他任何工程担任本职务。</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相关主管部门并接受上述部门给予的通报和相关职能部门给予的扣证等处罚。</w:t>
      </w:r>
    </w:p>
    <w:p>
      <w:pPr>
        <w:spacing w:line="336"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4．项目负责人本人身份证复印件和两寸相片：</w:t>
      </w:r>
    </w:p>
    <w:p>
      <w:pPr>
        <w:spacing w:line="336" w:lineRule="auto"/>
        <w:rPr>
          <w:rFonts w:hint="eastAsia" w:ascii="宋体" w:hAnsi="宋体" w:cs="宋体"/>
          <w:color w:val="auto"/>
          <w:sz w:val="24"/>
          <w:szCs w:val="24"/>
          <w:highlight w:val="none"/>
          <w:u w:val="single"/>
        </w:rPr>
      </w:pPr>
    </w:p>
    <w:tbl>
      <w:tblPr>
        <w:tblStyle w:val="4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6043" w:type="dxa"/>
            <w:tcBorders>
              <w:top w:val="single" w:color="auto" w:sz="4" w:space="0"/>
              <w:left w:val="single" w:color="auto" w:sz="4" w:space="0"/>
              <w:bottom w:val="single" w:color="auto" w:sz="4" w:space="0"/>
              <w:right w:val="single" w:color="auto" w:sz="4" w:space="0"/>
            </w:tcBorders>
            <w:noWrap w:val="0"/>
            <w:vAlign w:val="top"/>
          </w:tcPr>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身份证复印件</w:t>
            </w:r>
          </w:p>
        </w:tc>
        <w:tc>
          <w:tcPr>
            <w:tcW w:w="2492" w:type="dxa"/>
            <w:tcBorders>
              <w:top w:val="single" w:color="auto" w:sz="4" w:space="0"/>
              <w:left w:val="single" w:color="auto" w:sz="4" w:space="0"/>
              <w:bottom w:val="single" w:color="auto" w:sz="4" w:space="0"/>
              <w:right w:val="single" w:color="auto" w:sz="4" w:space="0"/>
            </w:tcBorders>
            <w:noWrap w:val="0"/>
            <w:vAlign w:val="top"/>
          </w:tcPr>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p>
          <w:p>
            <w:pPr>
              <w:spacing w:line="336" w:lineRule="auto"/>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相片</w:t>
            </w:r>
          </w:p>
        </w:tc>
      </w:tr>
    </w:tbl>
    <w:p>
      <w:pPr>
        <w:spacing w:line="336" w:lineRule="auto"/>
        <w:ind w:firstLine="3840" w:firstLineChars="16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投标人：（盖章）</w:t>
      </w:r>
    </w:p>
    <w:p>
      <w:pPr>
        <w:spacing w:line="336" w:lineRule="auto"/>
        <w:ind w:firstLine="3840" w:firstLineChars="16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项目负责人签名：                 </w:t>
      </w:r>
    </w:p>
    <w:p>
      <w:pPr>
        <w:tabs>
          <w:tab w:val="left" w:pos="720"/>
        </w:tabs>
        <w:snapToGrid w:val="0"/>
        <w:spacing w:line="336" w:lineRule="auto"/>
        <w:jc w:val="righ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年   月    日</w:t>
      </w:r>
    </w:p>
    <w:p>
      <w:pPr>
        <w:pStyle w:val="101"/>
        <w:ind w:firstLine="0" w:firstLineChars="0"/>
        <w:rPr>
          <w:rFonts w:hint="eastAsia" w:cs="宋体"/>
          <w:color w:val="auto"/>
          <w:highlight w:val="none"/>
        </w:rPr>
      </w:pPr>
      <w:r>
        <w:rPr>
          <w:rFonts w:hint="eastAsia" w:cs="宋体"/>
          <w:color w:val="auto"/>
          <w:highlight w:val="none"/>
        </w:rPr>
        <w:t>格式</w:t>
      </w:r>
      <w:r>
        <w:rPr>
          <w:rFonts w:hint="eastAsia" w:eastAsia="宋体" w:cs="宋体"/>
          <w:color w:val="auto"/>
          <w:highlight w:val="none"/>
          <w:lang w:val="en-US" w:eastAsia="zh-CN"/>
        </w:rPr>
        <w:t>八</w:t>
      </w:r>
      <w:r>
        <w:rPr>
          <w:rFonts w:hint="eastAsia" w:cs="宋体"/>
          <w:color w:val="auto"/>
          <w:highlight w:val="none"/>
        </w:rPr>
        <w:t>：</w:t>
      </w:r>
    </w:p>
    <w:p>
      <w:pPr>
        <w:pStyle w:val="232"/>
        <w:ind w:firstLine="617"/>
        <w:rPr>
          <w:rFonts w:hint="eastAsia" w:eastAsia="宋体" w:cs="宋体"/>
          <w:color w:val="auto"/>
          <w:sz w:val="24"/>
          <w:szCs w:val="24"/>
          <w:highlight w:val="none"/>
        </w:rPr>
      </w:pPr>
      <w:r>
        <w:rPr>
          <w:rFonts w:hint="eastAsia" w:eastAsia="宋体" w:cs="宋体"/>
          <w:color w:val="auto"/>
          <w:sz w:val="24"/>
          <w:szCs w:val="24"/>
          <w:highlight w:val="none"/>
        </w:rPr>
        <w:t>参与编制技术标投标文件人员名单</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bl>
    <w:p>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注：参与编制技术标书所有人员名单应包括如编制技术投标方案、负责清样校对、负责打印及复印等所有人员在内的人员名单。</w:t>
      </w: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autoSpaceDE w:val="0"/>
        <w:autoSpaceDN w:val="0"/>
        <w:adjustRightInd w:val="0"/>
        <w:spacing w:line="360" w:lineRule="auto"/>
        <w:rPr>
          <w:rFonts w:hint="eastAsia" w:ascii="宋体" w:hAnsi="宋体" w:cs="宋体"/>
          <w:bCs/>
          <w:color w:val="auto"/>
          <w:sz w:val="24"/>
          <w:szCs w:val="24"/>
          <w:highlight w:val="none"/>
        </w:rPr>
      </w:pPr>
    </w:p>
    <w:p>
      <w:pPr>
        <w:pStyle w:val="101"/>
        <w:ind w:firstLine="0" w:firstLineChars="0"/>
        <w:rPr>
          <w:rFonts w:hint="eastAsia" w:cs="宋体"/>
          <w:bCs/>
          <w:color w:val="auto"/>
          <w:highlight w:val="none"/>
        </w:rPr>
      </w:pPr>
    </w:p>
    <w:p>
      <w:pPr>
        <w:autoSpaceDE w:val="0"/>
        <w:autoSpaceDN w:val="0"/>
        <w:adjustRightInd w:val="0"/>
        <w:spacing w:line="360" w:lineRule="auto"/>
        <w:rPr>
          <w:rFonts w:hint="eastAsia" w:ascii="宋体" w:hAnsi="宋体" w:cs="宋体"/>
          <w:b/>
          <w:bCs/>
          <w:color w:val="auto"/>
          <w:sz w:val="28"/>
          <w:szCs w:val="28"/>
          <w:highlight w:val="none"/>
          <w:lang w:val="zh-CN"/>
        </w:rPr>
      </w:pPr>
      <w:r>
        <w:rPr>
          <w:rFonts w:hint="eastAsia" w:ascii="宋体" w:hAnsi="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九</w:t>
      </w:r>
      <w:r>
        <w:rPr>
          <w:rFonts w:hint="eastAsia" w:ascii="宋体" w:hAnsi="宋体" w:cs="宋体"/>
          <w:b/>
          <w:color w:val="auto"/>
          <w:sz w:val="28"/>
          <w:szCs w:val="28"/>
          <w:highlight w:val="none"/>
        </w:rPr>
        <w:t>：</w:t>
      </w:r>
    </w:p>
    <w:p>
      <w:pPr>
        <w:autoSpaceDE w:val="0"/>
        <w:autoSpaceDN w:val="0"/>
        <w:adjustRightInd w:val="0"/>
        <w:spacing w:line="360" w:lineRule="auto"/>
        <w:jc w:val="right"/>
        <w:rPr>
          <w:rFonts w:hint="eastAsia" w:ascii="宋体" w:hAnsi="宋体" w:cs="宋体"/>
          <w:b/>
          <w:color w:val="auto"/>
          <w:sz w:val="28"/>
          <w:szCs w:val="28"/>
          <w:highlight w:val="none"/>
        </w:rPr>
      </w:pPr>
    </w:p>
    <w:p>
      <w:pPr>
        <w:autoSpaceDE w:val="0"/>
        <w:autoSpaceDN w:val="0"/>
        <w:adjustRightIn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拟投入本工程施工的主要机械设备配备表</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2856"/>
        <w:gridCol w:w="2024"/>
        <w:gridCol w:w="1559"/>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序</w:t>
            </w:r>
          </w:p>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号</w:t>
            </w: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设备名称</w:t>
            </w: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投入总数量</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来源</w:t>
            </w:r>
          </w:p>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(自有/</w:t>
            </w:r>
          </w:p>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租赁)</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c>
          <w:tcPr>
            <w:tcW w:w="1545" w:type="dxa"/>
            <w:tcBorders>
              <w:top w:val="single" w:color="auto" w:sz="4" w:space="0"/>
              <w:left w:val="single" w:color="auto" w:sz="4" w:space="0"/>
              <w:right w:val="single" w:color="auto" w:sz="4" w:space="0"/>
            </w:tcBorders>
            <w:noWrap w:val="0"/>
            <w:vAlign w:val="center"/>
          </w:tcPr>
          <w:p>
            <w:pPr>
              <w:spacing w:line="240" w:lineRule="exact"/>
              <w:jc w:val="center"/>
              <w:textAlignment w:val="center"/>
              <w:rPr>
                <w:rFonts w:hint="eastAsia" w:ascii="宋体" w:hAnsi="宋体" w:cs="宋体"/>
                <w:color w:val="auto"/>
                <w:szCs w:val="21"/>
                <w:highlight w:val="none"/>
              </w:rPr>
            </w:pPr>
          </w:p>
        </w:tc>
      </w:tr>
    </w:tbl>
    <w:p>
      <w:pPr>
        <w:tabs>
          <w:tab w:val="left" w:pos="720"/>
        </w:tabs>
        <w:snapToGrid w:val="0"/>
        <w:spacing w:line="360" w:lineRule="auto"/>
        <w:rPr>
          <w:rFonts w:hint="eastAsia" w:ascii="宋体" w:hAnsi="宋体" w:cs="宋体"/>
          <w:color w:val="auto"/>
          <w:highlight w:val="none"/>
        </w:rPr>
      </w:pPr>
    </w:p>
    <w:p>
      <w:pPr>
        <w:tabs>
          <w:tab w:val="left" w:pos="720"/>
        </w:tabs>
        <w:snapToGrid w:val="0"/>
        <w:spacing w:line="360" w:lineRule="auto"/>
        <w:rPr>
          <w:rFonts w:hint="eastAsia"/>
          <w:color w:val="auto"/>
          <w:highlight w:val="none"/>
        </w:rPr>
      </w:pPr>
      <w:r>
        <w:rPr>
          <w:rFonts w:hint="eastAsia"/>
          <w:color w:val="auto"/>
          <w:highlight w:val="none"/>
        </w:rPr>
        <w:t>注：</w:t>
      </w:r>
    </w:p>
    <w:p>
      <w:pPr>
        <w:numPr>
          <w:ilvl w:val="0"/>
          <w:numId w:val="9"/>
        </w:numPr>
        <w:tabs>
          <w:tab w:val="left" w:pos="720"/>
          <w:tab w:val="clear" w:pos="312"/>
        </w:tabs>
        <w:snapToGrid w:val="0"/>
        <w:spacing w:line="360" w:lineRule="auto"/>
        <w:rPr>
          <w:rFonts w:hint="eastAsia"/>
          <w:color w:val="auto"/>
          <w:highlight w:val="none"/>
        </w:rPr>
      </w:pPr>
      <w:r>
        <w:rPr>
          <w:rFonts w:hint="eastAsia"/>
          <w:color w:val="auto"/>
          <w:highlight w:val="none"/>
        </w:rPr>
        <w:t>设备名称及要求数量由投标人视本工程具体情况结合招标人对本工程的具体要求自行配备，一旦中标，必须全部到位，否则按合同相关约定执行。</w:t>
      </w:r>
    </w:p>
    <w:p>
      <w:pPr>
        <w:numPr>
          <w:ilvl w:val="0"/>
          <w:numId w:val="9"/>
        </w:numPr>
        <w:tabs>
          <w:tab w:val="left" w:pos="720"/>
          <w:tab w:val="clear" w:pos="312"/>
        </w:tabs>
        <w:snapToGrid w:val="0"/>
        <w:spacing w:line="360" w:lineRule="auto"/>
        <w:rPr>
          <w:rFonts w:hint="eastAsia"/>
          <w:color w:val="auto"/>
          <w:highlight w:val="none"/>
        </w:rPr>
      </w:pPr>
      <w:r>
        <w:rPr>
          <w:rFonts w:ascii="宋体" w:hAnsi="宋体" w:cs="宋体"/>
          <w:color w:val="auto"/>
          <w:sz w:val="24"/>
          <w:szCs w:val="24"/>
          <w:highlight w:val="none"/>
        </w:rPr>
        <w:t>为贯彻绿色发展理念，本项目鼓励投标人积极使用新能源建筑垃圾自卸车（渣土车）等新能源工程车及其他节能环保施工设备。</w:t>
      </w:r>
    </w:p>
    <w:p>
      <w:pPr>
        <w:tabs>
          <w:tab w:val="left" w:pos="720"/>
        </w:tabs>
        <w:snapToGrid w:val="0"/>
        <w:spacing w:line="360" w:lineRule="auto"/>
        <w:rPr>
          <w:rFonts w:hint="eastAsia" w:ascii="宋体" w:hAnsi="宋体" w:cs="宋体"/>
          <w:b/>
          <w:color w:val="auto"/>
          <w:szCs w:val="21"/>
          <w:highlight w:val="none"/>
        </w:rPr>
      </w:pPr>
    </w:p>
    <w:p>
      <w:pPr>
        <w:ind w:right="-149" w:rightChars="-62"/>
        <w:rPr>
          <w:rFonts w:hint="eastAsia" w:ascii="宋体" w:hAnsi="宋体" w:cs="宋体"/>
          <w:color w:val="auto"/>
          <w:highlight w:val="none"/>
        </w:rPr>
      </w:pPr>
    </w:p>
    <w:p>
      <w:pPr>
        <w:topLinePunct/>
        <w:adjustRightInd w:val="0"/>
        <w:snapToGrid w:val="0"/>
        <w:spacing w:line="360" w:lineRule="auto"/>
        <w:ind w:firstLine="3596" w:firstLineChars="1450"/>
        <w:rPr>
          <w:rFonts w:hint="eastAsia" w:ascii="宋体" w:hAnsi="宋体" w:cs="宋体"/>
          <w:snapToGrid w:val="0"/>
          <w:color w:val="auto"/>
          <w:spacing w:val="4"/>
          <w:kern w:val="0"/>
          <w:szCs w:val="21"/>
          <w:highlight w:val="none"/>
        </w:rPr>
      </w:pPr>
    </w:p>
    <w:p>
      <w:pPr>
        <w:topLinePunct/>
        <w:adjustRightInd w:val="0"/>
        <w:snapToGrid w:val="0"/>
        <w:spacing w:line="360" w:lineRule="auto"/>
        <w:ind w:firstLine="3596" w:firstLineChars="1450"/>
        <w:rPr>
          <w:rFonts w:hint="eastAsia"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投标人：　　（盖章）</w:t>
      </w:r>
    </w:p>
    <w:p>
      <w:pPr>
        <w:topLinePunct/>
        <w:adjustRightInd w:val="0"/>
        <w:snapToGrid w:val="0"/>
        <w:spacing w:line="360" w:lineRule="auto"/>
        <w:ind w:firstLine="3596" w:firstLineChars="1450"/>
        <w:rPr>
          <w:rFonts w:hint="eastAsia"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法定代表人或授权代理人（签字或盖章）：</w:t>
      </w:r>
    </w:p>
    <w:p>
      <w:pPr>
        <w:topLinePunct/>
        <w:adjustRightInd w:val="0"/>
        <w:snapToGrid w:val="0"/>
        <w:spacing w:line="360" w:lineRule="auto"/>
        <w:ind w:firstLine="3596" w:firstLineChars="1450"/>
        <w:rPr>
          <w:rFonts w:hint="eastAsia" w:ascii="宋体" w:hAnsi="宋体" w:cs="宋体"/>
          <w:snapToGrid w:val="0"/>
          <w:color w:val="auto"/>
          <w:spacing w:val="4"/>
          <w:kern w:val="0"/>
          <w:szCs w:val="21"/>
          <w:highlight w:val="none"/>
        </w:rPr>
      </w:pPr>
      <w:r>
        <w:rPr>
          <w:rFonts w:hint="eastAsia" w:ascii="宋体" w:hAnsi="宋体" w:cs="宋体"/>
          <w:snapToGrid w:val="0"/>
          <w:color w:val="auto"/>
          <w:spacing w:val="4"/>
          <w:kern w:val="0"/>
          <w:szCs w:val="21"/>
          <w:highlight w:val="none"/>
        </w:rPr>
        <w:t>日期：  年  月  日</w:t>
      </w:r>
    </w:p>
    <w:p>
      <w:pPr>
        <w:ind w:right="-149" w:rightChars="-62"/>
        <w:rPr>
          <w:rFonts w:hint="eastAsia" w:ascii="宋体" w:hAnsi="宋体" w:cs="宋体"/>
          <w:color w:val="auto"/>
          <w:highlight w:val="none"/>
        </w:rPr>
      </w:pPr>
    </w:p>
    <w:p>
      <w:pPr>
        <w:ind w:right="-149" w:rightChars="-62"/>
        <w:rPr>
          <w:rFonts w:hint="eastAsia" w:ascii="宋体" w:hAnsi="宋体" w:cs="宋体"/>
          <w:color w:val="auto"/>
          <w:highlight w:val="none"/>
        </w:rPr>
      </w:pPr>
    </w:p>
    <w:p>
      <w:pPr>
        <w:ind w:right="-149" w:rightChars="-62"/>
        <w:rPr>
          <w:rFonts w:hint="eastAsia" w:ascii="宋体" w:hAnsi="宋体" w:cs="宋体"/>
          <w:color w:val="auto"/>
          <w:highlight w:val="none"/>
        </w:rPr>
      </w:pPr>
    </w:p>
    <w:p>
      <w:pPr>
        <w:keepNext/>
        <w:keepLines/>
        <w:numPr>
          <w:ilvl w:val="1"/>
          <w:numId w:val="0"/>
        </w:numPr>
        <w:spacing w:before="120" w:after="120" w:line="360" w:lineRule="auto"/>
        <w:outlineLvl w:val="1"/>
        <w:rPr>
          <w:rFonts w:hint="eastAsia" w:ascii="宋体" w:hAnsi="宋体" w:cs="宋体"/>
          <w:color w:val="auto"/>
          <w:highlight w:val="none"/>
        </w:rPr>
      </w:pPr>
      <w:bookmarkStart w:id="33" w:name="_Toc5992"/>
      <w:r>
        <w:rPr>
          <w:rFonts w:hint="eastAsia" w:ascii="宋体" w:hAnsi="宋体" w:cs="宋体"/>
          <w:b/>
          <w:color w:val="auto"/>
          <w:kern w:val="0"/>
          <w:sz w:val="24"/>
          <w:szCs w:val="24"/>
          <w:highlight w:val="none"/>
        </w:rPr>
        <w:t>格式十：危险性较大的分部分项工程安全管理措施</w:t>
      </w:r>
      <w:bookmarkEnd w:id="33"/>
    </w:p>
    <w:p>
      <w:pPr>
        <w:numPr>
          <w:ilvl w:val="0"/>
          <w:numId w:val="10"/>
        </w:numPr>
        <w:autoSpaceDE w:val="0"/>
        <w:autoSpaceDN w:val="0"/>
        <w:adjustRightInd w:val="0"/>
        <w:spacing w:line="360" w:lineRule="auto"/>
        <w:jc w:val="left"/>
        <w:rPr>
          <w:rFonts w:hint="eastAsia" w:ascii="宋体" w:hAnsi="宋体" w:cs="宋体"/>
          <w:snapToGrid w:val="0"/>
          <w:color w:val="auto"/>
          <w:spacing w:val="4"/>
          <w:kern w:val="0"/>
          <w:sz w:val="24"/>
          <w:szCs w:val="24"/>
          <w:highlight w:val="none"/>
        </w:rPr>
      </w:pPr>
      <w:r>
        <w:rPr>
          <w:rFonts w:hint="eastAsia" w:ascii="宋体" w:hAnsi="宋体" w:cs="宋体"/>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10"/>
        </w:numPr>
        <w:autoSpaceDE w:val="0"/>
        <w:autoSpaceDN w:val="0"/>
        <w:adjustRightInd w:val="0"/>
        <w:spacing w:line="360" w:lineRule="auto"/>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sz w:val="24"/>
          <w:szCs w:val="36"/>
          <w:highlight w:val="none"/>
        </w:rPr>
        <w:t>√”标识。</w:t>
      </w:r>
    </w:p>
    <w:p>
      <w:pPr>
        <w:numPr>
          <w:ilvl w:val="0"/>
          <w:numId w:val="11"/>
        </w:numPr>
        <w:autoSpaceDE w:val="0"/>
        <w:autoSpaceDN w:val="0"/>
        <w:adjustRightInd w:val="0"/>
        <w:spacing w:line="360" w:lineRule="auto"/>
        <w:jc w:val="left"/>
        <w:rPr>
          <w:rFonts w:hint="eastAsia" w:ascii="宋体" w:hAnsi="宋体" w:cs="宋体"/>
          <w:color w:val="auto"/>
          <w:sz w:val="24"/>
          <w:szCs w:val="36"/>
          <w:highlight w:val="none"/>
        </w:rPr>
      </w:pPr>
      <w:r>
        <w:rPr>
          <w:rFonts w:hint="eastAsia" w:ascii="宋体" w:hAnsi="宋体" w:cs="宋体"/>
          <w:color w:val="auto"/>
          <w:sz w:val="24"/>
          <w:szCs w:val="28"/>
          <w:highlight w:val="none"/>
        </w:rPr>
        <w:t>投标单位同意建设单位在清单中标识的该项请在对应项打“</w:t>
      </w:r>
      <w:r>
        <w:rPr>
          <w:rFonts w:hint="eastAsia" w:ascii="宋体" w:hAnsi="宋体" w:cs="宋体"/>
          <w:color w:val="auto"/>
          <w:sz w:val="24"/>
          <w:szCs w:val="36"/>
          <w:highlight w:val="none"/>
        </w:rPr>
        <w:t>√”标识，并与投标文件中提供相应的安全管理措施。</w:t>
      </w:r>
    </w:p>
    <w:p>
      <w:pPr>
        <w:numPr>
          <w:ilvl w:val="0"/>
          <w:numId w:val="11"/>
        </w:numPr>
        <w:autoSpaceDE w:val="0"/>
        <w:autoSpaceDN w:val="0"/>
        <w:adjustRightInd w:val="0"/>
        <w:spacing w:line="360" w:lineRule="auto"/>
        <w:jc w:val="left"/>
        <w:rPr>
          <w:rFonts w:hint="eastAsia" w:ascii="宋体" w:hAnsi="宋体" w:cs="宋体"/>
          <w:color w:val="auto"/>
          <w:sz w:val="24"/>
          <w:szCs w:val="36"/>
          <w:highlight w:val="none"/>
        </w:rPr>
      </w:pPr>
      <w:r>
        <w:rPr>
          <w:rFonts w:hint="eastAsia" w:ascii="宋体" w:hAnsi="宋体" w:cs="宋体"/>
          <w:color w:val="auto"/>
          <w:sz w:val="24"/>
          <w:szCs w:val="28"/>
          <w:highlight w:val="none"/>
        </w:rPr>
        <w:t>投标单位对清单中认为需要补充的该项请在对应项打“</w:t>
      </w:r>
      <w:r>
        <w:rPr>
          <w:rFonts w:hint="eastAsia" w:ascii="宋体" w:hAnsi="宋体" w:cs="宋体"/>
          <w:color w:val="auto"/>
          <w:sz w:val="24"/>
          <w:szCs w:val="36"/>
          <w:highlight w:val="none"/>
        </w:rPr>
        <w:t>√”标识，并与投标文件中提供相应的安全管理措施。</w:t>
      </w:r>
    </w:p>
    <w:p>
      <w:pPr>
        <w:numPr>
          <w:ilvl w:val="0"/>
          <w:numId w:val="11"/>
        </w:numPr>
        <w:autoSpaceDE w:val="0"/>
        <w:autoSpaceDN w:val="0"/>
        <w:adjustRightInd w:val="0"/>
        <w:spacing w:line="360" w:lineRule="auto"/>
        <w:jc w:val="left"/>
        <w:rPr>
          <w:rFonts w:hint="eastAsia" w:ascii="宋体" w:hAnsi="宋体" w:cs="宋体"/>
          <w:color w:val="auto"/>
          <w:sz w:val="24"/>
          <w:szCs w:val="28"/>
          <w:highlight w:val="none"/>
        </w:rPr>
      </w:pPr>
      <w:r>
        <w:rPr>
          <w:rFonts w:hint="eastAsia" w:ascii="宋体" w:hAnsi="宋体" w:cs="宋体"/>
          <w:color w:val="auto"/>
          <w:sz w:val="24"/>
          <w:szCs w:val="36"/>
          <w:highlight w:val="none"/>
        </w:rPr>
        <w:t>投标单位不同意建设单位</w:t>
      </w:r>
      <w:r>
        <w:rPr>
          <w:rFonts w:hint="eastAsia" w:ascii="宋体" w:hAnsi="宋体" w:cs="宋体"/>
          <w:color w:val="auto"/>
          <w:sz w:val="24"/>
          <w:szCs w:val="28"/>
          <w:highlight w:val="none"/>
        </w:rPr>
        <w:t>在清单中标识的该项</w:t>
      </w:r>
      <w:r>
        <w:rPr>
          <w:rFonts w:hint="eastAsia" w:ascii="宋体" w:hAnsi="宋体" w:cs="宋体"/>
          <w:color w:val="auto"/>
          <w:sz w:val="24"/>
          <w:szCs w:val="36"/>
          <w:highlight w:val="none"/>
        </w:rPr>
        <w:t>请在对应项打“×”标识，并在备注栏填上相关说明。</w:t>
      </w:r>
    </w:p>
    <w:p>
      <w:pPr>
        <w:numPr>
          <w:ilvl w:val="0"/>
          <w:numId w:val="10"/>
        </w:numPr>
        <w:autoSpaceDE w:val="0"/>
        <w:autoSpaceDN w:val="0"/>
        <w:adjustRightInd w:val="0"/>
        <w:spacing w:line="360" w:lineRule="auto"/>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投标单位应当在投标时根据招标人提供的下述第5点清单，在投标文件中编制专项施工方案。</w:t>
      </w:r>
    </w:p>
    <w:p>
      <w:pPr>
        <w:numPr>
          <w:ilvl w:val="0"/>
          <w:numId w:val="10"/>
        </w:numPr>
        <w:autoSpaceDE w:val="0"/>
        <w:autoSpaceDN w:val="0"/>
        <w:adjustRightInd w:val="0"/>
        <w:spacing w:line="360" w:lineRule="auto"/>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10"/>
        </w:numPr>
        <w:autoSpaceDE w:val="0"/>
        <w:autoSpaceDN w:val="0"/>
        <w:adjustRightInd w:val="0"/>
        <w:spacing w:line="360" w:lineRule="auto"/>
        <w:jc w:val="left"/>
        <w:rPr>
          <w:rFonts w:ascii="宋体" w:hAnsi="宋体" w:eastAsia="宋体"/>
          <w:color w:val="auto"/>
          <w:sz w:val="24"/>
          <w:szCs w:val="28"/>
          <w:highlight w:val="none"/>
        </w:rPr>
      </w:pPr>
      <w:r>
        <w:rPr>
          <w:rFonts w:hint="eastAsia" w:ascii="宋体" w:hAnsi="宋体" w:eastAsia="宋体"/>
          <w:color w:val="auto"/>
          <w:sz w:val="24"/>
          <w:szCs w:val="28"/>
          <w:highlight w:val="none"/>
        </w:rPr>
        <w:t>危险性较大的分部分项工程清单及超过一定规模的危险性较大的分部分项工程清单：</w:t>
      </w:r>
    </w:p>
    <w:p>
      <w:pPr>
        <w:pStyle w:val="25"/>
        <w:rPr>
          <w:rFonts w:hint="eastAsia"/>
          <w:color w:val="auto"/>
          <w:highlight w:val="none"/>
        </w:rPr>
      </w:pPr>
    </w:p>
    <w:p>
      <w:pPr>
        <w:autoSpaceDE w:val="0"/>
        <w:autoSpaceDN w:val="0"/>
        <w:adjustRightInd w:val="0"/>
        <w:spacing w:line="360" w:lineRule="auto"/>
        <w:jc w:val="left"/>
        <w:rPr>
          <w:rFonts w:hint="eastAsia" w:ascii="宋体" w:hAnsi="宋体" w:cs="宋体"/>
          <w:color w:val="auto"/>
          <w:sz w:val="24"/>
          <w:szCs w:val="28"/>
          <w:highlight w:val="none"/>
        </w:rPr>
      </w:pPr>
    </w:p>
    <w:tbl>
      <w:tblPr>
        <w:tblStyle w:val="49"/>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5"/>
        <w:gridCol w:w="1361"/>
        <w:gridCol w:w="1512"/>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15" w:type="dxa"/>
            <w:noWrap w:val="0"/>
            <w:vAlign w:val="center"/>
          </w:tcPr>
          <w:p>
            <w:pPr>
              <w:spacing w:line="3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一、危险性较大的分部分项工程清单</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建设单位</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投标单位</w:t>
            </w:r>
          </w:p>
        </w:tc>
        <w:tc>
          <w:tcPr>
            <w:tcW w:w="809"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一、基坑支护</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36"/>
                <w:highlight w:val="none"/>
              </w:rPr>
              <w:t xml:space="preserve">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（一）开挖深度超过3m（含3m）的基坑（槽）的土方开挖、支护、降水工程。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（二）开挖深度虽未超过3m，但地质条件、周围环境和地下管线复杂，或影响毗邻建、构筑物安全的基坑（槽）的土方开挖、支护、降水工程。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二、模板工程及支撑体系</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（一）各类工具式模板工程：包括滑模、爬模、飞模、隧道模等工程。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415" w:type="dxa"/>
            <w:noWrap w:val="0"/>
            <w:vAlign w:val="top"/>
          </w:tcPr>
          <w:p>
            <w:pPr>
              <w:widowControl/>
              <w:spacing w:line="3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（三）承重支撑体系：用于钢结构安装等满堂支撑体系。</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415" w:type="dxa"/>
            <w:noWrap w:val="0"/>
            <w:vAlign w:val="top"/>
          </w:tcPr>
          <w:p>
            <w:pPr>
              <w:widowControl/>
              <w:spacing w:line="3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三、起重吊装及起重机械安装拆卸工程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415" w:type="dxa"/>
            <w:noWrap w:val="0"/>
            <w:vAlign w:val="top"/>
          </w:tcPr>
          <w:p>
            <w:pPr>
              <w:widowControl/>
              <w:spacing w:line="3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（一）采用非常规起重设备、方法，且单件起吊重量在10kN及以上的起重吊装工程。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（二）采用起重机械进行安装的工程。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（三）起重机械安装和拆卸工程。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sz w:val="24"/>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四、脚手架工程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（一）搭设高度24m及以上的落地式钢管脚手架工程（包括采光井、电梯井脚手架）。</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（二）附着式升降脚手架工程。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（三）悬挑式脚手架工程。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（四）高处作业吊篮。</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（五）卸料平台、操作平台工程。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（六）异型脚手架工程。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五、拆除工程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可能影响行人、交通、电力设施、通讯设施或其它建、构筑物安全的拆除工程。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六、暗挖工程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采用矿山法、盾构法、顶管法施工的隧道、洞室工程。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七、其它</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（一）建筑幕墙安装工程。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（二）钢结构、网架和索膜结构安装工程。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（三）人工挖孔桩工程。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（四）水下作业工程。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（五）装配式建筑混凝土预制构件安装工程。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（六）采用新技术、新工艺、新材料、新设备可能影响工程施工安全，尚无国家、行业及地方技术标准的分部分项工程。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415" w:type="dxa"/>
            <w:noWrap w:val="0"/>
            <w:vAlign w:val="top"/>
          </w:tcPr>
          <w:p>
            <w:pPr>
              <w:widowControl/>
              <w:spacing w:line="300" w:lineRule="exact"/>
              <w:jc w:val="center"/>
              <w:rPr>
                <w:rFonts w:hint="eastAsia" w:ascii="宋体" w:hAnsi="宋体" w:cs="宋体"/>
                <w:b/>
                <w:color w:val="auto"/>
                <w:kern w:val="0"/>
                <w:sz w:val="24"/>
                <w:szCs w:val="24"/>
                <w:highlight w:val="none"/>
              </w:rPr>
            </w:pPr>
            <w:r>
              <w:rPr>
                <w:rFonts w:hint="eastAsia" w:ascii="宋体" w:hAnsi="宋体" w:cs="宋体"/>
                <w:b/>
                <w:bCs/>
                <w:color w:val="auto"/>
                <w:kern w:val="0"/>
                <w:sz w:val="24"/>
                <w:szCs w:val="24"/>
                <w:highlight w:val="none"/>
              </w:rPr>
              <w:t>二、超过一定规模的危险性较大的分部分项工程清单</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一、深基坑工程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开挖深度超过5m（含5m）的基坑（槽）的土方开挖、支护、降水工程。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二、模板工程及支撑体系</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（一）各类工具式模板工程：包括滑模、爬模、飞模、隧道模等工程。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（二）混凝土模板支撑工程：搭设高度8m及以上，或搭设跨度18m及以上，或施工总荷载（设计值）15kN/m2及以上，或集中线荷载（设计值）20kN/m及以上。</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（三）承重支撑体系：用于钢结构安装等满堂支撑体系，承受单点集中荷载7kN及以上。</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三、起重吊装及起重机械安装拆卸工程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（一）采用非常规起重设备、方法，且单件起吊重量在100kN及以上的起重吊装工程。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（二）起重量300kN及以上，或搭设总高度200m及以上，或搭设基础标高在200m及以上的起重机械安装和拆卸工程。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四、脚手架工程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（一）搭设高度50m及以上的落地式钢管脚手架工程。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（二）提升高度在150m及以上的附着式升降脚手架工程或附着式升降操作平台工程。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（三）分段架体搭设高度20m及以上的悬挑式脚手架工程。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五、拆除工程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（一）码头、桥梁、高架、烟囱、水塔或拆除中容易引起有毒有害气（液）体或粉尘扩散、易燃易爆事故发生的特殊建、构筑物的拆除工程。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（二）文物保护建筑、优秀历史建筑或历史文化风貌区影响范围内的拆除工程。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六、暗挖工程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采用矿山法、盾构法、顶管法施工的隧道、洞室工程。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七、其它</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（一）施工高度50m及以上的建筑幕墙安装工程。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（二）跨度36m及以上的钢结构安装工程，或跨度60m及以上的网架和索膜结构安装工程。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（三）开挖深度16m及以上的人工挖孔桩工程。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（四）水下作业工程。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（五）重量1000kN及以上的大型结构整体顶升、平移、转体等施工工艺。</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415" w:type="dxa"/>
            <w:noWrap w:val="0"/>
            <w:vAlign w:val="top"/>
          </w:tcPr>
          <w:p>
            <w:pPr>
              <w:spacing w:line="3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（六）采用新技术、新工艺、新材料、新设备可能影响工程施工安全，尚无国家、行业及地方技术标准的分部分项工程。</w:t>
            </w:r>
          </w:p>
        </w:tc>
        <w:tc>
          <w:tcPr>
            <w:tcW w:w="1361"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1512" w:type="dxa"/>
            <w:noWrap w:val="0"/>
            <w:vAlign w:val="center"/>
          </w:tcPr>
          <w:p>
            <w:pPr>
              <w:spacing w:line="300" w:lineRule="exact"/>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809" w:type="dxa"/>
            <w:noWrap w:val="0"/>
            <w:vAlign w:val="center"/>
          </w:tcPr>
          <w:p>
            <w:pPr>
              <w:spacing w:line="300" w:lineRule="exact"/>
              <w:jc w:val="center"/>
              <w:rPr>
                <w:rFonts w:hint="eastAsia" w:ascii="宋体" w:hAnsi="宋体" w:cs="宋体"/>
                <w:color w:val="auto"/>
                <w:highlight w:val="none"/>
              </w:rPr>
            </w:pPr>
          </w:p>
        </w:tc>
      </w:tr>
    </w:tbl>
    <w:p>
      <w:pPr>
        <w:spacing w:line="360" w:lineRule="auto"/>
        <w:ind w:firstLine="4320" w:firstLineChars="1800"/>
        <w:rPr>
          <w:rFonts w:hint="eastAsia" w:ascii="宋体" w:hAnsi="宋体" w:cs="宋体"/>
          <w:color w:val="auto"/>
          <w:sz w:val="24"/>
          <w:szCs w:val="20"/>
          <w:highlight w:val="none"/>
        </w:rPr>
      </w:pPr>
      <w:r>
        <w:rPr>
          <w:rFonts w:hint="eastAsia" w:ascii="宋体" w:hAnsi="宋体" w:cs="宋体"/>
          <w:color w:val="auto"/>
          <w:sz w:val="24"/>
          <w:szCs w:val="20"/>
          <w:highlight w:val="none"/>
        </w:rPr>
        <w:t>投标人名称（盖法人公章）：</w:t>
      </w:r>
    </w:p>
    <w:p>
      <w:pPr>
        <w:spacing w:line="360" w:lineRule="auto"/>
        <w:ind w:firstLine="3120" w:firstLineChars="1300"/>
        <w:rPr>
          <w:rFonts w:hint="eastAsia" w:ascii="宋体" w:hAnsi="宋体" w:cs="宋体"/>
          <w:color w:val="auto"/>
          <w:sz w:val="24"/>
          <w:szCs w:val="20"/>
          <w:highlight w:val="none"/>
        </w:rPr>
      </w:pPr>
      <w:r>
        <w:rPr>
          <w:rFonts w:hint="eastAsia" w:ascii="宋体" w:hAnsi="宋体" w:cs="宋体"/>
          <w:color w:val="auto"/>
          <w:sz w:val="24"/>
          <w:szCs w:val="20"/>
          <w:highlight w:val="none"/>
        </w:rPr>
        <w:t>法定代表人或被授权人（签字或盖章）：</w:t>
      </w:r>
    </w:p>
    <w:p>
      <w:pPr>
        <w:autoSpaceDE w:val="0"/>
        <w:autoSpaceDN w:val="0"/>
        <w:adjustRightInd w:val="0"/>
        <w:spacing w:line="360" w:lineRule="auto"/>
        <w:ind w:firstLine="5760" w:firstLineChars="2400"/>
        <w:jc w:val="right"/>
        <w:rPr>
          <w:rFonts w:hint="eastAsia" w:ascii="宋体" w:hAnsi="宋体" w:cs="宋体"/>
          <w:bCs/>
          <w:color w:val="auto"/>
          <w:sz w:val="24"/>
          <w:szCs w:val="24"/>
          <w:highlight w:val="none"/>
        </w:rPr>
      </w:pPr>
      <w:r>
        <w:rPr>
          <w:rFonts w:hint="eastAsia" w:ascii="宋体" w:hAnsi="宋体" w:cs="宋体"/>
          <w:color w:val="auto"/>
          <w:szCs w:val="20"/>
          <w:highlight w:val="none"/>
        </w:rPr>
        <w:t>日期：   年  月  日</w:t>
      </w:r>
    </w:p>
    <w:p>
      <w:pPr>
        <w:keepNext/>
        <w:keepLines/>
        <w:numPr>
          <w:ilvl w:val="1"/>
          <w:numId w:val="0"/>
        </w:numPr>
        <w:spacing w:before="120" w:after="120" w:line="360" w:lineRule="auto"/>
        <w:outlineLvl w:val="1"/>
        <w:rPr>
          <w:rFonts w:hint="eastAsia" w:ascii="宋体" w:hAnsi="宋体" w:cs="宋体"/>
          <w:b/>
          <w:color w:val="auto"/>
          <w:kern w:val="0"/>
          <w:sz w:val="24"/>
          <w:szCs w:val="24"/>
          <w:highlight w:val="none"/>
        </w:rPr>
      </w:pPr>
      <w:r>
        <w:rPr>
          <w:rFonts w:hint="eastAsia" w:ascii="宋体" w:hAnsi="宋体" w:cs="宋体"/>
          <w:bCs/>
          <w:color w:val="auto"/>
          <w:highlight w:val="none"/>
        </w:rPr>
        <w:br w:type="page"/>
      </w:r>
      <w:r>
        <w:rPr>
          <w:rFonts w:hint="eastAsia" w:ascii="宋体" w:hAnsi="宋体" w:cs="宋体"/>
          <w:b/>
          <w:color w:val="auto"/>
          <w:kern w:val="0"/>
          <w:sz w:val="24"/>
          <w:szCs w:val="24"/>
          <w:highlight w:val="none"/>
        </w:rPr>
        <w:t>格式十</w:t>
      </w:r>
      <w:r>
        <w:rPr>
          <w:rFonts w:hint="eastAsia" w:ascii="宋体" w:hAnsi="宋体" w:eastAsia="宋体" w:cs="宋体"/>
          <w:b/>
          <w:color w:val="auto"/>
          <w:kern w:val="0"/>
          <w:sz w:val="24"/>
          <w:szCs w:val="24"/>
          <w:highlight w:val="none"/>
          <w:lang w:eastAsia="zh-CN"/>
        </w:rPr>
        <w:t>一</w:t>
      </w:r>
      <w:r>
        <w:rPr>
          <w:rFonts w:hint="eastAsia" w:ascii="宋体" w:hAnsi="宋体" w:cs="宋体"/>
          <w:b/>
          <w:color w:val="auto"/>
          <w:kern w:val="0"/>
          <w:sz w:val="24"/>
          <w:szCs w:val="24"/>
          <w:highlight w:val="none"/>
        </w:rPr>
        <w:t>：参与编制技术标投标文件人员名单</w:t>
      </w:r>
    </w:p>
    <w:p>
      <w:pPr>
        <w:topLinePunct/>
        <w:adjustRightInd w:val="0"/>
        <w:snapToGrid w:val="0"/>
        <w:spacing w:line="360" w:lineRule="auto"/>
        <w:ind w:firstLine="617"/>
        <w:jc w:val="center"/>
        <w:rPr>
          <w:rFonts w:hint="eastAsia" w:ascii="宋体" w:hAnsi="宋体" w:cs="宋体"/>
          <w:b/>
          <w:color w:val="auto"/>
          <w:spacing w:val="4"/>
          <w:sz w:val="32"/>
          <w:szCs w:val="32"/>
          <w:highlight w:val="none"/>
        </w:rPr>
      </w:pPr>
      <w:r>
        <w:rPr>
          <w:rFonts w:hint="eastAsia" w:ascii="宋体" w:hAnsi="宋体" w:cs="宋体"/>
          <w:b/>
          <w:color w:val="auto"/>
          <w:spacing w:val="4"/>
          <w:sz w:val="32"/>
          <w:szCs w:val="32"/>
          <w:highlight w:val="none"/>
        </w:rPr>
        <w:t>参与编制技术标投标文件人员名单</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hint="eastAsia" w:ascii="宋体" w:hAnsi="宋体" w:cs="宋体"/>
                <w:color w:val="auto"/>
                <w:szCs w:val="21"/>
                <w:highlight w:val="none"/>
              </w:rPr>
            </w:pPr>
          </w:p>
        </w:tc>
      </w:tr>
    </w:tbl>
    <w:p>
      <w:pPr>
        <w:autoSpaceDE w:val="0"/>
        <w:autoSpaceDN w:val="0"/>
        <w:adjustRightInd w:val="0"/>
        <w:spacing w:line="360" w:lineRule="auto"/>
        <w:rPr>
          <w:rFonts w:hint="eastAsia" w:ascii="宋体" w:hAnsi="宋体" w:cs="宋体"/>
          <w:bCs/>
          <w:color w:val="auto"/>
          <w:sz w:val="24"/>
          <w:szCs w:val="24"/>
          <w:highlight w:val="none"/>
        </w:rPr>
      </w:pPr>
      <w:r>
        <w:rPr>
          <w:rFonts w:hint="eastAsia" w:ascii="宋体" w:hAnsi="宋体" w:cs="宋体"/>
          <w:color w:val="auto"/>
          <w:sz w:val="24"/>
          <w:szCs w:val="24"/>
          <w:highlight w:val="none"/>
        </w:rPr>
        <w:t>注：参与编制技术标书所有人员名单应包括如编制技术投标方案、负责清样校对、负责打印及复印等所有人员在内的人员名单。</w:t>
      </w:r>
    </w:p>
    <w:p>
      <w:pPr>
        <w:ind w:right="-149" w:rightChars="-62"/>
        <w:rPr>
          <w:rFonts w:hint="eastAsia" w:ascii="宋体" w:hAnsi="宋体" w:cs="宋体"/>
          <w:color w:val="auto"/>
          <w:highlight w:val="none"/>
        </w:rPr>
      </w:pPr>
      <w:r>
        <w:rPr>
          <w:rFonts w:hint="eastAsia" w:ascii="宋体" w:hAnsi="宋体" w:cs="宋体"/>
          <w:bCs/>
          <w:color w:val="auto"/>
          <w:highlight w:val="none"/>
        </w:rPr>
        <w:br w:type="page"/>
      </w:r>
    </w:p>
    <w:p>
      <w:pPr>
        <w:ind w:right="-149" w:rightChars="-62"/>
        <w:rPr>
          <w:rFonts w:hint="eastAsia" w:ascii="宋体" w:hAnsi="宋体" w:cs="宋体"/>
          <w:color w:val="auto"/>
          <w:highlight w:val="none"/>
        </w:rPr>
      </w:pPr>
    </w:p>
    <w:p>
      <w:pPr>
        <w:topLinePunct/>
        <w:adjustRightInd w:val="0"/>
        <w:snapToGrid w:val="0"/>
        <w:spacing w:after="156" w:afterLines="50"/>
        <w:jc w:val="center"/>
        <w:outlineLvl w:val="1"/>
        <w:rPr>
          <w:rFonts w:hint="eastAsia" w:ascii="宋体" w:hAnsi="宋体" w:cs="宋体"/>
          <w:b/>
          <w:bCs/>
          <w:color w:val="auto"/>
          <w:spacing w:val="4"/>
          <w:kern w:val="0"/>
          <w:sz w:val="24"/>
          <w:szCs w:val="24"/>
          <w:highlight w:val="none"/>
        </w:rPr>
      </w:pPr>
      <w:bookmarkStart w:id="34" w:name="_Toc6163"/>
      <w:r>
        <w:rPr>
          <w:rFonts w:hint="eastAsia" w:ascii="宋体" w:hAnsi="宋体" w:cs="宋体"/>
          <w:color w:val="auto"/>
          <w:spacing w:val="4"/>
          <w:kern w:val="0"/>
          <w:sz w:val="44"/>
          <w:szCs w:val="44"/>
          <w:highlight w:val="none"/>
        </w:rPr>
        <w:t>二、经济标投标文件格式</w:t>
      </w:r>
      <w:bookmarkEnd w:id="34"/>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widowControl/>
        <w:spacing w:before="0" w:beforeAutospacing="0" w:after="0" w:afterAutospacing="0"/>
        <w:jc w:val="left"/>
        <w:outlineLvl w:val="9"/>
        <w:rPr>
          <w:rFonts w:hint="eastAsia" w:ascii="宋体" w:hAnsi="宋体" w:cs="宋体"/>
          <w:snapToGrid w:val="0"/>
          <w:color w:val="auto"/>
          <w:spacing w:val="4"/>
          <w:kern w:val="0"/>
          <w:sz w:val="24"/>
          <w:szCs w:val="24"/>
          <w:highlight w:val="none"/>
        </w:rPr>
      </w:pPr>
      <w:bookmarkStart w:id="35" w:name="_Toc11710"/>
      <w:bookmarkStart w:id="36" w:name="_Toc6493862"/>
      <w:r>
        <w:rPr>
          <w:rFonts w:hint="eastAsia" w:ascii="宋体" w:hAnsi="宋体" w:cs="宋体"/>
          <w:snapToGrid w:val="0"/>
          <w:color w:val="auto"/>
          <w:spacing w:val="4"/>
          <w:kern w:val="0"/>
          <w:sz w:val="24"/>
          <w:szCs w:val="24"/>
          <w:highlight w:val="none"/>
        </w:rPr>
        <w:br w:type="page"/>
      </w:r>
    </w:p>
    <w:p>
      <w:pPr>
        <w:widowControl/>
        <w:spacing w:before="100" w:beforeAutospacing="1" w:after="100" w:afterAutospacing="1"/>
        <w:jc w:val="left"/>
        <w:outlineLvl w:val="2"/>
        <w:rPr>
          <w:rFonts w:hint="eastAsia" w:ascii="宋体" w:hAnsi="宋体" w:eastAsia="宋体" w:cs="宋体"/>
          <w:b/>
          <w:bCs/>
          <w:color w:val="auto"/>
          <w:kern w:val="0"/>
          <w:sz w:val="44"/>
          <w:szCs w:val="44"/>
          <w:highlight w:val="none"/>
          <w:lang w:val="zh-CN" w:eastAsia="zh-CN"/>
        </w:rPr>
      </w:pPr>
      <w:r>
        <w:rPr>
          <w:rFonts w:hint="eastAsia" w:ascii="宋体" w:hAnsi="宋体" w:cs="宋体"/>
          <w:snapToGrid w:val="0"/>
          <w:color w:val="auto"/>
          <w:spacing w:val="4"/>
          <w:kern w:val="0"/>
          <w:sz w:val="24"/>
          <w:szCs w:val="24"/>
          <w:highlight w:val="none"/>
        </w:rPr>
        <w:t>格式十</w:t>
      </w:r>
      <w:bookmarkEnd w:id="35"/>
      <w:bookmarkEnd w:id="36"/>
      <w:r>
        <w:rPr>
          <w:rFonts w:hint="eastAsia" w:ascii="宋体" w:hAnsi="宋体" w:eastAsia="宋体" w:cs="宋体"/>
          <w:snapToGrid w:val="0"/>
          <w:color w:val="auto"/>
          <w:spacing w:val="4"/>
          <w:kern w:val="0"/>
          <w:sz w:val="24"/>
          <w:szCs w:val="24"/>
          <w:highlight w:val="none"/>
          <w:lang w:val="en-US" w:eastAsia="zh-CN"/>
        </w:rPr>
        <w:t>二</w:t>
      </w:r>
    </w:p>
    <w:p>
      <w:pPr>
        <w:autoSpaceDE w:val="0"/>
        <w:autoSpaceDN w:val="0"/>
        <w:adjustRightInd w:val="0"/>
        <w:jc w:val="center"/>
        <w:rPr>
          <w:rFonts w:hint="eastAsia" w:ascii="宋体" w:hAnsi="宋体" w:cs="宋体"/>
          <w:b/>
          <w:bCs/>
          <w:color w:val="auto"/>
          <w:sz w:val="44"/>
          <w:szCs w:val="44"/>
          <w:highlight w:val="none"/>
          <w:lang w:val="zh-CN"/>
        </w:rPr>
      </w:pPr>
    </w:p>
    <w:p>
      <w:pPr>
        <w:widowControl/>
        <w:topLinePunct/>
        <w:adjustRightInd w:val="0"/>
        <w:snapToGrid w:val="0"/>
        <w:spacing w:line="273" w:lineRule="auto"/>
        <w:jc w:val="center"/>
        <w:outlineLvl w:val="1"/>
        <w:rPr>
          <w:rFonts w:hint="eastAsia" w:ascii="宋体" w:hAnsi="宋体" w:cs="宋体"/>
          <w:b/>
          <w:bCs/>
          <w:color w:val="auto"/>
          <w:spacing w:val="4"/>
          <w:kern w:val="0"/>
          <w:sz w:val="36"/>
          <w:szCs w:val="36"/>
          <w:highlight w:val="none"/>
        </w:rPr>
      </w:pPr>
      <w:bookmarkStart w:id="37" w:name="_Toc6313"/>
      <w:r>
        <w:rPr>
          <w:rFonts w:hint="eastAsia" w:ascii="宋体" w:hAnsi="宋体" w:cs="宋体"/>
          <w:b/>
          <w:bCs/>
          <w:color w:val="auto"/>
          <w:spacing w:val="4"/>
          <w:kern w:val="0"/>
          <w:sz w:val="36"/>
          <w:szCs w:val="36"/>
          <w:highlight w:val="none"/>
        </w:rPr>
        <w:t>广州建设工程施工招标投标书（经济标）</w:t>
      </w:r>
      <w:bookmarkEnd w:id="37"/>
    </w:p>
    <w:tbl>
      <w:tblPr>
        <w:tblStyle w:val="49"/>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工 程 名 称</w:t>
            </w:r>
          </w:p>
        </w:tc>
        <w:tc>
          <w:tcPr>
            <w:tcW w:w="604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r>
              <w:rPr>
                <w:rFonts w:hint="eastAsia"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r>
              <w:rPr>
                <w:rFonts w:hint="eastAsia"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r>
              <w:rPr>
                <w:rFonts w:hint="eastAsia"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r>
              <w:rPr>
                <w:rFonts w:hint="eastAsia"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noWrap w:val="0"/>
            <w:vAlign w:val="center"/>
          </w:tcPr>
          <w:p>
            <w:pPr>
              <w:widowControl/>
              <w:jc w:val="left"/>
              <w:rPr>
                <w:rFonts w:hint="eastAsia"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r>
              <w:rPr>
                <w:rFonts w:hint="eastAsia"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noWrap w:val="0"/>
            <w:vAlign w:val="center"/>
          </w:tcPr>
          <w:p>
            <w:pPr>
              <w:widowControl/>
              <w:jc w:val="left"/>
              <w:rPr>
                <w:rFonts w:hint="eastAsia"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r>
              <w:rPr>
                <w:rFonts w:hint="eastAsia"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noWrap w:val="0"/>
            <w:vAlign w:val="center"/>
          </w:tcPr>
          <w:p>
            <w:pPr>
              <w:widowControl/>
              <w:jc w:val="left"/>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 暂列金额</w:t>
            </w:r>
            <w:r>
              <w:rPr>
                <w:rFonts w:hint="eastAsia" w:ascii="宋体" w:hAnsi="宋体"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大写：</w:t>
            </w:r>
            <w:r>
              <w:rPr>
                <w:rFonts w:hint="eastAsia"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rPr>
              <w:t>小写：</w:t>
            </w:r>
            <w:r>
              <w:rPr>
                <w:rFonts w:hint="eastAsia" w:ascii="宋体" w:hAnsi="宋体" w:cs="宋体"/>
                <w:bCs/>
                <w:color w:val="auto"/>
                <w:sz w:val="24"/>
                <w:szCs w:val="24"/>
                <w:highlight w:val="none"/>
                <w:lang w:val="zh-CN"/>
              </w:rPr>
              <w:t xml:space="preserve"> </w:t>
            </w:r>
          </w:p>
        </w:tc>
      </w:tr>
    </w:tbl>
    <w:p>
      <w:pPr>
        <w:widowControl/>
        <w:spacing w:before="100" w:beforeAutospacing="1" w:after="100" w:afterAutospacing="1"/>
        <w:jc w:val="left"/>
        <w:outlineLvl w:val="2"/>
        <w:rPr>
          <w:rFonts w:hint="eastAsia" w:ascii="宋体" w:hAnsi="宋体" w:eastAsia="宋体" w:cs="宋体"/>
          <w:bCs/>
          <w:color w:val="auto"/>
          <w:kern w:val="0"/>
          <w:sz w:val="24"/>
          <w:szCs w:val="24"/>
          <w:highlight w:val="none"/>
          <w:lang w:eastAsia="zh-CN"/>
        </w:rPr>
      </w:pPr>
      <w:r>
        <w:rPr>
          <w:rFonts w:hint="eastAsia" w:ascii="宋体" w:hAnsi="宋体" w:cs="宋体"/>
          <w:color w:val="auto"/>
          <w:kern w:val="0"/>
          <w:sz w:val="24"/>
          <w:szCs w:val="24"/>
          <w:highlight w:val="none"/>
        </w:rPr>
        <w:br w:type="page"/>
      </w:r>
      <w:bookmarkStart w:id="38" w:name="_Toc6493863"/>
      <w:bookmarkStart w:id="39" w:name="_Toc11092"/>
      <w:r>
        <w:rPr>
          <w:rFonts w:hint="eastAsia" w:ascii="宋体" w:hAnsi="宋体" w:cs="宋体"/>
          <w:snapToGrid w:val="0"/>
          <w:color w:val="auto"/>
          <w:spacing w:val="4"/>
          <w:kern w:val="0"/>
          <w:sz w:val="24"/>
          <w:szCs w:val="24"/>
          <w:highlight w:val="none"/>
        </w:rPr>
        <w:t>格式十</w:t>
      </w:r>
      <w:bookmarkEnd w:id="38"/>
      <w:bookmarkEnd w:id="39"/>
      <w:r>
        <w:rPr>
          <w:rFonts w:hint="eastAsia" w:ascii="宋体" w:hAnsi="宋体" w:eastAsia="宋体" w:cs="宋体"/>
          <w:snapToGrid w:val="0"/>
          <w:color w:val="auto"/>
          <w:spacing w:val="4"/>
          <w:kern w:val="0"/>
          <w:sz w:val="24"/>
          <w:szCs w:val="24"/>
          <w:highlight w:val="none"/>
          <w:lang w:val="en-US" w:eastAsia="zh-CN"/>
        </w:rPr>
        <w:t>三</w:t>
      </w:r>
    </w:p>
    <w:p>
      <w:pPr>
        <w:autoSpaceDE w:val="0"/>
        <w:autoSpaceDN w:val="0"/>
        <w:adjustRightInd w:val="0"/>
        <w:rPr>
          <w:rFonts w:hint="eastAsia" w:ascii="宋体" w:hAnsi="宋体" w:cs="宋体"/>
          <w:color w:val="auto"/>
          <w:sz w:val="24"/>
          <w:szCs w:val="24"/>
          <w:highlight w:val="none"/>
        </w:rPr>
      </w:pPr>
    </w:p>
    <w:p>
      <w:pPr>
        <w:widowControl/>
        <w:topLinePunct/>
        <w:adjustRightInd w:val="0"/>
        <w:snapToGrid w:val="0"/>
        <w:spacing w:line="273" w:lineRule="auto"/>
        <w:jc w:val="center"/>
        <w:outlineLvl w:val="1"/>
        <w:rPr>
          <w:rFonts w:hint="eastAsia" w:ascii="宋体" w:hAnsi="宋体" w:cs="宋体"/>
          <w:b/>
          <w:bCs/>
          <w:color w:val="auto"/>
          <w:spacing w:val="4"/>
          <w:kern w:val="0"/>
          <w:sz w:val="36"/>
          <w:szCs w:val="36"/>
          <w:highlight w:val="none"/>
        </w:rPr>
      </w:pPr>
      <w:bookmarkStart w:id="40" w:name="_Toc13182"/>
      <w:r>
        <w:rPr>
          <w:rFonts w:hint="eastAsia" w:ascii="宋体" w:hAnsi="宋体" w:cs="宋体"/>
          <w:b/>
          <w:bCs/>
          <w:color w:val="auto"/>
          <w:spacing w:val="4"/>
          <w:kern w:val="0"/>
          <w:sz w:val="36"/>
          <w:szCs w:val="36"/>
          <w:highlight w:val="none"/>
        </w:rPr>
        <w:t>参与编制经济标投标文件人员名单</w:t>
      </w:r>
      <w:bookmarkEnd w:id="40"/>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19" w:type="dxa"/>
            <w:gridSpan w:val="5"/>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144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246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所承担工作</w:t>
            </w:r>
          </w:p>
        </w:tc>
        <w:tc>
          <w:tcPr>
            <w:tcW w:w="235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身份证号码</w:t>
            </w:r>
          </w:p>
        </w:tc>
        <w:tc>
          <w:tcPr>
            <w:tcW w:w="141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4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46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35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1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4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46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35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1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4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46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35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1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4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46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35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1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4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46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35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1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4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46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35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1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4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46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35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1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4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461"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235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c>
          <w:tcPr>
            <w:tcW w:w="1419" w:type="dxa"/>
            <w:noWrap w:val="0"/>
            <w:vAlign w:val="center"/>
          </w:tcPr>
          <w:p>
            <w:pPr>
              <w:tabs>
                <w:tab w:val="left" w:pos="720"/>
              </w:tabs>
              <w:snapToGrid w:val="0"/>
              <w:spacing w:line="360" w:lineRule="auto"/>
              <w:jc w:val="center"/>
              <w:rPr>
                <w:rFonts w:hint="eastAsia" w:ascii="宋体" w:hAnsi="宋体" w:cs="宋体"/>
                <w:color w:val="auto"/>
                <w:sz w:val="24"/>
                <w:szCs w:val="24"/>
                <w:highlight w:val="none"/>
              </w:rPr>
            </w:pPr>
          </w:p>
        </w:tc>
      </w:tr>
    </w:tbl>
    <w:p>
      <w:pPr>
        <w:tabs>
          <w:tab w:val="left" w:pos="720"/>
        </w:tabs>
        <w:snapToGrid w:val="0"/>
        <w:spacing w:line="360" w:lineRule="auto"/>
        <w:rPr>
          <w:rFonts w:hint="eastAsia" w:ascii="宋体" w:hAnsi="宋体" w:cs="宋体"/>
          <w:color w:val="auto"/>
          <w:sz w:val="24"/>
          <w:szCs w:val="24"/>
          <w:highlight w:val="none"/>
        </w:rPr>
      </w:pPr>
    </w:p>
    <w:p>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注：参与编制经济标书所有人员名单应包括如编制各种专业工程量清单投标报价、负责清样校对、负责打印及复印等所有人员在内的人员名单。 </w:t>
      </w: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autoSpaceDE w:val="0"/>
        <w:autoSpaceDN w:val="0"/>
        <w:adjustRightInd w:val="0"/>
        <w:rPr>
          <w:rFonts w:hint="eastAsia" w:ascii="宋体" w:hAnsi="宋体" w:cs="宋体"/>
          <w:b/>
          <w:bCs/>
          <w:color w:val="auto"/>
          <w:sz w:val="44"/>
          <w:szCs w:val="44"/>
          <w:highlight w:val="none"/>
          <w:lang w:val="zh-CN"/>
        </w:rPr>
      </w:pPr>
    </w:p>
    <w:p>
      <w:pPr>
        <w:spacing w:line="360" w:lineRule="auto"/>
        <w:rPr>
          <w:rFonts w:hint="eastAsia" w:ascii="宋体" w:hAnsi="宋体" w:cs="宋体"/>
          <w:color w:val="auto"/>
          <w:sz w:val="24"/>
          <w:szCs w:val="24"/>
          <w:highlight w:val="none"/>
        </w:rPr>
      </w:pPr>
    </w:p>
    <w:p>
      <w:pPr>
        <w:spacing w:line="320" w:lineRule="exact"/>
        <w:rPr>
          <w:rFonts w:hint="eastAsia" w:ascii="宋体" w:hAnsi="宋体" w:cs="宋体"/>
          <w:color w:val="auto"/>
          <w:szCs w:val="21"/>
          <w:highlight w:val="none"/>
        </w:rPr>
      </w:pPr>
    </w:p>
    <w:p>
      <w:pPr>
        <w:spacing w:line="320" w:lineRule="exact"/>
        <w:rPr>
          <w:rFonts w:hint="eastAsia" w:ascii="宋体" w:hAnsi="宋体" w:cs="宋体"/>
          <w:color w:val="auto"/>
          <w:szCs w:val="21"/>
          <w:highlight w:val="none"/>
        </w:rPr>
      </w:pPr>
    </w:p>
    <w:p>
      <w:pPr>
        <w:spacing w:line="320" w:lineRule="exact"/>
        <w:rPr>
          <w:rFonts w:hint="eastAsia" w:ascii="宋体" w:hAnsi="宋体" w:cs="宋体"/>
          <w:color w:val="auto"/>
          <w:szCs w:val="21"/>
          <w:highlight w:val="none"/>
        </w:rPr>
      </w:pPr>
    </w:p>
    <w:p>
      <w:pPr>
        <w:spacing w:line="320" w:lineRule="exact"/>
        <w:rPr>
          <w:rFonts w:hint="eastAsia" w:ascii="宋体" w:hAnsi="宋体" w:cs="宋体"/>
          <w:color w:val="auto"/>
          <w:szCs w:val="21"/>
          <w:highlight w:val="none"/>
        </w:rPr>
      </w:pPr>
    </w:p>
    <w:p>
      <w:pPr>
        <w:spacing w:line="320" w:lineRule="exact"/>
        <w:rPr>
          <w:rFonts w:hint="eastAsia" w:ascii="宋体" w:hAnsi="宋体" w:cs="宋体"/>
          <w:color w:val="auto"/>
          <w:szCs w:val="21"/>
          <w:highlight w:val="none"/>
        </w:rPr>
      </w:pPr>
    </w:p>
    <w:p>
      <w:pPr>
        <w:spacing w:line="320" w:lineRule="exact"/>
        <w:rPr>
          <w:rFonts w:hint="eastAsia" w:ascii="宋体" w:hAnsi="宋体" w:cs="宋体"/>
          <w:color w:val="auto"/>
          <w:szCs w:val="21"/>
          <w:highlight w:val="none"/>
        </w:rPr>
      </w:pPr>
    </w:p>
    <w:p>
      <w:pPr>
        <w:pStyle w:val="89"/>
        <w:rPr>
          <w:rFonts w:hint="eastAsia"/>
          <w:color w:val="auto"/>
          <w:highlight w:val="none"/>
        </w:rPr>
      </w:pPr>
    </w:p>
    <w:p>
      <w:pPr>
        <w:pStyle w:val="89"/>
        <w:rPr>
          <w:rFonts w:hint="eastAsia" w:ascii="Calibri" w:hAnsi="Calibri" w:cs="Times New Roman"/>
          <w:color w:val="auto"/>
          <w:szCs w:val="22"/>
          <w:highlight w:val="none"/>
        </w:rPr>
      </w:pPr>
    </w:p>
    <w:p>
      <w:pPr>
        <w:spacing w:line="320" w:lineRule="exact"/>
        <w:rPr>
          <w:rFonts w:hint="eastAsia" w:ascii="宋体" w:hAnsi="宋体" w:cs="宋体"/>
          <w:color w:val="auto"/>
          <w:szCs w:val="21"/>
          <w:highlight w:val="none"/>
        </w:rPr>
      </w:pPr>
    </w:p>
    <w:p>
      <w:pPr>
        <w:spacing w:line="320" w:lineRule="exact"/>
        <w:rPr>
          <w:rFonts w:hint="eastAsia" w:ascii="宋体" w:hAnsi="宋体" w:cs="宋体"/>
          <w:color w:val="auto"/>
          <w:szCs w:val="21"/>
          <w:highlight w:val="none"/>
        </w:rPr>
      </w:pPr>
    </w:p>
    <w:p>
      <w:pPr>
        <w:topLinePunct/>
        <w:adjustRightInd w:val="0"/>
        <w:snapToGrid w:val="0"/>
        <w:spacing w:line="360" w:lineRule="auto"/>
        <w:rPr>
          <w:rFonts w:hint="eastAsia" w:ascii="宋体" w:hAnsi="宋体" w:eastAsia="宋体" w:cs="宋体"/>
          <w:color w:val="auto"/>
          <w:spacing w:val="4"/>
          <w:kern w:val="0"/>
          <w:sz w:val="24"/>
          <w:szCs w:val="24"/>
          <w:highlight w:val="none"/>
          <w:lang w:eastAsia="zh-CN"/>
        </w:rPr>
      </w:pPr>
      <w:r>
        <w:rPr>
          <w:rFonts w:hint="eastAsia" w:ascii="宋体" w:hAnsi="宋体" w:cs="宋体"/>
          <w:bCs/>
          <w:snapToGrid w:val="0"/>
          <w:color w:val="auto"/>
          <w:spacing w:val="4"/>
          <w:kern w:val="0"/>
          <w:sz w:val="24"/>
          <w:szCs w:val="24"/>
          <w:highlight w:val="none"/>
        </w:rPr>
        <w:br w:type="page"/>
      </w:r>
      <w:r>
        <w:rPr>
          <w:rFonts w:hint="eastAsia" w:ascii="宋体" w:hAnsi="宋体" w:cs="宋体"/>
          <w:bCs/>
          <w:snapToGrid w:val="0"/>
          <w:color w:val="auto"/>
          <w:spacing w:val="4"/>
          <w:kern w:val="0"/>
          <w:sz w:val="24"/>
          <w:szCs w:val="24"/>
          <w:highlight w:val="none"/>
        </w:rPr>
        <w:t>格式十</w:t>
      </w:r>
      <w:r>
        <w:rPr>
          <w:rFonts w:hint="eastAsia" w:ascii="宋体" w:hAnsi="宋体" w:eastAsia="宋体" w:cs="宋体"/>
          <w:bCs/>
          <w:snapToGrid w:val="0"/>
          <w:color w:val="auto"/>
          <w:spacing w:val="4"/>
          <w:kern w:val="0"/>
          <w:sz w:val="24"/>
          <w:szCs w:val="24"/>
          <w:highlight w:val="none"/>
          <w:lang w:val="en-US" w:eastAsia="zh-CN"/>
        </w:rPr>
        <w:t>四</w:t>
      </w:r>
    </w:p>
    <w:p>
      <w:pPr>
        <w:widowControl/>
        <w:topLinePunct/>
        <w:adjustRightInd w:val="0"/>
        <w:snapToGrid w:val="0"/>
        <w:spacing w:line="273" w:lineRule="auto"/>
        <w:jc w:val="center"/>
        <w:outlineLvl w:val="1"/>
        <w:rPr>
          <w:rFonts w:hint="eastAsia" w:ascii="宋体" w:hAnsi="宋体" w:cs="宋体"/>
          <w:b/>
          <w:bCs/>
          <w:color w:val="auto"/>
          <w:spacing w:val="4"/>
          <w:kern w:val="0"/>
          <w:sz w:val="36"/>
          <w:szCs w:val="36"/>
          <w:highlight w:val="none"/>
        </w:rPr>
      </w:pPr>
      <w:bookmarkStart w:id="41" w:name="_Toc27435"/>
      <w:r>
        <w:rPr>
          <w:rFonts w:hint="eastAsia" w:ascii="宋体" w:hAnsi="宋体" w:cs="宋体"/>
          <w:b/>
          <w:bCs/>
          <w:color w:val="auto"/>
          <w:spacing w:val="4"/>
          <w:kern w:val="0"/>
          <w:sz w:val="36"/>
          <w:szCs w:val="36"/>
          <w:highlight w:val="none"/>
        </w:rPr>
        <w:t>对投标文件编制的承诺</w:t>
      </w:r>
      <w:bookmarkEnd w:id="41"/>
    </w:p>
    <w:p>
      <w:pPr>
        <w:spacing w:line="360" w:lineRule="auto"/>
        <w:ind w:left="-2" w:leftChars="-1" w:firstLine="540" w:firstLineChars="22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本公司授权</w:t>
      </w:r>
      <w:r>
        <w:rPr>
          <w:rFonts w:hint="eastAsia" w:ascii="宋体" w:hAnsi="宋体" w:cs="宋体"/>
          <w:color w:val="auto"/>
          <w:kern w:val="0"/>
          <w:sz w:val="24"/>
          <w:szCs w:val="24"/>
          <w:highlight w:val="none"/>
          <w:u w:val="single"/>
        </w:rPr>
        <w:t xml:space="preserve">         （身份证号：               ）</w:t>
      </w:r>
      <w:r>
        <w:rPr>
          <w:rFonts w:hint="eastAsia" w:ascii="宋体" w:hAnsi="宋体" w:cs="宋体"/>
          <w:color w:val="auto"/>
          <w:kern w:val="0"/>
          <w:sz w:val="24"/>
          <w:szCs w:val="24"/>
          <w:highlight w:val="none"/>
        </w:rPr>
        <w:t>负责对投标文件的编制及内容进行解释、说明，并承诺以下事项：</w:t>
      </w:r>
    </w:p>
    <w:p>
      <w:pPr>
        <w:spacing w:line="360" w:lineRule="auto"/>
        <w:ind w:left="-2" w:leftChars="-1" w:firstLine="540" w:firstLineChars="22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1.被授权人清楚投标文件编制的具体情况，包括技术方案文件、工程量清单、以及投标文件的加密打包的理解；</w:t>
      </w:r>
    </w:p>
    <w:p>
      <w:pPr>
        <w:spacing w:line="360" w:lineRule="auto"/>
        <w:ind w:left="-2" w:leftChars="-1" w:firstLine="540" w:firstLineChars="22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2.在本项目开标至评标结束前，努力确保被授权人在项目评标所在地附近；</w:t>
      </w:r>
    </w:p>
    <w:p>
      <w:pPr>
        <w:spacing w:line="360" w:lineRule="auto"/>
        <w:ind w:left="-2" w:leftChars="-1" w:firstLine="540" w:firstLineChars="22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3.从评标委员会要求澄清起二小时内，被授权人应如实地书面澄清。</w:t>
      </w:r>
    </w:p>
    <w:p>
      <w:pPr>
        <w:spacing w:line="360" w:lineRule="auto"/>
        <w:ind w:left="-2" w:leftChars="-1" w:firstLine="540" w:firstLineChars="22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如由于未遵守上述承诺内容之一导致无法进行澄清的，我公司认可和接受评标委员会作出的评审结论。                                 </w:t>
      </w:r>
    </w:p>
    <w:p>
      <w:pPr>
        <w:spacing w:line="360" w:lineRule="auto"/>
        <w:ind w:firstLine="360" w:firstLineChars="15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附件：《投标文件编制情况》</w:t>
      </w:r>
    </w:p>
    <w:p>
      <w:pPr>
        <w:spacing w:line="360" w:lineRule="auto"/>
        <w:ind w:right="90" w:firstLine="3240" w:firstLineChars="1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w:t>
      </w:r>
      <w:r>
        <w:rPr>
          <w:rFonts w:hint="eastAsia" w:ascii="宋体" w:hAnsi="宋体" w:cs="宋体"/>
          <w:color w:val="auto"/>
          <w:sz w:val="24"/>
          <w:szCs w:val="24"/>
          <w:highlight w:val="none"/>
          <w:u w:val="single"/>
        </w:rPr>
        <w:t xml:space="preserve">                  </w:t>
      </w:r>
    </w:p>
    <w:p>
      <w:pPr>
        <w:spacing w:line="360" w:lineRule="auto"/>
        <w:ind w:firstLine="2160" w:firstLineChars="9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r>
        <w:rPr>
          <w:rFonts w:hint="eastAsia" w:ascii="宋体" w:hAnsi="宋体" w:cs="宋体"/>
          <w:color w:val="auto"/>
          <w:sz w:val="24"/>
          <w:szCs w:val="24"/>
          <w:highlight w:val="none"/>
          <w:u w:val="single"/>
        </w:rPr>
        <w:t xml:space="preserve">                  </w:t>
      </w:r>
    </w:p>
    <w:p>
      <w:pPr>
        <w:spacing w:line="360" w:lineRule="auto"/>
        <w:ind w:firstLine="4440" w:firstLineChars="1850"/>
        <w:jc w:val="center"/>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bookmarkStart w:id="42" w:name="_Toc24982"/>
      <w:r>
        <w:rPr>
          <w:rFonts w:hint="eastAsia" w:ascii="宋体" w:hAnsi="宋体" w:cs="宋体"/>
          <w:color w:val="auto"/>
          <w:sz w:val="24"/>
          <w:szCs w:val="24"/>
          <w:highlight w:val="none"/>
        </w:rPr>
        <w:t>日期：      年   月   日</w:t>
      </w:r>
      <w:bookmarkEnd w:id="42"/>
      <w:r>
        <w:rPr>
          <w:rFonts w:hint="eastAsia" w:ascii="宋体" w:hAnsi="宋体" w:cs="宋体"/>
          <w:color w:val="auto"/>
          <w:sz w:val="24"/>
          <w:szCs w:val="24"/>
          <w:highlight w:val="none"/>
        </w:rPr>
        <w:t xml:space="preserve"> </w:t>
      </w:r>
      <w:r>
        <w:rPr>
          <w:rFonts w:hint="eastAsia" w:ascii="宋体" w:hAnsi="宋体" w:cs="宋体"/>
          <w:color w:val="auto"/>
          <w:sz w:val="18"/>
          <w:szCs w:val="18"/>
          <w:highlight w:val="none"/>
        </w:rPr>
        <w:t xml:space="preserve"> </w:t>
      </w:r>
      <w:r>
        <w:rPr>
          <w:rFonts w:hint="eastAsia" w:ascii="宋体" w:hAnsi="宋体" w:cs="宋体"/>
          <w:color w:val="auto"/>
          <w:sz w:val="24"/>
          <w:szCs w:val="24"/>
          <w:highlight w:val="none"/>
        </w:rPr>
        <w:t xml:space="preserve">    </w:t>
      </w:r>
    </w:p>
    <w:p>
      <w:pPr>
        <w:widowControl/>
        <w:topLinePunct/>
        <w:adjustRightInd w:val="0"/>
        <w:snapToGrid w:val="0"/>
        <w:spacing w:line="273" w:lineRule="auto"/>
        <w:jc w:val="center"/>
        <w:outlineLvl w:val="1"/>
        <w:rPr>
          <w:rFonts w:hint="eastAsia" w:ascii="宋体" w:hAnsi="宋体" w:cs="宋体"/>
          <w:b/>
          <w:bCs/>
          <w:color w:val="auto"/>
          <w:spacing w:val="4"/>
          <w:kern w:val="0"/>
          <w:sz w:val="36"/>
          <w:szCs w:val="36"/>
          <w:highlight w:val="none"/>
        </w:rPr>
      </w:pPr>
      <w:bookmarkStart w:id="43" w:name="_Toc15412"/>
      <w:r>
        <w:rPr>
          <w:rFonts w:hint="eastAsia" w:ascii="宋体" w:hAnsi="宋体" w:cs="宋体"/>
          <w:b/>
          <w:bCs/>
          <w:color w:val="auto"/>
          <w:spacing w:val="4"/>
          <w:kern w:val="0"/>
          <w:sz w:val="36"/>
          <w:szCs w:val="36"/>
          <w:highlight w:val="none"/>
        </w:rPr>
        <w:t>投标文件编制情况</w:t>
      </w:r>
      <w:bookmarkEnd w:id="43"/>
    </w:p>
    <w:p>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1.投标文件报价编制方式: □自行编制的，编制的负责人：</w:t>
      </w:r>
      <w:r>
        <w:rPr>
          <w:rFonts w:hint="eastAsia" w:ascii="宋体" w:hAnsi="宋体" w:cs="宋体"/>
          <w:color w:val="auto"/>
          <w:kern w:val="0"/>
          <w:sz w:val="24"/>
          <w:szCs w:val="24"/>
          <w:highlight w:val="none"/>
          <w:u w:val="single"/>
        </w:rPr>
        <w:t xml:space="preserve"> （盖造价工程师执业专用章或全国建设工程造价员章，执业单位应与投标人一致） </w:t>
      </w:r>
      <w:r>
        <w:rPr>
          <w:rFonts w:hint="eastAsia" w:ascii="宋体" w:hAnsi="宋体" w:cs="宋体"/>
          <w:color w:val="auto"/>
          <w:kern w:val="0"/>
          <w:sz w:val="24"/>
          <w:szCs w:val="24"/>
          <w:highlight w:val="none"/>
        </w:rPr>
        <w:t>。□委托编制的，受委托单位</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，编制的负责人：</w:t>
      </w:r>
      <w:r>
        <w:rPr>
          <w:rFonts w:hint="eastAsia" w:ascii="宋体" w:hAnsi="宋体" w:cs="宋体"/>
          <w:color w:val="auto"/>
          <w:kern w:val="0"/>
          <w:sz w:val="24"/>
          <w:szCs w:val="24"/>
          <w:highlight w:val="none"/>
          <w:u w:val="single"/>
        </w:rPr>
        <w:t xml:space="preserve"> （盖造价工程师执业专用章或全国建设工程造价员章，执业单位应与受委托单位一致） </w:t>
      </w:r>
      <w:r>
        <w:rPr>
          <w:rFonts w:hint="eastAsia" w:ascii="宋体" w:hAnsi="宋体" w:cs="宋体"/>
          <w:color w:val="auto"/>
          <w:kern w:val="0"/>
          <w:sz w:val="24"/>
          <w:szCs w:val="24"/>
          <w:highlight w:val="none"/>
        </w:rPr>
        <w:t>。</w:t>
      </w:r>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2.投标文件加密打包的电脑情况</w:t>
      </w:r>
    </w:p>
    <w:tbl>
      <w:tblPr>
        <w:tblStyle w:val="49"/>
        <w:tblW w:w="0" w:type="auto"/>
        <w:tblInd w:w="0" w:type="dxa"/>
        <w:tblLayout w:type="fixed"/>
        <w:tblCellMar>
          <w:top w:w="0" w:type="dxa"/>
          <w:left w:w="108" w:type="dxa"/>
          <w:bottom w:w="0" w:type="dxa"/>
          <w:right w:w="108" w:type="dxa"/>
        </w:tblCellMar>
      </w:tblPr>
      <w:tblGrid>
        <w:gridCol w:w="8919"/>
      </w:tblGrid>
      <w:tr>
        <w:tblPrEx>
          <w:tblCellMar>
            <w:top w:w="0" w:type="dxa"/>
            <w:left w:w="108" w:type="dxa"/>
            <w:bottom w:w="0" w:type="dxa"/>
            <w:right w:w="108" w:type="dxa"/>
          </w:tblCellMar>
        </w:tblPrEx>
        <w:trPr>
          <w:trHeight w:val="2819" w:hRule="atLeast"/>
        </w:trPr>
        <w:tc>
          <w:tcPr>
            <w:tcW w:w="8919" w:type="dxa"/>
            <w:noWrap w:val="0"/>
            <w:vAlign w:val="top"/>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投标文件加密打包的电脑     自有    □      外包    □     其他    □</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电脑类型</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电脑所属单位</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电脑所在地址        （如××市××区(县) ××街（路）××号××大厦××房）</w:t>
            </w:r>
          </w:p>
        </w:tc>
      </w:tr>
    </w:tbl>
    <w:p>
      <w:pPr>
        <w:spacing w:line="320" w:lineRule="exact"/>
        <w:rPr>
          <w:rFonts w:hint="eastAsia" w:ascii="宋体" w:hAnsi="宋体" w:cs="宋体"/>
          <w:color w:val="auto"/>
          <w:szCs w:val="21"/>
          <w:highlight w:val="none"/>
        </w:rPr>
      </w:pPr>
    </w:p>
    <w:p>
      <w:pPr>
        <w:tabs>
          <w:tab w:val="left" w:pos="720"/>
        </w:tabs>
        <w:snapToGrid w:val="0"/>
        <w:spacing w:line="360" w:lineRule="auto"/>
        <w:jc w:val="center"/>
        <w:rPr>
          <w:rStyle w:val="60"/>
          <w:rFonts w:hint="eastAsia" w:ascii="宋体" w:hAnsi="宋体" w:cs="宋体"/>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 xml:space="preserve"> </w:t>
      </w:r>
      <w:bookmarkStart w:id="44" w:name="_Toc28711"/>
      <w:r>
        <w:rPr>
          <w:rStyle w:val="60"/>
          <w:rFonts w:hint="eastAsia" w:ascii="宋体" w:hAnsi="宋体" w:cs="宋体"/>
          <w:color w:val="auto"/>
          <w:sz w:val="24"/>
          <w:szCs w:val="24"/>
          <w:highlight w:val="none"/>
        </w:rPr>
        <w:t>第五章  技术条件（工程建设标准）</w:t>
      </w:r>
    </w:p>
    <w:bookmarkEnd w:id="44"/>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一、标准</w:t>
      </w:r>
    </w:p>
    <w:p>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以现行的中华人民共和国及有关部委颁布的标准、规范、和规程。若施工时期建设主管部门颁布新的规范、标准，则按照新的规范、标准执行。</w:t>
      </w:r>
    </w:p>
    <w:p>
      <w:pPr>
        <w:rPr>
          <w:rFonts w:hint="eastAsia" w:ascii="宋体" w:hAnsi="宋体" w:cs="宋体"/>
          <w:color w:val="auto"/>
          <w:sz w:val="24"/>
          <w:szCs w:val="24"/>
          <w:highlight w:val="none"/>
        </w:rPr>
      </w:pPr>
    </w:p>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t>二、施工组织设计要点</w:t>
      </w:r>
    </w:p>
    <w:p>
      <w:pPr>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1.1 工程概况</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1.2 工程特点</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（四）施工方案</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4.1 施工准备</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5.5 计划控制</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6.1 质量目标</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本工程要求的质量目标：合格。</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7.1 安全管理目标</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hint="eastAsia" w:ascii="宋体" w:hAnsi="宋体" w:cs="宋体"/>
          <w:color w:val="auto"/>
          <w:sz w:val="24"/>
          <w:szCs w:val="24"/>
          <w:highlight w:val="none"/>
        </w:rPr>
      </w:pPr>
      <w:bookmarkStart w:id="45" w:name="_Hlt531956504"/>
      <w:r>
        <w:rPr>
          <w:rFonts w:hint="eastAsia" w:ascii="宋体" w:hAnsi="宋体" w:cs="宋体"/>
          <w:color w:val="auto"/>
          <w:sz w:val="24"/>
          <w:szCs w:val="24"/>
          <w:highlight w:val="none"/>
        </w:rPr>
        <w:t>安全生产目标：杜绝本项目施工人员重大伤亡事故。</w:t>
      </w:r>
      <w:bookmarkEnd w:id="45"/>
    </w:p>
    <w:p>
      <w:pPr>
        <w:rPr>
          <w:rFonts w:hint="eastAsia"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8.1 环境保护</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9.2 信息管理</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rPr>
          <w:rFonts w:hint="eastAsia" w:ascii="宋体" w:hAnsi="宋体" w:cs="宋体"/>
          <w:color w:val="auto"/>
          <w:sz w:val="24"/>
          <w:szCs w:val="24"/>
          <w:highlight w:val="none"/>
        </w:rPr>
      </w:pPr>
    </w:p>
    <w:p>
      <w:pPr>
        <w:rPr>
          <w:rFonts w:hint="eastAsia" w:ascii="宋体" w:hAnsi="宋体" w:cs="宋体"/>
          <w:b/>
          <w:color w:val="auto"/>
          <w:spacing w:val="4"/>
          <w:sz w:val="24"/>
          <w:szCs w:val="24"/>
          <w:highlight w:val="none"/>
        </w:rPr>
      </w:pPr>
    </w:p>
    <w:p>
      <w:pPr>
        <w:rPr>
          <w:rFonts w:hint="eastAsia" w:ascii="宋体" w:hAnsi="宋体" w:cs="宋体"/>
          <w:color w:val="auto"/>
          <w:szCs w:val="20"/>
          <w:highlight w:val="none"/>
        </w:rPr>
      </w:pPr>
    </w:p>
    <w:p>
      <w:pPr>
        <w:autoSpaceDE w:val="0"/>
        <w:autoSpaceDN w:val="0"/>
        <w:adjustRightInd w:val="0"/>
        <w:spacing w:line="360" w:lineRule="auto"/>
        <w:rPr>
          <w:rFonts w:hint="eastAsia" w:ascii="宋体" w:hAnsi="宋体" w:cs="宋体"/>
          <w:color w:val="auto"/>
          <w:sz w:val="24"/>
          <w:szCs w:val="24"/>
          <w:highlight w:val="none"/>
        </w:rPr>
      </w:pPr>
    </w:p>
    <w:p>
      <w:pPr>
        <w:jc w:val="center"/>
        <w:rPr>
          <w:rFonts w:hint="eastAsia" w:ascii="宋体" w:hAnsi="宋体" w:cs="宋体"/>
          <w:color w:val="auto"/>
          <w:sz w:val="24"/>
          <w:szCs w:val="24"/>
          <w:highlight w:val="none"/>
        </w:rPr>
      </w:pPr>
      <w:bookmarkStart w:id="46" w:name="_Toc20628"/>
      <w:r>
        <w:rPr>
          <w:rFonts w:hint="eastAsia" w:ascii="宋体" w:hAnsi="宋体" w:cs="宋体"/>
          <w:color w:val="auto"/>
          <w:sz w:val="24"/>
          <w:szCs w:val="24"/>
          <w:highlight w:val="none"/>
        </w:rPr>
        <w:br w:type="page"/>
      </w:r>
    </w:p>
    <w:p>
      <w:pPr>
        <w:pStyle w:val="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第六章  图纸及勘察资料</w:t>
      </w:r>
      <w:bookmarkEnd w:id="46"/>
    </w:p>
    <w:p>
      <w:pPr>
        <w:spacing w:line="360" w:lineRule="auto"/>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（另册）</w:t>
      </w:r>
    </w:p>
    <w:p>
      <w:pPr>
        <w:pStyle w:val="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47" w:name="_Toc9070"/>
      <w:r>
        <w:rPr>
          <w:rFonts w:hint="eastAsia" w:ascii="宋体" w:hAnsi="宋体" w:cs="宋体"/>
          <w:color w:val="auto"/>
          <w:sz w:val="24"/>
          <w:szCs w:val="24"/>
          <w:highlight w:val="none"/>
        </w:rPr>
        <w:t>第七章  工程量清单</w:t>
      </w:r>
      <w:bookmarkEnd w:id="47"/>
    </w:p>
    <w:p>
      <w:pPr>
        <w:spacing w:line="360" w:lineRule="auto"/>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（另册）</w:t>
      </w:r>
    </w:p>
    <w:p>
      <w:pPr>
        <w:pStyle w:val="48"/>
        <w:spacing w:after="0" w:line="360" w:lineRule="auto"/>
        <w:ind w:left="-2" w:leftChars="-1" w:firstLine="960" w:firstLineChars="400"/>
        <w:rPr>
          <w:rFonts w:hint="eastAsia" w:ascii="宋体" w:hAnsi="宋体" w:cs="宋体"/>
          <w:color w:val="auto"/>
          <w:sz w:val="24"/>
          <w:szCs w:val="24"/>
          <w:highlight w:val="none"/>
        </w:rPr>
      </w:pPr>
    </w:p>
    <w:p>
      <w:pPr>
        <w:pStyle w:val="3"/>
        <w:rPr>
          <w:rFonts w:hint="eastAsia" w:ascii="宋体" w:hAnsi="宋体" w:cs="宋体"/>
          <w:color w:val="auto"/>
          <w:sz w:val="24"/>
          <w:szCs w:val="24"/>
          <w:highlight w:val="none"/>
        </w:rPr>
      </w:pPr>
    </w:p>
    <w:p>
      <w:pPr>
        <w:pStyle w:val="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bookmarkStart w:id="48" w:name="_Toc21425"/>
      <w:r>
        <w:rPr>
          <w:rFonts w:hint="eastAsia" w:ascii="宋体" w:hAnsi="宋体" w:cs="宋体"/>
          <w:color w:val="auto"/>
          <w:sz w:val="24"/>
          <w:szCs w:val="24"/>
          <w:highlight w:val="none"/>
        </w:rPr>
        <w:t>第八章  最高投标限价</w:t>
      </w:r>
      <w:bookmarkEnd w:id="48"/>
    </w:p>
    <w:p>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jc w:val="center"/>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（另册）</w:t>
      </w:r>
    </w:p>
    <w:p>
      <w:pPr>
        <w:spacing w:line="360" w:lineRule="auto"/>
        <w:ind w:firstLine="480"/>
        <w:rPr>
          <w:rFonts w:hint="eastAsia" w:ascii="宋体" w:hAnsi="宋体" w:cs="宋体"/>
          <w:color w:val="auto"/>
          <w:sz w:val="24"/>
          <w:szCs w:val="24"/>
          <w:highlight w:val="none"/>
          <w:u w:val="single"/>
        </w:rPr>
      </w:pPr>
    </w:p>
    <w:p>
      <w:pPr>
        <w:spacing w:line="360" w:lineRule="auto"/>
        <w:rPr>
          <w:rFonts w:hint="eastAsia" w:ascii="宋体" w:hAnsi="宋体" w:cs="宋体"/>
          <w:color w:val="auto"/>
          <w:highlight w:val="none"/>
        </w:rPr>
      </w:pPr>
    </w:p>
    <w:p>
      <w:pPr>
        <w:rPr>
          <w:color w:val="auto"/>
          <w:highlight w:val="none"/>
        </w:rPr>
      </w:pPr>
    </w:p>
    <w:sectPr>
      <w:pgSz w:w="11906" w:h="16838"/>
      <w:pgMar w:top="1440" w:right="1800" w:bottom="1238" w:left="1800" w:header="851"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Proxy 9">
    <w:altName w:val="Segoe Print"/>
    <w:panose1 w:val="00000400000000000000"/>
    <w:charset w:val="00"/>
    <w:family w:val="auto"/>
    <w:pitch w:val="default"/>
    <w:sig w:usb0="00000000" w:usb1="00000000" w:usb2="00000000" w:usb3="00000000" w:csb0="000001F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roman"/>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DejaVu Sans">
    <w:altName w:val="Courier New"/>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55</w:t>
    </w:r>
    <w:r>
      <w:fldChar w:fldCharType="end"/>
    </w:r>
  </w:p>
  <w:p>
    <w:pPr>
      <w:pStyle w:val="31"/>
      <w:ind w:firstLine="392"/>
      <w:rPr>
        <w:rStyle w:val="5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firstLine="392"/>
      <w:rPr>
        <w:rStyle w:val="54"/>
      </w:rPr>
    </w:pPr>
    <w:r>
      <w:fldChar w:fldCharType="begin"/>
    </w:r>
    <w:r>
      <w:rPr>
        <w:rStyle w:val="54"/>
      </w:rPr>
      <w:instrText xml:space="preserve">PAGE  </w:instrText>
    </w:r>
    <w:r>
      <w:fldChar w:fldCharType="separate"/>
    </w:r>
    <w:r>
      <w:rPr>
        <w:rStyle w:val="54"/>
        <w:rFonts w:hint="eastAsia"/>
      </w:rPr>
      <w:t>一</w:t>
    </w:r>
    <w:r>
      <w:rPr>
        <w:rStyle w:val="54"/>
      </w:rPr>
      <w:t>–2</w:t>
    </w:r>
    <w:r>
      <w:fldChar w:fldCharType="end"/>
    </w:r>
  </w:p>
  <w:p>
    <w:pPr>
      <w:pStyle w:val="31"/>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1</w:t>
    </w:r>
    <w:r>
      <w:fldChar w:fldCharType="end"/>
    </w:r>
  </w:p>
  <w:p>
    <w:pPr>
      <w:pStyle w:val="31"/>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fldChar w:fldCharType="begin"/>
    </w:r>
    <w:r>
      <w:instrText xml:space="preserve"> PAGE   \* MERGEFORMAT </w:instrText>
    </w:r>
    <w:r>
      <w:fldChar w:fldCharType="separate"/>
    </w:r>
    <w:r>
      <w:rPr>
        <w:lang w:val="zh-CN"/>
      </w:rPr>
      <w:t>56</w:t>
    </w:r>
    <w:r>
      <w:fldChar w:fldCharType="end"/>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abstractNum w:abstractNumId="1">
    <w:nsid w:val="00000018"/>
    <w:multiLevelType w:val="singleLevel"/>
    <w:tmpl w:val="00000018"/>
    <w:lvl w:ilvl="0" w:tentative="0">
      <w:start w:val="1"/>
      <w:numFmt w:val="decimal"/>
      <w:suff w:val="nothing"/>
      <w:lvlText w:val="（%1）"/>
      <w:lvlJc w:val="left"/>
    </w:lvl>
  </w:abstractNum>
  <w:abstractNum w:abstractNumId="2">
    <w:nsid w:val="0CDC7B06"/>
    <w:multiLevelType w:val="multilevel"/>
    <w:tmpl w:val="0CDC7B06"/>
    <w:lvl w:ilvl="0" w:tentative="0">
      <w:start w:val="1"/>
      <w:numFmt w:val="decimal"/>
      <w:lvlText w:val="%1."/>
      <w:lvlJc w:val="left"/>
      <w:pPr>
        <w:tabs>
          <w:tab w:val="left" w:pos="1778"/>
        </w:tabs>
        <w:ind w:left="1778" w:hanging="360"/>
      </w:pPr>
      <w:rPr>
        <w:rFonts w:hint="default"/>
      </w:rPr>
    </w:lvl>
    <w:lvl w:ilvl="1" w:tentative="0">
      <w:start w:val="1"/>
      <w:numFmt w:val="lowerLetter"/>
      <w:lvlText w:val="%2)"/>
      <w:lvlJc w:val="left"/>
      <w:pPr>
        <w:tabs>
          <w:tab w:val="left" w:pos="1894"/>
        </w:tabs>
        <w:ind w:left="1894" w:hanging="420"/>
      </w:pPr>
    </w:lvl>
    <w:lvl w:ilvl="2" w:tentative="0">
      <w:start w:val="1"/>
      <w:numFmt w:val="lowerRoman"/>
      <w:lvlText w:val="%3."/>
      <w:lvlJc w:val="right"/>
      <w:pPr>
        <w:tabs>
          <w:tab w:val="left" w:pos="2314"/>
        </w:tabs>
        <w:ind w:left="2314" w:hanging="420"/>
      </w:pPr>
    </w:lvl>
    <w:lvl w:ilvl="3" w:tentative="0">
      <w:start w:val="1"/>
      <w:numFmt w:val="decimal"/>
      <w:lvlText w:val="%4."/>
      <w:lvlJc w:val="left"/>
      <w:pPr>
        <w:tabs>
          <w:tab w:val="left" w:pos="2734"/>
        </w:tabs>
        <w:ind w:left="2734" w:hanging="420"/>
      </w:pPr>
    </w:lvl>
    <w:lvl w:ilvl="4" w:tentative="0">
      <w:start w:val="1"/>
      <w:numFmt w:val="lowerLetter"/>
      <w:lvlText w:val="%5)"/>
      <w:lvlJc w:val="left"/>
      <w:pPr>
        <w:tabs>
          <w:tab w:val="left" w:pos="3154"/>
        </w:tabs>
        <w:ind w:left="3154" w:hanging="420"/>
      </w:pPr>
    </w:lvl>
    <w:lvl w:ilvl="5" w:tentative="0">
      <w:start w:val="1"/>
      <w:numFmt w:val="lowerRoman"/>
      <w:lvlText w:val="%6."/>
      <w:lvlJc w:val="right"/>
      <w:pPr>
        <w:tabs>
          <w:tab w:val="left" w:pos="3574"/>
        </w:tabs>
        <w:ind w:left="3574" w:hanging="420"/>
      </w:pPr>
    </w:lvl>
    <w:lvl w:ilvl="6" w:tentative="0">
      <w:start w:val="1"/>
      <w:numFmt w:val="decimal"/>
      <w:lvlText w:val="%7."/>
      <w:lvlJc w:val="left"/>
      <w:pPr>
        <w:tabs>
          <w:tab w:val="left" w:pos="3994"/>
        </w:tabs>
        <w:ind w:left="3994" w:hanging="420"/>
      </w:pPr>
    </w:lvl>
    <w:lvl w:ilvl="7" w:tentative="0">
      <w:start w:val="1"/>
      <w:numFmt w:val="lowerLetter"/>
      <w:lvlText w:val="%8)"/>
      <w:lvlJc w:val="left"/>
      <w:pPr>
        <w:tabs>
          <w:tab w:val="left" w:pos="4414"/>
        </w:tabs>
        <w:ind w:left="4414" w:hanging="420"/>
      </w:pPr>
    </w:lvl>
    <w:lvl w:ilvl="8" w:tentative="0">
      <w:start w:val="1"/>
      <w:numFmt w:val="lowerRoman"/>
      <w:lvlText w:val="%9."/>
      <w:lvlJc w:val="right"/>
      <w:pPr>
        <w:tabs>
          <w:tab w:val="left" w:pos="4834"/>
        </w:tabs>
        <w:ind w:left="4834" w:hanging="420"/>
      </w:pPr>
    </w:lvl>
  </w:abstractNum>
  <w:abstractNum w:abstractNumId="3">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259905B5"/>
    <w:multiLevelType w:val="multilevel"/>
    <w:tmpl w:val="259905B5"/>
    <w:lvl w:ilvl="0" w:tentative="0">
      <w:start w:val="1"/>
      <w:numFmt w:val="chineseCountingThousand"/>
      <w:pStyle w:val="240"/>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7"/>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5">
    <w:nsid w:val="433913B4"/>
    <w:multiLevelType w:val="multilevel"/>
    <w:tmpl w:val="433913B4"/>
    <w:lvl w:ilvl="0" w:tentative="0">
      <w:start w:val="1"/>
      <w:numFmt w:val="decimal"/>
      <w:lvlText w:val="%1."/>
      <w:lvlJc w:val="left"/>
      <w:pPr>
        <w:ind w:left="792" w:hanging="360"/>
      </w:pPr>
      <w:rPr>
        <w:rFonts w:hint="default"/>
      </w:r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6">
    <w:nsid w:val="52954376"/>
    <w:multiLevelType w:val="singleLevel"/>
    <w:tmpl w:val="52954376"/>
    <w:lvl w:ilvl="0" w:tentative="0">
      <w:start w:val="1"/>
      <w:numFmt w:val="decimal"/>
      <w:lvlText w:val="%1."/>
      <w:lvlJc w:val="left"/>
      <w:pPr>
        <w:tabs>
          <w:tab w:val="left" w:pos="312"/>
        </w:tabs>
      </w:pPr>
    </w:lvl>
  </w:abstractNum>
  <w:abstractNum w:abstractNumId="7">
    <w:nsid w:val="5CADBC91"/>
    <w:multiLevelType w:val="singleLevel"/>
    <w:tmpl w:val="5CADBC91"/>
    <w:lvl w:ilvl="0" w:tentative="0">
      <w:start w:val="1"/>
      <w:numFmt w:val="decimal"/>
      <w:suff w:val="nothing"/>
      <w:lvlText w:val="（%1）"/>
      <w:lvlJc w:val="left"/>
    </w:lvl>
  </w:abstractNum>
  <w:abstractNum w:abstractNumId="8">
    <w:nsid w:val="5CADCA87"/>
    <w:multiLevelType w:val="singleLevel"/>
    <w:tmpl w:val="5CADCA87"/>
    <w:lvl w:ilvl="0" w:tentative="0">
      <w:start w:val="4"/>
      <w:numFmt w:val="decimal"/>
      <w:suff w:val="nothing"/>
      <w:lvlText w:val="%1."/>
      <w:lvlJc w:val="left"/>
    </w:lvl>
  </w:abstractNum>
  <w:abstractNum w:abstractNumId="9">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4"/>
  </w:num>
  <w:num w:numId="2">
    <w:abstractNumId w:val="10"/>
  </w:num>
  <w:num w:numId="3">
    <w:abstractNumId w:val="7"/>
  </w:num>
  <w:num w:numId="4">
    <w:abstractNumId w:val="8"/>
  </w:num>
  <w:num w:numId="5">
    <w:abstractNumId w:val="1"/>
  </w:num>
  <w:num w:numId="6">
    <w:abstractNumId w:val="5"/>
  </w:num>
  <w:num w:numId="7">
    <w:abstractNumId w:val="0"/>
  </w:num>
  <w:num w:numId="8">
    <w:abstractNumId w:val="2"/>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MjNmNGRjNzY2YTliNGZjMWU2ZjAyYzZmOWVjYzEifQ=="/>
  </w:docVars>
  <w:rsids>
    <w:rsidRoot w:val="00172A27"/>
    <w:rsid w:val="00002759"/>
    <w:rsid w:val="00002D6F"/>
    <w:rsid w:val="00006F53"/>
    <w:rsid w:val="00015D15"/>
    <w:rsid w:val="00023E42"/>
    <w:rsid w:val="00025561"/>
    <w:rsid w:val="00026BD6"/>
    <w:rsid w:val="00027EE0"/>
    <w:rsid w:val="00030007"/>
    <w:rsid w:val="00033D5A"/>
    <w:rsid w:val="00034494"/>
    <w:rsid w:val="00041C19"/>
    <w:rsid w:val="00052373"/>
    <w:rsid w:val="00054DBA"/>
    <w:rsid w:val="00056993"/>
    <w:rsid w:val="00061588"/>
    <w:rsid w:val="00067515"/>
    <w:rsid w:val="000753EE"/>
    <w:rsid w:val="000773DB"/>
    <w:rsid w:val="00082616"/>
    <w:rsid w:val="000844E5"/>
    <w:rsid w:val="00091431"/>
    <w:rsid w:val="0009377D"/>
    <w:rsid w:val="00094D7E"/>
    <w:rsid w:val="00096E80"/>
    <w:rsid w:val="000A0C02"/>
    <w:rsid w:val="000A2689"/>
    <w:rsid w:val="000A2FE5"/>
    <w:rsid w:val="000B0967"/>
    <w:rsid w:val="000B11AF"/>
    <w:rsid w:val="000B2C0A"/>
    <w:rsid w:val="000B5988"/>
    <w:rsid w:val="000C3477"/>
    <w:rsid w:val="000C58F4"/>
    <w:rsid w:val="000D554F"/>
    <w:rsid w:val="000D5D33"/>
    <w:rsid w:val="000D6DFF"/>
    <w:rsid w:val="000E5116"/>
    <w:rsid w:val="000E63A9"/>
    <w:rsid w:val="000F0C26"/>
    <w:rsid w:val="000F1270"/>
    <w:rsid w:val="000F5F82"/>
    <w:rsid w:val="000F7A67"/>
    <w:rsid w:val="0010099D"/>
    <w:rsid w:val="001016FE"/>
    <w:rsid w:val="00105625"/>
    <w:rsid w:val="0010634A"/>
    <w:rsid w:val="00107796"/>
    <w:rsid w:val="001078D4"/>
    <w:rsid w:val="001103E5"/>
    <w:rsid w:val="00111481"/>
    <w:rsid w:val="00114B12"/>
    <w:rsid w:val="0011511D"/>
    <w:rsid w:val="0011626C"/>
    <w:rsid w:val="00116B1C"/>
    <w:rsid w:val="00121F4D"/>
    <w:rsid w:val="001225BB"/>
    <w:rsid w:val="001260DD"/>
    <w:rsid w:val="00126578"/>
    <w:rsid w:val="001268CF"/>
    <w:rsid w:val="0013044F"/>
    <w:rsid w:val="00140933"/>
    <w:rsid w:val="001412D3"/>
    <w:rsid w:val="00147A84"/>
    <w:rsid w:val="00151581"/>
    <w:rsid w:val="001525E3"/>
    <w:rsid w:val="00156BFD"/>
    <w:rsid w:val="001604B9"/>
    <w:rsid w:val="001617F6"/>
    <w:rsid w:val="00162BDF"/>
    <w:rsid w:val="001638A5"/>
    <w:rsid w:val="001645C1"/>
    <w:rsid w:val="00164E84"/>
    <w:rsid w:val="00171EFA"/>
    <w:rsid w:val="001736F6"/>
    <w:rsid w:val="00175759"/>
    <w:rsid w:val="00181080"/>
    <w:rsid w:val="0018146A"/>
    <w:rsid w:val="00181CD5"/>
    <w:rsid w:val="00185E79"/>
    <w:rsid w:val="00187A9D"/>
    <w:rsid w:val="0019219E"/>
    <w:rsid w:val="00193E8D"/>
    <w:rsid w:val="001A1B78"/>
    <w:rsid w:val="001A27E4"/>
    <w:rsid w:val="001A2933"/>
    <w:rsid w:val="001A4669"/>
    <w:rsid w:val="001A73C7"/>
    <w:rsid w:val="001A7A3F"/>
    <w:rsid w:val="001B13C4"/>
    <w:rsid w:val="001B3AB6"/>
    <w:rsid w:val="001C0376"/>
    <w:rsid w:val="001C54DF"/>
    <w:rsid w:val="001D30CB"/>
    <w:rsid w:val="001D49FA"/>
    <w:rsid w:val="001D708A"/>
    <w:rsid w:val="001E1638"/>
    <w:rsid w:val="001E2212"/>
    <w:rsid w:val="001F2033"/>
    <w:rsid w:val="001F20AA"/>
    <w:rsid w:val="001F21AF"/>
    <w:rsid w:val="001F2AB0"/>
    <w:rsid w:val="001F345F"/>
    <w:rsid w:val="001F6D0B"/>
    <w:rsid w:val="00201303"/>
    <w:rsid w:val="00201F97"/>
    <w:rsid w:val="002046D7"/>
    <w:rsid w:val="002105A5"/>
    <w:rsid w:val="0021283A"/>
    <w:rsid w:val="002135AE"/>
    <w:rsid w:val="00215B6F"/>
    <w:rsid w:val="0021790C"/>
    <w:rsid w:val="0022333D"/>
    <w:rsid w:val="00226B25"/>
    <w:rsid w:val="002271BB"/>
    <w:rsid w:val="00227C19"/>
    <w:rsid w:val="00233515"/>
    <w:rsid w:val="002359DE"/>
    <w:rsid w:val="00235A01"/>
    <w:rsid w:val="00240365"/>
    <w:rsid w:val="00242D24"/>
    <w:rsid w:val="00244429"/>
    <w:rsid w:val="0024702B"/>
    <w:rsid w:val="00252AE2"/>
    <w:rsid w:val="002533EB"/>
    <w:rsid w:val="00256664"/>
    <w:rsid w:val="002624B3"/>
    <w:rsid w:val="0027131C"/>
    <w:rsid w:val="002716E0"/>
    <w:rsid w:val="00271EA8"/>
    <w:rsid w:val="00282853"/>
    <w:rsid w:val="00290A61"/>
    <w:rsid w:val="002916CC"/>
    <w:rsid w:val="00292AA8"/>
    <w:rsid w:val="00295D22"/>
    <w:rsid w:val="002960DE"/>
    <w:rsid w:val="00296540"/>
    <w:rsid w:val="002A1DFA"/>
    <w:rsid w:val="002A394F"/>
    <w:rsid w:val="002A670F"/>
    <w:rsid w:val="002B0E26"/>
    <w:rsid w:val="002B0F26"/>
    <w:rsid w:val="002B2B38"/>
    <w:rsid w:val="002B3C76"/>
    <w:rsid w:val="002B4950"/>
    <w:rsid w:val="002B517F"/>
    <w:rsid w:val="002B630E"/>
    <w:rsid w:val="002C2846"/>
    <w:rsid w:val="002C2866"/>
    <w:rsid w:val="002C30BC"/>
    <w:rsid w:val="002C5882"/>
    <w:rsid w:val="002C7554"/>
    <w:rsid w:val="002D3543"/>
    <w:rsid w:val="002D5C75"/>
    <w:rsid w:val="002E0A40"/>
    <w:rsid w:val="002E3321"/>
    <w:rsid w:val="002E3D28"/>
    <w:rsid w:val="002E3FA3"/>
    <w:rsid w:val="002E7544"/>
    <w:rsid w:val="002E7A94"/>
    <w:rsid w:val="002F2822"/>
    <w:rsid w:val="002F3690"/>
    <w:rsid w:val="002F691D"/>
    <w:rsid w:val="00301D62"/>
    <w:rsid w:val="00304382"/>
    <w:rsid w:val="00306CC1"/>
    <w:rsid w:val="00311907"/>
    <w:rsid w:val="00313ED2"/>
    <w:rsid w:val="00321308"/>
    <w:rsid w:val="00324DF2"/>
    <w:rsid w:val="003312FE"/>
    <w:rsid w:val="0033224C"/>
    <w:rsid w:val="00333580"/>
    <w:rsid w:val="00333871"/>
    <w:rsid w:val="0033443F"/>
    <w:rsid w:val="00336529"/>
    <w:rsid w:val="003373C8"/>
    <w:rsid w:val="00340AA2"/>
    <w:rsid w:val="00346243"/>
    <w:rsid w:val="0035771D"/>
    <w:rsid w:val="003666BC"/>
    <w:rsid w:val="00366E6F"/>
    <w:rsid w:val="00370188"/>
    <w:rsid w:val="0037363F"/>
    <w:rsid w:val="003745B5"/>
    <w:rsid w:val="00381A63"/>
    <w:rsid w:val="003843F1"/>
    <w:rsid w:val="0038567C"/>
    <w:rsid w:val="00395C2E"/>
    <w:rsid w:val="00395F27"/>
    <w:rsid w:val="003A150E"/>
    <w:rsid w:val="003A16DF"/>
    <w:rsid w:val="003A2413"/>
    <w:rsid w:val="003A2D29"/>
    <w:rsid w:val="003A5A70"/>
    <w:rsid w:val="003B050C"/>
    <w:rsid w:val="003B1466"/>
    <w:rsid w:val="003C5180"/>
    <w:rsid w:val="003C59AE"/>
    <w:rsid w:val="003C5CD6"/>
    <w:rsid w:val="003D22F2"/>
    <w:rsid w:val="003D49BC"/>
    <w:rsid w:val="003D7C0D"/>
    <w:rsid w:val="003E0FD4"/>
    <w:rsid w:val="003E2A8B"/>
    <w:rsid w:val="003F4CE9"/>
    <w:rsid w:val="00400C94"/>
    <w:rsid w:val="004043C7"/>
    <w:rsid w:val="00415A60"/>
    <w:rsid w:val="00416191"/>
    <w:rsid w:val="00421383"/>
    <w:rsid w:val="004256BF"/>
    <w:rsid w:val="00425835"/>
    <w:rsid w:val="0043034D"/>
    <w:rsid w:val="004311B4"/>
    <w:rsid w:val="004361B3"/>
    <w:rsid w:val="00440292"/>
    <w:rsid w:val="004446A9"/>
    <w:rsid w:val="00444EF6"/>
    <w:rsid w:val="00447305"/>
    <w:rsid w:val="00451574"/>
    <w:rsid w:val="00452DA7"/>
    <w:rsid w:val="00460867"/>
    <w:rsid w:val="00462BE2"/>
    <w:rsid w:val="004668AC"/>
    <w:rsid w:val="004705D8"/>
    <w:rsid w:val="00473EC8"/>
    <w:rsid w:val="00475334"/>
    <w:rsid w:val="004753D7"/>
    <w:rsid w:val="00481A78"/>
    <w:rsid w:val="0048281B"/>
    <w:rsid w:val="00483C0E"/>
    <w:rsid w:val="00484F07"/>
    <w:rsid w:val="004903A6"/>
    <w:rsid w:val="00490666"/>
    <w:rsid w:val="004928D6"/>
    <w:rsid w:val="004958DB"/>
    <w:rsid w:val="00496F68"/>
    <w:rsid w:val="004A0C8E"/>
    <w:rsid w:val="004A33CA"/>
    <w:rsid w:val="004A406F"/>
    <w:rsid w:val="004A6F77"/>
    <w:rsid w:val="004A7A96"/>
    <w:rsid w:val="004B1A17"/>
    <w:rsid w:val="004B351E"/>
    <w:rsid w:val="004B63C0"/>
    <w:rsid w:val="004C0D88"/>
    <w:rsid w:val="004C3D4E"/>
    <w:rsid w:val="004C5B57"/>
    <w:rsid w:val="004D3D46"/>
    <w:rsid w:val="004D7828"/>
    <w:rsid w:val="004E24F5"/>
    <w:rsid w:val="004E2CA5"/>
    <w:rsid w:val="004E32A4"/>
    <w:rsid w:val="004E3E38"/>
    <w:rsid w:val="004E4C61"/>
    <w:rsid w:val="004F11F0"/>
    <w:rsid w:val="004F3CEB"/>
    <w:rsid w:val="004F457F"/>
    <w:rsid w:val="004F6642"/>
    <w:rsid w:val="004F7388"/>
    <w:rsid w:val="00500A7B"/>
    <w:rsid w:val="005027F2"/>
    <w:rsid w:val="00506AC8"/>
    <w:rsid w:val="0050743B"/>
    <w:rsid w:val="00514A91"/>
    <w:rsid w:val="0052255B"/>
    <w:rsid w:val="00522953"/>
    <w:rsid w:val="00522F38"/>
    <w:rsid w:val="0052638A"/>
    <w:rsid w:val="00527DB8"/>
    <w:rsid w:val="005343ED"/>
    <w:rsid w:val="00540830"/>
    <w:rsid w:val="005442EA"/>
    <w:rsid w:val="005444CE"/>
    <w:rsid w:val="00544788"/>
    <w:rsid w:val="00550232"/>
    <w:rsid w:val="00551293"/>
    <w:rsid w:val="00551CE5"/>
    <w:rsid w:val="00555808"/>
    <w:rsid w:val="00557C29"/>
    <w:rsid w:val="00565820"/>
    <w:rsid w:val="00566BEF"/>
    <w:rsid w:val="00572FC5"/>
    <w:rsid w:val="00573201"/>
    <w:rsid w:val="00575CFD"/>
    <w:rsid w:val="00583AE8"/>
    <w:rsid w:val="00587EF2"/>
    <w:rsid w:val="00593A6C"/>
    <w:rsid w:val="005A10C6"/>
    <w:rsid w:val="005A7DE5"/>
    <w:rsid w:val="005B4036"/>
    <w:rsid w:val="005B619D"/>
    <w:rsid w:val="005C1109"/>
    <w:rsid w:val="005C15AF"/>
    <w:rsid w:val="005D0CB3"/>
    <w:rsid w:val="005F053A"/>
    <w:rsid w:val="005F608A"/>
    <w:rsid w:val="005F6865"/>
    <w:rsid w:val="00602370"/>
    <w:rsid w:val="006024AD"/>
    <w:rsid w:val="006050C2"/>
    <w:rsid w:val="00605DEA"/>
    <w:rsid w:val="00607269"/>
    <w:rsid w:val="00614CBE"/>
    <w:rsid w:val="0061742C"/>
    <w:rsid w:val="00621AAF"/>
    <w:rsid w:val="00630916"/>
    <w:rsid w:val="00630D35"/>
    <w:rsid w:val="00635338"/>
    <w:rsid w:val="0063720C"/>
    <w:rsid w:val="00645E78"/>
    <w:rsid w:val="00654995"/>
    <w:rsid w:val="00654B93"/>
    <w:rsid w:val="00654DD4"/>
    <w:rsid w:val="00656772"/>
    <w:rsid w:val="006604F8"/>
    <w:rsid w:val="0066248A"/>
    <w:rsid w:val="00663991"/>
    <w:rsid w:val="00664362"/>
    <w:rsid w:val="00667A4B"/>
    <w:rsid w:val="006707EA"/>
    <w:rsid w:val="006733E3"/>
    <w:rsid w:val="006826DA"/>
    <w:rsid w:val="0069014C"/>
    <w:rsid w:val="00690EAA"/>
    <w:rsid w:val="00694EBB"/>
    <w:rsid w:val="00696CEA"/>
    <w:rsid w:val="00697A7C"/>
    <w:rsid w:val="00697B2B"/>
    <w:rsid w:val="006A3BA7"/>
    <w:rsid w:val="006B3622"/>
    <w:rsid w:val="006B3E62"/>
    <w:rsid w:val="006B406E"/>
    <w:rsid w:val="006B456E"/>
    <w:rsid w:val="006B494E"/>
    <w:rsid w:val="006B6B0D"/>
    <w:rsid w:val="006B7D6C"/>
    <w:rsid w:val="006C0485"/>
    <w:rsid w:val="006C130B"/>
    <w:rsid w:val="006C5F3D"/>
    <w:rsid w:val="006D0168"/>
    <w:rsid w:val="006D0374"/>
    <w:rsid w:val="006D134C"/>
    <w:rsid w:val="006D1E8D"/>
    <w:rsid w:val="006D2818"/>
    <w:rsid w:val="006E00E8"/>
    <w:rsid w:val="006E416D"/>
    <w:rsid w:val="006E695F"/>
    <w:rsid w:val="006E7A6A"/>
    <w:rsid w:val="006F1FBE"/>
    <w:rsid w:val="006F4D69"/>
    <w:rsid w:val="006F51CE"/>
    <w:rsid w:val="007014AE"/>
    <w:rsid w:val="00705841"/>
    <w:rsid w:val="00706F2A"/>
    <w:rsid w:val="00714E29"/>
    <w:rsid w:val="00717A29"/>
    <w:rsid w:val="00720046"/>
    <w:rsid w:val="007253AB"/>
    <w:rsid w:val="0072542D"/>
    <w:rsid w:val="0073064F"/>
    <w:rsid w:val="00730C4A"/>
    <w:rsid w:val="00733E74"/>
    <w:rsid w:val="00733F96"/>
    <w:rsid w:val="00735243"/>
    <w:rsid w:val="00737842"/>
    <w:rsid w:val="007379F4"/>
    <w:rsid w:val="007444F0"/>
    <w:rsid w:val="00744943"/>
    <w:rsid w:val="00762E23"/>
    <w:rsid w:val="0076590F"/>
    <w:rsid w:val="007709AA"/>
    <w:rsid w:val="00773763"/>
    <w:rsid w:val="00773A33"/>
    <w:rsid w:val="00773FEE"/>
    <w:rsid w:val="0077642E"/>
    <w:rsid w:val="007802E5"/>
    <w:rsid w:val="00780C48"/>
    <w:rsid w:val="007B1229"/>
    <w:rsid w:val="007B1B3C"/>
    <w:rsid w:val="007B41BE"/>
    <w:rsid w:val="007B5832"/>
    <w:rsid w:val="007B62BC"/>
    <w:rsid w:val="007B64DA"/>
    <w:rsid w:val="007B7204"/>
    <w:rsid w:val="007C174F"/>
    <w:rsid w:val="007C3162"/>
    <w:rsid w:val="007D294F"/>
    <w:rsid w:val="007E34EF"/>
    <w:rsid w:val="007F1197"/>
    <w:rsid w:val="007F438C"/>
    <w:rsid w:val="007F4CD5"/>
    <w:rsid w:val="007F4DC4"/>
    <w:rsid w:val="00800134"/>
    <w:rsid w:val="00801EEE"/>
    <w:rsid w:val="00804CC6"/>
    <w:rsid w:val="00804E71"/>
    <w:rsid w:val="00807EBC"/>
    <w:rsid w:val="008106DD"/>
    <w:rsid w:val="00816A75"/>
    <w:rsid w:val="00816CB1"/>
    <w:rsid w:val="0082528B"/>
    <w:rsid w:val="008254AC"/>
    <w:rsid w:val="0082732F"/>
    <w:rsid w:val="0083492B"/>
    <w:rsid w:val="00837C2E"/>
    <w:rsid w:val="00842079"/>
    <w:rsid w:val="008503FE"/>
    <w:rsid w:val="00850ACD"/>
    <w:rsid w:val="00853C16"/>
    <w:rsid w:val="0086222F"/>
    <w:rsid w:val="0086253D"/>
    <w:rsid w:val="008631ED"/>
    <w:rsid w:val="00863B91"/>
    <w:rsid w:val="00863DA9"/>
    <w:rsid w:val="00872DEA"/>
    <w:rsid w:val="008731B9"/>
    <w:rsid w:val="00877517"/>
    <w:rsid w:val="0088007C"/>
    <w:rsid w:val="00880389"/>
    <w:rsid w:val="008864B3"/>
    <w:rsid w:val="008901A4"/>
    <w:rsid w:val="00890C92"/>
    <w:rsid w:val="00893E4D"/>
    <w:rsid w:val="0089504A"/>
    <w:rsid w:val="008A01CF"/>
    <w:rsid w:val="008A2351"/>
    <w:rsid w:val="008A6F94"/>
    <w:rsid w:val="008B2A44"/>
    <w:rsid w:val="008B6064"/>
    <w:rsid w:val="008B662E"/>
    <w:rsid w:val="008C0D49"/>
    <w:rsid w:val="008C6A26"/>
    <w:rsid w:val="008D18E3"/>
    <w:rsid w:val="008D300A"/>
    <w:rsid w:val="008D50C6"/>
    <w:rsid w:val="008E2F7F"/>
    <w:rsid w:val="008E4F57"/>
    <w:rsid w:val="009001B8"/>
    <w:rsid w:val="009066E1"/>
    <w:rsid w:val="00910B00"/>
    <w:rsid w:val="00910F27"/>
    <w:rsid w:val="00911E64"/>
    <w:rsid w:val="00912946"/>
    <w:rsid w:val="00914459"/>
    <w:rsid w:val="0091544A"/>
    <w:rsid w:val="00922783"/>
    <w:rsid w:val="009244CB"/>
    <w:rsid w:val="00926BE8"/>
    <w:rsid w:val="009270FB"/>
    <w:rsid w:val="009309DA"/>
    <w:rsid w:val="00930A9C"/>
    <w:rsid w:val="009318D8"/>
    <w:rsid w:val="0094653A"/>
    <w:rsid w:val="0095052A"/>
    <w:rsid w:val="00954396"/>
    <w:rsid w:val="00955FF7"/>
    <w:rsid w:val="0096261B"/>
    <w:rsid w:val="00970810"/>
    <w:rsid w:val="00975946"/>
    <w:rsid w:val="00975CF7"/>
    <w:rsid w:val="00976CA7"/>
    <w:rsid w:val="00984A96"/>
    <w:rsid w:val="00985A06"/>
    <w:rsid w:val="00986019"/>
    <w:rsid w:val="00994C12"/>
    <w:rsid w:val="00997267"/>
    <w:rsid w:val="00997ACA"/>
    <w:rsid w:val="009A29FE"/>
    <w:rsid w:val="009A5C76"/>
    <w:rsid w:val="009A6A20"/>
    <w:rsid w:val="009B6206"/>
    <w:rsid w:val="009B7685"/>
    <w:rsid w:val="009C1722"/>
    <w:rsid w:val="009C1CCF"/>
    <w:rsid w:val="009C59C0"/>
    <w:rsid w:val="009C59CF"/>
    <w:rsid w:val="009C7F1A"/>
    <w:rsid w:val="009D17AE"/>
    <w:rsid w:val="009D216B"/>
    <w:rsid w:val="009D4E8E"/>
    <w:rsid w:val="009E0090"/>
    <w:rsid w:val="009E012D"/>
    <w:rsid w:val="009E3D13"/>
    <w:rsid w:val="009E6794"/>
    <w:rsid w:val="009F12EC"/>
    <w:rsid w:val="009F2B48"/>
    <w:rsid w:val="009F310B"/>
    <w:rsid w:val="009F3D3B"/>
    <w:rsid w:val="009F513E"/>
    <w:rsid w:val="009F5AEF"/>
    <w:rsid w:val="00A0191A"/>
    <w:rsid w:val="00A01AD1"/>
    <w:rsid w:val="00A0462D"/>
    <w:rsid w:val="00A14D17"/>
    <w:rsid w:val="00A1730B"/>
    <w:rsid w:val="00A25172"/>
    <w:rsid w:val="00A25320"/>
    <w:rsid w:val="00A2683E"/>
    <w:rsid w:val="00A26B12"/>
    <w:rsid w:val="00A26D6A"/>
    <w:rsid w:val="00A27E8B"/>
    <w:rsid w:val="00A31E8F"/>
    <w:rsid w:val="00A32230"/>
    <w:rsid w:val="00A42795"/>
    <w:rsid w:val="00A460E6"/>
    <w:rsid w:val="00A46A7A"/>
    <w:rsid w:val="00A50E5C"/>
    <w:rsid w:val="00A5144D"/>
    <w:rsid w:val="00A5301C"/>
    <w:rsid w:val="00A5354D"/>
    <w:rsid w:val="00A55B08"/>
    <w:rsid w:val="00A55EA4"/>
    <w:rsid w:val="00A6779A"/>
    <w:rsid w:val="00A7544D"/>
    <w:rsid w:val="00A75F42"/>
    <w:rsid w:val="00A76A9B"/>
    <w:rsid w:val="00A83BE4"/>
    <w:rsid w:val="00A83C07"/>
    <w:rsid w:val="00A841EE"/>
    <w:rsid w:val="00A8650D"/>
    <w:rsid w:val="00A86EFD"/>
    <w:rsid w:val="00A945DE"/>
    <w:rsid w:val="00A9523D"/>
    <w:rsid w:val="00A9526C"/>
    <w:rsid w:val="00A957E7"/>
    <w:rsid w:val="00A96D88"/>
    <w:rsid w:val="00AA20B1"/>
    <w:rsid w:val="00AA52FE"/>
    <w:rsid w:val="00AA5F40"/>
    <w:rsid w:val="00AB0F9B"/>
    <w:rsid w:val="00AB1AD1"/>
    <w:rsid w:val="00AC2B29"/>
    <w:rsid w:val="00AC2CB1"/>
    <w:rsid w:val="00AD2EBC"/>
    <w:rsid w:val="00AD64CD"/>
    <w:rsid w:val="00AD6D0E"/>
    <w:rsid w:val="00AE1F98"/>
    <w:rsid w:val="00AE2A52"/>
    <w:rsid w:val="00AE5656"/>
    <w:rsid w:val="00AE5B9C"/>
    <w:rsid w:val="00AF5DD5"/>
    <w:rsid w:val="00AF5EC9"/>
    <w:rsid w:val="00AF7A58"/>
    <w:rsid w:val="00B00993"/>
    <w:rsid w:val="00B027E9"/>
    <w:rsid w:val="00B032DF"/>
    <w:rsid w:val="00B0383F"/>
    <w:rsid w:val="00B0505F"/>
    <w:rsid w:val="00B054D8"/>
    <w:rsid w:val="00B05E7B"/>
    <w:rsid w:val="00B13C70"/>
    <w:rsid w:val="00B24FE7"/>
    <w:rsid w:val="00B31019"/>
    <w:rsid w:val="00B36208"/>
    <w:rsid w:val="00B36345"/>
    <w:rsid w:val="00B37FB7"/>
    <w:rsid w:val="00B41E58"/>
    <w:rsid w:val="00B43944"/>
    <w:rsid w:val="00B44A4D"/>
    <w:rsid w:val="00B46640"/>
    <w:rsid w:val="00B53AB3"/>
    <w:rsid w:val="00B54FF7"/>
    <w:rsid w:val="00B576C7"/>
    <w:rsid w:val="00B639C1"/>
    <w:rsid w:val="00B66748"/>
    <w:rsid w:val="00B70AEE"/>
    <w:rsid w:val="00B734DC"/>
    <w:rsid w:val="00B74A0E"/>
    <w:rsid w:val="00B80635"/>
    <w:rsid w:val="00B80DC8"/>
    <w:rsid w:val="00B831CA"/>
    <w:rsid w:val="00B8394A"/>
    <w:rsid w:val="00B939B6"/>
    <w:rsid w:val="00B959E1"/>
    <w:rsid w:val="00BA05F7"/>
    <w:rsid w:val="00BA3BD2"/>
    <w:rsid w:val="00BC1FAF"/>
    <w:rsid w:val="00BC2F48"/>
    <w:rsid w:val="00BC4FF0"/>
    <w:rsid w:val="00BC6AC2"/>
    <w:rsid w:val="00BC783D"/>
    <w:rsid w:val="00BC79E4"/>
    <w:rsid w:val="00BD3741"/>
    <w:rsid w:val="00BD44C4"/>
    <w:rsid w:val="00BE0A61"/>
    <w:rsid w:val="00BE0D88"/>
    <w:rsid w:val="00BE2ED8"/>
    <w:rsid w:val="00BE6398"/>
    <w:rsid w:val="00BF0454"/>
    <w:rsid w:val="00BF3468"/>
    <w:rsid w:val="00BF4195"/>
    <w:rsid w:val="00C00020"/>
    <w:rsid w:val="00C03231"/>
    <w:rsid w:val="00C137CC"/>
    <w:rsid w:val="00C148BD"/>
    <w:rsid w:val="00C159C6"/>
    <w:rsid w:val="00C17C8D"/>
    <w:rsid w:val="00C17EA0"/>
    <w:rsid w:val="00C239D4"/>
    <w:rsid w:val="00C23F71"/>
    <w:rsid w:val="00C31655"/>
    <w:rsid w:val="00C33554"/>
    <w:rsid w:val="00C33D80"/>
    <w:rsid w:val="00C37DF5"/>
    <w:rsid w:val="00C408D3"/>
    <w:rsid w:val="00C43916"/>
    <w:rsid w:val="00C53F38"/>
    <w:rsid w:val="00C6248E"/>
    <w:rsid w:val="00C6320F"/>
    <w:rsid w:val="00C67F82"/>
    <w:rsid w:val="00C7424B"/>
    <w:rsid w:val="00C7445E"/>
    <w:rsid w:val="00C74E3A"/>
    <w:rsid w:val="00C756F6"/>
    <w:rsid w:val="00C8340B"/>
    <w:rsid w:val="00C8453D"/>
    <w:rsid w:val="00C86570"/>
    <w:rsid w:val="00C87EFA"/>
    <w:rsid w:val="00C92C32"/>
    <w:rsid w:val="00C9706B"/>
    <w:rsid w:val="00CA03D8"/>
    <w:rsid w:val="00CA24AF"/>
    <w:rsid w:val="00CB042E"/>
    <w:rsid w:val="00CB6F85"/>
    <w:rsid w:val="00CB74A3"/>
    <w:rsid w:val="00CC1A80"/>
    <w:rsid w:val="00CC52C5"/>
    <w:rsid w:val="00CC7978"/>
    <w:rsid w:val="00CD0C85"/>
    <w:rsid w:val="00CD21AE"/>
    <w:rsid w:val="00CD3FCE"/>
    <w:rsid w:val="00CD7EFF"/>
    <w:rsid w:val="00CE093B"/>
    <w:rsid w:val="00CE2EB6"/>
    <w:rsid w:val="00CE5245"/>
    <w:rsid w:val="00CF2A0F"/>
    <w:rsid w:val="00CF49C4"/>
    <w:rsid w:val="00CF4E52"/>
    <w:rsid w:val="00D0148B"/>
    <w:rsid w:val="00D016D2"/>
    <w:rsid w:val="00D03BE3"/>
    <w:rsid w:val="00D25605"/>
    <w:rsid w:val="00D312EE"/>
    <w:rsid w:val="00D37FE1"/>
    <w:rsid w:val="00D41D2D"/>
    <w:rsid w:val="00D50B25"/>
    <w:rsid w:val="00D50D1A"/>
    <w:rsid w:val="00D50FD9"/>
    <w:rsid w:val="00D54D7D"/>
    <w:rsid w:val="00D57599"/>
    <w:rsid w:val="00D61FAC"/>
    <w:rsid w:val="00D706E3"/>
    <w:rsid w:val="00D70CC0"/>
    <w:rsid w:val="00D74AD3"/>
    <w:rsid w:val="00D7566C"/>
    <w:rsid w:val="00D7649D"/>
    <w:rsid w:val="00D76FD2"/>
    <w:rsid w:val="00D802A9"/>
    <w:rsid w:val="00D82E91"/>
    <w:rsid w:val="00D8682F"/>
    <w:rsid w:val="00D874E9"/>
    <w:rsid w:val="00D9040B"/>
    <w:rsid w:val="00D90CA3"/>
    <w:rsid w:val="00D97E9E"/>
    <w:rsid w:val="00DA02A0"/>
    <w:rsid w:val="00DA1313"/>
    <w:rsid w:val="00DA4B98"/>
    <w:rsid w:val="00DA5E49"/>
    <w:rsid w:val="00DB1D3D"/>
    <w:rsid w:val="00DB400F"/>
    <w:rsid w:val="00DB45F5"/>
    <w:rsid w:val="00DB6247"/>
    <w:rsid w:val="00DC0493"/>
    <w:rsid w:val="00DC5532"/>
    <w:rsid w:val="00DC5A9F"/>
    <w:rsid w:val="00DC7151"/>
    <w:rsid w:val="00DD4DBE"/>
    <w:rsid w:val="00DD58D5"/>
    <w:rsid w:val="00DD5BC6"/>
    <w:rsid w:val="00DD65CE"/>
    <w:rsid w:val="00DD6C19"/>
    <w:rsid w:val="00DE0F35"/>
    <w:rsid w:val="00DE3C7D"/>
    <w:rsid w:val="00DF18BA"/>
    <w:rsid w:val="00DF2412"/>
    <w:rsid w:val="00DF5133"/>
    <w:rsid w:val="00DF5760"/>
    <w:rsid w:val="00DF6320"/>
    <w:rsid w:val="00DF68A3"/>
    <w:rsid w:val="00DF7327"/>
    <w:rsid w:val="00E04754"/>
    <w:rsid w:val="00E07E99"/>
    <w:rsid w:val="00E1266F"/>
    <w:rsid w:val="00E14B00"/>
    <w:rsid w:val="00E14DDB"/>
    <w:rsid w:val="00E156F7"/>
    <w:rsid w:val="00E20E36"/>
    <w:rsid w:val="00E22759"/>
    <w:rsid w:val="00E34F09"/>
    <w:rsid w:val="00E353AA"/>
    <w:rsid w:val="00E42DDB"/>
    <w:rsid w:val="00E45359"/>
    <w:rsid w:val="00E45D51"/>
    <w:rsid w:val="00E47D22"/>
    <w:rsid w:val="00E54BD2"/>
    <w:rsid w:val="00E64A58"/>
    <w:rsid w:val="00E66B9F"/>
    <w:rsid w:val="00E7684B"/>
    <w:rsid w:val="00E87AE5"/>
    <w:rsid w:val="00E920A2"/>
    <w:rsid w:val="00E93D94"/>
    <w:rsid w:val="00E941FE"/>
    <w:rsid w:val="00E97B5D"/>
    <w:rsid w:val="00EA01FB"/>
    <w:rsid w:val="00EA3D01"/>
    <w:rsid w:val="00EB11F2"/>
    <w:rsid w:val="00EB381E"/>
    <w:rsid w:val="00EB577F"/>
    <w:rsid w:val="00EB76E8"/>
    <w:rsid w:val="00EC006A"/>
    <w:rsid w:val="00ED154D"/>
    <w:rsid w:val="00ED3EC0"/>
    <w:rsid w:val="00ED48D9"/>
    <w:rsid w:val="00EE336A"/>
    <w:rsid w:val="00EE34D1"/>
    <w:rsid w:val="00EE527E"/>
    <w:rsid w:val="00EE5F02"/>
    <w:rsid w:val="00EF3BED"/>
    <w:rsid w:val="00F11321"/>
    <w:rsid w:val="00F13011"/>
    <w:rsid w:val="00F26050"/>
    <w:rsid w:val="00F31B22"/>
    <w:rsid w:val="00F33350"/>
    <w:rsid w:val="00F33F49"/>
    <w:rsid w:val="00F3483F"/>
    <w:rsid w:val="00F34C76"/>
    <w:rsid w:val="00F45DC1"/>
    <w:rsid w:val="00F475E5"/>
    <w:rsid w:val="00F5016F"/>
    <w:rsid w:val="00F55A32"/>
    <w:rsid w:val="00F64CD8"/>
    <w:rsid w:val="00F73B95"/>
    <w:rsid w:val="00F817C0"/>
    <w:rsid w:val="00F82F08"/>
    <w:rsid w:val="00F85437"/>
    <w:rsid w:val="00F92030"/>
    <w:rsid w:val="00F9369B"/>
    <w:rsid w:val="00F94C72"/>
    <w:rsid w:val="00FA03CD"/>
    <w:rsid w:val="00FA6B1F"/>
    <w:rsid w:val="00FB0104"/>
    <w:rsid w:val="00FB560B"/>
    <w:rsid w:val="00FB5A58"/>
    <w:rsid w:val="00FC1D3B"/>
    <w:rsid w:val="00FC2701"/>
    <w:rsid w:val="00FC6026"/>
    <w:rsid w:val="00FC6307"/>
    <w:rsid w:val="00FC7099"/>
    <w:rsid w:val="00FD3F5C"/>
    <w:rsid w:val="00FD5CAB"/>
    <w:rsid w:val="00FD60E1"/>
    <w:rsid w:val="00FE5C67"/>
    <w:rsid w:val="00FE7C91"/>
    <w:rsid w:val="00FF1262"/>
    <w:rsid w:val="01395BF5"/>
    <w:rsid w:val="018E0838"/>
    <w:rsid w:val="01FC0361"/>
    <w:rsid w:val="020624E4"/>
    <w:rsid w:val="02344DDC"/>
    <w:rsid w:val="029671FD"/>
    <w:rsid w:val="02B76B75"/>
    <w:rsid w:val="03AF4922"/>
    <w:rsid w:val="03D703D9"/>
    <w:rsid w:val="03E94146"/>
    <w:rsid w:val="062E7A66"/>
    <w:rsid w:val="06774F80"/>
    <w:rsid w:val="06BC0444"/>
    <w:rsid w:val="06E07579"/>
    <w:rsid w:val="06E44738"/>
    <w:rsid w:val="09101B79"/>
    <w:rsid w:val="0965013B"/>
    <w:rsid w:val="099B0F97"/>
    <w:rsid w:val="09F2780A"/>
    <w:rsid w:val="0A550711"/>
    <w:rsid w:val="0B511F22"/>
    <w:rsid w:val="0CAF3AFA"/>
    <w:rsid w:val="0CC33738"/>
    <w:rsid w:val="0DF52AF6"/>
    <w:rsid w:val="0EFF17D5"/>
    <w:rsid w:val="108F7FE1"/>
    <w:rsid w:val="11627900"/>
    <w:rsid w:val="11F1315B"/>
    <w:rsid w:val="12A768D4"/>
    <w:rsid w:val="12C83FCA"/>
    <w:rsid w:val="12EC0145"/>
    <w:rsid w:val="13501C1A"/>
    <w:rsid w:val="13A77DA3"/>
    <w:rsid w:val="13DF6877"/>
    <w:rsid w:val="149C1BC9"/>
    <w:rsid w:val="152A4D45"/>
    <w:rsid w:val="156A2879"/>
    <w:rsid w:val="167E3B11"/>
    <w:rsid w:val="16A77837"/>
    <w:rsid w:val="175D2F2A"/>
    <w:rsid w:val="176A6F82"/>
    <w:rsid w:val="17C72456"/>
    <w:rsid w:val="17CB3F02"/>
    <w:rsid w:val="18244B6C"/>
    <w:rsid w:val="188E364C"/>
    <w:rsid w:val="18B6019B"/>
    <w:rsid w:val="18C2678B"/>
    <w:rsid w:val="18D04919"/>
    <w:rsid w:val="198D5975"/>
    <w:rsid w:val="19ED339F"/>
    <w:rsid w:val="19FF2E25"/>
    <w:rsid w:val="1A255320"/>
    <w:rsid w:val="1BBB7B73"/>
    <w:rsid w:val="1BD74E35"/>
    <w:rsid w:val="1C1636E1"/>
    <w:rsid w:val="1C674322"/>
    <w:rsid w:val="1C7237E5"/>
    <w:rsid w:val="1C7B64FE"/>
    <w:rsid w:val="1CA219A4"/>
    <w:rsid w:val="1D022028"/>
    <w:rsid w:val="1D3521C0"/>
    <w:rsid w:val="1D630566"/>
    <w:rsid w:val="1DD81632"/>
    <w:rsid w:val="1F1B499B"/>
    <w:rsid w:val="1F501880"/>
    <w:rsid w:val="1FC57DA2"/>
    <w:rsid w:val="1FE30677"/>
    <w:rsid w:val="20AC1273"/>
    <w:rsid w:val="219853BA"/>
    <w:rsid w:val="22715FC0"/>
    <w:rsid w:val="22D430F4"/>
    <w:rsid w:val="235B28D5"/>
    <w:rsid w:val="23970C1D"/>
    <w:rsid w:val="2419763B"/>
    <w:rsid w:val="24703254"/>
    <w:rsid w:val="257B1732"/>
    <w:rsid w:val="269243B3"/>
    <w:rsid w:val="26BD4C85"/>
    <w:rsid w:val="274B5BBB"/>
    <w:rsid w:val="27D00ED4"/>
    <w:rsid w:val="285746C5"/>
    <w:rsid w:val="295B18A1"/>
    <w:rsid w:val="29AE7936"/>
    <w:rsid w:val="2A6475DE"/>
    <w:rsid w:val="2ADB1D7E"/>
    <w:rsid w:val="2B060735"/>
    <w:rsid w:val="2B9870A4"/>
    <w:rsid w:val="2BD01D3B"/>
    <w:rsid w:val="2C0202DA"/>
    <w:rsid w:val="2C130085"/>
    <w:rsid w:val="2C8317AF"/>
    <w:rsid w:val="2CA35960"/>
    <w:rsid w:val="2EDF0C32"/>
    <w:rsid w:val="2FC27740"/>
    <w:rsid w:val="2FDC6B4C"/>
    <w:rsid w:val="2FED4F13"/>
    <w:rsid w:val="30052E36"/>
    <w:rsid w:val="304B3F98"/>
    <w:rsid w:val="309D569C"/>
    <w:rsid w:val="320F3B0A"/>
    <w:rsid w:val="32463321"/>
    <w:rsid w:val="33925F4B"/>
    <w:rsid w:val="346E4946"/>
    <w:rsid w:val="353E486F"/>
    <w:rsid w:val="35446EEA"/>
    <w:rsid w:val="35E829F7"/>
    <w:rsid w:val="36097937"/>
    <w:rsid w:val="363B3E98"/>
    <w:rsid w:val="36662AF7"/>
    <w:rsid w:val="36BC5ECB"/>
    <w:rsid w:val="38570B7F"/>
    <w:rsid w:val="38E71D62"/>
    <w:rsid w:val="3917561B"/>
    <w:rsid w:val="39187338"/>
    <w:rsid w:val="3A3826DF"/>
    <w:rsid w:val="3ABF5628"/>
    <w:rsid w:val="3AFB3085"/>
    <w:rsid w:val="3AFC3CC7"/>
    <w:rsid w:val="3B143204"/>
    <w:rsid w:val="3B35498E"/>
    <w:rsid w:val="3B6D06EF"/>
    <w:rsid w:val="3B9601BE"/>
    <w:rsid w:val="3BB4450B"/>
    <w:rsid w:val="3BC74A4B"/>
    <w:rsid w:val="3D472516"/>
    <w:rsid w:val="3D947815"/>
    <w:rsid w:val="3E1E6DF7"/>
    <w:rsid w:val="3FB33997"/>
    <w:rsid w:val="3FFE5AD4"/>
    <w:rsid w:val="40BA485E"/>
    <w:rsid w:val="418C3245"/>
    <w:rsid w:val="41C105AA"/>
    <w:rsid w:val="41FF2A99"/>
    <w:rsid w:val="420C478D"/>
    <w:rsid w:val="42B67B35"/>
    <w:rsid w:val="42E2094E"/>
    <w:rsid w:val="432B4723"/>
    <w:rsid w:val="447E1E89"/>
    <w:rsid w:val="453C75E8"/>
    <w:rsid w:val="45693181"/>
    <w:rsid w:val="45FB70F2"/>
    <w:rsid w:val="463012B9"/>
    <w:rsid w:val="468A00F0"/>
    <w:rsid w:val="46D673DB"/>
    <w:rsid w:val="47917716"/>
    <w:rsid w:val="47C40491"/>
    <w:rsid w:val="48213175"/>
    <w:rsid w:val="483A3A72"/>
    <w:rsid w:val="490D3C26"/>
    <w:rsid w:val="492038EE"/>
    <w:rsid w:val="49B47E68"/>
    <w:rsid w:val="49C72516"/>
    <w:rsid w:val="4A9A012F"/>
    <w:rsid w:val="4B3E64BF"/>
    <w:rsid w:val="4B8345B2"/>
    <w:rsid w:val="4B8C5970"/>
    <w:rsid w:val="4BDE0649"/>
    <w:rsid w:val="4C0F33EA"/>
    <w:rsid w:val="4C130B8F"/>
    <w:rsid w:val="4C7B137E"/>
    <w:rsid w:val="4C8C02DD"/>
    <w:rsid w:val="4D2E450F"/>
    <w:rsid w:val="4D401517"/>
    <w:rsid w:val="4D4573F7"/>
    <w:rsid w:val="4DC57AD9"/>
    <w:rsid w:val="4E226EF3"/>
    <w:rsid w:val="4E8037B8"/>
    <w:rsid w:val="4F260D01"/>
    <w:rsid w:val="4F630A68"/>
    <w:rsid w:val="4FBC336B"/>
    <w:rsid w:val="50844C91"/>
    <w:rsid w:val="50865158"/>
    <w:rsid w:val="51900D6E"/>
    <w:rsid w:val="51FD0FA3"/>
    <w:rsid w:val="522D1E3F"/>
    <w:rsid w:val="52682F07"/>
    <w:rsid w:val="52C54B4A"/>
    <w:rsid w:val="52E400DB"/>
    <w:rsid w:val="53475573"/>
    <w:rsid w:val="53AD1227"/>
    <w:rsid w:val="54142150"/>
    <w:rsid w:val="54C40EA6"/>
    <w:rsid w:val="556E63C6"/>
    <w:rsid w:val="55796652"/>
    <w:rsid w:val="55802419"/>
    <w:rsid w:val="55AC3D1B"/>
    <w:rsid w:val="56432C00"/>
    <w:rsid w:val="570C513B"/>
    <w:rsid w:val="57976E7B"/>
    <w:rsid w:val="5802356E"/>
    <w:rsid w:val="58356F31"/>
    <w:rsid w:val="58650865"/>
    <w:rsid w:val="58C326E4"/>
    <w:rsid w:val="59DE7D8F"/>
    <w:rsid w:val="59F91747"/>
    <w:rsid w:val="59F93D1A"/>
    <w:rsid w:val="5A5E27F6"/>
    <w:rsid w:val="5A7D402D"/>
    <w:rsid w:val="5A804C79"/>
    <w:rsid w:val="5AF56A61"/>
    <w:rsid w:val="5B8767A0"/>
    <w:rsid w:val="5BAC4DBC"/>
    <w:rsid w:val="5CDB654A"/>
    <w:rsid w:val="5E787439"/>
    <w:rsid w:val="5F1451D4"/>
    <w:rsid w:val="5F611F0B"/>
    <w:rsid w:val="5F9C1509"/>
    <w:rsid w:val="5FE1105B"/>
    <w:rsid w:val="5FEB2BF1"/>
    <w:rsid w:val="602D36D5"/>
    <w:rsid w:val="605552AB"/>
    <w:rsid w:val="6078720C"/>
    <w:rsid w:val="60F57A89"/>
    <w:rsid w:val="61E11A24"/>
    <w:rsid w:val="633433F0"/>
    <w:rsid w:val="634E6050"/>
    <w:rsid w:val="63624C2E"/>
    <w:rsid w:val="63DD6DF5"/>
    <w:rsid w:val="64A6008F"/>
    <w:rsid w:val="65112CFA"/>
    <w:rsid w:val="655D2219"/>
    <w:rsid w:val="65847FCF"/>
    <w:rsid w:val="65A24712"/>
    <w:rsid w:val="66523193"/>
    <w:rsid w:val="66CC12EE"/>
    <w:rsid w:val="67DB1465"/>
    <w:rsid w:val="67FA4F92"/>
    <w:rsid w:val="68FF7229"/>
    <w:rsid w:val="69AF7806"/>
    <w:rsid w:val="6A5C540B"/>
    <w:rsid w:val="6A6457FA"/>
    <w:rsid w:val="6B6D0E8C"/>
    <w:rsid w:val="6BFE6BDE"/>
    <w:rsid w:val="6C410215"/>
    <w:rsid w:val="6C9F5C08"/>
    <w:rsid w:val="6D5F56FB"/>
    <w:rsid w:val="6D8A41F9"/>
    <w:rsid w:val="6DAF32E0"/>
    <w:rsid w:val="6DFB61EC"/>
    <w:rsid w:val="6E0252EB"/>
    <w:rsid w:val="6E54394D"/>
    <w:rsid w:val="6E880533"/>
    <w:rsid w:val="6ED11C09"/>
    <w:rsid w:val="70671FDC"/>
    <w:rsid w:val="70BD3919"/>
    <w:rsid w:val="71703FF2"/>
    <w:rsid w:val="71B907C3"/>
    <w:rsid w:val="72E62D91"/>
    <w:rsid w:val="73BC0951"/>
    <w:rsid w:val="74BB66D4"/>
    <w:rsid w:val="74C5536E"/>
    <w:rsid w:val="74D833ED"/>
    <w:rsid w:val="7537559B"/>
    <w:rsid w:val="75464864"/>
    <w:rsid w:val="767D2DF3"/>
    <w:rsid w:val="76984C54"/>
    <w:rsid w:val="76C701FF"/>
    <w:rsid w:val="76DC4657"/>
    <w:rsid w:val="7765339D"/>
    <w:rsid w:val="7774183F"/>
    <w:rsid w:val="77DC0220"/>
    <w:rsid w:val="78634694"/>
    <w:rsid w:val="78813448"/>
    <w:rsid w:val="78E232CF"/>
    <w:rsid w:val="793338A7"/>
    <w:rsid w:val="795203CA"/>
    <w:rsid w:val="7A3C5B86"/>
    <w:rsid w:val="7A584EF3"/>
    <w:rsid w:val="7AF827AF"/>
    <w:rsid w:val="7B417D61"/>
    <w:rsid w:val="7B8614A0"/>
    <w:rsid w:val="7BCD62ED"/>
    <w:rsid w:val="7BEE6FED"/>
    <w:rsid w:val="7C1135BF"/>
    <w:rsid w:val="7C734387"/>
    <w:rsid w:val="7CBE0388"/>
    <w:rsid w:val="7DB12C9E"/>
    <w:rsid w:val="7DEF7072"/>
    <w:rsid w:val="7E6D3C1C"/>
    <w:rsid w:val="7F9A5F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val="en-US" w:eastAsia="zh-CN" w:bidi="ar-SA"/>
    </w:rPr>
  </w:style>
  <w:style w:type="paragraph" w:styleId="3">
    <w:name w:val="heading 1"/>
    <w:basedOn w:val="1"/>
    <w:next w:val="1"/>
    <w:link w:val="60"/>
    <w:qFormat/>
    <w:uiPriority w:val="0"/>
    <w:pPr>
      <w:keepNext/>
      <w:keepLines/>
      <w:spacing w:after="120" w:line="360" w:lineRule="auto"/>
      <w:jc w:val="left"/>
      <w:outlineLvl w:val="0"/>
    </w:pPr>
    <w:rPr>
      <w:kern w:val="44"/>
      <w:sz w:val="28"/>
      <w:szCs w:val="28"/>
    </w:rPr>
  </w:style>
  <w:style w:type="paragraph" w:styleId="4">
    <w:name w:val="heading 2"/>
    <w:basedOn w:val="1"/>
    <w:next w:val="5"/>
    <w:link w:val="61"/>
    <w:qFormat/>
    <w:uiPriority w:val="0"/>
    <w:pPr>
      <w:keepNext/>
      <w:keepLines/>
      <w:numPr>
        <w:ilvl w:val="1"/>
        <w:numId w:val="0"/>
      </w:numPr>
      <w:spacing w:before="120" w:after="120" w:line="415" w:lineRule="auto"/>
      <w:ind w:left="454"/>
      <w:jc w:val="center"/>
      <w:outlineLvl w:val="1"/>
    </w:pPr>
    <w:rPr>
      <w:rFonts w:ascii="Arial" w:hAnsi="Arial" w:eastAsia="宋体"/>
      <w:b/>
      <w:color w:val="000000"/>
      <w:kern w:val="0"/>
      <w:sz w:val="24"/>
      <w:szCs w:val="24"/>
    </w:rPr>
  </w:style>
  <w:style w:type="paragraph" w:styleId="6">
    <w:name w:val="heading 3"/>
    <w:basedOn w:val="1"/>
    <w:next w:val="1"/>
    <w:link w:val="63"/>
    <w:qFormat/>
    <w:uiPriority w:val="0"/>
    <w:pPr>
      <w:widowControl/>
      <w:spacing w:before="100" w:beforeAutospacing="1" w:after="100" w:afterAutospacing="1"/>
      <w:jc w:val="left"/>
      <w:outlineLvl w:val="2"/>
    </w:pPr>
    <w:rPr>
      <w:rFonts w:ascii="宋体" w:hAnsi="宋体" w:eastAsia="宋体"/>
      <w:kern w:val="0"/>
      <w:sz w:val="27"/>
      <w:szCs w:val="27"/>
    </w:rPr>
  </w:style>
  <w:style w:type="paragraph" w:styleId="7">
    <w:name w:val="heading 4"/>
    <w:basedOn w:val="6"/>
    <w:next w:val="5"/>
    <w:link w:val="64"/>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olor w:val="000000"/>
      <w:sz w:val="20"/>
      <w:szCs w:val="21"/>
    </w:rPr>
  </w:style>
  <w:style w:type="paragraph" w:styleId="8">
    <w:name w:val="heading 5"/>
    <w:basedOn w:val="7"/>
    <w:next w:val="5"/>
    <w:link w:val="65"/>
    <w:qFormat/>
    <w:uiPriority w:val="0"/>
    <w:pPr>
      <w:numPr>
        <w:ilvl w:val="4"/>
        <w:numId w:val="1"/>
      </w:numPr>
      <w:spacing w:line="240" w:lineRule="exact"/>
      <w:outlineLvl w:val="4"/>
    </w:pPr>
  </w:style>
  <w:style w:type="paragraph" w:styleId="9">
    <w:name w:val="heading 6"/>
    <w:basedOn w:val="1"/>
    <w:next w:val="1"/>
    <w:link w:val="66"/>
    <w:qFormat/>
    <w:uiPriority w:val="0"/>
    <w:pPr>
      <w:keepNext/>
      <w:keepLines/>
      <w:numPr>
        <w:ilvl w:val="5"/>
        <w:numId w:val="2"/>
      </w:numPr>
      <w:spacing w:before="240" w:after="64" w:line="320" w:lineRule="auto"/>
      <w:outlineLvl w:val="5"/>
    </w:pPr>
    <w:rPr>
      <w:rFonts w:ascii="Arial" w:hAnsi="Arial" w:eastAsia="黑体"/>
      <w:b/>
      <w:bCs/>
      <w:kern w:val="0"/>
      <w:sz w:val="24"/>
      <w:szCs w:val="24"/>
    </w:rPr>
  </w:style>
  <w:style w:type="paragraph" w:styleId="10">
    <w:name w:val="heading 7"/>
    <w:basedOn w:val="1"/>
    <w:next w:val="5"/>
    <w:link w:val="67"/>
    <w:qFormat/>
    <w:uiPriority w:val="0"/>
    <w:pPr>
      <w:keepNext/>
      <w:keepLines/>
      <w:numPr>
        <w:ilvl w:val="6"/>
        <w:numId w:val="1"/>
      </w:numPr>
      <w:spacing w:before="240" w:after="64" w:line="320" w:lineRule="auto"/>
      <w:outlineLvl w:val="6"/>
    </w:pPr>
    <w:rPr>
      <w:rFonts w:ascii="Times New Roman" w:hAnsi="Times New Roman" w:eastAsia="宋体"/>
      <w:b/>
      <w:kern w:val="0"/>
      <w:sz w:val="24"/>
      <w:szCs w:val="20"/>
    </w:rPr>
  </w:style>
  <w:style w:type="paragraph" w:styleId="11">
    <w:name w:val="heading 8"/>
    <w:basedOn w:val="1"/>
    <w:next w:val="5"/>
    <w:link w:val="68"/>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2">
    <w:name w:val="heading 9"/>
    <w:basedOn w:val="1"/>
    <w:next w:val="5"/>
    <w:link w:val="69"/>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51">
    <w:name w:val="Default Paragraph Font"/>
    <w:unhideWhenUsed/>
    <w:qFormat/>
    <w:uiPriority w:val="1"/>
  </w:style>
  <w:style w:type="table" w:default="1" w:styleId="49">
    <w:name w:val="Normal Table"/>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rPr>
      <w:rFonts w:ascii="宋体" w:hAnsi="Courier New"/>
      <w:kern w:val="0"/>
      <w:sz w:val="20"/>
      <w:szCs w:val="20"/>
    </w:rPr>
  </w:style>
  <w:style w:type="paragraph" w:styleId="5">
    <w:name w:val="Normal Indent"/>
    <w:basedOn w:val="1"/>
    <w:link w:val="62"/>
    <w:qFormat/>
    <w:uiPriority w:val="0"/>
    <w:pPr>
      <w:ind w:firstLine="420"/>
    </w:pPr>
    <w:rPr>
      <w:rFonts w:ascii="Times New Roman" w:hAnsi="Times New Roman"/>
      <w:szCs w:val="20"/>
    </w:rPr>
  </w:style>
  <w:style w:type="paragraph" w:styleId="13">
    <w:name w:val="toc 7"/>
    <w:basedOn w:val="1"/>
    <w:next w:val="1"/>
    <w:qFormat/>
    <w:uiPriority w:val="0"/>
    <w:pPr>
      <w:ind w:leftChars="1200"/>
    </w:pPr>
    <w:rPr>
      <w:rFonts w:ascii="Times New Roma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tabs>
        <w:tab w:val="left" w:pos="360"/>
      </w:tabs>
      <w:ind w:left="360" w:hanging="360"/>
    </w:pPr>
    <w:rPr>
      <w:rFonts w:ascii="Times New Roman"/>
      <w:szCs w:val="24"/>
    </w:rPr>
  </w:style>
  <w:style w:type="paragraph" w:styleId="16">
    <w:name w:val="Document Map"/>
    <w:basedOn w:val="1"/>
    <w:link w:val="70"/>
    <w:qFormat/>
    <w:uiPriority w:val="0"/>
    <w:pPr>
      <w:shd w:val="clear" w:color="auto" w:fill="000080"/>
    </w:pPr>
    <w:rPr>
      <w:rFonts w:ascii="Times New Roman" w:hAnsi="Times New Roman" w:eastAsia="宋体"/>
      <w:kern w:val="0"/>
      <w:sz w:val="20"/>
      <w:szCs w:val="20"/>
    </w:rPr>
  </w:style>
  <w:style w:type="paragraph" w:styleId="17">
    <w:name w:val="annotation text"/>
    <w:basedOn w:val="1"/>
    <w:link w:val="71"/>
    <w:qFormat/>
    <w:uiPriority w:val="0"/>
    <w:pPr>
      <w:spacing w:line="360" w:lineRule="auto"/>
      <w:ind w:firstLine="523" w:firstLineChars="218"/>
      <w:jc w:val="left"/>
    </w:pPr>
    <w:rPr>
      <w:rFonts w:ascii="宋体" w:hAnsi="宋体" w:eastAsia="宋体"/>
      <w:kern w:val="0"/>
      <w:sz w:val="24"/>
      <w:szCs w:val="24"/>
    </w:rPr>
  </w:style>
  <w:style w:type="paragraph" w:styleId="18">
    <w:name w:val="Body Text 3"/>
    <w:basedOn w:val="1"/>
    <w:link w:val="72"/>
    <w:qFormat/>
    <w:uiPriority w:val="0"/>
    <w:rPr>
      <w:rFonts w:ascii="宋体" w:hAnsi="宋体"/>
      <w:sz w:val="24"/>
      <w:szCs w:val="20"/>
    </w:rPr>
  </w:style>
  <w:style w:type="paragraph" w:styleId="19">
    <w:name w:val="Body Text"/>
    <w:basedOn w:val="1"/>
    <w:next w:val="1"/>
    <w:link w:val="73"/>
    <w:qFormat/>
    <w:uiPriority w:val="0"/>
    <w:pPr>
      <w:spacing w:after="120"/>
    </w:pPr>
    <w:rPr>
      <w:rFonts w:ascii="Times New Roman" w:hAnsi="Times New Roman" w:eastAsia="宋体"/>
      <w:kern w:val="0"/>
      <w:sz w:val="20"/>
      <w:szCs w:val="20"/>
    </w:rPr>
  </w:style>
  <w:style w:type="paragraph" w:styleId="20">
    <w:name w:val="Body Text Indent"/>
    <w:basedOn w:val="1"/>
    <w:link w:val="74"/>
    <w:qFormat/>
    <w:uiPriority w:val="0"/>
    <w:pPr>
      <w:ind w:firstLine="570"/>
    </w:pPr>
    <w:rPr>
      <w:rFonts w:ascii="Times New Roman" w:hAnsi="Times New Roman" w:eastAsia="宋体"/>
      <w:kern w:val="0"/>
      <w:sz w:val="28"/>
      <w:szCs w:val="20"/>
    </w:rPr>
  </w:style>
  <w:style w:type="paragraph" w:styleId="21">
    <w:name w:val="List 2"/>
    <w:basedOn w:val="1"/>
    <w:qFormat/>
    <w:uiPriority w:val="0"/>
    <w:pPr>
      <w:ind w:leftChars="200" w:hanging="200" w:hangingChars="200"/>
    </w:pPr>
    <w:rPr>
      <w:rFonts w:ascii="Times New Roman" w:eastAsia="楷体_GB2312"/>
      <w:szCs w:val="20"/>
    </w:rPr>
  </w:style>
  <w:style w:type="paragraph" w:styleId="22">
    <w:name w:val="List Bullet 2"/>
    <w:basedOn w:val="15"/>
    <w:qFormat/>
    <w:uiPriority w:val="0"/>
    <w:pPr>
      <w:widowControl/>
      <w:tabs>
        <w:tab w:val="left" w:pos="432"/>
        <w:tab w:val="clear" w:pos="360"/>
      </w:tabs>
      <w:spacing w:after="220" w:line="220" w:lineRule="atLeast"/>
      <w:ind w:left="2160" w:right="720" w:hanging="432"/>
      <w:jc w:val="left"/>
    </w:pPr>
    <w:rPr>
      <w:kern w:val="0"/>
      <w:szCs w:val="20"/>
    </w:rPr>
  </w:style>
  <w:style w:type="paragraph" w:styleId="23">
    <w:name w:val="toc 5"/>
    <w:basedOn w:val="1"/>
    <w:next w:val="1"/>
    <w:qFormat/>
    <w:uiPriority w:val="0"/>
    <w:pPr>
      <w:ind w:leftChars="800"/>
    </w:pPr>
    <w:rPr>
      <w:rFonts w:ascii="Times New Roman"/>
    </w:rPr>
  </w:style>
  <w:style w:type="paragraph" w:styleId="24">
    <w:name w:val="toc 3"/>
    <w:basedOn w:val="1"/>
    <w:next w:val="1"/>
    <w:qFormat/>
    <w:uiPriority w:val="0"/>
    <w:pPr>
      <w:snapToGrid w:val="0"/>
      <w:spacing w:line="360" w:lineRule="auto"/>
      <w:ind w:left="400" w:leftChars="400"/>
      <w:jc w:val="left"/>
    </w:pPr>
    <w:rPr>
      <w:rFonts w:ascii="Times New Roman" w:hAnsi="Times New Roman"/>
      <w:sz w:val="24"/>
      <w:szCs w:val="20"/>
    </w:rPr>
  </w:style>
  <w:style w:type="paragraph" w:styleId="25">
    <w:name w:val="Plain Text"/>
    <w:basedOn w:val="1"/>
    <w:link w:val="75"/>
    <w:qFormat/>
    <w:uiPriority w:val="0"/>
    <w:rPr>
      <w:rFonts w:ascii="宋体" w:hAnsi="Courier New" w:eastAsia="宋体"/>
      <w:kern w:val="0"/>
      <w:sz w:val="20"/>
      <w:szCs w:val="20"/>
    </w:rPr>
  </w:style>
  <w:style w:type="paragraph" w:styleId="26">
    <w:name w:val="toc 8"/>
    <w:basedOn w:val="1"/>
    <w:next w:val="1"/>
    <w:qFormat/>
    <w:uiPriority w:val="0"/>
    <w:pPr>
      <w:ind w:leftChars="1400"/>
    </w:pPr>
    <w:rPr>
      <w:rFonts w:ascii="Times New Roman"/>
    </w:rPr>
  </w:style>
  <w:style w:type="paragraph" w:styleId="27">
    <w:name w:val="Date"/>
    <w:basedOn w:val="1"/>
    <w:next w:val="1"/>
    <w:link w:val="76"/>
    <w:qFormat/>
    <w:uiPriority w:val="0"/>
    <w:rPr>
      <w:rFonts w:ascii="Times New Roman" w:hAnsi="Times New Roman" w:eastAsia="宋体"/>
      <w:kern w:val="0"/>
      <w:sz w:val="20"/>
      <w:szCs w:val="20"/>
    </w:rPr>
  </w:style>
  <w:style w:type="paragraph" w:styleId="28">
    <w:name w:val="Body Text Indent 2"/>
    <w:basedOn w:val="1"/>
    <w:link w:val="77"/>
    <w:qFormat/>
    <w:uiPriority w:val="0"/>
    <w:pPr>
      <w:spacing w:line="400" w:lineRule="exact"/>
      <w:ind w:left="425"/>
    </w:pPr>
    <w:rPr>
      <w:rFonts w:ascii="Times New Roman" w:hAnsi="Times New Roman" w:eastAsia="宋体"/>
      <w:color w:val="000000"/>
      <w:kern w:val="0"/>
      <w:sz w:val="24"/>
      <w:szCs w:val="20"/>
    </w:rPr>
  </w:style>
  <w:style w:type="paragraph" w:styleId="29">
    <w:name w:val="endnote text"/>
    <w:basedOn w:val="1"/>
    <w:link w:val="78"/>
    <w:qFormat/>
    <w:uiPriority w:val="0"/>
    <w:pPr>
      <w:snapToGrid w:val="0"/>
      <w:jc w:val="left"/>
    </w:pPr>
    <w:rPr>
      <w:rFonts w:ascii="Times New Roman" w:hAnsi="Times New Roman" w:eastAsia="宋体"/>
      <w:kern w:val="0"/>
      <w:sz w:val="20"/>
      <w:szCs w:val="20"/>
    </w:rPr>
  </w:style>
  <w:style w:type="paragraph" w:styleId="30">
    <w:name w:val="Balloon Text"/>
    <w:basedOn w:val="1"/>
    <w:link w:val="79"/>
    <w:qFormat/>
    <w:uiPriority w:val="0"/>
    <w:rPr>
      <w:rFonts w:ascii="Times New Roman" w:hAnsi="Times New Roman" w:eastAsia="宋体"/>
      <w:kern w:val="0"/>
      <w:sz w:val="18"/>
      <w:szCs w:val="18"/>
    </w:rPr>
  </w:style>
  <w:style w:type="paragraph" w:styleId="31">
    <w:name w:val="footer"/>
    <w:basedOn w:val="1"/>
    <w:link w:val="80"/>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32">
    <w:name w:val="header"/>
    <w:basedOn w:val="1"/>
    <w:link w:val="81"/>
    <w:unhideWhenUsed/>
    <w:qFormat/>
    <w:uiPriority w:val="0"/>
    <w:pPr>
      <w:pBdr>
        <w:bottom w:val="single" w:color="auto" w:sz="6" w:space="1"/>
      </w:pBdr>
      <w:tabs>
        <w:tab w:val="center" w:pos="4153"/>
        <w:tab w:val="right" w:pos="8306"/>
      </w:tabs>
      <w:snapToGrid w:val="0"/>
      <w:jc w:val="center"/>
    </w:pPr>
    <w:rPr>
      <w:rFonts w:ascii="Calibri" w:hAnsi="Calibri" w:eastAsia="宋体"/>
      <w:kern w:val="0"/>
      <w:sz w:val="18"/>
      <w:szCs w:val="18"/>
    </w:rPr>
  </w:style>
  <w:style w:type="paragraph" w:styleId="33">
    <w:name w:val="toc 1"/>
    <w:basedOn w:val="1"/>
    <w:next w:val="1"/>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4">
    <w:name w:val="toc 4"/>
    <w:basedOn w:val="1"/>
    <w:next w:val="1"/>
    <w:qFormat/>
    <w:uiPriority w:val="0"/>
    <w:pPr>
      <w:ind w:leftChars="600"/>
    </w:pPr>
    <w:rPr>
      <w:rFonts w:ascii="Times New Roman"/>
    </w:rPr>
  </w:style>
  <w:style w:type="paragraph" w:styleId="35">
    <w:name w:val="Subtitle"/>
    <w:basedOn w:val="1"/>
    <w:next w:val="1"/>
    <w:link w:val="82"/>
    <w:qFormat/>
    <w:uiPriority w:val="0"/>
    <w:pPr>
      <w:widowControl/>
      <w:spacing w:after="60"/>
      <w:jc w:val="center"/>
      <w:outlineLvl w:val="1"/>
    </w:pPr>
    <w:rPr>
      <w:rFonts w:ascii="Arial" w:hAnsi="Arial" w:eastAsia="黑体"/>
      <w:b/>
      <w:bCs/>
      <w:sz w:val="32"/>
      <w:szCs w:val="32"/>
    </w:rPr>
  </w:style>
  <w:style w:type="paragraph" w:styleId="36">
    <w:name w:val="List"/>
    <w:basedOn w:val="19"/>
    <w:qFormat/>
    <w:uiPriority w:val="0"/>
    <w:pPr>
      <w:suppressAutoHyphens/>
      <w:spacing w:after="0"/>
    </w:pPr>
    <w:rPr>
      <w:rFonts w:hAnsi="Calibri" w:eastAsia="黑体"/>
      <w:sz w:val="24"/>
      <w:lang w:eastAsia="ar-SA"/>
    </w:rPr>
  </w:style>
  <w:style w:type="paragraph" w:styleId="37">
    <w:name w:val="footnote text"/>
    <w:basedOn w:val="1"/>
    <w:link w:val="83"/>
    <w:qFormat/>
    <w:uiPriority w:val="0"/>
    <w:pPr>
      <w:snapToGrid w:val="0"/>
      <w:spacing w:line="360" w:lineRule="auto"/>
      <w:ind w:firstLine="523" w:firstLineChars="218"/>
      <w:jc w:val="left"/>
    </w:pPr>
    <w:rPr>
      <w:rFonts w:ascii="宋体" w:hAnsi="宋体" w:eastAsia="宋体"/>
      <w:kern w:val="0"/>
      <w:sz w:val="18"/>
      <w:szCs w:val="18"/>
    </w:rPr>
  </w:style>
  <w:style w:type="paragraph" w:styleId="38">
    <w:name w:val="toc 6"/>
    <w:basedOn w:val="1"/>
    <w:next w:val="1"/>
    <w:qFormat/>
    <w:uiPriority w:val="0"/>
    <w:pPr>
      <w:ind w:leftChars="1000"/>
    </w:pPr>
    <w:rPr>
      <w:rFonts w:ascii="Times New Roman"/>
    </w:rPr>
  </w:style>
  <w:style w:type="paragraph" w:styleId="39">
    <w:name w:val="Body Text Indent 3"/>
    <w:basedOn w:val="1"/>
    <w:link w:val="84"/>
    <w:qFormat/>
    <w:uiPriority w:val="0"/>
    <w:pPr>
      <w:numPr>
        <w:ilvl w:val="1"/>
        <w:numId w:val="0"/>
      </w:numPr>
      <w:tabs>
        <w:tab w:val="left" w:pos="0"/>
      </w:tabs>
      <w:spacing w:line="400" w:lineRule="exact"/>
      <w:ind w:left="563" w:leftChars="228" w:hanging="84" w:hangingChars="35"/>
    </w:pPr>
    <w:rPr>
      <w:rFonts w:ascii="Times New Roman" w:hAnsi="Times New Roman" w:eastAsia="宋体"/>
      <w:color w:val="000000"/>
      <w:kern w:val="0"/>
      <w:sz w:val="24"/>
      <w:szCs w:val="20"/>
    </w:rPr>
  </w:style>
  <w:style w:type="paragraph" w:styleId="40">
    <w:name w:val="table of figures"/>
    <w:basedOn w:val="1"/>
    <w:next w:val="1"/>
    <w:qFormat/>
    <w:uiPriority w:val="0"/>
    <w:pPr>
      <w:ind w:leftChars="200" w:hanging="200" w:hangingChars="200"/>
    </w:pPr>
    <w:rPr>
      <w:rFonts w:ascii="Times New Roman"/>
    </w:rPr>
  </w:style>
  <w:style w:type="paragraph" w:styleId="41">
    <w:name w:val="toc 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styleId="42">
    <w:name w:val="toc 9"/>
    <w:basedOn w:val="1"/>
    <w:next w:val="1"/>
    <w:qFormat/>
    <w:uiPriority w:val="0"/>
    <w:pPr>
      <w:ind w:leftChars="1600"/>
    </w:pPr>
    <w:rPr>
      <w:rFonts w:ascii="Times New Roman"/>
    </w:rPr>
  </w:style>
  <w:style w:type="paragraph" w:styleId="43">
    <w:name w:val="Body Text 2"/>
    <w:basedOn w:val="1"/>
    <w:link w:val="85"/>
    <w:qFormat/>
    <w:uiPriority w:val="0"/>
    <w:rPr>
      <w:rFonts w:ascii="宋体" w:hAnsi="宋体" w:eastAsia="宋体"/>
      <w:kern w:val="0"/>
      <w:sz w:val="20"/>
      <w:szCs w:val="24"/>
      <w:u w:val="single"/>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5">
    <w:name w:val="index 1"/>
    <w:basedOn w:val="1"/>
    <w:next w:val="1"/>
    <w:qFormat/>
    <w:uiPriority w:val="0"/>
    <w:rPr>
      <w:rFonts w:ascii="Times New Roman" w:hAnsi="Times New Roman" w:eastAsia="仿宋_GB2312"/>
      <w:sz w:val="28"/>
      <w:szCs w:val="20"/>
    </w:rPr>
  </w:style>
  <w:style w:type="paragraph" w:styleId="46">
    <w:name w:val="Title"/>
    <w:basedOn w:val="1"/>
    <w:link w:val="86"/>
    <w:qFormat/>
    <w:uiPriority w:val="0"/>
    <w:pPr>
      <w:spacing w:before="120" w:after="60"/>
      <w:jc w:val="center"/>
    </w:pPr>
    <w:rPr>
      <w:rFonts w:ascii="Arial" w:hAnsi="Arial" w:eastAsia="宋体"/>
      <w:b/>
      <w:kern w:val="0"/>
      <w:sz w:val="44"/>
      <w:szCs w:val="20"/>
    </w:rPr>
  </w:style>
  <w:style w:type="paragraph" w:styleId="47">
    <w:name w:val="annotation subject"/>
    <w:basedOn w:val="17"/>
    <w:next w:val="17"/>
    <w:link w:val="87"/>
    <w:qFormat/>
    <w:uiPriority w:val="0"/>
    <w:rPr>
      <w:b/>
      <w:bCs/>
    </w:rPr>
  </w:style>
  <w:style w:type="paragraph" w:styleId="48">
    <w:name w:val="Body Text First Indent"/>
    <w:basedOn w:val="19"/>
    <w:link w:val="88"/>
    <w:qFormat/>
    <w:uiPriority w:val="0"/>
    <w:pPr>
      <w:ind w:firstLine="420"/>
    </w:pPr>
  </w:style>
  <w:style w:type="table" w:styleId="50">
    <w:name w:val="Table Grid"/>
    <w:basedOn w:val="4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rPr>
  </w:style>
  <w:style w:type="character" w:styleId="53">
    <w:name w:val="endnote reference"/>
    <w:qFormat/>
    <w:uiPriority w:val="0"/>
    <w:rPr>
      <w:vertAlign w:val="superscript"/>
    </w:rPr>
  </w:style>
  <w:style w:type="character" w:styleId="54">
    <w:name w:val="page number"/>
    <w:qFormat/>
    <w:uiPriority w:val="0"/>
    <w:rPr>
      <w:rFonts w:cs="Times New Roman"/>
    </w:rPr>
  </w:style>
  <w:style w:type="character" w:styleId="55">
    <w:name w:val="FollowedHyperlink"/>
    <w:unhideWhenUsed/>
    <w:qFormat/>
    <w:uiPriority w:val="0"/>
    <w:rPr>
      <w:color w:val="954F72"/>
      <w:u w:val="single"/>
    </w:rPr>
  </w:style>
  <w:style w:type="character" w:styleId="56">
    <w:name w:val="Emphasis"/>
    <w:qFormat/>
    <w:uiPriority w:val="0"/>
    <w:rPr>
      <w:color w:val="CC0000"/>
    </w:rPr>
  </w:style>
  <w:style w:type="character" w:styleId="57">
    <w:name w:val="Hyperlink"/>
    <w:qFormat/>
    <w:uiPriority w:val="0"/>
    <w:rPr>
      <w:color w:val="0000FF"/>
      <w:u w:val="single"/>
    </w:rPr>
  </w:style>
  <w:style w:type="character" w:styleId="58">
    <w:name w:val="annotation reference"/>
    <w:qFormat/>
    <w:uiPriority w:val="99"/>
    <w:rPr>
      <w:sz w:val="21"/>
      <w:szCs w:val="21"/>
    </w:rPr>
  </w:style>
  <w:style w:type="character" w:styleId="59">
    <w:name w:val="footnote reference"/>
    <w:qFormat/>
    <w:uiPriority w:val="0"/>
    <w:rPr>
      <w:vertAlign w:val="superscript"/>
    </w:rPr>
  </w:style>
  <w:style w:type="character" w:customStyle="1" w:styleId="60">
    <w:name w:val="标题 1 Char"/>
    <w:link w:val="3"/>
    <w:qFormat/>
    <w:uiPriority w:val="0"/>
    <w:rPr>
      <w:rFonts w:ascii="Arial" w:hAnsi="Arial" w:eastAsia="宋体" w:cs="Times New Roman"/>
      <w:b/>
      <w:kern w:val="44"/>
      <w:sz w:val="28"/>
      <w:szCs w:val="28"/>
    </w:rPr>
  </w:style>
  <w:style w:type="character" w:customStyle="1" w:styleId="61">
    <w:name w:val="标题 2 Char"/>
    <w:link w:val="4"/>
    <w:qFormat/>
    <w:uiPriority w:val="0"/>
    <w:rPr>
      <w:rFonts w:ascii="Arial" w:hAnsi="Arial" w:eastAsia="宋体" w:cs="Times New Roman"/>
      <w:b/>
      <w:color w:val="000000"/>
      <w:sz w:val="24"/>
      <w:szCs w:val="24"/>
    </w:rPr>
  </w:style>
  <w:style w:type="character" w:customStyle="1" w:styleId="62">
    <w:name w:val="正文缩进 Char"/>
    <w:link w:val="5"/>
    <w:qFormat/>
    <w:uiPriority w:val="0"/>
    <w:rPr>
      <w:rFonts w:ascii="Times New Roman" w:hAnsi="Times New Roman"/>
      <w:kern w:val="2"/>
      <w:sz w:val="21"/>
    </w:rPr>
  </w:style>
  <w:style w:type="character" w:customStyle="1" w:styleId="63">
    <w:name w:val="标题 3 Char"/>
    <w:link w:val="6"/>
    <w:qFormat/>
    <w:uiPriority w:val="0"/>
    <w:rPr>
      <w:rFonts w:ascii="宋体" w:hAnsi="宋体" w:eastAsia="宋体" w:cs="宋体"/>
      <w:kern w:val="0"/>
      <w:sz w:val="27"/>
      <w:szCs w:val="27"/>
    </w:rPr>
  </w:style>
  <w:style w:type="character" w:customStyle="1" w:styleId="64">
    <w:name w:val="标题 4 Char"/>
    <w:link w:val="7"/>
    <w:qFormat/>
    <w:uiPriority w:val="0"/>
    <w:rPr>
      <w:rFonts w:ascii="Arial" w:hAnsi="Arial" w:eastAsia="宋体" w:cs="Times New Roman"/>
      <w:color w:val="000000"/>
      <w:szCs w:val="21"/>
    </w:rPr>
  </w:style>
  <w:style w:type="character" w:customStyle="1" w:styleId="65">
    <w:name w:val="标题 5 Char"/>
    <w:link w:val="8"/>
    <w:qFormat/>
    <w:uiPriority w:val="0"/>
    <w:rPr>
      <w:rFonts w:ascii="Arial" w:hAnsi="Arial" w:eastAsia="宋体" w:cs="Times New Roman"/>
      <w:color w:val="000000"/>
      <w:szCs w:val="21"/>
    </w:rPr>
  </w:style>
  <w:style w:type="character" w:customStyle="1" w:styleId="66">
    <w:name w:val="标题 6 Char"/>
    <w:link w:val="9"/>
    <w:qFormat/>
    <w:uiPriority w:val="0"/>
    <w:rPr>
      <w:rFonts w:ascii="Arial" w:hAnsi="Arial" w:eastAsia="黑体" w:cs="Times New Roman"/>
      <w:b/>
      <w:bCs/>
      <w:sz w:val="24"/>
      <w:szCs w:val="24"/>
    </w:rPr>
  </w:style>
  <w:style w:type="character" w:customStyle="1" w:styleId="67">
    <w:name w:val="标题 7 Char"/>
    <w:link w:val="10"/>
    <w:qFormat/>
    <w:uiPriority w:val="0"/>
    <w:rPr>
      <w:rFonts w:ascii="Times New Roman" w:hAnsi="Times New Roman" w:eastAsia="宋体" w:cs="Times New Roman"/>
      <w:b/>
      <w:sz w:val="24"/>
      <w:szCs w:val="20"/>
    </w:rPr>
  </w:style>
  <w:style w:type="character" w:customStyle="1" w:styleId="68">
    <w:name w:val="标题 8 Char"/>
    <w:link w:val="11"/>
    <w:qFormat/>
    <w:uiPriority w:val="0"/>
    <w:rPr>
      <w:rFonts w:ascii="Arial" w:hAnsi="Arial" w:eastAsia="黑体" w:cs="Times New Roman"/>
      <w:sz w:val="24"/>
      <w:szCs w:val="20"/>
    </w:rPr>
  </w:style>
  <w:style w:type="character" w:customStyle="1" w:styleId="69">
    <w:name w:val="标题 9 Char"/>
    <w:link w:val="12"/>
    <w:qFormat/>
    <w:uiPriority w:val="0"/>
    <w:rPr>
      <w:rFonts w:ascii="Arial" w:hAnsi="Arial" w:eastAsia="黑体" w:cs="Times New Roman"/>
      <w:szCs w:val="20"/>
    </w:rPr>
  </w:style>
  <w:style w:type="character" w:customStyle="1" w:styleId="70">
    <w:name w:val="文档结构图 Char"/>
    <w:link w:val="16"/>
    <w:qFormat/>
    <w:uiPriority w:val="0"/>
    <w:rPr>
      <w:rFonts w:ascii="Times New Roman" w:hAnsi="Times New Roman" w:eastAsia="宋体" w:cs="Times New Roman"/>
      <w:szCs w:val="20"/>
      <w:shd w:val="clear" w:color="auto" w:fill="000080"/>
    </w:rPr>
  </w:style>
  <w:style w:type="character" w:customStyle="1" w:styleId="71">
    <w:name w:val="批注文字 Char"/>
    <w:link w:val="17"/>
    <w:qFormat/>
    <w:uiPriority w:val="0"/>
    <w:rPr>
      <w:rFonts w:ascii="宋体" w:hAnsi="宋体" w:eastAsia="宋体" w:cs="Times New Roman"/>
      <w:sz w:val="24"/>
      <w:szCs w:val="24"/>
    </w:rPr>
  </w:style>
  <w:style w:type="character" w:customStyle="1" w:styleId="72">
    <w:name w:val="正文文本 3 Char"/>
    <w:link w:val="18"/>
    <w:qFormat/>
    <w:uiPriority w:val="0"/>
    <w:rPr>
      <w:rFonts w:ascii="宋体" w:hAnsi="宋体"/>
      <w:kern w:val="2"/>
      <w:sz w:val="24"/>
    </w:rPr>
  </w:style>
  <w:style w:type="character" w:customStyle="1" w:styleId="73">
    <w:name w:val="正文文本 Char"/>
    <w:link w:val="19"/>
    <w:qFormat/>
    <w:uiPriority w:val="0"/>
    <w:rPr>
      <w:rFonts w:ascii="Times New Roman" w:hAnsi="Times New Roman" w:eastAsia="宋体" w:cs="Times New Roman"/>
      <w:szCs w:val="20"/>
    </w:rPr>
  </w:style>
  <w:style w:type="character" w:customStyle="1" w:styleId="74">
    <w:name w:val="正文文本缩进 Char"/>
    <w:link w:val="20"/>
    <w:qFormat/>
    <w:uiPriority w:val="0"/>
    <w:rPr>
      <w:rFonts w:ascii="Times New Roman" w:hAnsi="Times New Roman" w:eastAsia="宋体" w:cs="Times New Roman"/>
      <w:sz w:val="28"/>
      <w:szCs w:val="20"/>
    </w:rPr>
  </w:style>
  <w:style w:type="character" w:customStyle="1" w:styleId="75">
    <w:name w:val="纯文本 Char"/>
    <w:link w:val="25"/>
    <w:qFormat/>
    <w:uiPriority w:val="0"/>
    <w:rPr>
      <w:rFonts w:ascii="宋体" w:hAnsi="Courier New" w:eastAsia="宋体" w:cs="Times New Roman"/>
      <w:szCs w:val="20"/>
    </w:rPr>
  </w:style>
  <w:style w:type="character" w:customStyle="1" w:styleId="76">
    <w:name w:val="日期 Char"/>
    <w:link w:val="27"/>
    <w:qFormat/>
    <w:uiPriority w:val="0"/>
    <w:rPr>
      <w:rFonts w:ascii="Times New Roman" w:hAnsi="Times New Roman" w:eastAsia="宋体" w:cs="Times New Roman"/>
      <w:szCs w:val="20"/>
    </w:rPr>
  </w:style>
  <w:style w:type="character" w:customStyle="1" w:styleId="77">
    <w:name w:val="正文文本缩进 2 Char"/>
    <w:link w:val="28"/>
    <w:qFormat/>
    <w:uiPriority w:val="0"/>
    <w:rPr>
      <w:rFonts w:ascii="Times New Roman" w:hAnsi="Times New Roman" w:eastAsia="宋体" w:cs="Times New Roman"/>
      <w:color w:val="000000"/>
      <w:sz w:val="24"/>
      <w:szCs w:val="20"/>
    </w:rPr>
  </w:style>
  <w:style w:type="character" w:customStyle="1" w:styleId="78">
    <w:name w:val="尾注文本 Char"/>
    <w:link w:val="29"/>
    <w:qFormat/>
    <w:uiPriority w:val="0"/>
    <w:rPr>
      <w:rFonts w:ascii="Times New Roman" w:hAnsi="Times New Roman" w:eastAsia="宋体" w:cs="Times New Roman"/>
      <w:szCs w:val="20"/>
    </w:rPr>
  </w:style>
  <w:style w:type="character" w:customStyle="1" w:styleId="79">
    <w:name w:val="批注框文本 Char"/>
    <w:link w:val="30"/>
    <w:qFormat/>
    <w:uiPriority w:val="0"/>
    <w:rPr>
      <w:rFonts w:ascii="Times New Roman" w:hAnsi="Times New Roman" w:eastAsia="宋体" w:cs="Times New Roman"/>
      <w:sz w:val="18"/>
      <w:szCs w:val="18"/>
    </w:rPr>
  </w:style>
  <w:style w:type="character" w:customStyle="1" w:styleId="80">
    <w:name w:val="页脚 Char"/>
    <w:link w:val="31"/>
    <w:qFormat/>
    <w:uiPriority w:val="99"/>
    <w:rPr>
      <w:rFonts w:ascii="Calibri" w:hAnsi="Calibri" w:eastAsia="宋体" w:cs="Times New Roman"/>
      <w:sz w:val="18"/>
      <w:szCs w:val="18"/>
    </w:rPr>
  </w:style>
  <w:style w:type="character" w:customStyle="1" w:styleId="81">
    <w:name w:val="页眉 Char"/>
    <w:link w:val="32"/>
    <w:qFormat/>
    <w:uiPriority w:val="0"/>
    <w:rPr>
      <w:rFonts w:ascii="Calibri" w:hAnsi="Calibri" w:eastAsia="宋体" w:cs="Times New Roman"/>
      <w:sz w:val="18"/>
      <w:szCs w:val="18"/>
    </w:rPr>
  </w:style>
  <w:style w:type="character" w:customStyle="1" w:styleId="82">
    <w:name w:val="副标题 Char"/>
    <w:link w:val="35"/>
    <w:qFormat/>
    <w:uiPriority w:val="0"/>
    <w:rPr>
      <w:rFonts w:ascii="Arial" w:hAnsi="Arial" w:eastAsia="黑体"/>
      <w:b/>
      <w:bCs/>
      <w:kern w:val="2"/>
      <w:sz w:val="32"/>
      <w:szCs w:val="32"/>
    </w:rPr>
  </w:style>
  <w:style w:type="character" w:customStyle="1" w:styleId="83">
    <w:name w:val="脚注文本 Char"/>
    <w:link w:val="37"/>
    <w:qFormat/>
    <w:uiPriority w:val="0"/>
    <w:rPr>
      <w:rFonts w:ascii="宋体" w:hAnsi="宋体" w:eastAsia="宋体" w:cs="Times New Roman"/>
      <w:sz w:val="18"/>
      <w:szCs w:val="18"/>
    </w:rPr>
  </w:style>
  <w:style w:type="character" w:customStyle="1" w:styleId="84">
    <w:name w:val="正文文本缩进 3 Char"/>
    <w:link w:val="39"/>
    <w:qFormat/>
    <w:uiPriority w:val="0"/>
    <w:rPr>
      <w:rFonts w:ascii="Times New Roman" w:hAnsi="Times New Roman" w:eastAsia="宋体" w:cs="Times New Roman"/>
      <w:color w:val="000000"/>
      <w:sz w:val="24"/>
      <w:szCs w:val="20"/>
    </w:rPr>
  </w:style>
  <w:style w:type="character" w:customStyle="1" w:styleId="85">
    <w:name w:val="正文文本 2 Char"/>
    <w:link w:val="43"/>
    <w:qFormat/>
    <w:uiPriority w:val="0"/>
    <w:rPr>
      <w:rFonts w:ascii="宋体" w:hAnsi="宋体" w:eastAsia="宋体" w:cs="Times New Roman"/>
      <w:szCs w:val="24"/>
      <w:u w:val="single"/>
    </w:rPr>
  </w:style>
  <w:style w:type="character" w:customStyle="1" w:styleId="86">
    <w:name w:val="标题 Char"/>
    <w:link w:val="46"/>
    <w:qFormat/>
    <w:uiPriority w:val="0"/>
    <w:rPr>
      <w:rFonts w:ascii="Arial" w:hAnsi="Arial" w:eastAsia="宋体" w:cs="Times New Roman"/>
      <w:b/>
      <w:sz w:val="44"/>
      <w:szCs w:val="20"/>
    </w:rPr>
  </w:style>
  <w:style w:type="character" w:customStyle="1" w:styleId="87">
    <w:name w:val="批注主题 Char"/>
    <w:link w:val="47"/>
    <w:qFormat/>
    <w:uiPriority w:val="0"/>
    <w:rPr>
      <w:rFonts w:ascii="宋体" w:hAnsi="宋体" w:eastAsia="宋体" w:cs="Times New Roman"/>
      <w:b/>
      <w:bCs/>
      <w:sz w:val="24"/>
      <w:szCs w:val="24"/>
    </w:rPr>
  </w:style>
  <w:style w:type="character" w:customStyle="1" w:styleId="88">
    <w:name w:val="正文首行缩进 Char"/>
    <w:link w:val="48"/>
    <w:qFormat/>
    <w:uiPriority w:val="0"/>
  </w:style>
  <w:style w:type="paragraph" w:customStyle="1" w:styleId="89">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90">
    <w:name w:val="font31"/>
    <w:qFormat/>
    <w:uiPriority w:val="0"/>
    <w:rPr>
      <w:rFonts w:hint="eastAsia" w:ascii="宋体" w:hAnsi="宋体" w:eastAsia="宋体"/>
      <w:color w:val="000000"/>
      <w:sz w:val="24"/>
      <w:szCs w:val="24"/>
      <w:u w:val="single"/>
    </w:rPr>
  </w:style>
  <w:style w:type="character" w:customStyle="1" w:styleId="91">
    <w:name w:val="标题 7 字符"/>
    <w:semiHidden/>
    <w:qFormat/>
    <w:uiPriority w:val="9"/>
    <w:rPr>
      <w:rFonts w:ascii="Calibri" w:hAnsi="Calibri" w:eastAsia="宋体" w:cs="Times New Roman"/>
      <w:b/>
      <w:bCs/>
      <w:sz w:val="24"/>
      <w:szCs w:val="24"/>
    </w:rPr>
  </w:style>
  <w:style w:type="character" w:customStyle="1" w:styleId="92">
    <w:name w:val="普通文字 Char Char"/>
    <w:qFormat/>
    <w:uiPriority w:val="0"/>
    <w:rPr>
      <w:rFonts w:hint="default" w:ascii="Courier New" w:hAnsi="Courier New" w:eastAsia="宋体" w:cs="Proxy 9"/>
      <w:kern w:val="2"/>
      <w:sz w:val="21"/>
      <w:lang w:val="en-US" w:eastAsia="zh-CN" w:bidi="ar-SA"/>
    </w:rPr>
  </w:style>
  <w:style w:type="character" w:customStyle="1" w:styleId="93">
    <w:name w:val="正文缩进2格 Char Char"/>
    <w:link w:val="94"/>
    <w:qFormat/>
    <w:uiPriority w:val="0"/>
    <w:rPr>
      <w:rFonts w:ascii="仿宋_GB2312" w:hAnsi="宋体" w:eastAsia="仿宋_GB2312"/>
      <w:sz w:val="31"/>
      <w:szCs w:val="31"/>
    </w:rPr>
  </w:style>
  <w:style w:type="paragraph" w:customStyle="1" w:styleId="94">
    <w:name w:val="正文缩进2格"/>
    <w:basedOn w:val="1"/>
    <w:link w:val="93"/>
    <w:qFormat/>
    <w:uiPriority w:val="0"/>
    <w:pPr>
      <w:widowControl/>
      <w:spacing w:line="600" w:lineRule="exact"/>
      <w:ind w:firstLine="639" w:firstLineChars="206"/>
      <w:jc w:val="left"/>
    </w:pPr>
    <w:rPr>
      <w:rFonts w:ascii="仿宋_GB2312" w:hAnsi="宋体" w:eastAsia="仿宋_GB2312"/>
      <w:kern w:val="0"/>
      <w:sz w:val="31"/>
      <w:szCs w:val="31"/>
    </w:rPr>
  </w:style>
  <w:style w:type="character" w:customStyle="1" w:styleId="95">
    <w:name w:val="Char Char4"/>
    <w:link w:val="96"/>
    <w:qFormat/>
    <w:uiPriority w:val="0"/>
    <w:rPr>
      <w:rFonts w:ascii="Tahoma" w:hAnsi="Tahoma"/>
      <w:kern w:val="2"/>
      <w:sz w:val="24"/>
    </w:rPr>
  </w:style>
  <w:style w:type="paragraph" w:customStyle="1" w:styleId="96">
    <w:name w:val="Char"/>
    <w:basedOn w:val="1"/>
    <w:link w:val="95"/>
    <w:qFormat/>
    <w:uiPriority w:val="0"/>
    <w:rPr>
      <w:rFonts w:ascii="Tahoma" w:hAnsi="Tahoma"/>
      <w:sz w:val="24"/>
      <w:szCs w:val="20"/>
    </w:rPr>
  </w:style>
  <w:style w:type="character" w:customStyle="1" w:styleId="97">
    <w:name w:val="page number"/>
    <w:qFormat/>
    <w:uiPriority w:val="0"/>
  </w:style>
  <w:style w:type="character" w:customStyle="1" w:styleId="98">
    <w:name w:val="Char Char25"/>
    <w:qFormat/>
    <w:uiPriority w:val="0"/>
    <w:rPr>
      <w:rFonts w:hint="default" w:ascii="Arial" w:hAnsi="Arial" w:cs="Arial"/>
      <w:b/>
      <w:bCs/>
      <w:color w:val="000000"/>
      <w:kern w:val="44"/>
      <w:sz w:val="30"/>
      <w:szCs w:val="30"/>
    </w:rPr>
  </w:style>
  <w:style w:type="character" w:customStyle="1" w:styleId="99">
    <w:name w:val="正文文本缩进 3 Char Char"/>
    <w:qFormat/>
    <w:uiPriority w:val="0"/>
    <w:rPr>
      <w:kern w:val="2"/>
      <w:sz w:val="16"/>
      <w:szCs w:val="16"/>
    </w:rPr>
  </w:style>
  <w:style w:type="character" w:customStyle="1" w:styleId="100">
    <w:name w:val="文一 Char Char"/>
    <w:link w:val="101"/>
    <w:qFormat/>
    <w:uiPriority w:val="0"/>
    <w:rPr>
      <w:rFonts w:ascii="宋体" w:hAnsi="宋体"/>
      <w:snapToGrid/>
      <w:spacing w:val="4"/>
      <w:kern w:val="2"/>
      <w:sz w:val="24"/>
      <w:szCs w:val="24"/>
    </w:rPr>
  </w:style>
  <w:style w:type="paragraph" w:customStyle="1" w:styleId="101">
    <w:name w:val="文一"/>
    <w:basedOn w:val="1"/>
    <w:link w:val="100"/>
    <w:qFormat/>
    <w:uiPriority w:val="0"/>
    <w:pPr>
      <w:topLinePunct/>
      <w:adjustRightInd w:val="0"/>
      <w:snapToGrid w:val="0"/>
      <w:spacing w:line="360" w:lineRule="auto"/>
      <w:ind w:firstLine="200" w:firstLineChars="200"/>
    </w:pPr>
    <w:rPr>
      <w:rFonts w:ascii="宋体" w:hAnsi="宋体"/>
      <w:spacing w:val="4"/>
      <w:sz w:val="24"/>
      <w:szCs w:val="24"/>
    </w:rPr>
  </w:style>
  <w:style w:type="character" w:customStyle="1" w:styleId="102">
    <w:name w:val="Char Char Char"/>
    <w:qFormat/>
    <w:uiPriority w:val="0"/>
    <w:rPr>
      <w:rFonts w:hint="eastAsia" w:ascii="楷体_GB2312" w:eastAsia="楷体_GB2312"/>
      <w:b/>
      <w:kern w:val="2"/>
      <w:sz w:val="21"/>
    </w:rPr>
  </w:style>
  <w:style w:type="character" w:customStyle="1" w:styleId="103">
    <w:name w:val="正文文本缩进 2 Char Char"/>
    <w:qFormat/>
    <w:uiPriority w:val="0"/>
    <w:rPr>
      <w:rFonts w:hint="default" w:ascii="Times New Roman" w:hAnsi="Times New Roman" w:cs="Times New Roman"/>
      <w:color w:val="000000"/>
      <w:sz w:val="24"/>
    </w:rPr>
  </w:style>
  <w:style w:type="character" w:customStyle="1" w:styleId="104">
    <w:name w:val="Endnote Text Char"/>
    <w:qFormat/>
    <w:uiPriority w:val="0"/>
    <w:rPr>
      <w:rFonts w:hint="default" w:ascii="Times New Roman" w:hAnsi="Times New Roman" w:cs="Times New Roman"/>
      <w:kern w:val="2"/>
      <w:sz w:val="21"/>
    </w:rPr>
  </w:style>
  <w:style w:type="character" w:customStyle="1" w:styleId="105">
    <w:name w:val="批注主题 字符"/>
    <w:semiHidden/>
    <w:qFormat/>
    <w:uiPriority w:val="99"/>
    <w:rPr>
      <w:rFonts w:ascii="Calibri" w:hAnsi="Calibri" w:eastAsia="宋体" w:cs="Times New Roman"/>
      <w:b/>
      <w:bCs/>
    </w:rPr>
  </w:style>
  <w:style w:type="character" w:customStyle="1" w:styleId="106">
    <w:name w:val="引用 Char2"/>
    <w:qFormat/>
    <w:uiPriority w:val="99"/>
    <w:rPr>
      <w:i/>
      <w:iCs/>
      <w:color w:val="000000"/>
      <w:kern w:val="2"/>
      <w:sz w:val="21"/>
      <w:szCs w:val="22"/>
    </w:rPr>
  </w:style>
  <w:style w:type="character" w:customStyle="1" w:styleId="107">
    <w:name w:val="font41"/>
    <w:qFormat/>
    <w:uiPriority w:val="0"/>
    <w:rPr>
      <w:rFonts w:hint="eastAsia" w:ascii="宋体" w:hAnsi="宋体" w:eastAsia="宋体"/>
      <w:strike/>
      <w:color w:val="000000"/>
      <w:sz w:val="24"/>
      <w:szCs w:val="24"/>
    </w:rPr>
  </w:style>
  <w:style w:type="character" w:customStyle="1" w:styleId="108">
    <w:name w:val="msosubtlereference"/>
    <w:qFormat/>
    <w:uiPriority w:val="0"/>
    <w:rPr>
      <w:sz w:val="30"/>
      <w:szCs w:val="24"/>
      <w:u w:val="none"/>
    </w:rPr>
  </w:style>
  <w:style w:type="character" w:customStyle="1" w:styleId="109">
    <w:name w:val="正文文本 3 Char1"/>
    <w:semiHidden/>
    <w:qFormat/>
    <w:uiPriority w:val="99"/>
    <w:rPr>
      <w:kern w:val="2"/>
      <w:sz w:val="16"/>
      <w:szCs w:val="16"/>
    </w:rPr>
  </w:style>
  <w:style w:type="character" w:customStyle="1" w:styleId="110">
    <w:name w:val="正文首行缩进 Char Char"/>
    <w:qFormat/>
    <w:uiPriority w:val="0"/>
    <w:rPr>
      <w:rFonts w:ascii="宋体" w:eastAsia="宋体"/>
      <w:kern w:val="2"/>
      <w:sz w:val="34"/>
      <w:lang w:val="en-US" w:eastAsia="zh-CN" w:bidi="ar-SA"/>
    </w:rPr>
  </w:style>
  <w:style w:type="character" w:customStyle="1" w:styleId="111">
    <w:name w:val="WW8Num4z0"/>
    <w:qFormat/>
    <w:uiPriority w:val="0"/>
    <w:rPr>
      <w:rFonts w:hint="default" w:ascii="Courier New" w:hAnsi="Courier New" w:cs="Courier New"/>
      <w:sz w:val="22"/>
    </w:rPr>
  </w:style>
  <w:style w:type="character" w:customStyle="1" w:styleId="112">
    <w:name w:val="标题 1 Char_0"/>
    <w:qFormat/>
    <w:uiPriority w:val="0"/>
    <w:rPr>
      <w:rFonts w:ascii="仿宋_GB2312" w:hAnsi="宋体" w:eastAsia="仿宋_GB2312" w:cs="宋体"/>
      <w:b/>
      <w:bCs/>
      <w:kern w:val="2"/>
      <w:sz w:val="30"/>
      <w:szCs w:val="30"/>
      <w:lang w:val="en-US" w:eastAsia="zh-CN" w:bidi="ar-SA"/>
    </w:rPr>
  </w:style>
  <w:style w:type="character" w:customStyle="1" w:styleId="113">
    <w:name w:val="文档结构图 字符"/>
    <w:semiHidden/>
    <w:qFormat/>
    <w:uiPriority w:val="99"/>
    <w:rPr>
      <w:rFonts w:ascii="Microsoft YaHei UI" w:hAnsi="Calibri" w:eastAsia="Microsoft YaHei UI" w:cs="Times New Roman"/>
      <w:sz w:val="18"/>
      <w:szCs w:val="18"/>
    </w:rPr>
  </w:style>
  <w:style w:type="character" w:customStyle="1" w:styleId="114">
    <w:name w:val="正文文本缩进 2 字符"/>
    <w:semiHidden/>
    <w:qFormat/>
    <w:uiPriority w:val="99"/>
    <w:rPr>
      <w:rFonts w:ascii="Calibri" w:hAnsi="Calibri" w:eastAsia="宋体" w:cs="Times New Roman"/>
    </w:rPr>
  </w:style>
  <w:style w:type="character" w:customStyle="1" w:styleId="115">
    <w:name w:val="纯文本 Char1"/>
    <w:qFormat/>
    <w:uiPriority w:val="0"/>
    <w:rPr>
      <w:rFonts w:ascii="宋体" w:hAnsi="Courier New" w:eastAsia="宋体"/>
      <w:kern w:val="2"/>
      <w:sz w:val="21"/>
      <w:lang w:bidi="ar-SA"/>
    </w:rPr>
  </w:style>
  <w:style w:type="character" w:customStyle="1" w:styleId="116">
    <w:name w:val="样式 正文缩进正文（首行缩进两字）特点ALT+Z表正文正文非缩进四号段1Normal Indent Char2... Char Char"/>
    <w:qFormat/>
    <w:uiPriority w:val="0"/>
    <w:rPr>
      <w:rFonts w:hint="eastAsia" w:ascii="宋体" w:hAnsi="宋体" w:eastAsia="黑体"/>
      <w:b/>
      <w:sz w:val="32"/>
      <w:lang w:val="en-US" w:eastAsia="zh-CN"/>
    </w:rPr>
  </w:style>
  <w:style w:type="character" w:customStyle="1" w:styleId="117">
    <w:name w:val="Char Char24"/>
    <w:qFormat/>
    <w:uiPriority w:val="0"/>
    <w:rPr>
      <w:rFonts w:hint="default" w:ascii="Arial" w:hAnsi="Arial" w:cs="Times New Roman"/>
      <w:b/>
      <w:color w:val="000000"/>
      <w:kern w:val="2"/>
      <w:sz w:val="24"/>
      <w:szCs w:val="24"/>
    </w:rPr>
  </w:style>
  <w:style w:type="character" w:customStyle="1" w:styleId="118">
    <w:name w:val="正文文本 (3)_"/>
    <w:link w:val="119"/>
    <w:qFormat/>
    <w:uiPriority w:val="0"/>
    <w:rPr>
      <w:rFonts w:ascii="Arial Unicode MS" w:hAnsi="Arial Unicode MS" w:eastAsia="Arial Unicode MS"/>
      <w:spacing w:val="10"/>
      <w:sz w:val="17"/>
      <w:szCs w:val="17"/>
      <w:shd w:val="clear" w:color="auto" w:fill="FFFFFF"/>
    </w:rPr>
  </w:style>
  <w:style w:type="paragraph" w:customStyle="1" w:styleId="119">
    <w:name w:val="正文文本 (3)"/>
    <w:basedOn w:val="1"/>
    <w:link w:val="118"/>
    <w:qFormat/>
    <w:uiPriority w:val="0"/>
    <w:pPr>
      <w:shd w:val="clear" w:color="auto" w:fill="FFFFFF"/>
      <w:spacing w:after="60" w:line="0" w:lineRule="atLeast"/>
      <w:ind w:hanging="940"/>
      <w:jc w:val="left"/>
    </w:pPr>
    <w:rPr>
      <w:rFonts w:ascii="Arial Unicode MS" w:hAnsi="Arial Unicode MS" w:eastAsia="Arial Unicode MS"/>
      <w:spacing w:val="10"/>
      <w:kern w:val="0"/>
      <w:sz w:val="17"/>
      <w:szCs w:val="17"/>
      <w:shd w:val="clear" w:color="auto" w:fill="FFFFFF"/>
    </w:rPr>
  </w:style>
  <w:style w:type="character" w:customStyle="1" w:styleId="120">
    <w:name w:val="WW8Num1z0"/>
    <w:qFormat/>
    <w:uiPriority w:val="0"/>
    <w:rPr>
      <w:sz w:val="24"/>
    </w:rPr>
  </w:style>
  <w:style w:type="character" w:customStyle="1" w:styleId="121">
    <w:name w:val="正文文本缩进 3 字符"/>
    <w:semiHidden/>
    <w:qFormat/>
    <w:uiPriority w:val="99"/>
    <w:rPr>
      <w:rFonts w:ascii="Calibri" w:hAnsi="Calibri" w:eastAsia="宋体" w:cs="Times New Roman"/>
      <w:sz w:val="16"/>
      <w:szCs w:val="16"/>
    </w:rPr>
  </w:style>
  <w:style w:type="character" w:customStyle="1" w:styleId="122">
    <w:name w:val="明显引用 Char2"/>
    <w:qFormat/>
    <w:uiPriority w:val="99"/>
    <w:rPr>
      <w:b/>
      <w:bCs/>
      <w:i/>
      <w:iCs/>
      <w:color w:val="4F81BD"/>
      <w:kern w:val="2"/>
      <w:sz w:val="21"/>
      <w:szCs w:val="22"/>
    </w:rPr>
  </w:style>
  <w:style w:type="character" w:customStyle="1" w:styleId="123">
    <w:name w:val="font21"/>
    <w:qFormat/>
    <w:uiPriority w:val="0"/>
    <w:rPr>
      <w:rFonts w:hint="eastAsia" w:ascii="宋体" w:hAnsi="宋体" w:eastAsia="宋体"/>
      <w:color w:val="000000"/>
      <w:sz w:val="24"/>
      <w:szCs w:val="24"/>
      <w:u w:val="none"/>
    </w:rPr>
  </w:style>
  <w:style w:type="character" w:customStyle="1" w:styleId="124">
    <w:name w:val="Char Char16"/>
    <w:qFormat/>
    <w:uiPriority w:val="0"/>
    <w:rPr>
      <w:rFonts w:hint="default" w:ascii="Arial" w:hAnsi="Arial" w:eastAsia="黑体" w:cs="Arial"/>
      <w:b/>
      <w:bCs/>
      <w:sz w:val="24"/>
      <w:szCs w:val="24"/>
      <w:lang w:val="en-US" w:eastAsia="zh-CN" w:bidi="ar-SA"/>
    </w:rPr>
  </w:style>
  <w:style w:type="character" w:customStyle="1" w:styleId="125">
    <w:name w:val="尾注文本 Char Char Char"/>
    <w:qFormat/>
    <w:uiPriority w:val="0"/>
    <w:rPr>
      <w:kern w:val="2"/>
      <w:sz w:val="21"/>
      <w:szCs w:val="24"/>
    </w:rPr>
  </w:style>
  <w:style w:type="character" w:customStyle="1" w:styleId="126">
    <w:name w:val="页脚 Char Char"/>
    <w:qFormat/>
    <w:uiPriority w:val="0"/>
    <w:rPr>
      <w:sz w:val="18"/>
      <w:szCs w:val="18"/>
    </w:rPr>
  </w:style>
  <w:style w:type="character" w:customStyle="1" w:styleId="127">
    <w:name w:val="页眉 Char Char"/>
    <w:qFormat/>
    <w:uiPriority w:val="0"/>
    <w:rPr>
      <w:sz w:val="18"/>
      <w:szCs w:val="18"/>
    </w:rPr>
  </w:style>
  <w:style w:type="character" w:customStyle="1" w:styleId="128">
    <w:name w:val="正文文本 2 字符"/>
    <w:semiHidden/>
    <w:qFormat/>
    <w:uiPriority w:val="99"/>
    <w:rPr>
      <w:rFonts w:ascii="Calibri" w:hAnsi="Calibri" w:eastAsia="宋体" w:cs="Times New Roman"/>
    </w:rPr>
  </w:style>
  <w:style w:type="character" w:customStyle="1" w:styleId="129">
    <w:name w:val="默认段落字体1"/>
    <w:qFormat/>
    <w:uiPriority w:val="0"/>
  </w:style>
  <w:style w:type="character" w:customStyle="1" w:styleId="130">
    <w:name w:val="标题 4 字符"/>
    <w:semiHidden/>
    <w:qFormat/>
    <w:uiPriority w:val="9"/>
    <w:rPr>
      <w:rFonts w:ascii="等线 Light" w:hAnsi="等线 Light" w:eastAsia="等线 Light" w:cs="Times New Roman"/>
      <w:b/>
      <w:bCs/>
      <w:sz w:val="28"/>
      <w:szCs w:val="28"/>
    </w:rPr>
  </w:style>
  <w:style w:type="character" w:customStyle="1" w:styleId="131">
    <w:name w:val="textcontents"/>
    <w:qFormat/>
    <w:uiPriority w:val="0"/>
  </w:style>
  <w:style w:type="character" w:customStyle="1" w:styleId="132">
    <w:name w:val="msointensereference"/>
    <w:qFormat/>
    <w:uiPriority w:val="0"/>
    <w:rPr>
      <w:b/>
      <w:sz w:val="24"/>
      <w:u w:val="single"/>
    </w:rPr>
  </w:style>
  <w:style w:type="character" w:customStyle="1" w:styleId="133">
    <w:name w:val="Char Char8"/>
    <w:qFormat/>
    <w:uiPriority w:val="0"/>
    <w:rPr>
      <w:rFonts w:hint="default" w:ascii="Arial" w:hAnsi="Arial" w:eastAsia="黑体" w:cs="Arial"/>
      <w:b/>
      <w:bCs/>
      <w:kern w:val="2"/>
      <w:sz w:val="32"/>
      <w:szCs w:val="32"/>
      <w:lang w:val="en-US" w:eastAsia="zh-CN" w:bidi="ar-SA"/>
    </w:rPr>
  </w:style>
  <w:style w:type="character" w:customStyle="1" w:styleId="134">
    <w:name w:val="标题 3 Char Char"/>
    <w:qFormat/>
    <w:uiPriority w:val="0"/>
    <w:rPr>
      <w:rFonts w:ascii="宋体" w:hAnsi="宋体" w:eastAsia="宋体"/>
      <w:b/>
      <w:bCs/>
      <w:color w:val="FF0000"/>
      <w:kern w:val="2"/>
      <w:sz w:val="24"/>
      <w:szCs w:val="24"/>
      <w:lang w:val="zh-CN" w:eastAsia="zh-CN" w:bidi="ar-SA"/>
    </w:rPr>
  </w:style>
  <w:style w:type="character" w:customStyle="1" w:styleId="135">
    <w:name w:val="msobooktitle"/>
    <w:qFormat/>
    <w:uiPriority w:val="0"/>
    <w:rPr>
      <w:rFonts w:hint="default" w:ascii="Cambria" w:hAnsi="Cambria" w:eastAsia="宋体"/>
      <w:b/>
      <w:i/>
      <w:sz w:val="24"/>
      <w:szCs w:val="24"/>
    </w:rPr>
  </w:style>
  <w:style w:type="character" w:customStyle="1" w:styleId="136">
    <w:name w:val="标题 1 Char Char"/>
    <w:qFormat/>
    <w:uiPriority w:val="0"/>
    <w:rPr>
      <w:rFonts w:hint="eastAsia" w:ascii="仿宋_GB2312" w:eastAsia="仿宋_GB2312"/>
      <w:b/>
      <w:bCs/>
      <w:kern w:val="44"/>
      <w:sz w:val="44"/>
      <w:szCs w:val="44"/>
    </w:rPr>
  </w:style>
  <w:style w:type="character" w:customStyle="1" w:styleId="137">
    <w:name w:val="标题5 Char Char"/>
    <w:link w:val="138"/>
    <w:qFormat/>
    <w:uiPriority w:val="0"/>
    <w:rPr>
      <w:rFonts w:ascii="Arial" w:hAnsi="Arial" w:eastAsia="黑体"/>
      <w:bCs/>
      <w:kern w:val="2"/>
      <w:sz w:val="24"/>
      <w:szCs w:val="32"/>
    </w:rPr>
  </w:style>
  <w:style w:type="paragraph" w:customStyle="1" w:styleId="138">
    <w:name w:val="标题5"/>
    <w:basedOn w:val="8"/>
    <w:link w:val="137"/>
    <w:qFormat/>
    <w:uiPriority w:val="0"/>
    <w:pPr>
      <w:keepNext w:val="0"/>
      <w:keepLines w:val="0"/>
      <w:widowControl/>
      <w:numPr>
        <w:ilvl w:val="0"/>
        <w:numId w:val="0"/>
      </w:numPr>
      <w:tabs>
        <w:tab w:val="left" w:pos="2310"/>
      </w:tabs>
      <w:spacing w:before="240" w:beforeLines="0" w:after="60" w:afterLines="0" w:line="240" w:lineRule="auto"/>
      <w:jc w:val="center"/>
    </w:pPr>
    <w:rPr>
      <w:rFonts w:eastAsia="黑体"/>
      <w:bCs/>
      <w:color w:val="auto"/>
      <w:kern w:val="2"/>
      <w:sz w:val="24"/>
      <w:szCs w:val="32"/>
    </w:rPr>
  </w:style>
  <w:style w:type="character" w:customStyle="1" w:styleId="139">
    <w:name w:val="标题 3 字符"/>
    <w:semiHidden/>
    <w:qFormat/>
    <w:uiPriority w:val="9"/>
    <w:rPr>
      <w:rFonts w:ascii="Calibri" w:hAnsi="Calibri" w:eastAsia="宋体" w:cs="Times New Roman"/>
      <w:b/>
      <w:bCs/>
      <w:sz w:val="32"/>
      <w:szCs w:val="32"/>
    </w:rPr>
  </w:style>
  <w:style w:type="character" w:customStyle="1" w:styleId="140">
    <w:name w:val="标题 9 字符"/>
    <w:semiHidden/>
    <w:qFormat/>
    <w:uiPriority w:val="9"/>
    <w:rPr>
      <w:rFonts w:ascii="等线 Light" w:hAnsi="等线 Light" w:eastAsia="等线 Light" w:cs="Times New Roman"/>
      <w:szCs w:val="21"/>
    </w:rPr>
  </w:style>
  <w:style w:type="character" w:customStyle="1" w:styleId="141">
    <w:name w:val="Char Char10"/>
    <w:qFormat/>
    <w:uiPriority w:val="0"/>
    <w:rPr>
      <w:rFonts w:hint="default" w:ascii="Cambria" w:hAnsi="Cambria" w:eastAsia="宋体"/>
      <w:b/>
      <w:bCs/>
      <w:i/>
      <w:iCs/>
      <w:sz w:val="28"/>
      <w:szCs w:val="28"/>
    </w:rPr>
  </w:style>
  <w:style w:type="character" w:customStyle="1" w:styleId="142">
    <w:name w:val="正文文本_"/>
    <w:link w:val="143"/>
    <w:qFormat/>
    <w:uiPriority w:val="0"/>
    <w:rPr>
      <w:rFonts w:ascii="MingLiU" w:hAnsi="MingLiU" w:eastAsia="MingLiU"/>
      <w:spacing w:val="20"/>
      <w:shd w:val="clear" w:color="auto" w:fill="FFFFFF"/>
    </w:rPr>
  </w:style>
  <w:style w:type="paragraph" w:customStyle="1" w:styleId="143">
    <w:name w:val="正文文本1"/>
    <w:basedOn w:val="1"/>
    <w:link w:val="142"/>
    <w:qFormat/>
    <w:uiPriority w:val="0"/>
    <w:pPr>
      <w:shd w:val="clear" w:color="auto" w:fill="FFFFFF"/>
      <w:spacing w:before="300" w:line="0" w:lineRule="atLeast"/>
      <w:ind w:hanging="580"/>
      <w:jc w:val="left"/>
    </w:pPr>
    <w:rPr>
      <w:rFonts w:ascii="MingLiU" w:hAnsi="MingLiU" w:eastAsia="MingLiU"/>
      <w:spacing w:val="20"/>
      <w:kern w:val="0"/>
      <w:sz w:val="20"/>
      <w:szCs w:val="20"/>
      <w:shd w:val="clear" w:color="auto" w:fill="FFFFFF"/>
    </w:rPr>
  </w:style>
  <w:style w:type="character" w:customStyle="1" w:styleId="144">
    <w:name w:val="font51"/>
    <w:qFormat/>
    <w:uiPriority w:val="0"/>
    <w:rPr>
      <w:rFonts w:hint="eastAsia" w:ascii="宋体" w:hAnsi="宋体" w:eastAsia="宋体"/>
      <w:color w:val="000000"/>
      <w:sz w:val="24"/>
      <w:szCs w:val="24"/>
      <w:u w:val="none"/>
    </w:rPr>
  </w:style>
  <w:style w:type="character" w:customStyle="1" w:styleId="145">
    <w:name w:val="脚注文本 字符"/>
    <w:semiHidden/>
    <w:qFormat/>
    <w:uiPriority w:val="99"/>
    <w:rPr>
      <w:rFonts w:ascii="Calibri" w:hAnsi="Calibri" w:eastAsia="宋体" w:cs="Times New Roman"/>
      <w:sz w:val="18"/>
      <w:szCs w:val="18"/>
    </w:rPr>
  </w:style>
  <w:style w:type="character" w:customStyle="1" w:styleId="146">
    <w:name w:val="页脚 字符"/>
    <w:semiHidden/>
    <w:qFormat/>
    <w:uiPriority w:val="99"/>
    <w:rPr>
      <w:rFonts w:ascii="Calibri" w:hAnsi="Calibri" w:eastAsia="宋体" w:cs="Times New Roman"/>
      <w:sz w:val="18"/>
      <w:szCs w:val="18"/>
    </w:rPr>
  </w:style>
  <w:style w:type="character" w:customStyle="1" w:styleId="147">
    <w:name w:val="批注主题 Char Char"/>
    <w:qFormat/>
    <w:uiPriority w:val="0"/>
    <w:rPr>
      <w:rFonts w:hint="default" w:ascii="Times New Roman" w:hAnsi="Times New Roman" w:cs="Times New Roman"/>
      <w:b/>
      <w:bCs/>
      <w:kern w:val="2"/>
      <w:sz w:val="21"/>
      <w:szCs w:val="24"/>
    </w:rPr>
  </w:style>
  <w:style w:type="character" w:customStyle="1" w:styleId="148">
    <w:name w:val="WW8Num9z0"/>
    <w:qFormat/>
    <w:uiPriority w:val="0"/>
    <w:rPr>
      <w:rFonts w:hint="default" w:ascii="Wingdings" w:hAnsi="Wingdings"/>
    </w:rPr>
  </w:style>
  <w:style w:type="character" w:customStyle="1" w:styleId="149">
    <w:name w:val="标题 5 字符"/>
    <w:semiHidden/>
    <w:qFormat/>
    <w:uiPriority w:val="9"/>
    <w:rPr>
      <w:rFonts w:ascii="Calibri" w:hAnsi="Calibri" w:eastAsia="宋体" w:cs="Times New Roman"/>
      <w:b/>
      <w:bCs/>
      <w:sz w:val="28"/>
      <w:szCs w:val="28"/>
    </w:rPr>
  </w:style>
  <w:style w:type="character" w:customStyle="1" w:styleId="150">
    <w:name w:val="列出段落 Char"/>
    <w:link w:val="151"/>
    <w:qFormat/>
    <w:uiPriority w:val="0"/>
    <w:rPr>
      <w:kern w:val="2"/>
      <w:sz w:val="21"/>
    </w:rPr>
  </w:style>
  <w:style w:type="paragraph" w:customStyle="1" w:styleId="151">
    <w:name w:val="列出段落1"/>
    <w:basedOn w:val="1"/>
    <w:link w:val="150"/>
    <w:qFormat/>
    <w:uiPriority w:val="0"/>
    <w:pPr>
      <w:ind w:firstLine="420" w:firstLineChars="200"/>
    </w:pPr>
    <w:rPr>
      <w:szCs w:val="20"/>
    </w:rPr>
  </w:style>
  <w:style w:type="character" w:customStyle="1" w:styleId="152">
    <w:name w:val="font7"/>
    <w:qFormat/>
    <w:uiPriority w:val="0"/>
  </w:style>
  <w:style w:type="character" w:customStyle="1" w:styleId="153">
    <w:name w:val="标题 1 字符"/>
    <w:qFormat/>
    <w:uiPriority w:val="9"/>
    <w:rPr>
      <w:rFonts w:ascii="Calibri" w:hAnsi="Calibri" w:eastAsia="宋体" w:cs="Times New Roman"/>
      <w:b/>
      <w:bCs/>
      <w:kern w:val="44"/>
      <w:sz w:val="44"/>
      <w:szCs w:val="44"/>
    </w:rPr>
  </w:style>
  <w:style w:type="character" w:customStyle="1" w:styleId="154">
    <w:name w:val="日期 Char Char"/>
    <w:qFormat/>
    <w:uiPriority w:val="0"/>
    <w:rPr>
      <w:kern w:val="2"/>
      <w:sz w:val="24"/>
    </w:rPr>
  </w:style>
  <w:style w:type="character" w:customStyle="1" w:styleId="155">
    <w:name w:val="副标题 Char2"/>
    <w:qFormat/>
    <w:uiPriority w:val="0"/>
    <w:rPr>
      <w:rFonts w:hint="default" w:ascii="Cambria" w:hAnsi="Cambria" w:cs="Times New Roman"/>
      <w:b/>
      <w:bCs/>
      <w:kern w:val="28"/>
      <w:sz w:val="32"/>
      <w:szCs w:val="32"/>
    </w:rPr>
  </w:style>
  <w:style w:type="character" w:customStyle="1" w:styleId="156">
    <w:name w:val="明显引用 Char"/>
    <w:link w:val="157"/>
    <w:qFormat/>
    <w:uiPriority w:val="0"/>
    <w:rPr>
      <w:b/>
      <w:i/>
      <w:sz w:val="24"/>
      <w:szCs w:val="22"/>
    </w:rPr>
  </w:style>
  <w:style w:type="paragraph" w:styleId="157">
    <w:name w:val="Intense Quote"/>
    <w:basedOn w:val="1"/>
    <w:link w:val="156"/>
    <w:qFormat/>
    <w:uiPriority w:val="0"/>
    <w:rPr>
      <w:b/>
      <w:i/>
      <w:kern w:val="0"/>
      <w:sz w:val="24"/>
    </w:rPr>
  </w:style>
  <w:style w:type="character" w:customStyle="1" w:styleId="158">
    <w:name w:val="WW8Num8z0"/>
    <w:qFormat/>
    <w:uiPriority w:val="0"/>
    <w:rPr>
      <w:sz w:val="24"/>
    </w:rPr>
  </w:style>
  <w:style w:type="character" w:customStyle="1" w:styleId="159">
    <w:name w:val="font6"/>
    <w:qFormat/>
    <w:uiPriority w:val="0"/>
  </w:style>
  <w:style w:type="character" w:customStyle="1" w:styleId="160">
    <w:name w:val="纯文本 字符"/>
    <w:semiHidden/>
    <w:qFormat/>
    <w:uiPriority w:val="99"/>
    <w:rPr>
      <w:rFonts w:ascii="等线" w:hAnsi="Courier New" w:cs="Courier New"/>
    </w:rPr>
  </w:style>
  <w:style w:type="character" w:customStyle="1" w:styleId="161">
    <w:name w:val="font161"/>
    <w:qFormat/>
    <w:uiPriority w:val="0"/>
    <w:rPr>
      <w:b/>
      <w:bCs/>
      <w:sz w:val="32"/>
      <w:szCs w:val="32"/>
    </w:rPr>
  </w:style>
  <w:style w:type="character" w:customStyle="1" w:styleId="162">
    <w:name w:val="标题 Char3"/>
    <w:qFormat/>
    <w:uiPriority w:val="0"/>
    <w:rPr>
      <w:rFonts w:hint="default" w:ascii="Cambria" w:hAnsi="Cambria" w:cs="Times New Roman"/>
      <w:b/>
      <w:bCs/>
      <w:kern w:val="2"/>
      <w:sz w:val="32"/>
      <w:szCs w:val="32"/>
    </w:rPr>
  </w:style>
  <w:style w:type="character" w:customStyle="1" w:styleId="163">
    <w:name w:val="批注框文本 Char Char"/>
    <w:qFormat/>
    <w:uiPriority w:val="0"/>
    <w:rPr>
      <w:kern w:val="2"/>
      <w:sz w:val="18"/>
      <w:szCs w:val="18"/>
    </w:rPr>
  </w:style>
  <w:style w:type="character" w:customStyle="1" w:styleId="164">
    <w:name w:val="标题 Char Char"/>
    <w:qFormat/>
    <w:uiPriority w:val="0"/>
    <w:rPr>
      <w:rFonts w:hint="default" w:ascii="Arial" w:hAnsi="Arial" w:eastAsia="楷体_GB2312" w:cs="Arial"/>
      <w:b/>
      <w:kern w:val="2"/>
      <w:sz w:val="44"/>
      <w:szCs w:val="24"/>
      <w:lang w:val="en-US" w:eastAsia="zh-CN" w:bidi="ar-SA"/>
    </w:rPr>
  </w:style>
  <w:style w:type="character" w:customStyle="1" w:styleId="165">
    <w:name w:val="标题 6 字符"/>
    <w:semiHidden/>
    <w:qFormat/>
    <w:uiPriority w:val="9"/>
    <w:rPr>
      <w:rFonts w:ascii="等线 Light" w:hAnsi="等线 Light" w:eastAsia="等线 Light" w:cs="Times New Roman"/>
      <w:b/>
      <w:bCs/>
      <w:sz w:val="24"/>
      <w:szCs w:val="24"/>
    </w:rPr>
  </w:style>
  <w:style w:type="character" w:customStyle="1" w:styleId="166">
    <w:name w:val="副标题 Char1"/>
    <w:qFormat/>
    <w:uiPriority w:val="0"/>
    <w:rPr>
      <w:rFonts w:hint="default" w:ascii="Cambria" w:hAnsi="Cambria" w:cs="Times New Roman"/>
      <w:b/>
      <w:bCs/>
      <w:kern w:val="28"/>
      <w:sz w:val="32"/>
      <w:szCs w:val="32"/>
    </w:rPr>
  </w:style>
  <w:style w:type="character" w:customStyle="1" w:styleId="167">
    <w:name w:val="标题 5 Char Char"/>
    <w:qFormat/>
    <w:uiPriority w:val="0"/>
    <w:rPr>
      <w:rFonts w:hint="eastAsia" w:ascii="仿宋_GB2312" w:eastAsia="仿宋_GB2312"/>
      <w:b/>
      <w:bCs/>
      <w:kern w:val="2"/>
      <w:sz w:val="28"/>
      <w:szCs w:val="28"/>
    </w:rPr>
  </w:style>
  <w:style w:type="character" w:customStyle="1" w:styleId="168">
    <w:name w:val="!我的正文 Ctr+Q Char Char"/>
    <w:link w:val="169"/>
    <w:qFormat/>
    <w:uiPriority w:val="0"/>
    <w:rPr>
      <w:rFonts w:ascii="Arial" w:hAnsi="Arial"/>
      <w:kern w:val="2"/>
      <w:sz w:val="24"/>
      <w:szCs w:val="21"/>
    </w:rPr>
  </w:style>
  <w:style w:type="paragraph" w:customStyle="1" w:styleId="169">
    <w:name w:val="!我的正文 Ctr+Q"/>
    <w:basedOn w:val="1"/>
    <w:link w:val="168"/>
    <w:qFormat/>
    <w:uiPriority w:val="0"/>
    <w:pPr>
      <w:adjustRightInd w:val="0"/>
      <w:snapToGrid w:val="0"/>
      <w:spacing w:line="360" w:lineRule="auto"/>
      <w:ind w:firstLine="480" w:firstLineChars="200"/>
    </w:pPr>
    <w:rPr>
      <w:rFonts w:ascii="Arial" w:hAnsi="Arial"/>
      <w:sz w:val="24"/>
      <w:szCs w:val="21"/>
    </w:rPr>
  </w:style>
  <w:style w:type="character" w:customStyle="1" w:styleId="170">
    <w:name w:val="样式 标题 3h3section:3Level 3 HeadH3level_3PIM 33rd level3H... Char Char"/>
    <w:link w:val="171"/>
    <w:qFormat/>
    <w:uiPriority w:val="0"/>
    <w:rPr>
      <w:rFonts w:ascii="Arial" w:hAnsi="Arial"/>
      <w:b/>
      <w:kern w:val="2"/>
      <w:sz w:val="24"/>
      <w:szCs w:val="28"/>
    </w:rPr>
  </w:style>
  <w:style w:type="paragraph" w:customStyle="1" w:styleId="171">
    <w:name w:val="样式 标题 3h3section:3Level 3 HeadH3level_3PIM 33rd level3H..."/>
    <w:basedOn w:val="6"/>
    <w:link w:val="170"/>
    <w:qFormat/>
    <w:uiPriority w:val="0"/>
    <w:pPr>
      <w:keepNext/>
      <w:tabs>
        <w:tab w:val="left" w:pos="1680"/>
        <w:tab w:val="left" w:pos="2310"/>
      </w:tabs>
      <w:adjustRightInd w:val="0"/>
      <w:spacing w:before="240" w:beforeAutospacing="0" w:after="60" w:afterAutospacing="0" w:line="416" w:lineRule="atLeast"/>
      <w:ind w:left="2310" w:hanging="420"/>
    </w:pPr>
    <w:rPr>
      <w:rFonts w:ascii="Arial" w:hAnsi="Arial" w:eastAsia="等线"/>
      <w:b/>
      <w:kern w:val="2"/>
      <w:sz w:val="24"/>
      <w:szCs w:val="28"/>
    </w:rPr>
  </w:style>
  <w:style w:type="character" w:customStyle="1" w:styleId="172">
    <w:name w:val="标题 字符"/>
    <w:qFormat/>
    <w:uiPriority w:val="10"/>
    <w:rPr>
      <w:rFonts w:ascii="等线 Light" w:hAnsi="等线 Light" w:eastAsia="等线 Light" w:cs="Times New Roman"/>
      <w:b/>
      <w:bCs/>
      <w:sz w:val="32"/>
      <w:szCs w:val="32"/>
    </w:rPr>
  </w:style>
  <w:style w:type="character" w:customStyle="1" w:styleId="173">
    <w:name w:val="样式 Char Char"/>
    <w:link w:val="174"/>
    <w:qFormat/>
    <w:uiPriority w:val="0"/>
  </w:style>
  <w:style w:type="paragraph" w:customStyle="1" w:styleId="174">
    <w:name w:val="样式"/>
    <w:basedOn w:val="138"/>
    <w:link w:val="173"/>
    <w:qFormat/>
    <w:uiPriority w:val="0"/>
    <w:pPr>
      <w:tabs>
        <w:tab w:val="left" w:pos="2730"/>
        <w:tab w:val="clear" w:pos="2310"/>
      </w:tabs>
      <w:outlineLvl w:val="9"/>
    </w:pPr>
  </w:style>
  <w:style w:type="character" w:customStyle="1" w:styleId="175">
    <w:name w:val="WW8Num15z1"/>
    <w:qFormat/>
    <w:uiPriority w:val="0"/>
    <w:rPr>
      <w:rFonts w:hint="default" w:ascii="Times New Roman" w:hAnsi="Times New Roman" w:cs="Times New Roman"/>
      <w:color w:val="auto"/>
    </w:rPr>
  </w:style>
  <w:style w:type="character" w:customStyle="1" w:styleId="176">
    <w:name w:val="WW8Num3z0"/>
    <w:qFormat/>
    <w:uiPriority w:val="0"/>
    <w:rPr>
      <w:sz w:val="24"/>
      <w:szCs w:val="24"/>
    </w:rPr>
  </w:style>
  <w:style w:type="character" w:customStyle="1" w:styleId="177">
    <w:name w:val="Char Char2"/>
    <w:qFormat/>
    <w:uiPriority w:val="0"/>
    <w:rPr>
      <w:rFonts w:hint="eastAsia" w:ascii="宋体" w:hAnsi="宋体" w:eastAsia="宋体"/>
      <w:kern w:val="2"/>
      <w:sz w:val="21"/>
      <w:szCs w:val="24"/>
      <w:lang w:val="en-US" w:eastAsia="zh-CN" w:bidi="ar-SA"/>
    </w:rPr>
  </w:style>
  <w:style w:type="character" w:customStyle="1" w:styleId="178">
    <w:name w:val="页眉 字符"/>
    <w:semiHidden/>
    <w:qFormat/>
    <w:uiPriority w:val="99"/>
    <w:rPr>
      <w:rFonts w:ascii="Calibri" w:hAnsi="Calibri" w:eastAsia="宋体" w:cs="Times New Roman"/>
      <w:sz w:val="18"/>
      <w:szCs w:val="18"/>
    </w:rPr>
  </w:style>
  <w:style w:type="character" w:customStyle="1" w:styleId="179">
    <w:name w:val="批注文字 字符"/>
    <w:semiHidden/>
    <w:qFormat/>
    <w:uiPriority w:val="99"/>
    <w:rPr>
      <w:rFonts w:ascii="Calibri" w:hAnsi="Calibri" w:eastAsia="宋体" w:cs="Times New Roman"/>
    </w:rPr>
  </w:style>
  <w:style w:type="character" w:customStyle="1" w:styleId="180">
    <w:name w:val="标提1 Char Char"/>
    <w:link w:val="181"/>
    <w:qFormat/>
    <w:uiPriority w:val="0"/>
    <w:rPr>
      <w:rFonts w:ascii="黑体" w:hAnsi="黑体" w:eastAsia="黑体"/>
      <w:b/>
      <w:kern w:val="44"/>
      <w:sz w:val="24"/>
      <w:szCs w:val="24"/>
    </w:rPr>
  </w:style>
  <w:style w:type="paragraph" w:customStyle="1" w:styleId="181">
    <w:name w:val="标提1"/>
    <w:basedOn w:val="3"/>
    <w:next w:val="1"/>
    <w:link w:val="180"/>
    <w:qFormat/>
    <w:uiPriority w:val="0"/>
    <w:pPr>
      <w:spacing w:after="0" w:line="240" w:lineRule="auto"/>
      <w:jc w:val="both"/>
    </w:pPr>
    <w:rPr>
      <w:rFonts w:ascii="黑体" w:hAnsi="黑体" w:eastAsia="黑体"/>
      <w:sz w:val="24"/>
      <w:szCs w:val="24"/>
    </w:rPr>
  </w:style>
  <w:style w:type="character" w:customStyle="1" w:styleId="182">
    <w:name w:val="style6"/>
    <w:qFormat/>
    <w:uiPriority w:val="0"/>
  </w:style>
  <w:style w:type="character" w:customStyle="1" w:styleId="183">
    <w:name w:val="尾注文本 字符"/>
    <w:semiHidden/>
    <w:qFormat/>
    <w:uiPriority w:val="99"/>
    <w:rPr>
      <w:rFonts w:ascii="Calibri" w:hAnsi="Calibri" w:eastAsia="宋体" w:cs="Times New Roman"/>
    </w:rPr>
  </w:style>
  <w:style w:type="character" w:customStyle="1" w:styleId="184">
    <w:name w:val="正文首行缩进 字符"/>
    <w:semiHidden/>
    <w:qFormat/>
    <w:uiPriority w:val="99"/>
  </w:style>
  <w:style w:type="character" w:customStyle="1" w:styleId="185">
    <w:name w:val="正文文本 字符"/>
    <w:semiHidden/>
    <w:qFormat/>
    <w:uiPriority w:val="99"/>
    <w:rPr>
      <w:rFonts w:ascii="Calibri" w:hAnsi="Calibri" w:eastAsia="宋体" w:cs="Times New Roman"/>
    </w:rPr>
  </w:style>
  <w:style w:type="character" w:customStyle="1" w:styleId="186">
    <w:name w:val="标题 9 Char Char"/>
    <w:qFormat/>
    <w:uiPriority w:val="0"/>
    <w:rPr>
      <w:rFonts w:hint="default" w:ascii="Cambria" w:hAnsi="Cambria" w:eastAsia="宋体" w:cs="Times New Roman"/>
      <w:kern w:val="2"/>
      <w:sz w:val="21"/>
      <w:szCs w:val="21"/>
    </w:rPr>
  </w:style>
  <w:style w:type="character" w:customStyle="1" w:styleId="187">
    <w:name w:val="标题 2 字符"/>
    <w:semiHidden/>
    <w:qFormat/>
    <w:uiPriority w:val="9"/>
    <w:rPr>
      <w:rFonts w:ascii="等线 Light" w:hAnsi="等线 Light" w:eastAsia="等线 Light" w:cs="Times New Roman"/>
      <w:b/>
      <w:bCs/>
      <w:sz w:val="32"/>
      <w:szCs w:val="32"/>
    </w:rPr>
  </w:style>
  <w:style w:type="character" w:customStyle="1" w:styleId="188">
    <w:name w:val="Char Char15"/>
    <w:qFormat/>
    <w:uiPriority w:val="0"/>
  </w:style>
  <w:style w:type="character" w:customStyle="1" w:styleId="189">
    <w:name w:val="标题 2 Char1"/>
    <w:qFormat/>
    <w:uiPriority w:val="0"/>
    <w:rPr>
      <w:rFonts w:hint="default" w:ascii="Arial" w:hAnsi="Arial" w:eastAsia="黑体" w:cs="Arial"/>
      <w:b/>
      <w:bCs/>
      <w:sz w:val="32"/>
      <w:szCs w:val="32"/>
    </w:rPr>
  </w:style>
  <w:style w:type="character" w:customStyle="1" w:styleId="190">
    <w:name w:val="msointenseemphasis"/>
    <w:qFormat/>
    <w:uiPriority w:val="0"/>
    <w:rPr>
      <w:b/>
      <w:i/>
      <w:sz w:val="24"/>
      <w:szCs w:val="24"/>
      <w:u w:val="single"/>
    </w:rPr>
  </w:style>
  <w:style w:type="character" w:customStyle="1" w:styleId="191">
    <w:name w:val="正文文本缩进 字符"/>
    <w:semiHidden/>
    <w:qFormat/>
    <w:uiPriority w:val="99"/>
    <w:rPr>
      <w:rFonts w:ascii="Calibri" w:hAnsi="Calibri" w:eastAsia="宋体" w:cs="Times New Roman"/>
    </w:rPr>
  </w:style>
  <w:style w:type="character" w:customStyle="1" w:styleId="192">
    <w:name w:val="textcontents1"/>
    <w:qFormat/>
    <w:uiPriority w:val="0"/>
    <w:rPr>
      <w:color w:val="000000"/>
      <w:sz w:val="22"/>
      <w:szCs w:val="22"/>
    </w:rPr>
  </w:style>
  <w:style w:type="character" w:customStyle="1" w:styleId="193">
    <w:name w:val="引用 Char"/>
    <w:link w:val="194"/>
    <w:qFormat/>
    <w:uiPriority w:val="0"/>
    <w:rPr>
      <w:i/>
      <w:sz w:val="24"/>
      <w:szCs w:val="22"/>
    </w:rPr>
  </w:style>
  <w:style w:type="paragraph" w:styleId="194">
    <w:name w:val="Quote"/>
    <w:basedOn w:val="1"/>
    <w:link w:val="193"/>
    <w:qFormat/>
    <w:uiPriority w:val="0"/>
    <w:rPr>
      <w:i/>
      <w:kern w:val="0"/>
      <w:sz w:val="24"/>
    </w:rPr>
  </w:style>
  <w:style w:type="character" w:customStyle="1" w:styleId="195">
    <w:name w:val="纯文本 Char Char"/>
    <w:qFormat/>
    <w:uiPriority w:val="0"/>
    <w:rPr>
      <w:rFonts w:ascii="宋体" w:hAnsi="Courier New"/>
      <w:kern w:val="2"/>
      <w:sz w:val="24"/>
    </w:rPr>
  </w:style>
  <w:style w:type="character" w:customStyle="1" w:styleId="196">
    <w:name w:val="msosubtleemphasis"/>
    <w:qFormat/>
    <w:uiPriority w:val="0"/>
    <w:rPr>
      <w:i/>
      <w:color w:val="5A5A5A"/>
    </w:rPr>
  </w:style>
  <w:style w:type="character" w:customStyle="1" w:styleId="197">
    <w:name w:val="正文文本 Char1"/>
    <w:qFormat/>
    <w:uiPriority w:val="0"/>
    <w:rPr>
      <w:rFonts w:hint="eastAsia" w:ascii="仿宋_GB2312" w:eastAsia="宋体"/>
      <w:kern w:val="2"/>
      <w:sz w:val="21"/>
      <w:szCs w:val="32"/>
      <w:lang w:val="en-US" w:eastAsia="zh-CN" w:bidi="ar-SA"/>
    </w:rPr>
  </w:style>
  <w:style w:type="character" w:customStyle="1" w:styleId="198">
    <w:name w:val="引用 Char1"/>
    <w:qFormat/>
    <w:uiPriority w:val="0"/>
    <w:rPr>
      <w:rFonts w:hint="eastAsia" w:ascii="仿宋_GB2312" w:eastAsia="仿宋_GB2312"/>
      <w:i/>
      <w:iCs/>
      <w:color w:val="000000"/>
      <w:kern w:val="2"/>
      <w:sz w:val="21"/>
      <w:szCs w:val="32"/>
    </w:rPr>
  </w:style>
  <w:style w:type="character" w:customStyle="1" w:styleId="199">
    <w:name w:val="font11"/>
    <w:qFormat/>
    <w:uiPriority w:val="0"/>
    <w:rPr>
      <w:rFonts w:hint="eastAsia" w:ascii="宋体" w:hAnsi="宋体" w:eastAsia="宋体"/>
      <w:color w:val="000000"/>
      <w:sz w:val="24"/>
      <w:szCs w:val="24"/>
      <w:u w:val="single"/>
    </w:rPr>
  </w:style>
  <w:style w:type="character" w:customStyle="1" w:styleId="200">
    <w:name w:val="rightspan"/>
    <w:qFormat/>
    <w:uiPriority w:val="0"/>
  </w:style>
  <w:style w:type="character" w:customStyle="1" w:styleId="201">
    <w:name w:val="Variable"/>
    <w:qFormat/>
    <w:uiPriority w:val="0"/>
    <w:rPr>
      <w:i/>
    </w:rPr>
  </w:style>
  <w:style w:type="character" w:customStyle="1" w:styleId="202">
    <w:name w:val="批注框文本 字符"/>
    <w:semiHidden/>
    <w:qFormat/>
    <w:uiPriority w:val="99"/>
    <w:rPr>
      <w:rFonts w:ascii="Calibri" w:hAnsi="Calibri" w:eastAsia="宋体" w:cs="Times New Roman"/>
      <w:sz w:val="18"/>
      <w:szCs w:val="18"/>
    </w:rPr>
  </w:style>
  <w:style w:type="character" w:customStyle="1" w:styleId="203">
    <w:name w:val="标题 8 字符"/>
    <w:semiHidden/>
    <w:qFormat/>
    <w:uiPriority w:val="9"/>
    <w:rPr>
      <w:rFonts w:ascii="等线 Light" w:hAnsi="等线 Light" w:eastAsia="等线 Light" w:cs="Times New Roman"/>
      <w:sz w:val="24"/>
      <w:szCs w:val="24"/>
    </w:rPr>
  </w:style>
  <w:style w:type="character" w:customStyle="1" w:styleId="204">
    <w:name w:val="明显引用 Char1"/>
    <w:qFormat/>
    <w:uiPriority w:val="0"/>
    <w:rPr>
      <w:rFonts w:hint="eastAsia" w:ascii="仿宋_GB2312" w:eastAsia="仿宋_GB2312"/>
      <w:b/>
      <w:bCs/>
      <w:i/>
      <w:iCs/>
      <w:color w:val="4F81BD"/>
      <w:kern w:val="2"/>
      <w:sz w:val="21"/>
      <w:szCs w:val="32"/>
    </w:rPr>
  </w:style>
  <w:style w:type="character" w:customStyle="1" w:styleId="205">
    <w:name w:val="标题 Char1"/>
    <w:qFormat/>
    <w:uiPriority w:val="0"/>
    <w:rPr>
      <w:rFonts w:hint="default" w:ascii="Arial" w:hAnsi="Arial" w:cs="Arial"/>
      <w:b/>
      <w:sz w:val="44"/>
    </w:rPr>
  </w:style>
  <w:style w:type="character" w:customStyle="1" w:styleId="206">
    <w:name w:val="Char Char11"/>
    <w:qFormat/>
    <w:uiPriority w:val="0"/>
    <w:rPr>
      <w:rFonts w:hint="default" w:ascii="Cambria" w:hAnsi="Cambria" w:eastAsia="宋体"/>
      <w:b/>
      <w:bCs/>
      <w:kern w:val="32"/>
      <w:sz w:val="32"/>
      <w:szCs w:val="32"/>
    </w:rPr>
  </w:style>
  <w:style w:type="character" w:customStyle="1" w:styleId="207">
    <w:name w:val="副标题 Char3"/>
    <w:qFormat/>
    <w:uiPriority w:val="11"/>
    <w:rPr>
      <w:rFonts w:ascii="Cambria" w:hAnsi="Cambria" w:cs="Times New Roman"/>
      <w:b/>
      <w:bCs/>
      <w:kern w:val="28"/>
      <w:sz w:val="32"/>
      <w:szCs w:val="32"/>
    </w:rPr>
  </w:style>
  <w:style w:type="character" w:customStyle="1" w:styleId="208">
    <w:name w:val="标题 Char Char Char"/>
    <w:qFormat/>
    <w:uiPriority w:val="0"/>
    <w:rPr>
      <w:rFonts w:hint="default" w:ascii="Arial" w:hAnsi="Arial" w:cs="Arial"/>
      <w:b/>
      <w:sz w:val="32"/>
    </w:rPr>
  </w:style>
  <w:style w:type="character" w:customStyle="1" w:styleId="209">
    <w:name w:val="无间隔 Char"/>
    <w:link w:val="210"/>
    <w:qFormat/>
    <w:uiPriority w:val="0"/>
    <w:rPr>
      <w:kern w:val="2"/>
      <w:sz w:val="22"/>
    </w:rPr>
  </w:style>
  <w:style w:type="paragraph" w:styleId="210">
    <w:name w:val="No Spacing"/>
    <w:basedOn w:val="1"/>
    <w:link w:val="209"/>
    <w:qFormat/>
    <w:uiPriority w:val="0"/>
    <w:rPr>
      <w:sz w:val="22"/>
      <w:szCs w:val="20"/>
    </w:rPr>
  </w:style>
  <w:style w:type="character" w:customStyle="1" w:styleId="211">
    <w:name w:val="日期 字符"/>
    <w:semiHidden/>
    <w:qFormat/>
    <w:uiPriority w:val="99"/>
    <w:rPr>
      <w:rFonts w:ascii="Calibri" w:hAnsi="Calibri" w:eastAsia="宋体" w:cs="Times New Roman"/>
    </w:rPr>
  </w:style>
  <w:style w:type="character" w:customStyle="1" w:styleId="212">
    <w:name w:val="Char Char23"/>
    <w:qFormat/>
    <w:uiPriority w:val="0"/>
    <w:rPr>
      <w:rFonts w:hint="default" w:ascii="Times New Roman" w:hAnsi="Times New Roman" w:cs="Times New Roman"/>
      <w:b/>
      <w:color w:val="000000"/>
      <w:kern w:val="2"/>
      <w:sz w:val="24"/>
      <w:szCs w:val="24"/>
    </w:rPr>
  </w:style>
  <w:style w:type="character" w:customStyle="1" w:styleId="213">
    <w:name w:val="标题6 Char Char"/>
    <w:link w:val="214"/>
    <w:qFormat/>
    <w:uiPriority w:val="0"/>
    <w:rPr>
      <w:rFonts w:ascii="宋体" w:hAnsi="宋体" w:eastAsia="黑体"/>
      <w:kern w:val="2"/>
      <w:sz w:val="32"/>
      <w:szCs w:val="32"/>
    </w:rPr>
  </w:style>
  <w:style w:type="paragraph" w:customStyle="1" w:styleId="214">
    <w:name w:val="标题6"/>
    <w:basedOn w:val="1"/>
    <w:link w:val="213"/>
    <w:qFormat/>
    <w:uiPriority w:val="0"/>
    <w:pPr>
      <w:keepNext/>
      <w:keepLines/>
      <w:spacing w:line="400" w:lineRule="exact"/>
      <w:jc w:val="center"/>
      <w:outlineLvl w:val="2"/>
    </w:pPr>
    <w:rPr>
      <w:rFonts w:ascii="宋体" w:hAnsi="宋体" w:eastAsia="黑体"/>
      <w:sz w:val="32"/>
      <w:szCs w:val="32"/>
    </w:rPr>
  </w:style>
  <w:style w:type="paragraph" w:customStyle="1" w:styleId="215">
    <w:name w:val="文档结构图1"/>
    <w:basedOn w:val="1"/>
    <w:qFormat/>
    <w:uiPriority w:val="0"/>
    <w:pPr>
      <w:shd w:val="clear" w:color="auto" w:fill="000080"/>
      <w:suppressAutoHyphens/>
    </w:pPr>
    <w:rPr>
      <w:rFonts w:ascii="Times New Roman"/>
      <w:szCs w:val="20"/>
      <w:lang w:eastAsia="ar-SA"/>
    </w:rPr>
  </w:style>
  <w:style w:type="paragraph" w:customStyle="1" w:styleId="216">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17">
    <w:name w:val="Normal_2"/>
    <w:qFormat/>
    <w:uiPriority w:val="0"/>
    <w:rPr>
      <w:rFonts w:ascii="Times New Roman" w:hAnsi="Times New Roman" w:eastAsia="Times New Roman" w:cs="Times New Roman"/>
      <w:sz w:val="24"/>
      <w:szCs w:val="24"/>
      <w:lang w:val="en-US" w:eastAsia="zh-CN" w:bidi="ar-SA"/>
    </w:rPr>
  </w:style>
  <w:style w:type="paragraph" w:customStyle="1" w:styleId="218">
    <w:name w:val="发文落款"/>
    <w:basedOn w:val="219"/>
    <w:qFormat/>
    <w:uiPriority w:val="0"/>
    <w:pPr>
      <w:ind w:left="4094" w:right="607" w:firstLine="0"/>
      <w:jc w:val="center"/>
    </w:pPr>
  </w:style>
  <w:style w:type="paragraph" w:customStyle="1" w:styleId="21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0">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1">
    <w:name w:val="msotocheading"/>
    <w:basedOn w:val="3"/>
    <w:next w:val="1"/>
    <w:qFormat/>
    <w:uiPriority w:val="0"/>
    <w:pPr>
      <w:widowControl/>
      <w:spacing w:before="480" w:after="0" w:line="276" w:lineRule="auto"/>
      <w:outlineLvl w:val="9"/>
    </w:pPr>
    <w:rPr>
      <w:rFonts w:ascii="Cambria" w:hAnsi="Cambria"/>
      <w:bCs/>
      <w:color w:val="365F91"/>
      <w:kern w:val="0"/>
    </w:rPr>
  </w:style>
  <w:style w:type="paragraph" w:customStyle="1" w:styleId="222">
    <w:name w:val="章节二"/>
    <w:basedOn w:val="101"/>
    <w:next w:val="101"/>
    <w:qFormat/>
    <w:uiPriority w:val="0"/>
    <w:pPr>
      <w:spacing w:before="156" w:beforeLines="50" w:line="240" w:lineRule="auto"/>
      <w:ind w:firstLine="0" w:firstLineChars="0"/>
      <w:jc w:val="center"/>
      <w:outlineLvl w:val="1"/>
    </w:pPr>
    <w:rPr>
      <w:rFonts w:eastAsia="黑体"/>
      <w:b/>
      <w:sz w:val="30"/>
      <w:szCs w:val="30"/>
    </w:rPr>
  </w:style>
  <w:style w:type="paragraph" w:customStyle="1" w:styleId="223">
    <w:name w:val="Char Char Char1 Char"/>
    <w:basedOn w:val="16"/>
    <w:qFormat/>
    <w:uiPriority w:val="0"/>
    <w:rPr>
      <w:rFonts w:ascii="Tahoma" w:hAnsi="Tahoma"/>
      <w:sz w:val="24"/>
      <w:szCs w:val="24"/>
    </w:rPr>
  </w:style>
  <w:style w:type="paragraph" w:customStyle="1" w:styleId="224">
    <w:name w:val="Normal"/>
    <w:qFormat/>
    <w:uiPriority w:val="0"/>
    <w:rPr>
      <w:rFonts w:ascii="Times New Roman" w:hAnsi="Times New Roman" w:eastAsia="Times New Roman" w:cs="Times New Roman"/>
      <w:sz w:val="24"/>
      <w:szCs w:val="24"/>
      <w:lang w:val="en-US" w:eastAsia="zh-CN" w:bidi="ar-SA"/>
    </w:rPr>
  </w:style>
  <w:style w:type="paragraph" w:customStyle="1" w:styleId="225">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6">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8">
    <w:name w:val="列表项目符号 21"/>
    <w:basedOn w:val="229"/>
    <w:qFormat/>
    <w:uiPriority w:val="0"/>
    <w:pPr>
      <w:widowControl/>
      <w:tabs>
        <w:tab w:val="left" w:pos="360"/>
      </w:tabs>
      <w:spacing w:after="220" w:line="220" w:lineRule="atLeast"/>
      <w:ind w:left="360" w:right="720"/>
      <w:jc w:val="left"/>
    </w:pPr>
  </w:style>
  <w:style w:type="paragraph" w:customStyle="1" w:styleId="229">
    <w:name w:val="列表项目符号1"/>
    <w:basedOn w:val="1"/>
    <w:qFormat/>
    <w:uiPriority w:val="0"/>
    <w:pPr>
      <w:tabs>
        <w:tab w:val="left" w:pos="360"/>
      </w:tabs>
      <w:suppressAutoHyphens/>
    </w:pPr>
    <w:rPr>
      <w:rFonts w:ascii="Times New Roman"/>
      <w:szCs w:val="20"/>
      <w:lang w:eastAsia="ar-SA"/>
    </w:rPr>
  </w:style>
  <w:style w:type="paragraph" w:customStyle="1" w:styleId="230">
    <w:name w:val="纯文本 New"/>
    <w:basedOn w:val="216"/>
    <w:qFormat/>
    <w:uiPriority w:val="0"/>
    <w:rPr>
      <w:rFonts w:ascii="宋体" w:hAnsi="Courier New" w:eastAsia="宋体"/>
      <w:kern w:val="2"/>
      <w:sz w:val="24"/>
    </w:rPr>
  </w:style>
  <w:style w:type="paragraph" w:customStyle="1" w:styleId="231">
    <w:name w:val="_Style 229"/>
    <w:basedOn w:val="3"/>
    <w:next w:val="1"/>
    <w:qFormat/>
    <w:uiPriority w:val="0"/>
    <w:pPr>
      <w:widowControl/>
      <w:spacing w:before="480" w:after="0" w:line="276" w:lineRule="auto"/>
      <w:outlineLvl w:val="9"/>
    </w:pPr>
    <w:rPr>
      <w:rFonts w:ascii="Cambria" w:hAnsi="Cambria"/>
      <w:color w:val="365F91"/>
      <w:kern w:val="0"/>
    </w:rPr>
  </w:style>
  <w:style w:type="paragraph" w:customStyle="1" w:styleId="232">
    <w:name w:val="正题"/>
    <w:basedOn w:val="101"/>
    <w:next w:val="101"/>
    <w:qFormat/>
    <w:uiPriority w:val="0"/>
    <w:pPr>
      <w:ind w:firstLine="0" w:firstLineChars="0"/>
      <w:jc w:val="center"/>
    </w:pPr>
    <w:rPr>
      <w:rFonts w:eastAsia="黑体"/>
      <w:b/>
      <w:sz w:val="36"/>
      <w:szCs w:val="36"/>
    </w:rPr>
  </w:style>
  <w:style w:type="paragraph" w:customStyle="1" w:styleId="233">
    <w:name w:val="表格文字"/>
    <w:basedOn w:val="1"/>
    <w:qFormat/>
    <w:uiPriority w:val="0"/>
    <w:pPr>
      <w:adjustRightInd w:val="0"/>
      <w:spacing w:line="420" w:lineRule="atLeast"/>
      <w:jc w:val="left"/>
    </w:pPr>
    <w:rPr>
      <w:rFonts w:ascii="Times New Roman"/>
      <w:kern w:val="0"/>
      <w:szCs w:val="20"/>
    </w:rPr>
  </w:style>
  <w:style w:type="paragraph" w:customStyle="1" w:styleId="234">
    <w:name w:val="正文文本缩进 31"/>
    <w:basedOn w:val="1"/>
    <w:qFormat/>
    <w:uiPriority w:val="0"/>
    <w:pPr>
      <w:suppressAutoHyphens/>
      <w:spacing w:after="120"/>
      <w:ind w:left="420"/>
    </w:pPr>
    <w:rPr>
      <w:rFonts w:ascii="Times New Roman"/>
      <w:sz w:val="16"/>
      <w:szCs w:val="20"/>
      <w:lang w:eastAsia="ar-SA"/>
    </w:rPr>
  </w:style>
  <w:style w:type="paragraph" w:customStyle="1" w:styleId="235">
    <w:name w:val="正文缩进_0"/>
    <w:basedOn w:val="236"/>
    <w:qFormat/>
    <w:uiPriority w:val="0"/>
    <w:pPr>
      <w:ind w:firstLine="420"/>
    </w:pPr>
  </w:style>
  <w:style w:type="paragraph" w:customStyle="1" w:styleId="236">
    <w:name w:val="正文_0"/>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37">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9">
    <w:name w:val="样式1"/>
    <w:basedOn w:val="6"/>
    <w:qFormat/>
    <w:uiPriority w:val="0"/>
    <w:pPr>
      <w:keepNext/>
      <w:keepLines/>
      <w:widowControl w:val="0"/>
      <w:spacing w:before="260" w:beforeAutospacing="0" w:after="260" w:afterAutospacing="0" w:line="412" w:lineRule="auto"/>
      <w:jc w:val="both"/>
    </w:pPr>
    <w:rPr>
      <w:rFonts w:ascii="Calibri" w:hAnsi="Calibri" w:eastAsia="Arial" w:cs="Times New Roman"/>
      <w:b/>
      <w:kern w:val="2"/>
      <w:sz w:val="32"/>
      <w:szCs w:val="22"/>
    </w:rPr>
  </w:style>
  <w:style w:type="paragraph" w:customStyle="1" w:styleId="240">
    <w:name w:val=" Char"/>
    <w:basedOn w:val="1"/>
    <w:qFormat/>
    <w:uiPriority w:val="0"/>
    <w:pPr>
      <w:numPr>
        <w:ilvl w:val="0"/>
        <w:numId w:val="1"/>
      </w:numPr>
      <w:tabs>
        <w:tab w:val="left" w:pos="1500"/>
      </w:tabs>
    </w:pPr>
    <w:rPr>
      <w:rFonts w:ascii="Times New Roman"/>
      <w:sz w:val="24"/>
      <w:szCs w:val="24"/>
    </w:rPr>
  </w:style>
  <w:style w:type="paragraph" w:customStyle="1" w:styleId="241">
    <w:name w:val="正文文本 New"/>
    <w:basedOn w:val="216"/>
    <w:qFormat/>
    <w:uiPriority w:val="0"/>
    <w:pPr>
      <w:spacing w:after="120"/>
    </w:pPr>
    <w:rPr>
      <w:rFonts w:eastAsia="宋体"/>
      <w:kern w:val="2"/>
      <w:sz w:val="30"/>
      <w:szCs w:val="24"/>
    </w:rPr>
  </w:style>
  <w:style w:type="paragraph" w:customStyle="1" w:styleId="242">
    <w:name w:val="样式 正文缩进正文（首行缩进两字）特点ALT+Z表正文正文非缩进四号段1Normal Indent Char2...1"/>
    <w:basedOn w:val="4"/>
    <w:qFormat/>
    <w:uiPriority w:val="0"/>
    <w:pPr>
      <w:numPr>
        <w:ilvl w:val="0"/>
        <w:numId w:val="0"/>
      </w:numPr>
      <w:tabs>
        <w:tab w:val="left" w:pos="1260"/>
      </w:tabs>
      <w:spacing w:before="1320" w:after="240" w:line="300" w:lineRule="auto"/>
      <w:ind w:left="1260" w:hanging="420"/>
    </w:pPr>
    <w:rPr>
      <w:rFonts w:hint="eastAsia" w:ascii="黑体" w:hAnsi="黑体" w:eastAsia="黑体"/>
      <w:b w:val="0"/>
      <w:color w:val="auto"/>
      <w:kern w:val="0"/>
      <w:szCs w:val="20"/>
    </w:rPr>
  </w:style>
  <w:style w:type="paragraph" w:customStyle="1" w:styleId="243">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styleId="245">
    <w:name w:val="List Paragraph"/>
    <w:basedOn w:val="1"/>
    <w:qFormat/>
    <w:uiPriority w:val="34"/>
    <w:pPr>
      <w:ind w:firstLine="420" w:firstLineChars="200"/>
    </w:pPr>
    <w:rPr>
      <w:rFonts w:ascii="Times New Roman" w:hAnsi="Times New Roman"/>
      <w:szCs w:val="20"/>
    </w:rPr>
  </w:style>
  <w:style w:type="paragraph" w:customStyle="1" w:styleId="246">
    <w:name w:val="Normal Indent"/>
    <w:basedOn w:val="1"/>
    <w:qFormat/>
    <w:uiPriority w:val="0"/>
    <w:pPr>
      <w:ind w:firstLine="420" w:firstLineChars="200"/>
    </w:pPr>
    <w:rPr>
      <w:rFonts w:ascii="Times New Roman"/>
      <w:sz w:val="30"/>
      <w:szCs w:val="24"/>
    </w:rPr>
  </w:style>
  <w:style w:type="paragraph" w:customStyle="1" w:styleId="247">
    <w:name w:val="Normal_3"/>
    <w:qFormat/>
    <w:uiPriority w:val="0"/>
    <w:rPr>
      <w:rFonts w:ascii="Times New Roman" w:hAnsi="Times New Roman" w:eastAsia="Times New Roman" w:cs="Times New Roman"/>
      <w:sz w:val="24"/>
      <w:szCs w:val="24"/>
      <w:lang w:val="en-US" w:eastAsia="zh-CN" w:bidi="ar-SA"/>
    </w:rPr>
  </w:style>
  <w:style w:type="paragraph" w:customStyle="1" w:styleId="248">
    <w:name w:val="正文_1"/>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9">
    <w:name w:val="Char1 Char Char Char Char Char Char1 Char Char Char"/>
    <w:basedOn w:val="1"/>
    <w:qFormat/>
    <w:uiPriority w:val="0"/>
    <w:rPr>
      <w:rFonts w:ascii="Times New Roman"/>
      <w:sz w:val="30"/>
      <w:szCs w:val="24"/>
    </w:rPr>
  </w:style>
  <w:style w:type="paragraph" w:customStyle="1" w:styleId="250">
    <w:name w:val="样式 标题 1 + 宋体 居中 段前: 48 磅 段后: 12 磅 行距: 1.5 倍行距"/>
    <w:basedOn w:val="3"/>
    <w:qFormat/>
    <w:uiPriority w:val="0"/>
    <w:pPr>
      <w:snapToGrid w:val="0"/>
      <w:spacing w:before="1560" w:after="240"/>
      <w:jc w:val="center"/>
    </w:pPr>
    <w:rPr>
      <w:rFonts w:ascii="宋体" w:hAnsi="宋体"/>
      <w:b/>
      <w:bCs/>
      <w:kern w:val="2"/>
      <w:sz w:val="36"/>
      <w:szCs w:val="20"/>
    </w:rPr>
  </w:style>
  <w:style w:type="paragraph" w:customStyle="1" w:styleId="251">
    <w:name w:val="内容目录 10"/>
    <w:basedOn w:val="252"/>
    <w:qFormat/>
    <w:uiPriority w:val="0"/>
    <w:pPr>
      <w:tabs>
        <w:tab w:val="right" w:leader="dot" w:pos="9637"/>
      </w:tabs>
      <w:ind w:left="2547"/>
    </w:pPr>
  </w:style>
  <w:style w:type="paragraph" w:customStyle="1" w:styleId="252">
    <w:name w:val="目录"/>
    <w:basedOn w:val="1"/>
    <w:qFormat/>
    <w:uiPriority w:val="0"/>
    <w:pPr>
      <w:suppressLineNumbers/>
      <w:suppressAutoHyphens/>
    </w:pPr>
    <w:rPr>
      <w:rFonts w:ascii="Times New Roman"/>
      <w:szCs w:val="20"/>
      <w:lang w:eastAsia="ar-SA"/>
    </w:rPr>
  </w:style>
  <w:style w:type="paragraph" w:customStyle="1" w:styleId="253">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54">
    <w:name w:val="Char2 Char Char Char"/>
    <w:basedOn w:val="1"/>
    <w:qFormat/>
    <w:uiPriority w:val="0"/>
    <w:pPr>
      <w:tabs>
        <w:tab w:val="left" w:pos="1350"/>
      </w:tabs>
      <w:ind w:left="1350" w:hanging="720"/>
    </w:pPr>
    <w:rPr>
      <w:rFonts w:ascii="Times New Roman"/>
      <w:sz w:val="24"/>
      <w:szCs w:val="24"/>
    </w:rPr>
  </w:style>
  <w:style w:type="paragraph" w:customStyle="1" w:styleId="255">
    <w:name w:val="目录文字"/>
    <w:basedOn w:val="1"/>
    <w:qFormat/>
    <w:uiPriority w:val="0"/>
    <w:pPr>
      <w:widowControl/>
      <w:spacing w:line="480" w:lineRule="auto"/>
      <w:jc w:val="left"/>
    </w:pPr>
    <w:rPr>
      <w:rFonts w:ascii="宋体" w:hAnsi="宋体"/>
      <w:kern w:val="0"/>
      <w:sz w:val="24"/>
      <w:szCs w:val="20"/>
    </w:rPr>
  </w:style>
  <w:style w:type="paragraph" w:customStyle="1" w:styleId="256">
    <w:name w:val="Char Char Char Char"/>
    <w:basedOn w:val="1"/>
    <w:qFormat/>
    <w:uiPriority w:val="0"/>
    <w:rPr>
      <w:rFonts w:ascii="Times New Roman" w:hAnsi="Times New Roman"/>
      <w:sz w:val="30"/>
      <w:szCs w:val="24"/>
    </w:rPr>
  </w:style>
  <w:style w:type="paragraph" w:customStyle="1" w:styleId="257">
    <w:name w:val="1"/>
    <w:basedOn w:val="1"/>
    <w:next w:val="1"/>
    <w:qFormat/>
    <w:uiPriority w:val="0"/>
    <w:rPr>
      <w:rFonts w:ascii="Times New Roman"/>
    </w:rPr>
  </w:style>
  <w:style w:type="paragraph" w:customStyle="1" w:styleId="258">
    <w:name w:val="Normal_1"/>
    <w:qFormat/>
    <w:uiPriority w:val="0"/>
    <w:rPr>
      <w:rFonts w:ascii="Times New Roman" w:hAnsi="Times New Roman" w:eastAsia="Times New Roman" w:cs="Times New Roman"/>
      <w:sz w:val="24"/>
      <w:szCs w:val="24"/>
      <w:lang w:val="en-US" w:eastAsia="zh-CN" w:bidi="ar-SA"/>
    </w:rPr>
  </w:style>
  <w:style w:type="paragraph" w:customStyle="1" w:styleId="25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0">
    <w:name w:val="日期1"/>
    <w:basedOn w:val="1"/>
    <w:next w:val="1"/>
    <w:qFormat/>
    <w:uiPriority w:val="0"/>
    <w:pPr>
      <w:suppressAutoHyphens/>
      <w:ind w:left="100"/>
    </w:pPr>
    <w:rPr>
      <w:rFonts w:ascii="Times New Roman"/>
      <w:szCs w:val="20"/>
      <w:lang w:eastAsia="ar-SA"/>
    </w:rPr>
  </w:style>
  <w:style w:type="paragraph" w:customStyle="1" w:styleId="261">
    <w:name w:val="Body Text Indent 3"/>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262">
    <w:name w:val="章节三"/>
    <w:basedOn w:val="101"/>
    <w:next w:val="101"/>
    <w:qFormat/>
    <w:uiPriority w:val="0"/>
    <w:pPr>
      <w:spacing w:before="156" w:beforeLines="50" w:line="240" w:lineRule="auto"/>
      <w:ind w:firstLine="0" w:firstLineChars="0"/>
      <w:jc w:val="left"/>
      <w:outlineLvl w:val="2"/>
    </w:pPr>
    <w:rPr>
      <w:rFonts w:ascii="黑体" w:eastAsia="黑体"/>
      <w:b/>
    </w:rPr>
  </w:style>
  <w:style w:type="paragraph" w:customStyle="1" w:styleId="263">
    <w:name w:val="Char5 Char Char Char Char Char Char Char Char Char Char Char Char Char Char Char Char Char Char Char Char1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4">
    <w:name w:val="访问过的超链接1"/>
    <w:basedOn w:val="1"/>
    <w:qFormat/>
    <w:uiPriority w:val="0"/>
    <w:rPr>
      <w:rFonts w:ascii="仿宋_GB2312"/>
      <w:szCs w:val="32"/>
    </w:rPr>
  </w:style>
  <w:style w:type="paragraph" w:customStyle="1" w:styleId="265">
    <w:name w:val="_Style 263"/>
    <w:qFormat/>
    <w:uiPriority w:val="0"/>
    <w:rPr>
      <w:rFonts w:ascii="Times New Roman" w:hAnsi="Times New Roman" w:eastAsia="宋体" w:cs="Times New Roman"/>
      <w:kern w:val="2"/>
      <w:sz w:val="21"/>
      <w:lang w:val="en-US" w:eastAsia="zh-CN" w:bidi="ar-SA"/>
    </w:rPr>
  </w:style>
  <w:style w:type="paragraph" w:customStyle="1" w:styleId="266">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26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8">
    <w:name w:val="普通(网站)1"/>
    <w:basedOn w:val="1"/>
    <w:qFormat/>
    <w:uiPriority w:val="0"/>
    <w:pPr>
      <w:widowControl/>
      <w:suppressAutoHyphens/>
      <w:spacing w:before="284" w:after="280" w:line="360" w:lineRule="auto"/>
      <w:jc w:val="left"/>
    </w:pPr>
    <w:rPr>
      <w:rFonts w:ascii="宋体" w:hAnsi="宋体"/>
      <w:sz w:val="24"/>
      <w:szCs w:val="20"/>
      <w:lang w:eastAsia="ar-SA"/>
    </w:rPr>
  </w:style>
  <w:style w:type="paragraph" w:customStyle="1" w:styleId="269">
    <w:name w:val="Body Text Indent 2"/>
    <w:basedOn w:val="1"/>
    <w:qFormat/>
    <w:uiPriority w:val="0"/>
    <w:pPr>
      <w:spacing w:line="420" w:lineRule="exact"/>
      <w:ind w:firstLine="480"/>
    </w:pPr>
    <w:rPr>
      <w:rFonts w:ascii="Times New Roman"/>
      <w:b/>
      <w:sz w:val="24"/>
      <w:szCs w:val="20"/>
    </w:rPr>
  </w:style>
  <w:style w:type="paragraph" w:customStyle="1" w:styleId="270">
    <w:name w:val="Document Map"/>
    <w:basedOn w:val="1"/>
    <w:qFormat/>
    <w:uiPriority w:val="0"/>
    <w:pPr>
      <w:shd w:val="clear" w:color="auto" w:fill="000080"/>
    </w:pPr>
    <w:rPr>
      <w:rFonts w:ascii="Times New Roman"/>
      <w:sz w:val="30"/>
      <w:szCs w:val="24"/>
    </w:rPr>
  </w:style>
  <w:style w:type="paragraph" w:customStyle="1" w:styleId="271">
    <w:name w:val="Char13 Char Char Char Char Char"/>
    <w:basedOn w:val="1"/>
    <w:qFormat/>
    <w:uiPriority w:val="0"/>
    <w:pPr>
      <w:ind w:left="567" w:hanging="279"/>
    </w:pPr>
    <w:rPr>
      <w:rFonts w:ascii="Times New Roman"/>
      <w:kern w:val="0"/>
      <w:sz w:val="20"/>
      <w:szCs w:val="20"/>
    </w:rPr>
  </w:style>
  <w:style w:type="paragraph" w:customStyle="1" w:styleId="272">
    <w:name w:val="Body Text First Indent"/>
    <w:basedOn w:val="19"/>
    <w:qFormat/>
    <w:uiPriority w:val="0"/>
    <w:pPr>
      <w:ind w:firstLine="420" w:firstLineChars="100"/>
    </w:pPr>
    <w:rPr>
      <w:rFonts w:hAnsi="Calibri"/>
      <w:sz w:val="30"/>
      <w:szCs w:val="24"/>
    </w:rPr>
  </w:style>
  <w:style w:type="paragraph" w:customStyle="1" w:styleId="273">
    <w:name w:val="标题1"/>
    <w:basedOn w:val="1"/>
    <w:next w:val="19"/>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274">
    <w:name w:val="Body Text Indent"/>
    <w:basedOn w:val="1"/>
    <w:qFormat/>
    <w:uiPriority w:val="0"/>
    <w:pPr>
      <w:ind w:firstLine="480"/>
    </w:pPr>
    <w:rPr>
      <w:rFonts w:ascii="Times New Roman"/>
      <w:sz w:val="24"/>
      <w:szCs w:val="20"/>
    </w:rPr>
  </w:style>
  <w:style w:type="paragraph" w:customStyle="1" w:styleId="275">
    <w:name w:val="标题 3_0"/>
    <w:basedOn w:val="236"/>
    <w:next w:val="235"/>
    <w:qFormat/>
    <w:uiPriority w:val="0"/>
    <w:pPr>
      <w:keepNext/>
      <w:keepLines/>
      <w:spacing w:line="360" w:lineRule="auto"/>
      <w:jc w:val="center"/>
      <w:outlineLvl w:val="2"/>
    </w:pPr>
    <w:rPr>
      <w:rFonts w:ascii="仿宋_GB2312" w:hAnsi="宋体" w:eastAsia="仿宋_GB2312" w:cs="宋体"/>
      <w:b/>
      <w:sz w:val="30"/>
      <w:szCs w:val="3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77">
    <w:name w:val="6'"/>
    <w:basedOn w:val="1"/>
    <w:qFormat/>
    <w:uiPriority w:val="0"/>
    <w:pPr>
      <w:autoSpaceDE w:val="0"/>
      <w:autoSpaceDN w:val="0"/>
      <w:adjustRightInd w:val="0"/>
      <w:snapToGrid w:val="0"/>
      <w:spacing w:line="320" w:lineRule="exact"/>
      <w:jc w:val="center"/>
    </w:pPr>
    <w:rPr>
      <w:rFonts w:ascii="Times New Roman"/>
      <w:spacing w:val="20"/>
      <w:kern w:val="28"/>
      <w:szCs w:val="20"/>
    </w:rPr>
  </w:style>
  <w:style w:type="paragraph" w:customStyle="1" w:styleId="278">
    <w:name w:val="尾注文本 New"/>
    <w:basedOn w:val="279"/>
    <w:qFormat/>
    <w:uiPriority w:val="0"/>
    <w:pPr>
      <w:snapToGrid w:val="0"/>
      <w:jc w:val="left"/>
    </w:pPr>
    <w:rPr>
      <w:rFonts w:ascii="宋体" w:hAnsi="宋体" w:eastAsia="宋体"/>
      <w:szCs w:val="24"/>
    </w:rPr>
  </w:style>
  <w:style w:type="paragraph" w:customStyle="1" w:styleId="279">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0">
    <w:name w:val="文提"/>
    <w:basedOn w:val="101"/>
    <w:qFormat/>
    <w:uiPriority w:val="0"/>
    <w:pPr>
      <w:ind w:firstLine="0" w:firstLineChars="0"/>
    </w:pPr>
    <w:rPr>
      <w:rFonts w:eastAsia="黑体" w:cs="宋体"/>
      <w:b/>
    </w:rPr>
  </w:style>
  <w:style w:type="paragraph" w:customStyle="1" w:styleId="281">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2">
    <w:name w:val="2"/>
    <w:next w:val="264"/>
    <w:qFormat/>
    <w:uiPriority w:val="0"/>
    <w:pPr>
      <w:widowControl w:val="0"/>
      <w:jc w:val="both"/>
    </w:pPr>
    <w:rPr>
      <w:rFonts w:ascii="仿宋_GB2312" w:hAnsi="Times New Roman" w:eastAsia="宋体" w:cs="Times New Roman"/>
      <w:kern w:val="2"/>
      <w:sz w:val="21"/>
      <w:szCs w:val="32"/>
      <w:lang w:val="en-US" w:eastAsia="zh-CN" w:bidi="ar-SA"/>
    </w:rPr>
  </w:style>
  <w:style w:type="paragraph" w:customStyle="1" w:styleId="283">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84">
    <w:name w:val="样式 正文缩进正文（首行缩进两字）特点ALT+Z表正文正文非缩进四号段1Normal Indent Char2...2"/>
    <w:basedOn w:val="6"/>
    <w:qFormat/>
    <w:uiPriority w:val="0"/>
    <w:pPr>
      <w:keepNext/>
      <w:keepLines/>
      <w:widowControl w:val="0"/>
      <w:tabs>
        <w:tab w:val="left" w:pos="1680"/>
      </w:tabs>
      <w:spacing w:before="360" w:beforeAutospacing="0" w:after="120" w:afterAutospacing="0" w:line="360" w:lineRule="auto"/>
      <w:ind w:left="1680" w:hanging="420"/>
      <w:jc w:val="center"/>
    </w:pPr>
    <w:rPr>
      <w:rFonts w:cs="Times New Roman"/>
      <w:b/>
      <w:bCs/>
      <w:sz w:val="28"/>
      <w:szCs w:val="20"/>
    </w:rPr>
  </w:style>
  <w:style w:type="paragraph" w:customStyle="1" w:styleId="285">
    <w:name w:val="批注文字1"/>
    <w:basedOn w:val="1"/>
    <w:qFormat/>
    <w:uiPriority w:val="0"/>
    <w:pPr>
      <w:suppressAutoHyphens/>
      <w:jc w:val="left"/>
    </w:pPr>
    <w:rPr>
      <w:rFonts w:ascii="Times New Roman"/>
      <w:szCs w:val="20"/>
      <w:lang w:eastAsia="ar-SA"/>
    </w:rPr>
  </w:style>
  <w:style w:type="paragraph" w:customStyle="1" w:styleId="286">
    <w:name w:val=" Char Char Char Char"/>
    <w:basedOn w:val="1"/>
    <w:qFormat/>
    <w:uiPriority w:val="0"/>
    <w:pPr>
      <w:widowControl/>
      <w:spacing w:after="160" w:line="240" w:lineRule="exact"/>
      <w:jc w:val="left"/>
    </w:pPr>
    <w:rPr>
      <w:rFonts w:ascii="Times New Roman"/>
      <w:szCs w:val="20"/>
    </w:rPr>
  </w:style>
  <w:style w:type="paragraph" w:customStyle="1" w:styleId="287">
    <w:name w:val="样式 标题 2 + Times New Roman 四号 非加粗 段前: 5 磅 段后: 0 磅 行距: 固定值 20..."/>
    <w:basedOn w:val="4"/>
    <w:qFormat/>
    <w:uiPriority w:val="0"/>
    <w:pPr>
      <w:numPr>
        <w:ilvl w:val="0"/>
        <w:numId w:val="0"/>
      </w:numPr>
      <w:spacing w:before="100" w:after="0" w:line="400" w:lineRule="exact"/>
      <w:jc w:val="both"/>
    </w:pPr>
    <w:rPr>
      <w:rFonts w:hint="eastAsia" w:ascii="Times New Roman" w:hAnsi="Times New Roman" w:eastAsia="黑体" w:cs="宋体"/>
      <w:color w:val="auto"/>
      <w:kern w:val="0"/>
      <w:sz w:val="28"/>
      <w:szCs w:val="20"/>
    </w:rPr>
  </w:style>
  <w:style w:type="paragraph" w:customStyle="1" w:styleId="288">
    <w:name w:val="msolistparagraph"/>
    <w:basedOn w:val="1"/>
    <w:qFormat/>
    <w:uiPriority w:val="0"/>
    <w:pPr>
      <w:ind w:firstLine="420" w:firstLineChars="200"/>
    </w:pPr>
    <w:rPr>
      <w:rFonts w:ascii="Times New Roman"/>
    </w:rPr>
  </w:style>
  <w:style w:type="paragraph" w:customStyle="1" w:styleId="289">
    <w:name w:val=" Char Char Char1 Char"/>
    <w:basedOn w:val="1"/>
    <w:qFormat/>
    <w:uiPriority w:val="0"/>
    <w:rPr>
      <w:rFonts w:ascii="宋体"/>
      <w:kern w:val="0"/>
      <w:sz w:val="34"/>
      <w:szCs w:val="20"/>
    </w:rPr>
  </w:style>
  <w:style w:type="paragraph" w:customStyle="1" w:styleId="290">
    <w:name w:val="Address"/>
    <w:basedOn w:val="1"/>
    <w:next w:val="1"/>
    <w:qFormat/>
    <w:uiPriority w:val="0"/>
    <w:pPr>
      <w:widowControl/>
      <w:autoSpaceDE w:val="0"/>
      <w:autoSpaceDN w:val="0"/>
      <w:adjustRightInd w:val="0"/>
      <w:jc w:val="left"/>
    </w:pPr>
    <w:rPr>
      <w:rFonts w:ascii="Times New Roman"/>
      <w:i/>
      <w:kern w:val="0"/>
      <w:sz w:val="24"/>
      <w:szCs w:val="20"/>
    </w:rPr>
  </w:style>
  <w:style w:type="paragraph" w:customStyle="1" w:styleId="291">
    <w:name w:val="页脚 New New"/>
    <w:basedOn w:val="292"/>
    <w:qFormat/>
    <w:uiPriority w:val="0"/>
    <w:pPr>
      <w:tabs>
        <w:tab w:val="center" w:pos="4153"/>
        <w:tab w:val="right" w:pos="8306"/>
      </w:tabs>
      <w:snapToGrid w:val="0"/>
      <w:jc w:val="left"/>
    </w:pPr>
    <w:rPr>
      <w:sz w:val="18"/>
    </w:rPr>
  </w:style>
  <w:style w:type="paragraph" w:customStyle="1" w:styleId="292">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3">
    <w:name w:val="表格"/>
    <w:basedOn w:val="1"/>
    <w:qFormat/>
    <w:uiPriority w:val="0"/>
    <w:pPr>
      <w:jc w:val="center"/>
    </w:pPr>
    <w:rPr>
      <w:rFonts w:ascii="华文细黑" w:hAnsi="华文细黑"/>
      <w:kern w:val="0"/>
      <w:szCs w:val="20"/>
    </w:rPr>
  </w:style>
  <w:style w:type="paragraph" w:customStyle="1" w:styleId="294">
    <w:name w:val="页眉 New New"/>
    <w:basedOn w:val="292"/>
    <w:qFormat/>
    <w:uiPriority w:val="0"/>
    <w:pPr>
      <w:pBdr>
        <w:bottom w:val="single" w:color="auto" w:sz="6" w:space="1"/>
      </w:pBdr>
      <w:tabs>
        <w:tab w:val="center" w:pos="4153"/>
        <w:tab w:val="right" w:pos="8306"/>
      </w:tabs>
      <w:snapToGrid w:val="0"/>
      <w:jc w:val="center"/>
    </w:pPr>
    <w:rPr>
      <w:sz w:val="18"/>
    </w:rPr>
  </w:style>
  <w:style w:type="paragraph" w:customStyle="1" w:styleId="295">
    <w:name w:val="样式2"/>
    <w:basedOn w:val="6"/>
    <w:qFormat/>
    <w:uiPriority w:val="0"/>
    <w:pPr>
      <w:keepNext/>
      <w:keepLines/>
      <w:widowControl w:val="0"/>
      <w:spacing w:before="260" w:beforeAutospacing="0" w:after="260" w:afterAutospacing="0" w:line="412" w:lineRule="auto"/>
      <w:jc w:val="both"/>
    </w:pPr>
    <w:rPr>
      <w:rFonts w:ascii="Calibri" w:hAnsi="Calibri" w:cs="Times New Roman"/>
      <w:b/>
      <w:kern w:val="2"/>
      <w:sz w:val="32"/>
      <w:szCs w:val="22"/>
    </w:rPr>
  </w:style>
  <w:style w:type="paragraph" w:customStyle="1" w:styleId="296">
    <w:name w:val="Plain Text"/>
    <w:basedOn w:val="1"/>
    <w:qFormat/>
    <w:uiPriority w:val="0"/>
    <w:rPr>
      <w:rFonts w:ascii="宋体" w:hAnsi="Courier New"/>
      <w:sz w:val="24"/>
      <w:szCs w:val="20"/>
    </w:rPr>
  </w:style>
  <w:style w:type="paragraph" w:customStyle="1" w:styleId="297">
    <w:name w:val="方框图"/>
    <w:basedOn w:val="1"/>
    <w:qFormat/>
    <w:uiPriority w:val="0"/>
    <w:pPr>
      <w:jc w:val="center"/>
    </w:pPr>
    <w:rPr>
      <w:rFonts w:ascii="Times New Roman"/>
      <w:bCs/>
      <w:szCs w:val="24"/>
    </w:rPr>
  </w:style>
  <w:style w:type="paragraph" w:customStyle="1" w:styleId="298">
    <w:name w:val="样式 标题 1 + 黑体 三号 非加粗 居中 段前: 6 磅 段后: 6 磅 行距: 固定值 20 磅"/>
    <w:basedOn w:val="3"/>
    <w:qFormat/>
    <w:uiPriority w:val="0"/>
    <w:pPr>
      <w:spacing w:line="400" w:lineRule="exact"/>
      <w:jc w:val="center"/>
    </w:pPr>
    <w:rPr>
      <w:rFonts w:ascii="黑体" w:hAnsi="黑体" w:eastAsia="黑体"/>
      <w:b/>
      <w:bCs/>
      <w:sz w:val="32"/>
      <w:szCs w:val="20"/>
    </w:rPr>
  </w:style>
  <w:style w:type="paragraph" w:customStyle="1" w:styleId="299">
    <w:name w:val="样式3"/>
    <w:basedOn w:val="6"/>
    <w:qFormat/>
    <w:uiPriority w:val="0"/>
    <w:pPr>
      <w:keepNext/>
      <w:keepLines/>
      <w:widowControl w:val="0"/>
      <w:spacing w:before="260" w:beforeAutospacing="0" w:after="260" w:afterAutospacing="0" w:line="412" w:lineRule="auto"/>
      <w:jc w:val="both"/>
    </w:pPr>
    <w:rPr>
      <w:rFonts w:ascii="Calibri" w:hAnsi="Calibri" w:eastAsia="Arial" w:cs="Times New Roman"/>
      <w:b/>
      <w:kern w:val="2"/>
      <w:sz w:val="32"/>
      <w:szCs w:val="22"/>
    </w:rPr>
  </w:style>
  <w:style w:type="paragraph" w:customStyle="1" w:styleId="300">
    <w:name w:val="表格标题"/>
    <w:basedOn w:val="301"/>
    <w:qFormat/>
    <w:uiPriority w:val="0"/>
    <w:pPr>
      <w:jc w:val="center"/>
    </w:pPr>
    <w:rPr>
      <w:b/>
      <w:bCs/>
    </w:rPr>
  </w:style>
  <w:style w:type="paragraph" w:customStyle="1" w:styleId="301">
    <w:name w:val="表格内容"/>
    <w:basedOn w:val="1"/>
    <w:qFormat/>
    <w:uiPriority w:val="0"/>
    <w:pPr>
      <w:suppressLineNumbers/>
      <w:suppressAutoHyphens/>
    </w:pPr>
    <w:rPr>
      <w:rFonts w:ascii="Times New Roman"/>
      <w:szCs w:val="20"/>
      <w:lang w:eastAsia="ar-SA"/>
    </w:rPr>
  </w:style>
  <w:style w:type="paragraph" w:customStyle="1" w:styleId="302">
    <w:name w:val="封二"/>
    <w:basedOn w:val="101"/>
    <w:next w:val="101"/>
    <w:qFormat/>
    <w:uiPriority w:val="0"/>
    <w:pPr>
      <w:ind w:firstLine="0" w:firstLineChars="0"/>
      <w:jc w:val="center"/>
    </w:pPr>
    <w:rPr>
      <w:rFonts w:eastAsia="黑体"/>
      <w:b/>
      <w:sz w:val="36"/>
      <w:szCs w:val="36"/>
    </w:rPr>
  </w:style>
  <w:style w:type="paragraph" w:customStyle="1" w:styleId="303">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4">
    <w:name w:val="Char4 Char Char Char"/>
    <w:basedOn w:val="1"/>
    <w:qFormat/>
    <w:uiPriority w:val="0"/>
    <w:pPr>
      <w:ind w:left="567" w:hanging="279"/>
    </w:pPr>
    <w:rPr>
      <w:rFonts w:ascii="Times New Roman"/>
      <w:sz w:val="24"/>
      <w:szCs w:val="24"/>
    </w:rPr>
  </w:style>
  <w:style w:type="paragraph" w:customStyle="1" w:styleId="305">
    <w:name w:val="正文缩进 New"/>
    <w:basedOn w:val="306"/>
    <w:qFormat/>
    <w:uiPriority w:val="0"/>
    <w:pPr>
      <w:ind w:firstLine="420"/>
    </w:pPr>
    <w:rPr>
      <w:rFonts w:ascii="Times New Roman" w:hAnsi="Times New Roman" w:cs="Times New Roman"/>
      <w:snapToGrid/>
      <w:kern w:val="2"/>
      <w:szCs w:val="20"/>
    </w:rPr>
  </w:style>
  <w:style w:type="paragraph" w:customStyle="1" w:styleId="306">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07">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8">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9">
    <w:name w:val="封四"/>
    <w:basedOn w:val="101"/>
    <w:next w:val="101"/>
    <w:qFormat/>
    <w:uiPriority w:val="0"/>
    <w:pPr>
      <w:jc w:val="left"/>
    </w:pPr>
    <w:rPr>
      <w:sz w:val="30"/>
      <w:szCs w:val="30"/>
    </w:rPr>
  </w:style>
  <w:style w:type="paragraph" w:customStyle="1" w:styleId="310">
    <w:name w:val="Char5 Char Char"/>
    <w:basedOn w:val="1"/>
    <w:qFormat/>
    <w:uiPriority w:val="0"/>
    <w:pPr>
      <w:ind w:left="567" w:hanging="279"/>
    </w:pPr>
    <w:rPr>
      <w:rFonts w:ascii="Times New Roman"/>
      <w:sz w:val="24"/>
      <w:szCs w:val="24"/>
    </w:rPr>
  </w:style>
  <w:style w:type="paragraph" w:customStyle="1" w:styleId="311">
    <w:name w:val="正文文本缩进 New New"/>
    <w:basedOn w:val="1"/>
    <w:qFormat/>
    <w:uiPriority w:val="0"/>
    <w:pPr>
      <w:spacing w:after="120"/>
      <w:ind w:left="420" w:leftChars="200"/>
    </w:pPr>
    <w:rPr>
      <w:rFonts w:ascii="Times New Roman" w:eastAsia="楷体_GB2312"/>
      <w:szCs w:val="20"/>
    </w:rPr>
  </w:style>
  <w:style w:type="paragraph" w:customStyle="1" w:styleId="312">
    <w:name w:val="_Style 7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3">
    <w:name w:val="msonospacing"/>
    <w:qFormat/>
    <w:uiPriority w:val="0"/>
    <w:rPr>
      <w:rFonts w:ascii="Times New Roman" w:hAnsi="Times New Roman" w:eastAsia="Times New Roman" w:cs="Times New Roman"/>
      <w:kern w:val="2"/>
      <w:sz w:val="22"/>
      <w:lang w:val="en-US" w:eastAsia="zh-CN" w:bidi="ar-SA"/>
    </w:rPr>
  </w:style>
  <w:style w:type="paragraph" w:customStyle="1" w:styleId="314">
    <w:name w:val="正文文本缩进 21"/>
    <w:basedOn w:val="1"/>
    <w:qFormat/>
    <w:uiPriority w:val="0"/>
    <w:pPr>
      <w:suppressAutoHyphens/>
      <w:spacing w:after="120" w:line="480" w:lineRule="auto"/>
      <w:ind w:left="420"/>
    </w:pPr>
    <w:rPr>
      <w:rFonts w:ascii="Times New Roman"/>
      <w:szCs w:val="20"/>
      <w:lang w:eastAsia="ar-SA"/>
    </w:rPr>
  </w:style>
  <w:style w:type="paragraph" w:customStyle="1" w:styleId="315">
    <w:name w:val="Normal_0"/>
    <w:qFormat/>
    <w:uiPriority w:val="0"/>
    <w:rPr>
      <w:rFonts w:ascii="Times New Roman" w:hAnsi="Times New Roman" w:eastAsia="Times New Roman" w:cs="Times New Roman"/>
      <w:sz w:val="24"/>
      <w:szCs w:val="24"/>
      <w:lang w:val="en-US" w:eastAsia="zh-CN" w:bidi="ar-SA"/>
    </w:rPr>
  </w:style>
  <w:style w:type="paragraph" w:customStyle="1" w:styleId="316">
    <w:name w:val="公文标题"/>
    <w:basedOn w:val="6"/>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317">
    <w:name w:val="表格文字居中"/>
    <w:basedOn w:val="1"/>
    <w:next w:val="1"/>
    <w:qFormat/>
    <w:uiPriority w:val="0"/>
    <w:pPr>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318">
    <w:name w:val=" Char1 Char Char Char Char Char Char1"/>
    <w:basedOn w:val="1"/>
    <w:qFormat/>
    <w:uiPriority w:val="0"/>
    <w:rPr>
      <w:rFonts w:ascii="Times New Roman"/>
      <w:szCs w:val="20"/>
    </w:rPr>
  </w:style>
  <w:style w:type="paragraph" w:customStyle="1" w:styleId="319">
    <w:name w:val="正文文本 21"/>
    <w:basedOn w:val="1"/>
    <w:qFormat/>
    <w:uiPriority w:val="0"/>
    <w:pPr>
      <w:suppressAutoHyphens/>
    </w:pPr>
    <w:rPr>
      <w:rFonts w:ascii="Times New Roman" w:eastAsia="楷体_GB2312"/>
      <w:b/>
      <w:szCs w:val="20"/>
      <w:lang w:eastAsia="ar-SA"/>
    </w:rPr>
  </w:style>
  <w:style w:type="paragraph" w:customStyle="1" w:styleId="320">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1">
    <w:name w:val="标题 2 New"/>
    <w:basedOn w:val="306"/>
    <w:next w:val="306"/>
    <w:qFormat/>
    <w:uiPriority w:val="0"/>
    <w:pPr>
      <w:keepNext/>
      <w:keepLines/>
      <w:spacing w:before="260" w:after="260" w:line="416" w:lineRule="auto"/>
      <w:outlineLvl w:val="1"/>
    </w:pPr>
    <w:rPr>
      <w:rFonts w:ascii="Arial" w:hAnsi="Arial" w:eastAsia="仿宋_GB2312"/>
      <w:b/>
      <w:bCs/>
      <w:sz w:val="32"/>
    </w:rPr>
  </w:style>
  <w:style w:type="paragraph" w:customStyle="1" w:styleId="322">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3">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4">
    <w:name w:val="正文首行缩进 New"/>
    <w:basedOn w:val="241"/>
    <w:qFormat/>
    <w:uiPriority w:val="0"/>
    <w:pPr>
      <w:ind w:firstLine="420" w:firstLineChars="100"/>
    </w:pPr>
  </w:style>
  <w:style w:type="paragraph" w:customStyle="1" w:styleId="325">
    <w:name w:val="msointensequote"/>
    <w:basedOn w:val="1"/>
    <w:next w:val="1"/>
    <w:qFormat/>
    <w:uiPriority w:val="0"/>
    <w:pPr>
      <w:widowControl/>
      <w:ind w:left="720" w:right="720"/>
      <w:jc w:val="left"/>
    </w:pPr>
    <w:rPr>
      <w:rFonts w:ascii="Times New Roman"/>
      <w:b/>
      <w:i/>
      <w:kern w:val="0"/>
      <w:sz w:val="24"/>
    </w:rPr>
  </w:style>
  <w:style w:type="paragraph" w:customStyle="1" w:styleId="326">
    <w:name w:val="Char1 Char Char Char Char Char Char1"/>
    <w:basedOn w:val="253"/>
    <w:qFormat/>
    <w:uiPriority w:val="0"/>
  </w:style>
  <w:style w:type="paragraph" w:customStyle="1" w:styleId="327">
    <w:name w:val="封一"/>
    <w:basedOn w:val="101"/>
    <w:next w:val="101"/>
    <w:qFormat/>
    <w:uiPriority w:val="0"/>
    <w:pPr>
      <w:ind w:firstLine="0" w:firstLineChars="0"/>
      <w:jc w:val="center"/>
    </w:pPr>
    <w:rPr>
      <w:rFonts w:eastAsia="黑体"/>
      <w:b/>
      <w:sz w:val="84"/>
      <w:szCs w:val="84"/>
    </w:rPr>
  </w:style>
  <w:style w:type="paragraph" w:customStyle="1" w:styleId="32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9">
    <w:name w:val="页脚 New"/>
    <w:basedOn w:val="330"/>
    <w:qFormat/>
    <w:uiPriority w:val="0"/>
    <w:pPr>
      <w:tabs>
        <w:tab w:val="center" w:pos="4153"/>
        <w:tab w:val="right" w:pos="8306"/>
      </w:tabs>
      <w:snapToGrid w:val="0"/>
      <w:jc w:val="left"/>
    </w:pPr>
    <w:rPr>
      <w:sz w:val="18"/>
    </w:rPr>
  </w:style>
  <w:style w:type="paragraph" w:customStyle="1" w:styleId="330">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1">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2">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334">
    <w:name w:val="样式4"/>
    <w:basedOn w:val="6"/>
    <w:qFormat/>
    <w:uiPriority w:val="0"/>
    <w:pPr>
      <w:keepNext/>
      <w:keepLines/>
      <w:widowControl w:val="0"/>
      <w:spacing w:before="260" w:beforeAutospacing="0" w:after="260" w:afterAutospacing="0" w:line="412" w:lineRule="auto"/>
      <w:jc w:val="both"/>
    </w:pPr>
    <w:rPr>
      <w:rFonts w:ascii="Calibri" w:hAnsi="Calibri" w:eastAsia="Arial" w:cs="Times New Roman"/>
      <w:b/>
      <w:kern w:val="2"/>
      <w:sz w:val="32"/>
      <w:szCs w:val="22"/>
    </w:rPr>
  </w:style>
  <w:style w:type="paragraph" w:customStyle="1" w:styleId="335">
    <w:name w:val="目录 1_0"/>
    <w:basedOn w:val="236"/>
    <w:next w:val="236"/>
    <w:qFormat/>
    <w:uiPriority w:val="0"/>
    <w:pPr>
      <w:tabs>
        <w:tab w:val="right" w:leader="dot" w:pos="8493"/>
      </w:tabs>
      <w:adjustRightInd w:val="0"/>
      <w:spacing w:line="360" w:lineRule="auto"/>
      <w:jc w:val="left"/>
    </w:pPr>
    <w:rPr>
      <w:rFonts w:ascii="宋体" w:hAnsi="宋体"/>
      <w:b/>
      <w:caps/>
      <w:kern w:val="0"/>
      <w:sz w:val="24"/>
      <w:szCs w:val="32"/>
    </w:rPr>
  </w:style>
  <w:style w:type="paragraph" w:customStyle="1" w:styleId="336">
    <w:name w:val="样式8"/>
    <w:basedOn w:val="1"/>
    <w:qFormat/>
    <w:uiPriority w:val="0"/>
    <w:pPr>
      <w:keepNext/>
      <w:keepLines/>
      <w:widowControl/>
      <w:spacing w:before="260" w:after="260"/>
      <w:jc w:val="center"/>
      <w:outlineLvl w:val="1"/>
    </w:pPr>
    <w:rPr>
      <w:rFonts w:ascii="Arial" w:hAnsi="Arial" w:eastAsia="黑体"/>
      <w:b/>
      <w:bCs/>
      <w:kern w:val="0"/>
      <w:sz w:val="72"/>
      <w:szCs w:val="32"/>
    </w:rPr>
  </w:style>
  <w:style w:type="paragraph" w:customStyle="1" w:styleId="337">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8">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40">
    <w:name w:val="Char14"/>
    <w:basedOn w:val="16"/>
    <w:qFormat/>
    <w:uiPriority w:val="0"/>
    <w:rPr>
      <w:rFonts w:ascii="Tahoma" w:hAnsi="Tahoma"/>
      <w:sz w:val="24"/>
      <w:szCs w:val="24"/>
      <w:shd w:val="clear" w:color="auto" w:fill="000080"/>
    </w:rPr>
  </w:style>
  <w:style w:type="paragraph" w:customStyle="1" w:styleId="34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默认段落字体 Para Char"/>
    <w:basedOn w:val="1"/>
    <w:qFormat/>
    <w:uiPriority w:val="0"/>
    <w:pPr>
      <w:spacing w:line="360" w:lineRule="auto"/>
      <w:jc w:val="left"/>
    </w:pPr>
    <w:rPr>
      <w:rFonts w:ascii="Times New Roman" w:eastAsia="仿宋_GB2312"/>
      <w:b/>
      <w:sz w:val="32"/>
      <w:szCs w:val="24"/>
    </w:rPr>
  </w:style>
  <w:style w:type="paragraph" w:customStyle="1" w:styleId="343">
    <w:name w:val="样式 标题 3 + (中文) 黑体 小四 非加粗 段前: 7.8 磅 段后: 0 磅 行距: 固定值 20 磅"/>
    <w:basedOn w:val="6"/>
    <w:qFormat/>
    <w:uiPriority w:val="0"/>
    <w:pPr>
      <w:keepNext/>
      <w:keepLines/>
      <w:widowControl w:val="0"/>
      <w:spacing w:before="156" w:beforeLines="50" w:beforeAutospacing="0" w:after="0" w:afterAutospacing="0" w:line="400" w:lineRule="exact"/>
      <w:jc w:val="both"/>
    </w:pPr>
    <w:rPr>
      <w:rFonts w:ascii="Calibri" w:hAnsi="Calibri" w:eastAsia="黑体" w:cs="Times New Roman"/>
      <w:bCs/>
      <w:kern w:val="2"/>
      <w:sz w:val="24"/>
      <w:szCs w:val="20"/>
    </w:rPr>
  </w:style>
  <w:style w:type="paragraph" w:customStyle="1" w:styleId="344">
    <w:name w:val="标签"/>
    <w:basedOn w:val="1"/>
    <w:qFormat/>
    <w:uiPriority w:val="0"/>
    <w:pPr>
      <w:suppressLineNumbers/>
      <w:suppressAutoHyphens/>
      <w:spacing w:before="120" w:after="120"/>
    </w:pPr>
    <w:rPr>
      <w:rFonts w:ascii="Times New Roman"/>
      <w:i/>
      <w:iCs/>
      <w:sz w:val="24"/>
      <w:szCs w:val="24"/>
      <w:lang w:eastAsia="ar-SA"/>
    </w:rPr>
  </w:style>
  <w:style w:type="paragraph" w:customStyle="1" w:styleId="345">
    <w:name w:val="表头"/>
    <w:basedOn w:val="1"/>
    <w:qFormat/>
    <w:uiPriority w:val="0"/>
    <w:pPr>
      <w:spacing w:line="360" w:lineRule="auto"/>
      <w:jc w:val="center"/>
    </w:pPr>
    <w:rPr>
      <w:rFonts w:ascii="黑体" w:hAnsi="Times New Roman" w:eastAsia="黑体"/>
      <w:kern w:val="0"/>
      <w:sz w:val="24"/>
      <w:szCs w:val="20"/>
    </w:rPr>
  </w:style>
  <w:style w:type="paragraph" w:customStyle="1" w:styleId="34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47">
    <w:name w:val="公文抬头"/>
    <w:basedOn w:val="5"/>
    <w:qFormat/>
    <w:uiPriority w:val="0"/>
    <w:pPr>
      <w:ind w:firstLine="0"/>
    </w:pPr>
    <w:rPr>
      <w:rFonts w:ascii="仿宋_GB2312" w:eastAsia="仿宋_GB2312"/>
      <w:sz w:val="30"/>
      <w:szCs w:val="24"/>
    </w:rPr>
  </w:style>
  <w:style w:type="paragraph" w:customStyle="1" w:styleId="348">
    <w:name w:val="页脚 New New New"/>
    <w:basedOn w:val="337"/>
    <w:qFormat/>
    <w:uiPriority w:val="0"/>
    <w:pPr>
      <w:tabs>
        <w:tab w:val="center" w:pos="4153"/>
        <w:tab w:val="right" w:pos="8306"/>
      </w:tabs>
      <w:snapToGrid w:val="0"/>
      <w:jc w:val="left"/>
    </w:pPr>
    <w:rPr>
      <w:sz w:val="18"/>
      <w:szCs w:val="18"/>
    </w:rPr>
  </w:style>
  <w:style w:type="paragraph" w:customStyle="1" w:styleId="349">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0">
    <w:name w:val="纯文本1"/>
    <w:basedOn w:val="1"/>
    <w:qFormat/>
    <w:uiPriority w:val="0"/>
    <w:pPr>
      <w:suppressAutoHyphens/>
    </w:pPr>
    <w:rPr>
      <w:rFonts w:ascii="宋体" w:hAnsi="宋体"/>
      <w:szCs w:val="20"/>
      <w:lang w:eastAsia="ar-SA"/>
    </w:rPr>
  </w:style>
  <w:style w:type="paragraph" w:customStyle="1" w:styleId="351">
    <w:name w:val="Normal (Web)"/>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52">
    <w:name w:val="页眉 New"/>
    <w:basedOn w:val="330"/>
    <w:qFormat/>
    <w:uiPriority w:val="0"/>
    <w:pPr>
      <w:pBdr>
        <w:bottom w:val="single" w:color="auto" w:sz="6" w:space="1"/>
      </w:pBdr>
      <w:tabs>
        <w:tab w:val="center" w:pos="4153"/>
        <w:tab w:val="right" w:pos="8306"/>
      </w:tabs>
      <w:snapToGrid w:val="0"/>
      <w:jc w:val="center"/>
    </w:pPr>
    <w:rPr>
      <w:sz w:val="18"/>
    </w:rPr>
  </w:style>
  <w:style w:type="paragraph" w:customStyle="1" w:styleId="353">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4">
    <w:name w:val="文二"/>
    <w:basedOn w:val="1"/>
    <w:qFormat/>
    <w:uiPriority w:val="0"/>
    <w:pPr>
      <w:jc w:val="left"/>
    </w:pPr>
    <w:rPr>
      <w:rFonts w:ascii="宋体" w:hAnsi="宋体"/>
      <w:szCs w:val="21"/>
    </w:rPr>
  </w:style>
  <w:style w:type="paragraph" w:customStyle="1" w:styleId="355">
    <w:name w:val="Char1"/>
    <w:basedOn w:val="1"/>
    <w:qFormat/>
    <w:uiPriority w:val="0"/>
    <w:pPr>
      <w:ind w:left="567" w:hanging="279"/>
    </w:pPr>
    <w:rPr>
      <w:rFonts w:ascii="Times New Roman" w:hAnsi="Times New Roman"/>
      <w:sz w:val="24"/>
      <w:szCs w:val="24"/>
    </w:rPr>
  </w:style>
  <w:style w:type="paragraph" w:customStyle="1" w:styleId="356">
    <w:name w:val="Char Char Char Char Char Char Char Char Char Char Char Char Char"/>
    <w:basedOn w:val="16"/>
    <w:qFormat/>
    <w:uiPriority w:val="0"/>
    <w:rPr>
      <w:rFonts w:ascii="Tahoma" w:hAnsi="Tahoma"/>
      <w:sz w:val="24"/>
      <w:szCs w:val="24"/>
      <w:shd w:val="clear" w:color="auto" w:fill="000080"/>
    </w:rPr>
  </w:style>
  <w:style w:type="paragraph" w:customStyle="1" w:styleId="357">
    <w:name w:val="_Style 25"/>
    <w:basedOn w:val="1"/>
    <w:next w:val="1"/>
    <w:qFormat/>
    <w:uiPriority w:val="0"/>
  </w:style>
  <w:style w:type="paragraph" w:customStyle="1" w:styleId="358">
    <w:name w:val="正文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9">
    <w:name w:val="样式 正文缩进正文（首行缩进两字）特点ALT+Z表正文正文非缩进四号段1Normal Indent Char2...4"/>
    <w:basedOn w:val="20"/>
    <w:qFormat/>
    <w:uiPriority w:val="0"/>
    <w:pPr>
      <w:tabs>
        <w:tab w:val="left" w:pos="510"/>
        <w:tab w:val="left" w:pos="2520"/>
      </w:tabs>
      <w:spacing w:line="300" w:lineRule="auto"/>
      <w:ind w:left="2520" w:hanging="420"/>
    </w:pPr>
    <w:rPr>
      <w:rFonts w:ascii="Calibri" w:hAnsi="宋体"/>
      <w:kern w:val="0"/>
      <w:sz w:val="24"/>
      <w:szCs w:val="22"/>
    </w:rPr>
  </w:style>
  <w:style w:type="paragraph" w:customStyle="1" w:styleId="360">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361">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362">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3">
    <w:name w:val="msoquote"/>
    <w:basedOn w:val="1"/>
    <w:next w:val="1"/>
    <w:qFormat/>
    <w:uiPriority w:val="0"/>
    <w:pPr>
      <w:widowControl/>
      <w:jc w:val="left"/>
    </w:pPr>
    <w:rPr>
      <w:rFonts w:ascii="Times New Roman"/>
      <w:i/>
      <w:kern w:val="0"/>
      <w:sz w:val="24"/>
    </w:rPr>
  </w:style>
  <w:style w:type="paragraph" w:customStyle="1" w:styleId="364">
    <w:name w:val="样式 正文缩进正文（首行缩进两字）特点ALT+Z表正文正文非缩进四号段1Normal Indent Char2..."/>
    <w:basedOn w:val="4"/>
    <w:next w:val="6"/>
    <w:qFormat/>
    <w:uiPriority w:val="0"/>
    <w:pPr>
      <w:numPr>
        <w:ilvl w:val="0"/>
        <w:numId w:val="0"/>
      </w:numPr>
      <w:tabs>
        <w:tab w:val="left" w:pos="840"/>
      </w:tabs>
      <w:spacing w:before="240" w:line="400" w:lineRule="exact"/>
      <w:ind w:left="840" w:hanging="420"/>
    </w:pPr>
    <w:rPr>
      <w:rFonts w:hint="eastAsia" w:ascii="宋体" w:hAnsi="宋体" w:eastAsia="黑体"/>
      <w:b w:val="0"/>
      <w:color w:val="auto"/>
      <w:kern w:val="0"/>
      <w:szCs w:val="20"/>
    </w:rPr>
  </w:style>
  <w:style w:type="character" w:customStyle="1" w:styleId="365">
    <w:name w:val="文一 Char"/>
    <w:qFormat/>
    <w:uiPriority w:val="0"/>
    <w:rPr>
      <w:spacing w:val="4"/>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emf"/><Relationship Id="rId14" Type="http://schemas.openxmlformats.org/officeDocument/2006/relationships/image" Target="media/image4.jpe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160</Pages>
  <Words>106968</Words>
  <Characters>112292</Characters>
  <Lines>480</Lines>
  <Paragraphs>135</Paragraphs>
  <TotalTime>1</TotalTime>
  <ScaleCrop>false</ScaleCrop>
  <LinksUpToDate>false</LinksUpToDate>
  <CharactersWithSpaces>118662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2021-08-10T07:28:00Z</dcterms:created>
  <dc:creator>管理员</dc:creator>
  <cp:lastModifiedBy>Administrator</cp:lastModifiedBy>
  <cp:lastPrinted>2019-03-21T06:43:00Z</cp:lastPrinted>
  <dcterms:modified xsi:type="dcterms:W3CDTF">2023-07-03T03:26:57Z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352509048D174D2192AD814B2361E675_13</vt:lpwstr>
  </property>
</Properties>
</file>