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bookmarkStart w:id="8" w:name="_GoBack"/>
      <w:bookmarkEnd w:id="8"/>
    </w:p>
    <w:p/>
    <w:p/>
    <w:p/>
    <w:p/>
    <w:p/>
    <w:p>
      <w:pPr>
        <w:jc w:val="center"/>
      </w:pPr>
      <w:r>
        <w:rPr>
          <w:rFonts w:hint="eastAsia" w:ascii="黑体" w:eastAsia="黑体"/>
          <w:b w:val="0"/>
          <w:color w:val="000000"/>
          <w:sz w:val="44"/>
          <w:szCs w:val="44"/>
          <w:shd w:val="clear" w:color="auto" w:fill="FFFFFF"/>
        </w:rPr>
        <w:t>工-弱轴固-单剪计算书-2000012</w:t>
      </w:r>
    </w:p>
    <w:p/>
    <w:p/>
    <w:p/>
    <w:p/>
    <w:p/>
    <w:p/>
    <w:p/>
    <w:p/>
    <w:p/>
    <w:tbl>
      <w:tblPr>
        <w:tblStyle w:val="17"/>
        <w:tblW w:w="6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2"/>
                <w:szCs w:val="32"/>
                <w:shd w:val="clear" w:color="auto" w:fill="FFFFFF"/>
              </w:rPr>
              <w:t>项目：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2"/>
                <w:szCs w:val="32"/>
                <w:shd w:val="clear" w:color="auto" w:fill="FFFFFF"/>
              </w:rPr>
              <w:t>计算：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2"/>
                <w:szCs w:val="32"/>
                <w:shd w:val="clear" w:color="auto" w:fill="FFFFFF"/>
              </w:rPr>
              <w:t>校核：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2"/>
                <w:szCs w:val="32"/>
                <w:shd w:val="clear" w:color="auto" w:fill="FFFFFF"/>
              </w:rPr>
              <w:t>审批：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2"/>
                <w:szCs w:val="32"/>
                <w:shd w:val="clear" w:color="auto" w:fill="FFFFFF"/>
              </w:rPr>
              <w:t>批准：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</w:p>
        </w:tc>
      </w:tr>
    </w:tbl>
    <w:p/>
    <w:p/>
    <w:p/>
    <w:p/>
    <w:p/>
    <w:p/>
    <w:p/>
    <w:p/>
    <w:p/>
    <w:p/>
    <w:p>
      <w:pPr>
        <w:jc w:val="center"/>
      </w:pPr>
      <w:r>
        <w:rPr>
          <w:rFonts w:hint="eastAsia" w:ascii="黑体" w:eastAsia="黑体"/>
          <w:b w:val="0"/>
          <w:color w:val="000000"/>
          <w:sz w:val="32"/>
          <w:szCs w:val="32"/>
          <w:shd w:val="clear" w:color="auto" w:fill="FFFFFF"/>
        </w:rPr>
        <w:t>20</w:t>
      </w:r>
      <w:r>
        <w:rPr>
          <w:rFonts w:hint="eastAsia" w:ascii="黑体" w:eastAsia="黑体"/>
          <w:b w:val="0"/>
          <w:color w:val="000000"/>
          <w:sz w:val="32"/>
          <w:szCs w:val="32"/>
          <w:u w:val="single"/>
          <w:shd w:val="clear" w:color="auto" w:fill="FFFFFF"/>
        </w:rPr>
        <w:t xml:space="preserve">     </w:t>
      </w:r>
      <w:r>
        <w:rPr>
          <w:rFonts w:hint="eastAsia" w:ascii="黑体" w:eastAsia="黑体"/>
          <w:b w:val="0"/>
          <w:color w:val="000000"/>
          <w:sz w:val="32"/>
          <w:szCs w:val="32"/>
          <w:shd w:val="clear" w:color="auto" w:fill="FFFFFF"/>
        </w:rPr>
        <w:t>年</w:t>
      </w:r>
      <w:r>
        <w:rPr>
          <w:rFonts w:hint="eastAsia" w:ascii="黑体" w:eastAsia="黑体"/>
          <w:b w:val="0"/>
          <w:color w:val="000000"/>
          <w:sz w:val="32"/>
          <w:szCs w:val="32"/>
          <w:u w:val="single"/>
          <w:shd w:val="clear" w:color="auto" w:fill="FFFFFF"/>
        </w:rPr>
        <w:t xml:space="preserve">     </w:t>
      </w:r>
      <w:r>
        <w:rPr>
          <w:rFonts w:hint="eastAsia" w:ascii="黑体" w:eastAsia="黑体"/>
          <w:b w:val="0"/>
          <w:color w:val="000000"/>
          <w:sz w:val="32"/>
          <w:szCs w:val="32"/>
          <w:shd w:val="clear" w:color="auto" w:fill="FFFFFF"/>
        </w:rPr>
        <w:t>月</w:t>
      </w:r>
    </w:p>
    <w:p>
      <w:r>
        <w:br w:type="page"/>
      </w:r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_Toc21846 </w:instrText>
          </w:r>
          <w:r>
            <w:fldChar w:fldCharType="separate"/>
          </w:r>
          <w:r>
            <w:t>一.设计依据</w:t>
          </w:r>
          <w:r>
            <w:tab/>
          </w:r>
          <w:r>
            <w:fldChar w:fldCharType="begin"/>
          </w:r>
          <w:r>
            <w:instrText xml:space="preserve"> PAGEREF _Toc21846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_Toc30703 </w:instrText>
          </w:r>
          <w:r>
            <w:fldChar w:fldCharType="separate"/>
          </w:r>
          <w:r>
            <w:t>二.计算软件信息</w:t>
          </w:r>
          <w:r>
            <w:tab/>
          </w:r>
          <w:r>
            <w:fldChar w:fldCharType="begin"/>
          </w:r>
          <w:r>
            <w:instrText xml:space="preserve"> PAGEREF _Toc30703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_Toc23271 </w:instrText>
          </w:r>
          <w:r>
            <w:fldChar w:fldCharType="separate"/>
          </w:r>
          <w:r>
            <w:t>三.计算结果一览</w:t>
          </w:r>
          <w:r>
            <w:tab/>
          </w:r>
          <w:r>
            <w:fldChar w:fldCharType="begin"/>
          </w:r>
          <w:r>
            <w:instrText xml:space="preserve"> PAGEREF _Toc23271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_Toc3562 </w:instrText>
          </w:r>
          <w:r>
            <w:fldChar w:fldCharType="separate"/>
          </w:r>
          <w:r>
            <w:t>四.节点基本资料</w:t>
          </w:r>
          <w:r>
            <w:tab/>
          </w:r>
          <w:r>
            <w:fldChar w:fldCharType="begin"/>
          </w:r>
          <w:r>
            <w:instrText xml:space="preserve"> PAGEREF _Toc3562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_Toc27789 </w:instrText>
          </w:r>
          <w:r>
            <w:fldChar w:fldCharType="separate"/>
          </w:r>
          <w:r>
            <w:t>五.计算结果</w:t>
          </w:r>
          <w:r>
            <w:tab/>
          </w:r>
          <w:r>
            <w:fldChar w:fldCharType="begin"/>
          </w:r>
          <w:r>
            <w:instrText xml:space="preserve"> PAGEREF _Toc27789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_Toc1872 </w:instrText>
          </w:r>
          <w:r>
            <w:fldChar w:fldCharType="separate"/>
          </w:r>
          <w:r>
            <w:t>1.螺栓承载力计算</w:t>
          </w:r>
          <w:r>
            <w:tab/>
          </w:r>
          <w:r>
            <w:fldChar w:fldCharType="begin"/>
          </w:r>
          <w:r>
            <w:instrText xml:space="preserve"> PAGEREF _Toc1872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_Toc31217 </w:instrText>
          </w:r>
          <w:r>
            <w:fldChar w:fldCharType="separate"/>
          </w:r>
          <w:r>
            <w:t>2.梁端部验算</w:t>
          </w:r>
          <w:r>
            <w:tab/>
          </w:r>
          <w:r>
            <w:fldChar w:fldCharType="begin"/>
          </w:r>
          <w:r>
            <w:instrText xml:space="preserve"> PAGEREF _Toc31217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_Toc25731 </w:instrText>
          </w:r>
          <w:r>
            <w:fldChar w:fldCharType="separate"/>
          </w:r>
          <w:r>
            <w:t>3.连接件验算</w:t>
          </w:r>
          <w:r>
            <w:tab/>
          </w:r>
          <w:r>
            <w:fldChar w:fldCharType="begin"/>
          </w:r>
          <w:r>
            <w:instrText xml:space="preserve"> PAGEREF _Toc25731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3"/>
      </w:pPr>
      <w:bookmarkStart w:id="0" w:name="_Toc21846"/>
      <w:r>
        <w:t>一.设计依据</w:t>
      </w:r>
      <w:bookmarkEnd w:id="0"/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本工程按照如下规范、规程、设计手册进行设计：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1.《钢结构设计标准》(GB50017-2017)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2.《建筑结构荷载规范》(GB50009-2012)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3.《建筑抗震设计规范》(GB50011-2010)(2016年版)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4.《高层民用建筑钢结构技术规程》(JGJ99-2015)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5.《钢结构连接节点设计手册》(第三版)李星荣 魏才昂 秦斌主编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6.《钢结构设计方法》童根树著</w:t>
      </w:r>
    </w:p>
    <w:p>
      <w:pPr>
        <w:pStyle w:val="3"/>
      </w:pPr>
      <w:bookmarkStart w:id="1" w:name="_Toc30703"/>
      <w:r>
        <w:t>二.计算软件信息</w:t>
      </w:r>
      <w:bookmarkEnd w:id="1"/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本工程计算软件为钢结构软件 PKPM-STS2021 V1.2.0版 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计算日期为 2023年 4月28日15时57分12秒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计算书中未标注单位的数据，单位均为mm</w:t>
      </w:r>
    </w:p>
    <w:p>
      <w:pPr>
        <w:pStyle w:val="3"/>
      </w:pPr>
      <w:bookmarkStart w:id="2" w:name="_Toc23271"/>
      <w:r>
        <w:t>三.计算结果一览</w:t>
      </w:r>
      <w:bookmarkEnd w:id="2"/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722"/>
        <w:gridCol w:w="1474"/>
        <w:gridCol w:w="2154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类别</w:t>
            </w:r>
          </w:p>
        </w:tc>
        <w:tc>
          <w:tcPr>
            <w:tcW w:w="2721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验算项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计算结果</w:t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限值</w:t>
            </w:r>
          </w:p>
        </w:tc>
        <w:tc>
          <w:tcPr>
            <w:tcW w:w="1020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承载力验算</w:t>
            </w:r>
          </w:p>
        </w:tc>
        <w:tc>
          <w:tcPr>
            <w:tcW w:w="2721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高强螺栓承受剪力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  <w:r>
              <w:fldChar w:fldCharType="begin"/>
            </w:r>
            <w:r>
              <w:rPr>
                <w:rFonts w:hint="eastAsia" w:ascii="Times New Roman" w:eastAsia="Times New Roman"/>
                <w:i/>
                <w:color w:val="000000"/>
                <w:sz w:val="22"/>
                <w:szCs w:val="22"/>
                <w:shd w:val="clear" w:color="auto" w:fill="FFFFFF"/>
              </w:rPr>
              <w:instrText xml:space="preserve">EQ 32.30kN</w:instrText>
            </w:r>
            <w:r>
              <w:fldChar w:fldCharType="end"/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fldChar w:fldCharType="begin"/>
            </w:r>
            <w:r>
              <w:rPr>
                <w:rFonts w:hint="eastAsia" w:ascii="Times New Roman" w:eastAsia="Times New Roman"/>
                <w:i/>
                <w:color w:val="000000"/>
                <w:sz w:val="22"/>
                <w:szCs w:val="22"/>
                <w:shd w:val="clear" w:color="auto" w:fill="FFFFFF"/>
              </w:rPr>
              <w:instrText xml:space="preserve">EQ ≤ 62.78kN</w:instrText>
            </w:r>
            <w:r>
              <w:fldChar w:fldCharType="end"/>
            </w:r>
          </w:p>
        </w:tc>
        <w:tc>
          <w:tcPr>
            <w:tcW w:w="1020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梁端部验算</w:t>
            </w:r>
          </w:p>
        </w:tc>
        <w:tc>
          <w:tcPr>
            <w:tcW w:w="2721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净截面最大正应力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  <w:r>
              <w:fldChar w:fldCharType="begin"/>
            </w:r>
            <w:r>
              <w:rPr>
                <w:rFonts w:hint="eastAsia" w:ascii="Times New Roman" w:eastAsia="Times New Roman"/>
                <w:i/>
                <w:color w:val="000000"/>
                <w:sz w:val="22"/>
                <w:szCs w:val="22"/>
                <w:shd w:val="clear" w:color="auto" w:fill="FFFFFF"/>
              </w:rPr>
              <w:instrText xml:space="preserve">EQ 0.00N/mm\s\up3(2)</w:instrText>
            </w:r>
            <w:r>
              <w:fldChar w:fldCharType="end"/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fldChar w:fldCharType="begin"/>
            </w:r>
            <w:r>
              <w:rPr>
                <w:rFonts w:hint="eastAsia" w:ascii="Times New Roman" w:eastAsia="Times New Roman"/>
                <w:i/>
                <w:color w:val="000000"/>
                <w:sz w:val="22"/>
                <w:szCs w:val="22"/>
                <w:shd w:val="clear" w:color="auto" w:fill="FFFFFF"/>
              </w:rPr>
              <w:instrText xml:space="preserve">EQ ≤ 215.00N/mm\s\up3(2)</w:instrText>
            </w:r>
            <w:r>
              <w:fldChar w:fldCharType="end"/>
            </w:r>
          </w:p>
        </w:tc>
        <w:tc>
          <w:tcPr>
            <w:tcW w:w="1020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2721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截面最大剪应力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  <w:r>
              <w:fldChar w:fldCharType="begin"/>
            </w:r>
            <w:r>
              <w:rPr>
                <w:rFonts w:hint="eastAsia" w:ascii="Times New Roman" w:eastAsia="Times New Roman"/>
                <w:i/>
                <w:color w:val="000000"/>
                <w:sz w:val="22"/>
                <w:szCs w:val="22"/>
                <w:shd w:val="clear" w:color="auto" w:fill="FFFFFF"/>
              </w:rPr>
              <w:instrText xml:space="preserve">EQ 64.77N/mm\s\up3(2)</w:instrText>
            </w:r>
            <w:r>
              <w:fldChar w:fldCharType="end"/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fldChar w:fldCharType="begin"/>
            </w:r>
            <w:r>
              <w:rPr>
                <w:rFonts w:hint="eastAsia" w:ascii="Times New Roman" w:eastAsia="Times New Roman"/>
                <w:i/>
                <w:color w:val="000000"/>
                <w:sz w:val="22"/>
                <w:szCs w:val="22"/>
                <w:shd w:val="clear" w:color="auto" w:fill="FFFFFF"/>
              </w:rPr>
              <w:instrText xml:space="preserve">EQ ≤ 125.00N/mm\s\up3(2)</w:instrText>
            </w:r>
            <w:r>
              <w:fldChar w:fldCharType="end"/>
            </w:r>
          </w:p>
        </w:tc>
        <w:tc>
          <w:tcPr>
            <w:tcW w:w="1020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连接件验算</w:t>
            </w:r>
          </w:p>
        </w:tc>
        <w:tc>
          <w:tcPr>
            <w:tcW w:w="2721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净截面最大正应力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  <w:r>
              <w:fldChar w:fldCharType="begin"/>
            </w:r>
            <w:r>
              <w:rPr>
                <w:rFonts w:hint="eastAsia" w:ascii="Times New Roman" w:eastAsia="Times New Roman"/>
                <w:i/>
                <w:color w:val="000000"/>
                <w:sz w:val="22"/>
                <w:szCs w:val="22"/>
                <w:shd w:val="clear" w:color="auto" w:fill="FFFFFF"/>
              </w:rPr>
              <w:instrText xml:space="preserve">EQ 0.00N/mm\s\up3(2)</w:instrText>
            </w:r>
            <w:r>
              <w:fldChar w:fldCharType="end"/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fldChar w:fldCharType="begin"/>
            </w:r>
            <w:r>
              <w:rPr>
                <w:rFonts w:hint="eastAsia" w:ascii="Times New Roman" w:eastAsia="Times New Roman"/>
                <w:i/>
                <w:color w:val="000000"/>
                <w:sz w:val="22"/>
                <w:szCs w:val="22"/>
                <w:shd w:val="clear" w:color="auto" w:fill="FFFFFF"/>
              </w:rPr>
              <w:instrText xml:space="preserve">EQ ≤ 215.00N/mm\s\up3(2)</w:instrText>
            </w:r>
            <w:r>
              <w:fldChar w:fldCharType="end"/>
            </w:r>
          </w:p>
        </w:tc>
        <w:tc>
          <w:tcPr>
            <w:tcW w:w="1020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2721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截面平均剪应力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  <w:r>
              <w:fldChar w:fldCharType="begin"/>
            </w:r>
            <w:r>
              <w:rPr>
                <w:rFonts w:hint="eastAsia" w:ascii="Times New Roman" w:eastAsia="Times New Roman"/>
                <w:i/>
                <w:color w:val="000000"/>
                <w:sz w:val="22"/>
                <w:szCs w:val="22"/>
                <w:shd w:val="clear" w:color="auto" w:fill="FFFFFF"/>
              </w:rPr>
              <w:instrText xml:space="preserve">EQ 59.81N/mm\s\up3(2)</w:instrText>
            </w:r>
            <w:r>
              <w:fldChar w:fldCharType="end"/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fldChar w:fldCharType="begin"/>
            </w:r>
            <w:r>
              <w:rPr>
                <w:rFonts w:hint="eastAsia" w:ascii="Times New Roman" w:eastAsia="Times New Roman"/>
                <w:i/>
                <w:color w:val="000000"/>
                <w:sz w:val="22"/>
                <w:szCs w:val="22"/>
                <w:shd w:val="clear" w:color="auto" w:fill="FFFFFF"/>
              </w:rPr>
              <w:instrText xml:space="preserve">EQ ≤ 125.00N/mm\s\up3(2)</w:instrText>
            </w:r>
            <w:r>
              <w:fldChar w:fldCharType="end"/>
            </w:r>
          </w:p>
        </w:tc>
        <w:tc>
          <w:tcPr>
            <w:tcW w:w="1020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2721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焊缝最大应力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  <w:r>
              <w:fldChar w:fldCharType="begin"/>
            </w:r>
            <w:r>
              <w:rPr>
                <w:rFonts w:hint="eastAsia" w:ascii="Times New Roman" w:eastAsia="Times New Roman"/>
                <w:i/>
                <w:color w:val="000000"/>
                <w:sz w:val="22"/>
                <w:szCs w:val="22"/>
                <w:shd w:val="clear" w:color="auto" w:fill="FFFFFF"/>
              </w:rPr>
              <w:instrText xml:space="preserve">EQ 62.78N/mm\s\up3(2)</w:instrText>
            </w:r>
            <w:r>
              <w:fldChar w:fldCharType="end"/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fldChar w:fldCharType="begin"/>
            </w:r>
            <w:r>
              <w:rPr>
                <w:rFonts w:hint="eastAsia" w:ascii="Times New Roman" w:eastAsia="Times New Roman"/>
                <w:i/>
                <w:color w:val="000000"/>
                <w:sz w:val="22"/>
                <w:szCs w:val="22"/>
                <w:shd w:val="clear" w:color="auto" w:fill="FFFFFF"/>
              </w:rPr>
              <w:instrText xml:space="preserve">EQ ≤ 160.00N/mm\s\up3(2)</w:instrText>
            </w:r>
            <w:r>
              <w:fldChar w:fldCharType="end"/>
            </w:r>
          </w:p>
        </w:tc>
        <w:tc>
          <w:tcPr>
            <w:tcW w:w="1020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2"/>
                <w:szCs w:val="22"/>
                <w:shd w:val="clear" w:color="auto" w:fill="FFFFFF"/>
              </w:rPr>
              <w:t>满足</w:t>
            </w:r>
          </w:p>
        </w:tc>
      </w:tr>
    </w:tbl>
    <w:p>
      <w:pPr>
        <w:pStyle w:val="3"/>
      </w:pPr>
      <w:bookmarkStart w:id="3" w:name="_Toc3562"/>
      <w:r>
        <w:t>四.节点基本资料</w:t>
      </w:r>
      <w:bookmarkEnd w:id="3"/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节点编号 = 4；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柱编号 = 2；柱截面尺寸：HN400X200X8X13；材料：Q235；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梁编号 = 5；梁截面尺寸：HN400X200X8X13；材料：Q235；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连接设计方法：按梁端部内力设计；设计不考虑梁轴力；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梁翼缘塑性截面模量/全截面塑性截面模量: 0.78 ＞ 0.7，采用常用设计法；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翼缘承担全部弯矩，腹板仅承担剪力；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螺栓信息：高强度螺栓；10.9级；摩擦型；直径D = 20；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接触面处理方法：喷硬质石英砂或铸钢棱角砂；μ = 0.45；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腹板螺栓排列：平行于梁轴线的称为“行”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行数：4，螺栓的行间距：70，螺栓的行边距: 47；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列数：1，螺栓的列间距：0，螺栓的列边距: 40；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连接板尺寸：B×H×T = 452×304×10；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连接板与柱的连接角焊缝焊脚尺寸：</w:t>
      </w: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h\s\do4(f) = 5；</w:instrText>
      </w:r>
      <w:r>
        <w:fldChar w:fldCharType="end"/>
      </w:r>
    </w:p>
    <w:p>
      <w:pPr>
        <w:pStyle w:val="3"/>
      </w:pPr>
      <w:bookmarkStart w:id="4" w:name="_Toc27789"/>
      <w:r>
        <w:t>五.计算结果</w:t>
      </w:r>
      <w:bookmarkEnd w:id="4"/>
    </w:p>
    <w:p>
      <w:pPr>
        <w:pStyle w:val="4"/>
      </w:pPr>
      <w:bookmarkStart w:id="5" w:name="_Toc1872"/>
      <w:r>
        <w:t>1.螺栓承载力计算</w:t>
      </w:r>
      <w:bookmarkEnd w:id="5"/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计算内力控制组合号：22（非地震组合）；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内力设计值（等强连接设计方法时，弯矩为等强弯矩）：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M = -111.91kN·m；N = 2.57kN；V = -40.27kN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端部设计剪力：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V\s\do4(1) = -40.27kN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梁腹板净截面抗剪承载力的一半：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A\s\do4(n) = T\s\do4(w)×(H - 2T\s\do4(f) -2r)0.85 = 8.00×(400 - 2×13.00 - 2×35)×0.85 = 2067.20mm\s\up4(2)</w:instrText>
      </w:r>
      <w:r>
        <w:fldChar w:fldCharType="end"/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V\s\do4(2) = 0.5A\s\do4(n)f\s\do4(v) = 0.5×2067.20×125.00 = 129.20kN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端部弯矩/净跨计算的剪力：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V\s\do4(3) = \f(M\s( b, L) + M\s( b, R),l\s\do4(n)) = \f(-111911000.00 + 363.07,3996) = 28.01kN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螺栓计算时剪力为：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V\s\do4(max) = max{V\s\do4(1),V\s\do4(2),V\s\do4(3)} = max{40.27,129.20,28.01} = 129.20kN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单个摩擦型高强螺栓抗剪承载力为：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N\s( b, v) = 0.9n\s\do4(f)μP = 0.9×1×0.45×155000.00 = 62.78kN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剪力作用下的螺栓剪力为：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N\s\do4(vH) = V/n = 129200.00/4 = 32.30kN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轴力作用下的螺栓剪力为：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N\s\do4(vB) = 0kN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螺栓实际承受剪力：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N\s\do4(s) = \r(N\s\do4(vH)\s\up4(2) + N\s\do4(vB)\s\up4(2))</w:instrText>
      </w:r>
      <w:r>
        <w:fldChar w:fldCharType="end"/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= \r(32300.00\s\up4(2) + 0.00\s\up4(2)) = 32.30kN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N\s\do4(s) ≤ N\s( b, v)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，满足要求！</w:t>
      </w:r>
    </w:p>
    <w:p>
      <w:pPr>
        <w:pStyle w:val="4"/>
      </w:pPr>
      <w:bookmarkStart w:id="6" w:name="_Toc31217"/>
      <w:r>
        <w:t>2.梁端部验算</w:t>
      </w:r>
      <w:bookmarkEnd w:id="6"/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（1）梁腹板净截面最大正应力: 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内力设计值（等强连接设计方法时，弯矩为等强弯矩）：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M = -111.91kN·m；N = 0.00kN；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按腹板和翼缘分配内力后：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M = 0.00kN·m；N = 0.00kN；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净截面惯性矩为：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I\s\do4(nx) = I\s\do4(x) - I\s\do4(kong) = 34875700.00 - 4312000.00 = 30563700.00mm\s\up4(4)</w:instrText>
      </w:r>
      <w:r>
        <w:fldChar w:fldCharType="end"/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σ = \f(M×y,I\s\do4(nx)) + \f(N,A\s\do4(n)) = \f(0.00×187.00,30563700.00) + \f(0.00,2288.00) = 0.00N/mm\s\up4(2)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σ ≤ f = 215.00N/mm\s\up4(2)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，满足要求！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（2）梁腹板截面最大剪应力: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内力设计值：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V\s\do4(max) = 129.20kN</w:instrText>
      </w:r>
      <w:r>
        <w:fldChar w:fldCharType="end"/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τ = \f(V\s\do4(max)×S,I\s\do4(x)×T\s\do4(w)) = \f(129200.00×139876.00,34875700.00×8.00) = 64.77N/mm\s\up4(2)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τ ≤ f\s\do4(v) = 125.00N/mm\s\up4(2)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，满足要求！</w:t>
      </w:r>
    </w:p>
    <w:p>
      <w:pPr>
        <w:pStyle w:val="4"/>
      </w:pPr>
      <w:bookmarkStart w:id="7" w:name="_Toc25731"/>
      <w:r>
        <w:t>3.连接件验算</w:t>
      </w:r>
      <w:bookmarkEnd w:id="7"/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连接板尺寸：B×H×T = 452×304×10；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（1）连接板净截面最大正应力：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内力设计值（等强连接设计方法时，弯矩为等强弯矩）：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M = -111.91kN·m；N = 0.00kN；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按腹板和翼缘分配内力后：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M = 0.00kN·m；N = 0.00kN；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净截面惯性矩为：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I\s\do4(nx) = I\s\do4(x) - I\s\do4(kong) = 23412100.00 - 5390000.00 = 18022100.00mm\s\up4(4)</w:instrText>
      </w:r>
      <w:r>
        <w:fldChar w:fldCharType="end"/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σ = \f(M×y,I\s\do4(nx)) + \f(N,A\s\do4(n)) = \f(0.00×152.00,18022100.00) + \f(0.00,2160.00) = 0.00N/mm\s\up4(2)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σ ≤ f = 215.00N/mm\s\up4(2)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，满足要求！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（2）连接板截面平均剪应力：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内力设计值：</w:t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V\s\do4(max) = 129.20kN</w:instrText>
      </w:r>
      <w:r>
        <w:fldChar w:fldCharType="end"/>
      </w:r>
    </w:p>
    <w:p>
      <w:pPr>
        <w:spacing w:beforeLines="56" w:afterLines="56" w:line="113" w:lineRule="auto"/>
        <w:ind w:leftChars="380" w:rightChars="0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τ = \f(V\s\do4(max),A\s\do4(n)) = \f(129200.00,2160.00) = 59.81N/mm\s\up4(2)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τ ≤ f\s\do4(v) = 125.00N/mm\s\up4(2)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，满足要求！</w:t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连接板与柱之间的角焊缝焊脚尺寸：</w:t>
      </w: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h\s\do4(f) = 5；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角焊缝计算长度：</w:t>
      </w: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l\s\do4(w) = 294</w:instrText>
      </w:r>
      <w:r>
        <w:fldChar w:fldCharType="end"/>
      </w:r>
    </w:p>
    <w:p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角焊缝剪应力：</w:t>
      </w:r>
      <w:r>
        <w:fldChar w:fldCharType="begin"/>
      </w:r>
      <w:r>
        <w:rPr>
          <w:rFonts w:hint="eastAsia" w:ascii="Times New Roman" w:eastAsia="Times New Roman"/>
          <w:i/>
          <w:color w:val="000000"/>
          <w:sz w:val="22"/>
          <w:szCs w:val="22"/>
          <w:shd w:val="clear" w:color="auto" w:fill="FFFFFF"/>
        </w:rPr>
        <w:instrText xml:space="preserve">EQ τ\s\do4(w) = 62.78N/mm\s\up4(2) ≤ f\s( w, f) = 160.00N/mm\s\up4(2)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，满足要求！</w:t>
      </w:r>
    </w:p>
    <w:sectPr>
      <w:headerReference r:id="rId3" w:type="default"/>
      <w:footerReference r:id="rId4" w:type="default"/>
      <w:pgSz w:w="11906" w:h="16838"/>
      <w:pgMar w:top="1814" w:right="1417" w:bottom="1814" w:left="1417" w:header="851" w:footer="992" w:gutter="0"/>
      <w:cols w:space="453" w:num="1"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5477BDF"/>
    <w:rsid w:val="2F03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1396</Words>
  <Characters>2219</Characters>
  <Lines>1</Lines>
  <Paragraphs>1</Paragraphs>
  <TotalTime>0</TotalTime>
  <ScaleCrop>false</ScaleCrop>
  <LinksUpToDate>false</LinksUpToDate>
  <CharactersWithSpaces>2498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doubleling</cp:lastModifiedBy>
  <dcterms:modified xsi:type="dcterms:W3CDTF">2023-04-28T07:57:30Z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D7EAA72E7139418FADA133D9429F14D2_13</vt:lpwstr>
  </property>
</Properties>
</file>