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71"/>
        <w:jc w:val="center"/>
        <w:rPr>
          <w:rStyle w:val="22"/>
          <w:rFonts w:hint="eastAsia" w:ascii="宋体" w:hAnsi="宋体" w:cs="宋体"/>
          <w:b/>
          <w:kern w:val="0"/>
          <w:sz w:val="48"/>
          <w:szCs w:val="48"/>
        </w:rPr>
      </w:pPr>
    </w:p>
    <w:p>
      <w:pPr>
        <w:spacing w:line="360" w:lineRule="auto"/>
        <w:ind w:left="171"/>
        <w:jc w:val="center"/>
        <w:rPr>
          <w:rStyle w:val="22"/>
          <w:rFonts w:hint="eastAsia" w:ascii="宋体" w:hAnsi="宋体" w:cs="宋体"/>
          <w:b/>
          <w:kern w:val="0"/>
          <w:sz w:val="48"/>
          <w:szCs w:val="48"/>
        </w:rPr>
      </w:pPr>
    </w:p>
    <w:p>
      <w:pPr>
        <w:spacing w:line="360" w:lineRule="auto"/>
        <w:ind w:left="171"/>
        <w:jc w:val="center"/>
        <w:rPr>
          <w:rFonts w:hint="eastAsia" w:ascii="宋体" w:hAnsi="宋体" w:cs="宋体"/>
          <w:b/>
          <w:bCs/>
          <w:spacing w:val="26"/>
          <w:sz w:val="44"/>
          <w:szCs w:val="44"/>
        </w:rPr>
      </w:pPr>
      <w:r>
        <w:rPr>
          <w:rStyle w:val="22"/>
          <w:rFonts w:hint="eastAsia" w:ascii="宋体" w:hAnsi="宋体" w:cs="宋体"/>
          <w:b/>
          <w:kern w:val="0"/>
          <w:sz w:val="44"/>
          <w:szCs w:val="44"/>
        </w:rPr>
        <w:t>番禺区前锋中部流域第二批排水单元配套公共管网完善及改造工程第三方检测</w:t>
      </w:r>
    </w:p>
    <w:p>
      <w:pPr>
        <w:spacing w:line="360" w:lineRule="auto"/>
        <w:ind w:left="171"/>
        <w:jc w:val="center"/>
        <w:rPr>
          <w:rStyle w:val="22"/>
          <w:rFonts w:hint="eastAsia" w:cs="宋体"/>
          <w:kern w:val="0"/>
          <w:sz w:val="48"/>
          <w:szCs w:val="48"/>
        </w:rPr>
      </w:pPr>
    </w:p>
    <w:p>
      <w:pPr>
        <w:rPr>
          <w:rFonts w:hint="eastAsia" w:ascii="宋体" w:hAnsi="宋体"/>
          <w:b/>
          <w:bCs/>
          <w:spacing w:val="26"/>
          <w:sz w:val="30"/>
          <w:szCs w:val="30"/>
        </w:rPr>
      </w:pPr>
    </w:p>
    <w:p>
      <w:pPr>
        <w:pStyle w:val="2"/>
        <w:ind w:firstLine="422"/>
        <w:rPr>
          <w:rFonts w:hint="eastAsia"/>
          <w:color w:val="auto"/>
        </w:rPr>
      </w:pPr>
    </w:p>
    <w:p>
      <w:pPr>
        <w:rPr>
          <w:rFonts w:hint="eastAsia"/>
        </w:rPr>
      </w:pPr>
    </w:p>
    <w:p>
      <w:pPr>
        <w:spacing w:line="360" w:lineRule="auto"/>
        <w:jc w:val="center"/>
        <w:rPr>
          <w:rFonts w:hint="eastAsia" w:ascii="宋体" w:hAnsi="宋体"/>
          <w:b/>
          <w:bCs/>
          <w:spacing w:val="26"/>
          <w:sz w:val="84"/>
          <w:szCs w:val="84"/>
        </w:rPr>
      </w:pPr>
      <w:r>
        <w:rPr>
          <w:rFonts w:hint="eastAsia" w:ascii="宋体" w:hAnsi="宋体"/>
          <w:b/>
          <w:bCs/>
          <w:spacing w:val="26"/>
          <w:sz w:val="84"/>
          <w:szCs w:val="84"/>
        </w:rPr>
        <w:t>招标公告</w:t>
      </w:r>
    </w:p>
    <w:p>
      <w:pPr>
        <w:spacing w:line="360" w:lineRule="auto"/>
        <w:ind w:left="171"/>
        <w:jc w:val="center"/>
        <w:rPr>
          <w:rFonts w:hint="eastAsia" w:ascii="宋体" w:hAnsi="宋体"/>
          <w:b/>
          <w:bCs/>
          <w:spacing w:val="26"/>
          <w:sz w:val="30"/>
          <w:szCs w:val="30"/>
        </w:rPr>
      </w:pPr>
    </w:p>
    <w:p>
      <w:pPr>
        <w:pStyle w:val="2"/>
        <w:ind w:firstLine="704"/>
        <w:rPr>
          <w:rFonts w:hint="eastAsia"/>
          <w:b w:val="0"/>
          <w:bCs/>
          <w:color w:val="auto"/>
          <w:spacing w:val="26"/>
          <w:sz w:val="30"/>
          <w:szCs w:val="30"/>
        </w:rPr>
      </w:pPr>
    </w:p>
    <w:p>
      <w:pPr>
        <w:rPr>
          <w:rFonts w:hint="eastAsia" w:ascii="宋体" w:hAnsi="宋体"/>
          <w:b/>
          <w:bCs/>
          <w:spacing w:val="26"/>
          <w:sz w:val="30"/>
          <w:szCs w:val="30"/>
        </w:rPr>
      </w:pPr>
    </w:p>
    <w:p>
      <w:pPr>
        <w:pStyle w:val="2"/>
        <w:ind w:firstLine="422"/>
        <w:rPr>
          <w:rFonts w:hint="eastAsia"/>
          <w:color w:val="auto"/>
        </w:rPr>
      </w:pPr>
    </w:p>
    <w:p>
      <w:pPr>
        <w:rPr>
          <w:rFonts w:hint="eastAsia"/>
        </w:rPr>
      </w:pPr>
    </w:p>
    <w:p>
      <w:pPr>
        <w:spacing w:line="360" w:lineRule="auto"/>
        <w:ind w:left="171"/>
        <w:jc w:val="center"/>
        <w:rPr>
          <w:rFonts w:hint="eastAsia" w:ascii="宋体" w:hAnsi="宋体"/>
          <w:b/>
          <w:bCs/>
          <w:spacing w:val="26"/>
          <w:sz w:val="30"/>
          <w:szCs w:val="30"/>
        </w:rPr>
      </w:pPr>
    </w:p>
    <w:p>
      <w:pPr>
        <w:spacing w:line="360" w:lineRule="auto"/>
        <w:ind w:left="2964" w:leftChars="608" w:hanging="1687" w:hangingChars="525"/>
        <w:jc w:val="left"/>
        <w:rPr>
          <w:rFonts w:hint="eastAsia" w:ascii="宋体" w:hAnsi="宋体" w:cs="宋体"/>
          <w:b/>
          <w:sz w:val="32"/>
          <w:szCs w:val="32"/>
        </w:rPr>
      </w:pPr>
    </w:p>
    <w:p>
      <w:pPr>
        <w:spacing w:line="360" w:lineRule="auto"/>
        <w:ind w:left="2964" w:leftChars="608" w:hanging="1687" w:hangingChars="525"/>
        <w:jc w:val="left"/>
        <w:rPr>
          <w:rFonts w:hint="eastAsia" w:ascii="宋体" w:hAnsi="宋体" w:cs="宋体"/>
          <w:b/>
          <w:bCs/>
          <w:sz w:val="32"/>
          <w:szCs w:val="32"/>
          <w:u w:val="single"/>
        </w:rPr>
      </w:pPr>
      <w:r>
        <w:rPr>
          <w:rFonts w:hint="eastAsia" w:ascii="宋体" w:hAnsi="宋体" w:cs="宋体"/>
          <w:b/>
          <w:sz w:val="32"/>
          <w:szCs w:val="32"/>
        </w:rPr>
        <w:t>招 标 人：</w:t>
      </w:r>
      <w:r>
        <w:rPr>
          <w:rFonts w:hint="eastAsia"/>
          <w:b/>
          <w:bCs/>
          <w:sz w:val="32"/>
          <w:szCs w:val="32"/>
          <w:u w:val="single"/>
        </w:rPr>
        <w:t>广州市番禺区水务工程建管中心（广州市番禺区水旱灾害防御中心）</w:t>
      </w:r>
    </w:p>
    <w:p>
      <w:pPr>
        <w:spacing w:line="360" w:lineRule="auto"/>
        <w:ind w:firstLine="1214" w:firstLineChars="378"/>
        <w:jc w:val="left"/>
        <w:rPr>
          <w:rFonts w:hint="eastAsia" w:ascii="宋体" w:hAnsi="宋体" w:cs="宋体"/>
          <w:b/>
          <w:sz w:val="32"/>
          <w:szCs w:val="32"/>
        </w:rPr>
      </w:pPr>
      <w:r>
        <w:rPr>
          <w:rFonts w:hint="eastAsia" w:ascii="宋体" w:hAnsi="宋体" w:cs="宋体"/>
          <w:b/>
          <w:sz w:val="32"/>
          <w:szCs w:val="32"/>
        </w:rPr>
        <w:t>招标代理机构：</w:t>
      </w:r>
      <w:r>
        <w:rPr>
          <w:rFonts w:hint="eastAsia"/>
          <w:b/>
          <w:bCs/>
          <w:sz w:val="32"/>
          <w:szCs w:val="32"/>
          <w:u w:val="single"/>
        </w:rPr>
        <w:t>广东建瀚招标采购有限公司</w:t>
      </w:r>
    </w:p>
    <w:p>
      <w:pPr>
        <w:spacing w:line="360" w:lineRule="auto"/>
        <w:ind w:firstLine="1214" w:firstLineChars="378"/>
        <w:jc w:val="left"/>
        <w:rPr>
          <w:rFonts w:hint="eastAsia" w:ascii="宋体" w:hAnsi="宋体" w:cs="宋体"/>
          <w:b/>
          <w:sz w:val="30"/>
          <w:szCs w:val="30"/>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850" w:h="16783"/>
          <w:pgMar w:top="1247" w:right="1301" w:bottom="1134" w:left="1260" w:header="851" w:footer="907" w:gutter="0"/>
          <w:cols w:space="720" w:num="1"/>
          <w:titlePg/>
          <w:docGrid w:type="lines" w:linePitch="312" w:charSpace="0"/>
        </w:sectPr>
      </w:pPr>
      <w:r>
        <w:rPr>
          <w:rFonts w:hint="eastAsia" w:ascii="宋体" w:hAnsi="宋体" w:cs="宋体"/>
          <w:b/>
          <w:sz w:val="32"/>
          <w:szCs w:val="32"/>
        </w:rPr>
        <w:t>日        期：</w:t>
      </w:r>
      <w:r>
        <w:rPr>
          <w:rFonts w:hint="eastAsia" w:ascii="宋体" w:hAnsi="宋体" w:cs="宋体"/>
          <w:b/>
          <w:sz w:val="32"/>
          <w:szCs w:val="32"/>
          <w:u w:val="single"/>
        </w:rPr>
        <w:t>2023</w:t>
      </w:r>
      <w:r>
        <w:rPr>
          <w:rFonts w:hint="eastAsia" w:ascii="宋体" w:hAnsi="宋体" w:cs="宋体"/>
          <w:b/>
          <w:sz w:val="32"/>
          <w:szCs w:val="32"/>
        </w:rPr>
        <w:t>年</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6</w:t>
      </w:r>
      <w:r>
        <w:rPr>
          <w:rFonts w:hint="eastAsia" w:ascii="宋体" w:hAnsi="宋体" w:cs="宋体"/>
          <w:b/>
          <w:sz w:val="32"/>
          <w:szCs w:val="32"/>
          <w:u w:val="single"/>
        </w:rPr>
        <w:t xml:space="preserve">  </w:t>
      </w:r>
      <w:r>
        <w:rPr>
          <w:rFonts w:hint="eastAsia" w:ascii="宋体" w:hAnsi="宋体" w:cs="宋体"/>
          <w:b/>
          <w:sz w:val="32"/>
          <w:szCs w:val="32"/>
        </w:rPr>
        <w:t>月</w:t>
      </w:r>
    </w:p>
    <w:p>
      <w:pPr>
        <w:spacing w:line="360" w:lineRule="auto"/>
        <w:ind w:left="171"/>
        <w:jc w:val="center"/>
        <w:rPr>
          <w:rFonts w:hint="eastAsia" w:ascii="宋体" w:hAnsi="宋体" w:cs="宋体"/>
          <w:b/>
          <w:bCs/>
          <w:spacing w:val="2"/>
          <w:kern w:val="28"/>
          <w:sz w:val="36"/>
          <w:szCs w:val="36"/>
        </w:rPr>
      </w:pPr>
      <w:r>
        <w:rPr>
          <w:rFonts w:hint="eastAsia" w:ascii="宋体" w:hAnsi="宋体" w:cs="宋体"/>
          <w:b/>
          <w:bCs/>
          <w:spacing w:val="2"/>
          <w:kern w:val="28"/>
          <w:sz w:val="36"/>
          <w:szCs w:val="36"/>
        </w:rPr>
        <w:t>番禺区前锋中部流域第二批排水单元配套公共管网完善及改造工程第三方检测招标公告</w:t>
      </w:r>
    </w:p>
    <w:p>
      <w:pPr>
        <w:spacing w:line="360" w:lineRule="auto"/>
        <w:rPr>
          <w:rFonts w:hint="eastAsia" w:ascii="宋体" w:hAnsi="宋体" w:cs="宋体"/>
          <w:sz w:val="28"/>
          <w:szCs w:val="28"/>
        </w:rPr>
      </w:pPr>
    </w:p>
    <w:p>
      <w:pPr>
        <w:pStyle w:val="4"/>
        <w:tabs>
          <w:tab w:val="left" w:pos="501"/>
        </w:tabs>
        <w:spacing w:line="360" w:lineRule="auto"/>
        <w:rPr>
          <w:rFonts w:hint="eastAsia" w:cs="宋体"/>
          <w:spacing w:val="2"/>
          <w:sz w:val="28"/>
          <w:szCs w:val="28"/>
        </w:rPr>
      </w:pPr>
      <w:bookmarkStart w:id="0" w:name="_bookmark2"/>
      <w:bookmarkEnd w:id="0"/>
      <w:bookmarkStart w:id="1" w:name="_Toc14621"/>
      <w:bookmarkStart w:id="2" w:name="_Toc31812"/>
      <w:bookmarkStart w:id="3" w:name="_Toc8208"/>
      <w:bookmarkStart w:id="4" w:name="_Toc11673"/>
      <w:bookmarkStart w:id="5" w:name="_Toc12146"/>
      <w:bookmarkStart w:id="6" w:name="_Toc16540"/>
      <w:bookmarkStart w:id="7" w:name="_Toc12619"/>
      <w:bookmarkStart w:id="8" w:name="_Toc16904"/>
      <w:bookmarkStart w:id="9" w:name="_Toc13732"/>
      <w:bookmarkStart w:id="10" w:name="_Toc1501"/>
      <w:bookmarkStart w:id="11" w:name="_Toc24511"/>
      <w:bookmarkStart w:id="12" w:name="_Toc28431"/>
      <w:r>
        <w:rPr>
          <w:rFonts w:hint="eastAsia" w:cs="宋体"/>
          <w:spacing w:val="2"/>
          <w:sz w:val="28"/>
          <w:szCs w:val="28"/>
        </w:rPr>
        <w:t>1. 招标条件</w:t>
      </w:r>
      <w:bookmarkEnd w:id="1"/>
      <w:bookmarkEnd w:id="2"/>
      <w:bookmarkEnd w:id="3"/>
      <w:bookmarkEnd w:id="4"/>
      <w:bookmarkEnd w:id="5"/>
      <w:bookmarkEnd w:id="6"/>
      <w:bookmarkEnd w:id="7"/>
      <w:bookmarkEnd w:id="8"/>
      <w:bookmarkEnd w:id="9"/>
      <w:bookmarkEnd w:id="10"/>
      <w:bookmarkEnd w:id="11"/>
      <w:bookmarkEnd w:id="12"/>
    </w:p>
    <w:p>
      <w:pPr>
        <w:spacing w:line="360" w:lineRule="auto"/>
        <w:ind w:firstLine="480" w:firstLineChars="200"/>
        <w:jc w:val="left"/>
        <w:rPr>
          <w:rFonts w:hint="eastAsia" w:ascii="宋体" w:hAnsi="宋体" w:cs="宋体"/>
          <w:sz w:val="28"/>
          <w:szCs w:val="28"/>
        </w:rPr>
      </w:pPr>
      <w:r>
        <w:rPr>
          <w:rFonts w:hint="eastAsia" w:ascii="宋体" w:hAnsi="宋体" w:cs="宋体"/>
          <w:sz w:val="24"/>
        </w:rPr>
        <w:t>本招标项目</w:t>
      </w:r>
      <w:r>
        <w:rPr>
          <w:rFonts w:hint="eastAsia" w:ascii="宋体" w:hAnsi="宋体" w:cs="宋体"/>
          <w:sz w:val="24"/>
          <w:u w:val="single"/>
        </w:rPr>
        <w:t>番禺区前锋中部流域第二批排水单元配套公共管网完善及改造工程</w:t>
      </w:r>
      <w:r>
        <w:rPr>
          <w:rFonts w:hint="eastAsia" w:ascii="宋体" w:hAnsi="宋体" w:cs="宋体"/>
          <w:sz w:val="24"/>
        </w:rPr>
        <w:t>已由</w:t>
      </w:r>
      <w:r>
        <w:rPr>
          <w:rFonts w:hint="eastAsia" w:ascii="宋体" w:hAnsi="宋体" w:cs="宋体"/>
          <w:sz w:val="24"/>
          <w:u w:val="single"/>
        </w:rPr>
        <w:t>穗发改投批 (2023) 35 号</w:t>
      </w:r>
      <w:r>
        <w:rPr>
          <w:rFonts w:hint="eastAsia" w:ascii="宋体" w:hAnsi="宋体" w:cs="宋体"/>
          <w:sz w:val="24"/>
          <w:lang w:val="en-US" w:eastAsia="zh-CN"/>
        </w:rPr>
        <w:t>文</w:t>
      </w:r>
      <w:r>
        <w:rPr>
          <w:rFonts w:hint="eastAsia" w:ascii="宋体" w:hAnsi="宋体" w:cs="宋体"/>
          <w:sz w:val="24"/>
        </w:rPr>
        <w:t>批准建设，项目建设单位为</w:t>
      </w:r>
      <w:r>
        <w:rPr>
          <w:rFonts w:hint="eastAsia" w:ascii="宋体" w:hAnsi="宋体" w:cs="宋体"/>
          <w:sz w:val="24"/>
          <w:u w:val="single"/>
        </w:rPr>
        <w:t>广州市番禺区水务工程建管中心（广州市番禺区水旱灾害防御中心）</w:t>
      </w:r>
      <w:r>
        <w:rPr>
          <w:rFonts w:hint="eastAsia" w:ascii="宋体" w:hAnsi="宋体" w:cs="宋体"/>
          <w:sz w:val="24"/>
          <w:lang w:val="zh-CN"/>
        </w:rPr>
        <w:t>，</w:t>
      </w:r>
      <w:r>
        <w:rPr>
          <w:rFonts w:ascii="宋体" w:hAnsi="宋体"/>
          <w:sz w:val="24"/>
        </w:rPr>
        <w:t>建设资金来</w:t>
      </w:r>
      <w:r>
        <w:rPr>
          <w:rFonts w:hint="eastAsia" w:ascii="宋体" w:hAnsi="宋体"/>
          <w:sz w:val="24"/>
        </w:rPr>
        <w:t>源及出资比例为</w:t>
      </w:r>
      <w:r>
        <w:rPr>
          <w:rFonts w:hint="eastAsia" w:ascii="宋体" w:hAnsi="宋体"/>
          <w:sz w:val="24"/>
          <w:u w:val="single"/>
        </w:rPr>
        <w:t>财政资金</w:t>
      </w:r>
      <w:r>
        <w:rPr>
          <w:rFonts w:hint="eastAsia" w:ascii="宋体" w:hAnsi="宋体" w:cs="宋体"/>
          <w:sz w:val="24"/>
          <w:u w:val="single"/>
        </w:rPr>
        <w:t>占100%。</w:t>
      </w:r>
      <w:r>
        <w:rPr>
          <w:rFonts w:hint="eastAsia" w:ascii="宋体" w:hAnsi="宋体" w:cs="宋体"/>
          <w:sz w:val="24"/>
        </w:rPr>
        <w:t>招标人为</w:t>
      </w:r>
      <w:r>
        <w:rPr>
          <w:rFonts w:hint="eastAsia" w:ascii="宋体" w:hAnsi="宋体" w:cs="宋体"/>
          <w:sz w:val="24"/>
          <w:u w:val="single"/>
        </w:rPr>
        <w:t>广州市番禺区水务工程建管中心（广州市番禺区水旱灾害防御中心）</w:t>
      </w:r>
      <w:r>
        <w:rPr>
          <w:rFonts w:hint="eastAsia" w:ascii="宋体" w:hAnsi="宋体" w:cs="宋体"/>
          <w:sz w:val="24"/>
        </w:rPr>
        <w:t>。项目已具备招标条件，现对该项目</w:t>
      </w:r>
      <w:r>
        <w:rPr>
          <w:rFonts w:hint="eastAsia" w:ascii="宋体" w:hAnsi="宋体" w:cs="宋体"/>
          <w:sz w:val="24"/>
          <w:u w:val="single"/>
        </w:rPr>
        <w:t>第三方检测</w:t>
      </w:r>
      <w:r>
        <w:rPr>
          <w:rFonts w:hint="eastAsia" w:ascii="宋体" w:hAnsi="宋体" w:cs="宋体"/>
          <w:sz w:val="24"/>
        </w:rPr>
        <w:t>服务进行公开招标。</w:t>
      </w:r>
    </w:p>
    <w:p>
      <w:pPr>
        <w:pStyle w:val="4"/>
        <w:tabs>
          <w:tab w:val="left" w:pos="501"/>
        </w:tabs>
        <w:spacing w:line="360" w:lineRule="auto"/>
        <w:rPr>
          <w:rFonts w:hint="eastAsia" w:cs="宋体"/>
          <w:spacing w:val="2"/>
          <w:sz w:val="28"/>
          <w:szCs w:val="28"/>
        </w:rPr>
      </w:pPr>
      <w:bookmarkStart w:id="13" w:name="_bookmark3"/>
      <w:bookmarkEnd w:id="13"/>
      <w:bookmarkStart w:id="14" w:name="_Toc3689"/>
      <w:bookmarkStart w:id="15" w:name="_Toc22087"/>
      <w:bookmarkStart w:id="16" w:name="_Toc16450"/>
      <w:bookmarkStart w:id="17" w:name="_Toc6043"/>
      <w:bookmarkStart w:id="18" w:name="_Toc26347"/>
      <w:bookmarkStart w:id="19" w:name="_Toc28318"/>
      <w:bookmarkStart w:id="20" w:name="_Toc10557"/>
      <w:bookmarkStart w:id="21" w:name="_Toc16057"/>
      <w:bookmarkStart w:id="22" w:name="_Toc3704"/>
      <w:bookmarkStart w:id="23" w:name="_Toc4768"/>
      <w:bookmarkStart w:id="24" w:name="_Toc310"/>
      <w:bookmarkStart w:id="25" w:name="_Toc23939"/>
      <w:r>
        <w:rPr>
          <w:rFonts w:hint="eastAsia" w:cs="宋体"/>
          <w:spacing w:val="2"/>
          <w:sz w:val="28"/>
          <w:szCs w:val="28"/>
        </w:rPr>
        <w:t>2. 项目概况与招标范围</w:t>
      </w:r>
      <w:bookmarkEnd w:id="14"/>
      <w:bookmarkEnd w:id="15"/>
      <w:bookmarkEnd w:id="16"/>
      <w:bookmarkEnd w:id="17"/>
      <w:bookmarkEnd w:id="18"/>
      <w:bookmarkEnd w:id="19"/>
      <w:bookmarkEnd w:id="20"/>
      <w:bookmarkEnd w:id="21"/>
      <w:bookmarkEnd w:id="22"/>
      <w:bookmarkEnd w:id="23"/>
      <w:bookmarkEnd w:id="24"/>
      <w:bookmarkEnd w:id="25"/>
    </w:p>
    <w:p>
      <w:pPr>
        <w:wordWrap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 招标项目概况</w:t>
      </w:r>
    </w:p>
    <w:p>
      <w:pPr>
        <w:wordWrap w:val="0"/>
        <w:adjustRightInd w:val="0"/>
        <w:snapToGrid w:val="0"/>
        <w:spacing w:line="360" w:lineRule="auto"/>
        <w:ind w:firstLine="480" w:firstLineChars="200"/>
        <w:rPr>
          <w:rFonts w:ascii="宋体" w:hAnsi="宋体" w:cs="宋体"/>
          <w:sz w:val="24"/>
        </w:rPr>
      </w:pPr>
      <w:r>
        <w:rPr>
          <w:rFonts w:hint="eastAsia" w:ascii="宋体" w:hAnsi="宋体" w:cs="宋体"/>
          <w:sz w:val="24"/>
        </w:rPr>
        <w:t>2.1.1 项目名称:番禺区前锋中部流域第二批排水单元配套公共管网完善及改造工程第三方检测</w:t>
      </w:r>
    </w:p>
    <w:p>
      <w:pPr>
        <w:spacing w:line="360" w:lineRule="auto"/>
        <w:ind w:firstLine="480" w:firstLineChars="200"/>
        <w:jc w:val="left"/>
        <w:rPr>
          <w:rFonts w:hint="eastAsia" w:ascii="宋体" w:hAnsi="宋体" w:cs="宋体"/>
          <w:sz w:val="24"/>
        </w:rPr>
      </w:pPr>
      <w:r>
        <w:rPr>
          <w:rFonts w:hint="eastAsia" w:ascii="宋体" w:hAnsi="宋体" w:cs="宋体"/>
          <w:sz w:val="24"/>
        </w:rPr>
        <w:t>2.1.2工程建设规模：</w:t>
      </w:r>
      <w:r>
        <w:rPr>
          <w:rFonts w:hint="eastAsia" w:ascii="宋体" w:hAnsi="宋体" w:cs="宋体"/>
          <w:sz w:val="24"/>
          <w:u w:val="single"/>
        </w:rPr>
        <w:t>本工程服务范围为番禺区前锋中部污水系统，包括番禺区大龙街、 石碁镇、化龙镇，工程范围面积约 31.56 平方公里</w:t>
      </w:r>
      <w:r>
        <w:rPr>
          <w:rFonts w:hint="eastAsia" w:cs="宋体"/>
          <w:bCs/>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本工程的建设内容：</w:t>
      </w:r>
      <w:r>
        <w:rPr>
          <w:rFonts w:hint="eastAsia" w:ascii="宋体" w:hAnsi="宋体" w:cs="宋体"/>
          <w:sz w:val="24"/>
          <w:u w:val="single"/>
        </w:rPr>
        <w:t>本工程服务范围为番禺区前锋中部污水系统，包括番禺区大龙街、 石碁镇、化龙镇，工程范围面积约 31.56 平方公里，主要涉及小龙涌、长沙涌、傍江西涌、傍江东涌、石岗西涌、石岗东涌、狮子桥涌等 7 条河涌。新建 d200-d600 污水管 15.59 千米；新建 d200-d1200 雨水管 2.47 千米；修复 d300-d1000 现状管 0.61 千米。</w:t>
      </w:r>
      <w:r>
        <w:rPr>
          <w:rFonts w:hint="eastAsia"/>
          <w:sz w:val="24"/>
          <w:szCs w:val="32"/>
          <w:u w:val="single"/>
        </w:rPr>
        <w:t>（</w:t>
      </w:r>
      <w:r>
        <w:rPr>
          <w:rFonts w:hint="eastAsia" w:ascii="宋体" w:hAnsi="宋体" w:cs="宋体"/>
          <w:sz w:val="24"/>
          <w:u w:val="single"/>
        </w:rPr>
        <w:t>具体以发包人确认的施工图为准）。</w:t>
      </w:r>
    </w:p>
    <w:p>
      <w:pPr>
        <w:spacing w:line="360" w:lineRule="auto"/>
        <w:ind w:firstLine="480" w:firstLineChars="200"/>
        <w:rPr>
          <w:rStyle w:val="22"/>
          <w:rFonts w:hint="eastAsia" w:ascii="宋体" w:hAnsi="宋体" w:cs="宋体"/>
          <w:sz w:val="24"/>
          <w:szCs w:val="24"/>
          <w:u w:val="single"/>
        </w:rPr>
      </w:pPr>
      <w:r>
        <w:rPr>
          <w:rFonts w:hint="eastAsia" w:ascii="宋体" w:hAnsi="宋体" w:cs="宋体"/>
          <w:sz w:val="24"/>
        </w:rPr>
        <w:t>2.1.3工程建设地点：</w:t>
      </w:r>
      <w:r>
        <w:rPr>
          <w:rFonts w:hint="eastAsia" w:ascii="宋体" w:hAnsi="宋体" w:cs="宋体"/>
          <w:sz w:val="24"/>
          <w:u w:val="single"/>
        </w:rPr>
        <w:t>位于广州市番禺区</w:t>
      </w:r>
      <w:r>
        <w:rPr>
          <w:rFonts w:hint="eastAsia" w:ascii="宋体" w:hAnsi="宋体" w:cs="宋体"/>
          <w:color w:val="000000"/>
          <w:sz w:val="24"/>
        </w:rPr>
        <w:t>。</w:t>
      </w:r>
    </w:p>
    <w:p>
      <w:pPr>
        <w:wordWrap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2.2招标范围</w:t>
      </w:r>
    </w:p>
    <w:p>
      <w:pPr>
        <w:snapToGrid w:val="0"/>
        <w:spacing w:line="360" w:lineRule="auto"/>
        <w:ind w:firstLine="480" w:firstLineChars="200"/>
        <w:rPr>
          <w:rFonts w:ascii="宋体" w:hAnsi="宋体" w:cs="宋体"/>
          <w:sz w:val="24"/>
          <w:u w:val="single"/>
        </w:rPr>
      </w:pPr>
      <w:r>
        <w:rPr>
          <w:rFonts w:hint="eastAsia" w:ascii="宋体" w:hAnsi="宋体" w:cs="宋体"/>
          <w:sz w:val="24"/>
        </w:rPr>
        <w:t>2.2.1标段划分：</w:t>
      </w:r>
    </w:p>
    <w:p>
      <w:pPr>
        <w:snapToGrid w:val="0"/>
        <w:spacing w:line="360" w:lineRule="auto"/>
        <w:ind w:firstLine="480" w:firstLineChars="200"/>
        <w:rPr>
          <w:rFonts w:hint="eastAsia" w:ascii="宋体" w:hAnsi="宋体" w:cs="宋体"/>
          <w:sz w:val="24"/>
        </w:rPr>
      </w:pPr>
      <w:r>
        <w:rPr>
          <w:rFonts w:hint="eastAsia" w:ascii="宋体" w:hAnsi="宋体" w:cs="宋体"/>
          <w:sz w:val="24"/>
          <w:u w:val="single"/>
        </w:rPr>
        <w:t>本招标项目分为1个标段。</w:t>
      </w:r>
    </w:p>
    <w:p>
      <w:pPr>
        <w:wordWrap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2.2.2招标内容： </w:t>
      </w:r>
    </w:p>
    <w:p>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1）按国家现行的规范及规定，代表招标人对番禺区前锋中部流域第二批排水单元配套公共管网完善及改造工程开展材料（抽样）检测、中间产品检测、实体结构检测、基础检测、金属结构检测、机械电气检测、基坑监测、量测测量、功能性检测及CCTV检测等,为业主提供工程质量、安全方面的检测数据等服务工作。（实际检测项目及数量以施工图纸和相关规范确定并经甲方确认的检测方案为准）</w:t>
      </w:r>
    </w:p>
    <w:p>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服务范围除以上工程检测监测、试验工作外，还包括但不限于以下内容：</w:t>
      </w:r>
    </w:p>
    <w:p>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①与工程所在行政区域的相关水务行政主管部门和监督部门进行检测工作的沟通协调；及时出具检测数据、成果，确保检测工作不影响工程项目的建设进度和竣工验收。</w:t>
      </w:r>
    </w:p>
    <w:p>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②在进行检测监测任务的过程中与该工程相关的施工单位、监理单位、设计单位、行业主管部门等相关单位的协调工作，投标人需在投标报价中综合考虑该项协调工作的费用。</w:t>
      </w:r>
    </w:p>
    <w:p>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③</w:t>
      </w:r>
      <w:r>
        <w:rPr>
          <w:rFonts w:hint="eastAsia" w:ascii="宋体" w:hAnsi="宋体"/>
          <w:kern w:val="0"/>
          <w:sz w:val="24"/>
          <w:u w:val="single"/>
        </w:rPr>
        <w:t>检测数据通过“广州市水务工程质量检测监管系统”进行传输报送</w:t>
      </w:r>
      <w:r>
        <w:rPr>
          <w:rFonts w:hint="eastAsia" w:ascii="宋体" w:hAnsi="宋体" w:cs="宋体"/>
          <w:sz w:val="24"/>
          <w:u w:val="single"/>
        </w:rPr>
        <w:t>，确保不因传输报送工作影响本工程项目的建设进度和竣工验收。</w:t>
      </w:r>
    </w:p>
    <w:p>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2）检测监测的要求：依据《建设工程质量检测管理办法》（建设部令第141号）及国家现行有关规范要求，根据本项目检测监测服务内容，中标人制定检测监测方案（含细化工程量清单），并报监理和建设单位审批同意后，方可实施。各专业项目进行实际检测监测前，需将具体检测监测方案和工程量报监理和建设单位审批同意后方可进行。未经建设单位审批同意擅自检测监测的，产生的相关检测监测费建设单位不予认可，由中标单位自负。中标人按照审批同意的工程量检测监测清单进场检测监测，实施过程中做好现场拍照留底记录，实际发生的检测监测工程量须由监理和建设单位现场负责人书面确认，否则不予结算。建设单位有权根据行业主管部门要求增加或减少计划表所列检测监测方法和数量。</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3）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本次招标完成前，因项目建设进度需要，由建设单位委托第三方检测监测单位已经进行的检测监测项目，在本次招标完成后，由中标单位与第三方检测监测单位完善分包合同。该部分检测监测内容及费用纳入中标单位合同一并进行结算。</w:t>
      </w:r>
    </w:p>
    <w:p>
      <w:pPr>
        <w:tabs>
          <w:tab w:val="left" w:pos="7513"/>
        </w:tabs>
        <w:spacing w:line="360" w:lineRule="auto"/>
        <w:ind w:firstLine="480" w:firstLineChars="200"/>
        <w:rPr>
          <w:rFonts w:hint="eastAsia" w:ascii="宋体" w:hAnsi="宋体"/>
          <w:sz w:val="24"/>
          <w:u w:val="single"/>
        </w:rPr>
      </w:pPr>
      <w:r>
        <w:rPr>
          <w:rFonts w:hint="eastAsia" w:ascii="宋体" w:hAnsi="宋体" w:cs="宋体"/>
          <w:sz w:val="24"/>
        </w:rPr>
        <w:t>2.3</w:t>
      </w:r>
      <w:r>
        <w:rPr>
          <w:rFonts w:hint="eastAsia" w:ascii="宋体" w:hAnsi="宋体"/>
          <w:sz w:val="24"/>
        </w:rPr>
        <w:t>最高投标限价</w:t>
      </w:r>
      <w:r>
        <w:rPr>
          <w:rFonts w:hint="eastAsia" w:ascii="宋体" w:hAnsi="宋体" w:cs="宋体"/>
          <w:sz w:val="24"/>
        </w:rPr>
        <w:t>为：</w:t>
      </w:r>
      <w:r>
        <w:rPr>
          <w:rFonts w:hint="eastAsia" w:ascii="宋体" w:hAnsi="宋体" w:cs="宋体"/>
          <w:sz w:val="24"/>
          <w:lang w:val="en-US" w:eastAsia="zh-CN"/>
        </w:rPr>
        <w:t>最</w:t>
      </w:r>
      <w:r>
        <w:rPr>
          <w:rFonts w:hint="eastAsia" w:ascii="宋体" w:hAnsi="宋体"/>
          <w:sz w:val="24"/>
        </w:rPr>
        <w:t>高投标限价</w:t>
      </w:r>
      <w:r>
        <w:rPr>
          <w:rFonts w:hint="eastAsia" w:ascii="宋体" w:hAnsi="宋体" w:cs="宋体"/>
          <w:sz w:val="24"/>
          <w:u w:val="single"/>
          <w:lang w:val="en-US" w:eastAsia="zh-CN"/>
        </w:rPr>
        <w:t>291.075389</w:t>
      </w:r>
      <w:r>
        <w:rPr>
          <w:rFonts w:hint="eastAsia" w:ascii="宋体" w:hAnsi="宋体"/>
          <w:sz w:val="24"/>
        </w:rPr>
        <w:t>万元</w:t>
      </w:r>
      <w:r>
        <w:rPr>
          <w:rFonts w:hint="eastAsia" w:ascii="宋体" w:hAnsi="宋体"/>
          <w:sz w:val="24"/>
          <w:lang w:eastAsia="zh-CN"/>
        </w:rPr>
        <w:t>（</w:t>
      </w:r>
      <w:r>
        <w:rPr>
          <w:rFonts w:hint="eastAsia" w:ascii="宋体" w:hAnsi="宋体"/>
          <w:sz w:val="24"/>
        </w:rPr>
        <w:t>检验检测费：</w:t>
      </w:r>
      <w:r>
        <w:rPr>
          <w:rFonts w:hint="eastAsia" w:ascii="宋体" w:hAnsi="宋体"/>
          <w:sz w:val="24"/>
          <w:lang w:val="en-US" w:eastAsia="zh-CN"/>
        </w:rPr>
        <w:t>244.747414万元</w:t>
      </w:r>
      <w:r>
        <w:rPr>
          <w:rFonts w:hint="eastAsia" w:ascii="宋体" w:hAnsi="宋体"/>
          <w:sz w:val="24"/>
          <w:lang w:eastAsia="zh-CN"/>
        </w:rPr>
        <w:t>，</w:t>
      </w:r>
      <w:r>
        <w:rPr>
          <w:rFonts w:hint="eastAsia" w:ascii="宋体" w:hAnsi="宋体"/>
          <w:sz w:val="24"/>
        </w:rPr>
        <w:t>CCTV检测费：</w:t>
      </w:r>
      <w:r>
        <w:rPr>
          <w:rFonts w:hint="eastAsia" w:ascii="宋体" w:hAnsi="宋体"/>
          <w:sz w:val="24"/>
          <w:lang w:val="en-US" w:eastAsia="zh-CN"/>
        </w:rPr>
        <w:t>46.327975</w:t>
      </w:r>
      <w:r>
        <w:rPr>
          <w:rFonts w:hint="eastAsia" w:ascii="宋体" w:hAnsi="宋体"/>
          <w:sz w:val="24"/>
        </w:rPr>
        <w:t>)。</w:t>
      </w:r>
    </w:p>
    <w:p>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2.4服务期限：</w:t>
      </w:r>
      <w:r>
        <w:rPr>
          <w:rFonts w:hint="eastAsia" w:ascii="宋体" w:hAnsi="宋体" w:cs="宋体"/>
          <w:sz w:val="24"/>
          <w:u w:val="single"/>
        </w:rPr>
        <w:t>从中标单位进场至完成所有检测、监测项目且技术成果通过审批，检测监测工作进度必须满足现场施工和招标人的要求。进场日期以招标人通知时间为准。</w:t>
      </w:r>
    </w:p>
    <w:p>
      <w:pPr>
        <w:spacing w:line="360" w:lineRule="auto"/>
        <w:ind w:firstLine="424" w:firstLineChars="177"/>
        <w:jc w:val="left"/>
        <w:rPr>
          <w:rFonts w:hint="eastAsia" w:ascii="宋体" w:hAnsi="宋体" w:cs="宋体"/>
          <w:sz w:val="24"/>
          <w:u w:val="single"/>
          <w:lang w:bidi="ar"/>
        </w:rPr>
      </w:pPr>
      <w:r>
        <w:rPr>
          <w:rFonts w:hint="eastAsia" w:ascii="宋体" w:hAnsi="宋体" w:cs="宋体"/>
          <w:sz w:val="24"/>
        </w:rPr>
        <w:t>2.5承包方式：</w:t>
      </w:r>
      <w:r>
        <w:rPr>
          <w:rFonts w:hint="eastAsia" w:ascii="宋体" w:hAnsi="宋体" w:cs="宋体"/>
          <w:sz w:val="24"/>
          <w:u w:val="single"/>
          <w:lang w:bidi="ar"/>
        </w:rPr>
        <w:t>本项目采用综合单价包干。</w:t>
      </w:r>
    </w:p>
    <w:p>
      <w:pPr>
        <w:spacing w:line="360" w:lineRule="auto"/>
        <w:ind w:firstLine="424" w:firstLineChars="177"/>
        <w:jc w:val="left"/>
        <w:rPr>
          <w:rFonts w:hint="eastAsia" w:ascii="宋体" w:hAnsi="宋体" w:cs="宋体"/>
          <w:sz w:val="24"/>
          <w:lang w:bidi="ar"/>
        </w:rPr>
      </w:pPr>
      <w:r>
        <w:rPr>
          <w:rFonts w:hint="eastAsia" w:ascii="宋体" w:hAnsi="宋体" w:cs="宋体"/>
          <w:sz w:val="24"/>
          <w:u w:val="single"/>
          <w:lang w:bidi="ar"/>
        </w:rPr>
        <w:t>注：投标人根据招标文件要求以及企业自身情况填报投标下浮率，投标总报价不得超过最高投标限价。结算价不得高于财审概算中对应项的财审价，最终结算价以财政评审为准。以上费用已包含了税费和为完成所有要求而可能产生的不可预见的费用。</w:t>
      </w:r>
    </w:p>
    <w:p>
      <w:pPr>
        <w:pStyle w:val="4"/>
        <w:tabs>
          <w:tab w:val="left" w:pos="501"/>
        </w:tabs>
        <w:spacing w:line="360" w:lineRule="auto"/>
        <w:rPr>
          <w:rFonts w:hint="eastAsia" w:cs="宋体"/>
          <w:spacing w:val="2"/>
          <w:sz w:val="28"/>
          <w:szCs w:val="28"/>
        </w:rPr>
      </w:pPr>
      <w:bookmarkStart w:id="26" w:name="_bookmark4"/>
      <w:bookmarkEnd w:id="26"/>
      <w:bookmarkStart w:id="27" w:name="_Toc14815"/>
      <w:bookmarkStart w:id="28" w:name="_Toc26871"/>
      <w:bookmarkStart w:id="29" w:name="_Toc22899"/>
      <w:bookmarkStart w:id="30" w:name="_Toc12611"/>
      <w:bookmarkStart w:id="31" w:name="_Toc25458"/>
      <w:bookmarkStart w:id="32" w:name="_Toc30554"/>
      <w:bookmarkStart w:id="33" w:name="_Toc28417"/>
      <w:bookmarkStart w:id="34" w:name="_Toc30798"/>
      <w:bookmarkStart w:id="35" w:name="_Toc9293"/>
      <w:bookmarkStart w:id="36" w:name="_Toc4636"/>
      <w:bookmarkStart w:id="37" w:name="_Toc22659"/>
      <w:bookmarkStart w:id="38" w:name="_Toc3639"/>
      <w:r>
        <w:rPr>
          <w:rFonts w:hint="eastAsia" w:cs="宋体"/>
          <w:spacing w:val="2"/>
          <w:sz w:val="28"/>
          <w:szCs w:val="28"/>
        </w:rPr>
        <w:t>3. 投标人资格要求</w:t>
      </w:r>
      <w:bookmarkEnd w:id="27"/>
      <w:bookmarkEnd w:id="28"/>
      <w:bookmarkEnd w:id="29"/>
      <w:bookmarkEnd w:id="30"/>
      <w:bookmarkEnd w:id="31"/>
      <w:bookmarkEnd w:id="32"/>
      <w:bookmarkEnd w:id="33"/>
      <w:bookmarkEnd w:id="34"/>
      <w:bookmarkEnd w:id="35"/>
      <w:bookmarkEnd w:id="36"/>
      <w:bookmarkEnd w:id="37"/>
      <w:bookmarkEnd w:id="38"/>
    </w:p>
    <w:p>
      <w:pPr>
        <w:wordWrap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3.1投标人参加投标的意思表达清楚，投标人代表被授权有效；</w:t>
      </w:r>
    </w:p>
    <w:p>
      <w:pPr>
        <w:wordWrap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3.2投标人（</w:t>
      </w:r>
      <w:r>
        <w:rPr>
          <w:rFonts w:hint="eastAsia" w:ascii="宋体" w:hAnsi="宋体" w:cs="宋体"/>
          <w:sz w:val="24"/>
          <w:lang w:val="en-US" w:eastAsia="zh-CN"/>
        </w:rPr>
        <w:t>如为联合体，指</w:t>
      </w:r>
      <w:r>
        <w:rPr>
          <w:rFonts w:hint="eastAsia" w:ascii="宋体" w:hAnsi="宋体" w:cs="宋体"/>
          <w:sz w:val="24"/>
        </w:rPr>
        <w:t>联合体各方）具有独立法人资格，持有事业单位登记管理部门核发的事业单位法人证书或工商行政管理部门核发的企业法人营业执照，且在有效期限内；</w:t>
      </w:r>
    </w:p>
    <w:p>
      <w:pPr>
        <w:wordWrap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3.3本次招标要求投标人（</w:t>
      </w:r>
      <w:r>
        <w:rPr>
          <w:rFonts w:hint="eastAsia" w:ascii="宋体" w:hAnsi="宋体" w:cs="宋体"/>
          <w:sz w:val="24"/>
          <w:lang w:val="en-US" w:eastAsia="zh-CN"/>
        </w:rPr>
        <w:t>如为联合体，指</w:t>
      </w:r>
      <w:r>
        <w:rPr>
          <w:rFonts w:hint="eastAsia" w:ascii="宋体" w:hAnsi="宋体" w:cs="宋体"/>
          <w:sz w:val="24"/>
        </w:rPr>
        <w:t>联合体各方）同时具备以下两种资质：</w:t>
      </w:r>
    </w:p>
    <w:p>
      <w:pPr>
        <w:wordWrap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3.3.1投标人</w:t>
      </w:r>
      <w:r>
        <w:rPr>
          <w:rFonts w:hint="eastAsia" w:ascii="宋体" w:hAnsi="宋体" w:cs="宋体"/>
          <w:sz w:val="24"/>
          <w:lang w:eastAsia="zh-CN"/>
        </w:rPr>
        <w:t>（如</w:t>
      </w:r>
      <w:r>
        <w:rPr>
          <w:rFonts w:hint="eastAsia" w:ascii="宋体" w:hAnsi="宋体" w:cs="宋体"/>
          <w:sz w:val="24"/>
          <w:lang w:val="en-US" w:eastAsia="zh-CN"/>
        </w:rPr>
        <w:t>为</w:t>
      </w:r>
      <w:r>
        <w:rPr>
          <w:rFonts w:hint="eastAsia" w:ascii="宋体" w:hAnsi="宋体" w:cs="宋体"/>
          <w:sz w:val="24"/>
          <w:lang w:eastAsia="zh-CN"/>
        </w:rPr>
        <w:t>联合体，指联合体各方）</w:t>
      </w:r>
      <w:r>
        <w:rPr>
          <w:rFonts w:hint="eastAsia" w:ascii="宋体" w:hAnsi="宋体" w:cs="宋体"/>
          <w:sz w:val="24"/>
        </w:rPr>
        <w:t>须具备质量技术监督部门颁发的CMA计量认证合格证书（或CMA检验检测机构资质认定证书）（认证范围应涵盖本招标内容），且证书在有效期内；</w:t>
      </w:r>
    </w:p>
    <w:p>
      <w:pPr>
        <w:wordWrap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3.3.2投标人</w:t>
      </w:r>
      <w:r>
        <w:rPr>
          <w:rFonts w:hint="eastAsia" w:ascii="宋体" w:hAnsi="宋体" w:cs="宋体"/>
          <w:sz w:val="24"/>
          <w:lang w:eastAsia="zh-CN"/>
        </w:rPr>
        <w:t>（如</w:t>
      </w:r>
      <w:r>
        <w:rPr>
          <w:rFonts w:hint="eastAsia" w:ascii="宋体" w:hAnsi="宋体" w:cs="宋体"/>
          <w:sz w:val="24"/>
          <w:lang w:val="en-US" w:eastAsia="zh-CN"/>
        </w:rPr>
        <w:t>为</w:t>
      </w:r>
      <w:r>
        <w:rPr>
          <w:rFonts w:hint="eastAsia" w:ascii="宋体" w:hAnsi="宋体" w:cs="宋体"/>
          <w:sz w:val="24"/>
          <w:lang w:eastAsia="zh-CN"/>
        </w:rPr>
        <w:t>联合体，指联合体各方）</w:t>
      </w:r>
      <w:r>
        <w:rPr>
          <w:rFonts w:hint="eastAsia" w:ascii="宋体" w:hAnsi="宋体" w:cs="宋体"/>
          <w:sz w:val="24"/>
        </w:rPr>
        <w:t>具备建设行政主管部门颁发的建设工程质量检测机构资质证书（检测机构资质证书范围应涵盖本招标内容，包括但不限于见证取样检测、地基基础工程检测、主体结构工程现场检测等资质)，且资质证书在有效期内；</w:t>
      </w:r>
    </w:p>
    <w:p>
      <w:pPr>
        <w:wordWrap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3.4投标人（如为联合体，</w:t>
      </w:r>
      <w:r>
        <w:rPr>
          <w:rFonts w:hint="eastAsia" w:ascii="宋体" w:hAnsi="宋体" w:cs="宋体"/>
          <w:sz w:val="24"/>
          <w:lang w:val="en-US" w:eastAsia="zh-CN"/>
        </w:rPr>
        <w:t>指</w:t>
      </w:r>
      <w:r>
        <w:rPr>
          <w:rFonts w:hint="eastAsia" w:ascii="宋体" w:hAnsi="宋体" w:cs="宋体"/>
          <w:sz w:val="24"/>
        </w:rPr>
        <w:t>联合体牵头人）拟担任本工程项目负责人应具有工程类相关专业工程师（或以上）技术职称；</w:t>
      </w:r>
    </w:p>
    <w:p>
      <w:pPr>
        <w:wordWrap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3.5投标人（如为联合体，</w:t>
      </w:r>
      <w:r>
        <w:rPr>
          <w:rFonts w:hint="eastAsia" w:ascii="宋体" w:hAnsi="宋体" w:cs="宋体"/>
          <w:sz w:val="24"/>
          <w:lang w:val="en-US" w:eastAsia="zh-CN"/>
        </w:rPr>
        <w:t>指</w:t>
      </w:r>
      <w:r>
        <w:rPr>
          <w:rFonts w:hint="eastAsia" w:ascii="宋体" w:hAnsi="宋体" w:cs="宋体"/>
          <w:sz w:val="24"/>
        </w:rPr>
        <w:t>联合体牵头人）已按照招标公告附件一的内容签署盖章的《投标人声明》；</w:t>
      </w:r>
    </w:p>
    <w:p>
      <w:pPr>
        <w:wordWrap w:val="0"/>
        <w:adjustRightInd w:val="0"/>
        <w:snapToGrid w:val="0"/>
        <w:spacing w:line="360" w:lineRule="auto"/>
        <w:ind w:firstLine="480" w:firstLineChars="200"/>
        <w:rPr>
          <w:rFonts w:hint="eastAsia" w:ascii="宋体" w:hAnsi="宋体" w:cs="宋体"/>
          <w:b/>
          <w:sz w:val="24"/>
          <w:u w:val="single"/>
        </w:rPr>
      </w:pPr>
      <w:r>
        <w:rPr>
          <w:rFonts w:hint="eastAsia" w:ascii="宋体" w:hAnsi="宋体" w:cs="宋体"/>
          <w:sz w:val="24"/>
        </w:rPr>
        <w:t>3.6关于联合体投标：</w:t>
      </w:r>
      <w:r>
        <w:rPr>
          <w:rFonts w:hint="eastAsia" w:ascii="宋体" w:hAnsi="宋体" w:cs="宋体"/>
          <w:b/>
          <w:sz w:val="24"/>
          <w:u w:val="single"/>
        </w:rPr>
        <w:t>本项目接受联合体投标。</w:t>
      </w:r>
    </w:p>
    <w:p>
      <w:pPr>
        <w:pStyle w:val="5"/>
        <w:numPr>
          <w:ilvl w:val="0"/>
          <w:numId w:val="0"/>
        </w:numPr>
        <w:spacing w:line="360" w:lineRule="auto"/>
        <w:ind w:firstLine="420" w:firstLineChars="175"/>
        <w:rPr>
          <w:rFonts w:hint="eastAsia" w:ascii="宋体" w:hAnsi="宋体" w:cs="宋体"/>
          <w:sz w:val="24"/>
          <w:u w:val="single"/>
        </w:rPr>
      </w:pPr>
      <w:r>
        <w:rPr>
          <w:rFonts w:hint="eastAsia" w:ascii="宋体" w:hAnsi="宋体" w:cs="宋体"/>
          <w:sz w:val="24"/>
          <w:u w:val="single"/>
          <w:lang w:eastAsia="zh-CN"/>
        </w:rPr>
        <w:t>（</w:t>
      </w:r>
      <w:r>
        <w:rPr>
          <w:rFonts w:hint="eastAsia" w:ascii="宋体" w:hAnsi="宋体" w:cs="宋体"/>
          <w:sz w:val="24"/>
          <w:u w:val="single"/>
        </w:rPr>
        <w:t>1）允许联合体投标，只接受不多于2家单位组成的联合体，如投标人组成联合体，联合体应当在投标登记前组成，并按要求签署盖章签定</w:t>
      </w:r>
      <w:r>
        <w:rPr>
          <w:rFonts w:hint="eastAsia" w:ascii="宋体" w:hAnsi="宋体" w:cs="宋体"/>
          <w:sz w:val="24"/>
          <w:u w:val="single"/>
          <w:lang w:eastAsia="zh-CN"/>
        </w:rPr>
        <w:t>《联合体协议书》</w:t>
      </w:r>
      <w:r>
        <w:rPr>
          <w:rFonts w:hint="eastAsia" w:ascii="宋体" w:hAnsi="宋体" w:cs="宋体"/>
          <w:sz w:val="24"/>
          <w:u w:val="single"/>
        </w:rPr>
        <w:t>（附件二）。投标人拟任本工程项目负责人应为牵头人正式员工。</w:t>
      </w:r>
      <w:r>
        <w:rPr>
          <w:rFonts w:hint="eastAsia" w:ascii="宋体" w:hAnsi="宋体" w:cs="宋体"/>
          <w:sz w:val="24"/>
          <w:u w:val="single"/>
          <w:lang w:eastAsia="zh-CN"/>
        </w:rPr>
        <w:t>《联合体协议书》</w:t>
      </w:r>
      <w:r>
        <w:rPr>
          <w:rFonts w:hint="eastAsia" w:ascii="宋体" w:hAnsi="宋体" w:cs="宋体"/>
          <w:sz w:val="24"/>
          <w:u w:val="single"/>
        </w:rPr>
        <w:t>应明确约定各方拟承担的工作和责任。投标截止后联合体增减、更换成员的，其投标无效。</w:t>
      </w:r>
    </w:p>
    <w:p>
      <w:pPr>
        <w:pStyle w:val="5"/>
        <w:numPr>
          <w:ilvl w:val="0"/>
          <w:numId w:val="0"/>
        </w:numPr>
        <w:spacing w:line="360" w:lineRule="auto"/>
        <w:ind w:firstLine="420" w:firstLineChars="175"/>
        <w:rPr>
          <w:rFonts w:hint="eastAsia" w:ascii="宋体" w:hAnsi="宋体" w:cs="宋体"/>
          <w:sz w:val="24"/>
          <w:u w:val="single"/>
        </w:rPr>
      </w:pPr>
      <w:r>
        <w:rPr>
          <w:rFonts w:hint="eastAsia" w:ascii="宋体" w:hAnsi="宋体" w:cs="宋体"/>
          <w:sz w:val="24"/>
          <w:u w:val="single"/>
          <w:lang w:eastAsia="zh-CN"/>
        </w:rPr>
        <w:t>（</w:t>
      </w:r>
      <w:r>
        <w:rPr>
          <w:rFonts w:hint="eastAsia" w:ascii="宋体" w:hAnsi="宋体" w:cs="宋体"/>
          <w:sz w:val="24"/>
          <w:u w:val="single"/>
        </w:rPr>
        <w:t>2）联合体各方（包括</w:t>
      </w:r>
      <w:r>
        <w:rPr>
          <w:rFonts w:hint="eastAsia" w:ascii="宋体" w:hAnsi="宋体" w:cs="宋体"/>
          <w:sz w:val="24"/>
          <w:u w:val="single"/>
          <w:lang w:eastAsia="zh-CN"/>
        </w:rPr>
        <w:t>牵头人</w:t>
      </w:r>
      <w:r>
        <w:rPr>
          <w:rFonts w:hint="eastAsia" w:ascii="宋体" w:hAnsi="宋体" w:cs="宋体"/>
          <w:sz w:val="24"/>
          <w:u w:val="single"/>
        </w:rPr>
        <w:t>及联合体成员）不得再单独或与其他单位组成联合体参与本项目投标。出现上述情况者，其投标和与此有关的联合体的投标将被拒绝。</w:t>
      </w:r>
    </w:p>
    <w:p>
      <w:pPr>
        <w:pStyle w:val="5"/>
        <w:numPr>
          <w:ilvl w:val="0"/>
          <w:numId w:val="0"/>
        </w:numPr>
        <w:spacing w:line="360" w:lineRule="auto"/>
        <w:ind w:firstLine="420" w:firstLineChars="175"/>
        <w:rPr>
          <w:rFonts w:hint="eastAsia"/>
          <w:sz w:val="24"/>
          <w:u w:val="single"/>
        </w:rPr>
      </w:pPr>
      <w:r>
        <w:rPr>
          <w:rFonts w:hint="eastAsia" w:ascii="宋体" w:hAnsi="宋体" w:cs="宋体"/>
          <w:sz w:val="24"/>
          <w:u w:val="single"/>
          <w:lang w:eastAsia="zh-CN"/>
        </w:rPr>
        <w:t>（</w:t>
      </w:r>
      <w:r>
        <w:rPr>
          <w:rFonts w:hint="eastAsia" w:ascii="宋体" w:hAnsi="宋体" w:cs="宋体"/>
          <w:sz w:val="24"/>
          <w:u w:val="single"/>
        </w:rPr>
        <w:t>3）</w:t>
      </w:r>
      <w:r>
        <w:rPr>
          <w:rFonts w:hint="eastAsia"/>
          <w:sz w:val="24"/>
          <w:u w:val="single"/>
        </w:rPr>
        <w:t>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p>
    <w:p>
      <w:pPr>
        <w:pStyle w:val="5"/>
        <w:numPr>
          <w:ilvl w:val="0"/>
          <w:numId w:val="0"/>
        </w:numPr>
        <w:spacing w:line="360" w:lineRule="auto"/>
        <w:ind w:firstLine="420" w:firstLineChars="175"/>
        <w:rPr>
          <w:rFonts w:hint="default" w:eastAsia="宋体"/>
          <w:lang w:val="en-US" w:eastAsia="zh-CN"/>
        </w:rPr>
      </w:pPr>
      <w:r>
        <w:rPr>
          <w:rFonts w:hint="eastAsia"/>
          <w:sz w:val="24"/>
          <w:u w:val="single"/>
          <w:lang w:val="en-US" w:eastAsia="zh-CN"/>
        </w:rPr>
        <w:t>3.7资格审查前，投标人须在广州公共资源交易中心已办理企业信息登记，拟派项目负责人为本企业信息登记中在册人员。</w:t>
      </w:r>
    </w:p>
    <w:p>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3.</w:t>
      </w:r>
      <w:r>
        <w:rPr>
          <w:rFonts w:hint="eastAsia" w:ascii="宋体" w:hAnsi="宋体" w:cs="宋体"/>
          <w:sz w:val="24"/>
          <w:u w:val="single"/>
          <w:lang w:val="en-US" w:eastAsia="zh-CN"/>
        </w:rPr>
        <w:t>8</w:t>
      </w:r>
      <w:r>
        <w:rPr>
          <w:rFonts w:hint="eastAsia" w:ascii="宋体" w:hAnsi="宋体" w:cs="宋体"/>
          <w:sz w:val="24"/>
          <w:u w:val="single"/>
        </w:rPr>
        <w:t>投标人</w:t>
      </w:r>
      <w:r>
        <w:rPr>
          <w:rFonts w:hint="eastAsia" w:ascii="宋体" w:hAnsi="宋体"/>
          <w:sz w:val="24"/>
          <w:u w:val="single"/>
        </w:rPr>
        <w:t>（如为联合体，要求联合体各方）</w:t>
      </w:r>
      <w:r>
        <w:rPr>
          <w:rFonts w:hint="eastAsia" w:ascii="宋体" w:hAnsi="宋体" w:cs="宋体"/>
          <w:sz w:val="24"/>
          <w:u w:val="single"/>
        </w:rPr>
        <w:t>未被纳入失信联合惩戒名单，失信联合惩戒名单以“信用广州”网站公布的“失信黑名单”为准。本项评审投标人无需提供资料，按资格评审时广州公共资源交易中心交易系统比对的结果进行评审。</w:t>
      </w:r>
    </w:p>
    <w:p>
      <w:p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注：（1）因联合惩戒措施表述存在细微差别，惩戒措施与上文不完全一致但措施内容相同的，也应属于被限制参与相关项目的投标。</w:t>
      </w:r>
    </w:p>
    <w:p>
      <w:pPr>
        <w:numPr>
          <w:ilvl w:val="0"/>
          <w:numId w:val="2"/>
        </w:numPr>
        <w:wordWrap w:val="0"/>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未在招标公告第3条单列的资审合格条件，不作为资审不合格的依据。</w:t>
      </w:r>
    </w:p>
    <w:p>
      <w:pPr>
        <w:pStyle w:val="4"/>
        <w:tabs>
          <w:tab w:val="left" w:pos="501"/>
        </w:tabs>
        <w:spacing w:line="360" w:lineRule="auto"/>
        <w:rPr>
          <w:rFonts w:hint="eastAsia" w:cs="宋体"/>
          <w:spacing w:val="2"/>
          <w:sz w:val="28"/>
          <w:szCs w:val="28"/>
        </w:rPr>
      </w:pPr>
      <w:bookmarkStart w:id="39" w:name="_bookmark5"/>
      <w:bookmarkEnd w:id="39"/>
      <w:bookmarkStart w:id="40" w:name="_Toc9503"/>
      <w:bookmarkStart w:id="41" w:name="_Toc28239"/>
      <w:bookmarkStart w:id="42" w:name="_Toc3925"/>
      <w:bookmarkStart w:id="43" w:name="_Toc19067"/>
      <w:bookmarkStart w:id="44" w:name="_Toc12685"/>
      <w:bookmarkStart w:id="45" w:name="_Toc15826"/>
      <w:bookmarkStart w:id="46" w:name="_Toc19651"/>
      <w:bookmarkStart w:id="47" w:name="_Toc3336"/>
      <w:bookmarkStart w:id="48" w:name="_Toc22254"/>
      <w:bookmarkStart w:id="49" w:name="_Toc18659"/>
      <w:bookmarkStart w:id="50" w:name="_Toc18"/>
      <w:bookmarkStart w:id="51" w:name="_Toc1083"/>
      <w:r>
        <w:rPr>
          <w:rFonts w:hint="eastAsia" w:cs="宋体"/>
          <w:spacing w:val="2"/>
          <w:sz w:val="28"/>
          <w:szCs w:val="28"/>
        </w:rPr>
        <w:t>4. 招标文件的获取</w:t>
      </w:r>
      <w:bookmarkEnd w:id="40"/>
      <w:bookmarkEnd w:id="41"/>
      <w:bookmarkEnd w:id="42"/>
      <w:bookmarkEnd w:id="43"/>
      <w:bookmarkEnd w:id="44"/>
      <w:bookmarkEnd w:id="45"/>
      <w:bookmarkEnd w:id="46"/>
      <w:bookmarkEnd w:id="47"/>
      <w:bookmarkEnd w:id="48"/>
      <w:bookmarkEnd w:id="49"/>
      <w:bookmarkEnd w:id="50"/>
      <w:bookmarkEnd w:id="51"/>
    </w:p>
    <w:p>
      <w:pPr>
        <w:spacing w:line="360" w:lineRule="auto"/>
        <w:ind w:firstLine="480" w:firstLineChars="200"/>
        <w:rPr>
          <w:rFonts w:ascii="宋体" w:hAnsi="宋体"/>
          <w:sz w:val="24"/>
        </w:rPr>
      </w:pPr>
      <w:r>
        <w:rPr>
          <w:rFonts w:ascii="宋体" w:hAnsi="宋体"/>
          <w:sz w:val="24"/>
        </w:rPr>
        <w:t>4.1凡有意参加投标者，请登录</w:t>
      </w:r>
      <w:r>
        <w:rPr>
          <w:rFonts w:hint="eastAsia" w:ascii="宋体" w:hAnsi="宋体"/>
          <w:sz w:val="24"/>
          <w:u w:val="single"/>
        </w:rPr>
        <w:t>广州公共资源交易中心网站（</w:t>
      </w:r>
      <w:r>
        <w:rPr>
          <w:rFonts w:ascii="宋体" w:hAnsi="宋体"/>
          <w:sz w:val="24"/>
          <w:u w:val="single"/>
        </w:rPr>
        <w:t>http</w:t>
      </w:r>
      <w:r>
        <w:rPr>
          <w:rFonts w:hint="eastAsia" w:ascii="宋体" w:hAnsi="宋体"/>
          <w:sz w:val="24"/>
          <w:u w:val="single"/>
        </w:rPr>
        <w:t>/</w:t>
      </w:r>
      <w:r>
        <w:rPr>
          <w:rFonts w:ascii="宋体" w:hAnsi="宋体"/>
          <w:sz w:val="24"/>
          <w:u w:val="single"/>
        </w:rPr>
        <w:t>www.gzggzy.cn</w:t>
      </w:r>
      <w:r>
        <w:rPr>
          <w:rFonts w:hint="eastAsia" w:ascii="宋体" w:hAnsi="宋体"/>
          <w:sz w:val="24"/>
          <w:u w:val="single"/>
        </w:rPr>
        <w:t>）</w:t>
      </w:r>
      <w:r>
        <w:rPr>
          <w:rFonts w:ascii="宋体" w:hAnsi="宋体"/>
          <w:sz w:val="24"/>
        </w:rPr>
        <w:t>下载招标文件。</w:t>
      </w:r>
    </w:p>
    <w:p>
      <w:pPr>
        <w:spacing w:line="360" w:lineRule="auto"/>
        <w:ind w:firstLine="480" w:firstLineChars="200"/>
        <w:rPr>
          <w:rFonts w:hint="eastAsia" w:ascii="宋体" w:hAnsi="宋体"/>
          <w:sz w:val="24"/>
        </w:rPr>
      </w:pPr>
      <w:r>
        <w:rPr>
          <w:rFonts w:hint="eastAsia" w:ascii="宋体" w:hAnsi="宋体"/>
          <w:sz w:val="24"/>
        </w:rPr>
        <w:t>发布招标公告、递交投标文件时间、开标时间：</w:t>
      </w:r>
    </w:p>
    <w:p>
      <w:pPr>
        <w:spacing w:line="360" w:lineRule="auto"/>
        <w:ind w:left="479" w:leftChars="228"/>
        <w:rPr>
          <w:rFonts w:hint="eastAsia" w:ascii="宋体" w:hAnsi="宋体"/>
          <w:sz w:val="24"/>
        </w:rPr>
      </w:pPr>
      <w:r>
        <w:rPr>
          <w:rFonts w:hint="eastAsia" w:ascii="宋体" w:hAnsi="宋体"/>
          <w:sz w:val="24"/>
        </w:rPr>
        <w:t>发布招标公告日期（含本日）：</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26</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分至</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rPr>
        <w:t>分（北京时间，下同）。</w:t>
      </w:r>
    </w:p>
    <w:p>
      <w:pPr>
        <w:spacing w:line="360" w:lineRule="auto"/>
        <w:ind w:firstLine="480" w:firstLineChars="200"/>
        <w:rPr>
          <w:rFonts w:hint="eastAsia" w:ascii="宋体" w:hAnsi="宋体"/>
          <w:sz w:val="24"/>
        </w:rPr>
      </w:pPr>
      <w:r>
        <w:rPr>
          <w:rFonts w:hint="eastAsia" w:ascii="宋体" w:hAnsi="宋体"/>
          <w:sz w:val="24"/>
        </w:rPr>
        <w:t>注：发布招标公告的时间为招标公告发出之日起至递交投标文件截止时间止。</w:t>
      </w:r>
    </w:p>
    <w:p>
      <w:pPr>
        <w:spacing w:line="360" w:lineRule="auto"/>
        <w:ind w:firstLine="480" w:firstLineChars="200"/>
        <w:rPr>
          <w:rFonts w:hint="eastAsia" w:ascii="宋体" w:hAnsi="宋体"/>
          <w:sz w:val="24"/>
        </w:rPr>
      </w:pPr>
      <w:r>
        <w:rPr>
          <w:rFonts w:hint="eastAsia" w:ascii="宋体" w:hAnsi="宋体"/>
          <w:sz w:val="24"/>
        </w:rPr>
        <w:t>投标人通过广州公共资源交易平台递交电子投标文件。投标人应在递交投标文件截止时间前，登录广州公共资源交易平台网站办理网上投标登记手续。按照交易平台关于全流程电子化项目的相关指南进行操作。</w:t>
      </w:r>
    </w:p>
    <w:p>
      <w:pPr>
        <w:spacing w:line="360" w:lineRule="auto"/>
        <w:ind w:firstLine="424" w:firstLineChars="177"/>
        <w:rPr>
          <w:rFonts w:hint="eastAsia"/>
          <w:sz w:val="24"/>
        </w:rPr>
      </w:pPr>
      <w:r>
        <w:rPr>
          <w:rFonts w:hint="eastAsia" w:ascii="宋体" w:hAnsi="宋体"/>
          <w:sz w:val="24"/>
        </w:rPr>
        <w:t>开标时间：</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rPr>
        <w:t>分</w:t>
      </w:r>
      <w:r>
        <w:rPr>
          <w:rFonts w:hint="eastAsia"/>
          <w:sz w:val="24"/>
        </w:rPr>
        <w:t>。</w:t>
      </w:r>
    </w:p>
    <w:p>
      <w:pPr>
        <w:tabs>
          <w:tab w:val="left" w:pos="7513"/>
        </w:tabs>
        <w:spacing w:line="360" w:lineRule="auto"/>
        <w:ind w:firstLine="480" w:firstLineChars="200"/>
        <w:rPr>
          <w:rFonts w:hint="eastAsia" w:ascii="宋体" w:hAnsi="宋体"/>
          <w:sz w:val="24"/>
        </w:rPr>
      </w:pPr>
      <w:r>
        <w:rPr>
          <w:rFonts w:hint="eastAsia" w:ascii="宋体" w:hAnsi="宋体"/>
          <w:sz w:val="24"/>
        </w:rPr>
        <w:t>4.2本项目采用资格后审方式。</w:t>
      </w:r>
    </w:p>
    <w:p>
      <w:pPr>
        <w:tabs>
          <w:tab w:val="left" w:pos="7513"/>
        </w:tabs>
        <w:spacing w:line="360" w:lineRule="auto"/>
        <w:ind w:firstLine="480" w:firstLineChars="200"/>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）电子招投标操作流程详见广州公共资源交易中心网站发布的最新版操作指引）。</w:t>
      </w:r>
    </w:p>
    <w:p>
      <w:pPr>
        <w:tabs>
          <w:tab w:val="left" w:pos="7513"/>
        </w:tabs>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）本公告发布之日起开始登记，</w:t>
      </w:r>
      <w:r>
        <w:rPr>
          <w:rFonts w:ascii="宋体" w:hAnsi="宋体"/>
          <w:sz w:val="24"/>
        </w:rPr>
        <w:t>并从</w:t>
      </w:r>
      <w:r>
        <w:rPr>
          <w:rFonts w:hint="eastAsia" w:ascii="宋体" w:hAnsi="宋体"/>
          <w:sz w:val="24"/>
        </w:rPr>
        <w:t>登记</w:t>
      </w:r>
      <w:r>
        <w:rPr>
          <w:rFonts w:ascii="宋体" w:hAnsi="宋体"/>
          <w:sz w:val="24"/>
        </w:rPr>
        <w:t>之日起开始计算备标时间。</w:t>
      </w:r>
    </w:p>
    <w:p>
      <w:pPr>
        <w:spacing w:line="360" w:lineRule="auto"/>
        <w:ind w:firstLine="537" w:firstLineChars="224"/>
        <w:rPr>
          <w:rFonts w:hint="eastAsia" w:ascii="宋体" w:hAnsi="宋体"/>
          <w:sz w:val="24"/>
        </w:rPr>
      </w:pPr>
      <w:r>
        <w:rPr>
          <w:rFonts w:hint="eastAsia" w:ascii="宋体" w:hAnsi="宋体"/>
          <w:sz w:val="24"/>
        </w:rPr>
        <w:t>4.3潜在投标人或利害关系人对本招标公告及招标内容异议的，可向招标人书面提出。</w:t>
      </w:r>
    </w:p>
    <w:p>
      <w:pPr>
        <w:spacing w:line="360" w:lineRule="auto"/>
        <w:ind w:firstLine="537" w:firstLineChars="224"/>
        <w:rPr>
          <w:rFonts w:hint="eastAsia" w:ascii="宋体" w:hAnsi="宋体" w:cs="宋体"/>
          <w:kern w:val="0"/>
          <w:sz w:val="24"/>
        </w:rPr>
      </w:pPr>
      <w:r>
        <w:rPr>
          <w:rFonts w:hint="eastAsia" w:ascii="宋体" w:hAnsi="宋体" w:cs="宋体"/>
          <w:kern w:val="0"/>
          <w:sz w:val="24"/>
        </w:rPr>
        <w:t>异议受理部门：</w:t>
      </w:r>
      <w:r>
        <w:rPr>
          <w:rFonts w:hint="eastAsia" w:ascii="宋体" w:hAnsi="宋体" w:cs="宋体"/>
          <w:sz w:val="24"/>
          <w:u w:val="single"/>
        </w:rPr>
        <w:t>广州市番禺区水务工程建管中心（广州市番禺区水旱灾害防御中心）</w:t>
      </w:r>
    </w:p>
    <w:p>
      <w:pPr>
        <w:widowControl/>
        <w:spacing w:line="360" w:lineRule="auto"/>
        <w:ind w:firstLine="537" w:firstLineChars="224"/>
        <w:jc w:val="left"/>
        <w:rPr>
          <w:rFonts w:hint="eastAsia" w:ascii="宋体" w:hAnsi="宋体" w:eastAsia="宋体" w:cs="宋体"/>
          <w:kern w:val="0"/>
          <w:sz w:val="24"/>
          <w:u w:val="single"/>
          <w:lang w:eastAsia="zh-CN"/>
        </w:rPr>
      </w:pPr>
      <w:r>
        <w:rPr>
          <w:rFonts w:hint="eastAsia" w:ascii="宋体" w:hAnsi="宋体" w:cs="宋体"/>
          <w:kern w:val="0"/>
          <w:sz w:val="24"/>
        </w:rPr>
        <w:t>异议受理电话：</w:t>
      </w:r>
      <w:r>
        <w:rPr>
          <w:rFonts w:hint="eastAsia" w:ascii="宋体" w:hAnsi="宋体" w:cs="宋体"/>
          <w:kern w:val="0"/>
          <w:sz w:val="24"/>
          <w:u w:val="single"/>
        </w:rPr>
        <w:t>020-</w:t>
      </w:r>
      <w:r>
        <w:rPr>
          <w:rFonts w:hint="eastAsia" w:ascii="宋体" w:hAnsi="宋体" w:cs="宋体"/>
          <w:kern w:val="0"/>
          <w:sz w:val="24"/>
          <w:u w:val="single"/>
          <w:lang w:eastAsia="zh-CN"/>
        </w:rPr>
        <w:t>34818331</w:t>
      </w:r>
    </w:p>
    <w:p>
      <w:pPr>
        <w:widowControl/>
        <w:spacing w:line="360" w:lineRule="auto"/>
        <w:ind w:firstLine="537" w:firstLineChars="224"/>
        <w:jc w:val="left"/>
        <w:rPr>
          <w:rFonts w:hint="eastAsia" w:ascii="宋体" w:hAnsi="宋体"/>
          <w:sz w:val="24"/>
          <w:u w:val="single"/>
        </w:rPr>
      </w:pPr>
      <w:r>
        <w:rPr>
          <w:rFonts w:hint="eastAsia" w:ascii="宋体" w:hAnsi="宋体" w:cs="宋体"/>
          <w:kern w:val="0"/>
          <w:sz w:val="24"/>
        </w:rPr>
        <w:t>地址：</w:t>
      </w:r>
      <w:r>
        <w:rPr>
          <w:rFonts w:hint="eastAsia" w:ascii="宋体" w:hAnsi="宋体"/>
          <w:sz w:val="24"/>
          <w:u w:val="single"/>
          <w:lang w:val="zh-CN"/>
        </w:rPr>
        <w:t>广州市番禺区市桥街环城东路</w:t>
      </w:r>
      <w:r>
        <w:rPr>
          <w:rFonts w:hint="eastAsia" w:ascii="宋体" w:hAnsi="宋体"/>
          <w:sz w:val="24"/>
          <w:u w:val="single"/>
        </w:rPr>
        <w:t>20号首二层</w:t>
      </w:r>
    </w:p>
    <w:p>
      <w:pPr>
        <w:pStyle w:val="20"/>
        <w:ind w:firstLine="480"/>
        <w:rPr>
          <w:rFonts w:ascii="宋体" w:hAnsi="宋体"/>
          <w:szCs w:val="24"/>
        </w:rPr>
      </w:pPr>
      <w:r>
        <w:rPr>
          <w:rFonts w:hint="eastAsia" w:ascii="宋体" w:hAnsi="宋体"/>
          <w:szCs w:val="24"/>
          <w:lang w:val="en-US" w:eastAsia="zh-CN"/>
        </w:rPr>
        <w:t>注：</w:t>
      </w:r>
      <w:r>
        <w:rPr>
          <w:rFonts w:hint="eastAsia" w:ascii="宋体" w:hAnsi="宋体"/>
          <w:szCs w:val="24"/>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2"/>
      </w:pPr>
    </w:p>
    <w:p>
      <w:pPr>
        <w:pStyle w:val="4"/>
        <w:tabs>
          <w:tab w:val="left" w:pos="501"/>
        </w:tabs>
        <w:spacing w:line="360" w:lineRule="auto"/>
        <w:rPr>
          <w:rFonts w:hint="eastAsia" w:cs="宋体"/>
          <w:spacing w:val="2"/>
          <w:sz w:val="28"/>
          <w:szCs w:val="28"/>
        </w:rPr>
      </w:pPr>
      <w:bookmarkStart w:id="52" w:name="_bookmark6"/>
      <w:bookmarkEnd w:id="52"/>
      <w:bookmarkStart w:id="53" w:name="_Toc17796"/>
      <w:bookmarkStart w:id="54" w:name="_Toc21266"/>
      <w:bookmarkStart w:id="55" w:name="_Toc701"/>
      <w:bookmarkStart w:id="56" w:name="_Toc27890"/>
      <w:bookmarkStart w:id="57" w:name="_Toc3763"/>
      <w:bookmarkStart w:id="58" w:name="_Toc25852"/>
      <w:bookmarkStart w:id="59" w:name="_Toc17686"/>
      <w:bookmarkStart w:id="60" w:name="_Toc371"/>
      <w:bookmarkStart w:id="61" w:name="_Toc14715"/>
      <w:bookmarkStart w:id="62" w:name="_Toc7283"/>
      <w:bookmarkStart w:id="63" w:name="_Toc27187"/>
      <w:bookmarkStart w:id="64" w:name="_Toc9915"/>
      <w:r>
        <w:rPr>
          <w:rFonts w:hint="eastAsia" w:cs="宋体"/>
          <w:spacing w:val="2"/>
          <w:sz w:val="28"/>
          <w:szCs w:val="28"/>
        </w:rPr>
        <w:t>5. 投标文件的递交</w:t>
      </w:r>
      <w:bookmarkEnd w:id="53"/>
      <w:bookmarkEnd w:id="54"/>
      <w:bookmarkEnd w:id="55"/>
      <w:bookmarkEnd w:id="56"/>
      <w:bookmarkEnd w:id="57"/>
      <w:bookmarkEnd w:id="58"/>
      <w:bookmarkEnd w:id="59"/>
      <w:bookmarkEnd w:id="60"/>
      <w:bookmarkEnd w:id="61"/>
      <w:bookmarkEnd w:id="62"/>
      <w:bookmarkEnd w:id="63"/>
      <w:bookmarkEnd w:id="64"/>
    </w:p>
    <w:p>
      <w:pPr>
        <w:spacing w:line="360" w:lineRule="auto"/>
        <w:ind w:firstLine="480" w:firstLineChars="200"/>
        <w:jc w:val="left"/>
        <w:rPr>
          <w:rFonts w:ascii="宋体" w:hAnsi="宋体"/>
          <w:sz w:val="24"/>
        </w:rPr>
      </w:pPr>
      <w:r>
        <w:rPr>
          <w:rFonts w:ascii="宋体" w:hAnsi="宋体"/>
          <w:sz w:val="24"/>
        </w:rPr>
        <w:t>5.1投标文件递交的截止时间（投标截止时间，下同）为</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rPr>
        <w:t>分</w:t>
      </w:r>
      <w:r>
        <w:rPr>
          <w:rFonts w:ascii="宋体" w:hAnsi="宋体"/>
          <w:sz w:val="24"/>
        </w:rPr>
        <w:t>，投标人应在截止时间前通过</w:t>
      </w:r>
      <w:r>
        <w:rPr>
          <w:rFonts w:hint="eastAsia" w:ascii="宋体" w:hAnsi="宋体"/>
          <w:sz w:val="24"/>
          <w:u w:val="single"/>
        </w:rPr>
        <w:t>广州公共资源交易中心数字交易平台（网址：5</w:t>
      </w:r>
      <w:r>
        <w:rPr>
          <w:rFonts w:ascii="宋体" w:hAnsi="宋体"/>
          <w:sz w:val="24"/>
        </w:rPr>
        <w:fldChar w:fldCharType="begin"/>
      </w:r>
      <w:r>
        <w:rPr>
          <w:rFonts w:ascii="宋体" w:hAnsi="宋体"/>
          <w:sz w:val="24"/>
        </w:rPr>
        <w:instrText xml:space="preserve"> HYPERLINK "http://www.gzggzy.cn</w:instrText>
      </w:r>
      <w:r>
        <w:rPr>
          <w:rFonts w:hint="eastAsia" w:ascii="宋体" w:hAnsi="宋体"/>
          <w:sz w:val="24"/>
        </w:rPr>
        <w:instrText xml:space="preserve">）</w:instrText>
      </w:r>
      <w:r>
        <w:rPr>
          <w:rFonts w:ascii="宋体" w:hAnsi="宋体"/>
          <w:sz w:val="24"/>
        </w:rPr>
        <w:instrText xml:space="preserve">递交电子投标文件。</w:instrText>
      </w:r>
      <w:r>
        <w:rPr>
          <w:rFonts w:hint="eastAsia" w:ascii="宋体" w:hAnsi="宋体"/>
          <w:sz w:val="24"/>
        </w:rPr>
        <w:instrText xml:space="preserve">投标文件备用光盘递交时间为</w:instrText>
      </w:r>
      <w:r>
        <w:rPr>
          <w:rFonts w:hint="eastAsia" w:ascii="宋体" w:hAnsi="宋体"/>
          <w:sz w:val="24"/>
          <w:u w:val="single"/>
        </w:rPr>
        <w:instrText xml:space="preserve">202</w:instrText>
      </w:r>
      <w:r>
        <w:rPr>
          <w:rFonts w:ascii="宋体" w:hAnsi="宋体"/>
          <w:sz w:val="24"/>
          <w:u w:val="single"/>
        </w:rPr>
        <w:instrText xml:space="preserve">2</w:instrText>
      </w:r>
      <w:r>
        <w:rPr>
          <w:rFonts w:hint="eastAsia" w:ascii="宋体" w:hAnsi="宋体"/>
          <w:sz w:val="24"/>
        </w:rPr>
        <w:instrText xml:space="preserve">年</w:instrText>
      </w:r>
      <w:r>
        <w:rPr>
          <w:rFonts w:hint="eastAsia" w:ascii="宋体" w:hAnsi="宋体"/>
          <w:sz w:val="24"/>
          <w:u w:val="single"/>
        </w:rPr>
        <w:instrText xml:space="preserve"> 11 </w:instrText>
      </w:r>
      <w:r>
        <w:rPr>
          <w:rFonts w:hint="eastAsia" w:ascii="宋体" w:hAnsi="宋体"/>
          <w:sz w:val="24"/>
        </w:rPr>
        <w:instrText xml:space="preserve">月</w:instrText>
      </w:r>
      <w:r>
        <w:rPr>
          <w:rFonts w:hint="eastAsia" w:ascii="宋体" w:hAnsi="宋体"/>
          <w:sz w:val="24"/>
          <w:u w:val="single"/>
        </w:rPr>
        <w:instrText xml:space="preserve">  15</w:instrText>
      </w:r>
      <w:r>
        <w:rPr>
          <w:rFonts w:hint="eastAsia" w:ascii="宋体" w:hAnsi="宋体"/>
          <w:sz w:val="24"/>
        </w:rPr>
        <w:instrText xml:space="preserve">日</w:instrText>
      </w:r>
      <w:r>
        <w:rPr>
          <w:rFonts w:hint="eastAsia" w:ascii="宋体" w:hAnsi="宋体"/>
          <w:sz w:val="24"/>
          <w:u w:val="single"/>
        </w:rPr>
        <w:instrText xml:space="preserve"> 09 </w:instrText>
      </w:r>
      <w:r>
        <w:rPr>
          <w:rFonts w:hint="eastAsia" w:ascii="宋体" w:hAnsi="宋体"/>
          <w:sz w:val="24"/>
        </w:rPr>
        <w:instrText xml:space="preserve">时</w:instrText>
      </w:r>
      <w:r>
        <w:rPr>
          <w:rFonts w:hint="eastAsia" w:ascii="宋体" w:hAnsi="宋体"/>
          <w:sz w:val="24"/>
          <w:u w:val="single"/>
        </w:rPr>
        <w:instrText xml:space="preserve"> 45</w:instrText>
      </w:r>
      <w:r>
        <w:rPr>
          <w:rFonts w:hint="eastAsia" w:ascii="宋体" w:hAnsi="宋体"/>
          <w:sz w:val="24"/>
        </w:rPr>
        <w:instrText xml:space="preserve">分</w:instrText>
      </w:r>
      <w:r>
        <w:rPr>
          <w:rFonts w:ascii="宋体" w:hAnsi="宋体"/>
          <w:sz w:val="24"/>
        </w:rPr>
        <w:instrText xml:space="preserve">" </w:instrText>
      </w:r>
      <w:r>
        <w:rPr>
          <w:rFonts w:ascii="宋体" w:hAnsi="宋体"/>
          <w:sz w:val="24"/>
        </w:rPr>
        <w:fldChar w:fldCharType="separate"/>
      </w:r>
      <w:r>
        <w:rPr>
          <w:rStyle w:val="17"/>
          <w:rFonts w:ascii="宋体" w:hAnsi="宋体"/>
          <w:color w:val="auto"/>
          <w:sz w:val="24"/>
        </w:rPr>
        <w:t>http://www.gzggzy.cn</w:t>
      </w:r>
      <w:r>
        <w:rPr>
          <w:rStyle w:val="17"/>
          <w:rFonts w:hint="eastAsia" w:ascii="宋体" w:hAnsi="宋体"/>
          <w:color w:val="auto"/>
          <w:sz w:val="24"/>
        </w:rPr>
        <w:t>）</w:t>
      </w:r>
      <w:r>
        <w:rPr>
          <w:rStyle w:val="17"/>
          <w:rFonts w:ascii="宋体" w:hAnsi="宋体"/>
          <w:color w:val="auto"/>
          <w:sz w:val="24"/>
        </w:rPr>
        <w:t>递交电子投标文件。</w:t>
      </w:r>
      <w:r>
        <w:rPr>
          <w:rStyle w:val="17"/>
          <w:rFonts w:hint="eastAsia" w:ascii="宋体" w:hAnsi="宋体"/>
          <w:color w:val="auto"/>
          <w:sz w:val="24"/>
        </w:rPr>
        <w:t>投标文件备用光盘递交时间为</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15</w:t>
      </w:r>
      <w:bookmarkStart w:id="92" w:name="_GoBack"/>
      <w:bookmarkEnd w:id="92"/>
      <w:r>
        <w:rPr>
          <w:rFonts w:hint="eastAsia" w:ascii="宋体" w:hAnsi="宋体"/>
          <w:sz w:val="24"/>
        </w:rPr>
        <w:t>分</w:t>
      </w:r>
      <w:r>
        <w:rPr>
          <w:rFonts w:ascii="宋体" w:hAnsi="宋体"/>
          <w:sz w:val="24"/>
        </w:rPr>
        <w:fldChar w:fldCharType="end"/>
      </w:r>
      <w:r>
        <w:rPr>
          <w:rFonts w:hint="eastAsia" w:ascii="宋体" w:hAnsi="宋体"/>
          <w:sz w:val="24"/>
        </w:rPr>
        <w:t>至</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rPr>
        <w:t>分，地点为：</w:t>
      </w:r>
      <w:r>
        <w:rPr>
          <w:rFonts w:hint="eastAsia" w:ascii="宋体" w:hAnsi="宋体"/>
          <w:sz w:val="24"/>
          <w:u w:val="single"/>
        </w:rPr>
        <w:t>广州公共资源交易中心番禺交易部开标室</w:t>
      </w:r>
      <w:r>
        <w:rPr>
          <w:rFonts w:hint="eastAsia" w:ascii="宋体" w:hAnsi="宋体"/>
          <w:sz w:val="24"/>
        </w:rPr>
        <w:t>。</w:t>
      </w:r>
    </w:p>
    <w:p>
      <w:pPr>
        <w:spacing w:before="4" w:line="360" w:lineRule="auto"/>
        <w:ind w:firstLine="480" w:firstLineChars="200"/>
        <w:rPr>
          <w:rFonts w:hint="eastAsia" w:ascii="宋体" w:hAnsi="宋体" w:cs="宋体"/>
          <w:sz w:val="28"/>
          <w:szCs w:val="28"/>
        </w:rPr>
      </w:pPr>
      <w:r>
        <w:rPr>
          <w:rFonts w:ascii="宋体" w:hAnsi="宋体"/>
          <w:sz w:val="24"/>
        </w:rPr>
        <w:t>5.2逾期送达的投标文件，电子招标投标交易平台将予以拒收。</w:t>
      </w:r>
    </w:p>
    <w:p>
      <w:pPr>
        <w:pStyle w:val="4"/>
        <w:tabs>
          <w:tab w:val="left" w:pos="501"/>
        </w:tabs>
        <w:spacing w:line="360" w:lineRule="auto"/>
        <w:rPr>
          <w:rFonts w:hint="eastAsia" w:cs="宋体"/>
          <w:spacing w:val="2"/>
          <w:sz w:val="28"/>
          <w:szCs w:val="28"/>
        </w:rPr>
      </w:pPr>
      <w:bookmarkStart w:id="65" w:name="_bookmark7"/>
      <w:bookmarkEnd w:id="65"/>
      <w:bookmarkStart w:id="66" w:name="_Toc6998"/>
      <w:bookmarkStart w:id="67" w:name="_Toc6185"/>
      <w:bookmarkStart w:id="68" w:name="_Toc24381"/>
      <w:bookmarkStart w:id="69" w:name="_Toc15698"/>
      <w:bookmarkStart w:id="70" w:name="_Toc28421"/>
      <w:bookmarkStart w:id="71" w:name="_Toc21257"/>
      <w:bookmarkStart w:id="72" w:name="_Toc17326"/>
      <w:bookmarkStart w:id="73" w:name="_Toc16846"/>
      <w:bookmarkStart w:id="74" w:name="_Toc696"/>
      <w:bookmarkStart w:id="75" w:name="_Toc3966"/>
      <w:bookmarkStart w:id="76" w:name="_Toc22349"/>
      <w:bookmarkStart w:id="77" w:name="_Toc12584"/>
      <w:r>
        <w:rPr>
          <w:rFonts w:hint="eastAsia" w:cs="宋体"/>
          <w:spacing w:val="2"/>
          <w:sz w:val="28"/>
          <w:szCs w:val="28"/>
        </w:rPr>
        <w:t>6. 发布公告的媒介</w:t>
      </w:r>
      <w:bookmarkEnd w:id="66"/>
      <w:bookmarkEnd w:id="67"/>
      <w:bookmarkEnd w:id="68"/>
      <w:bookmarkEnd w:id="69"/>
      <w:bookmarkEnd w:id="70"/>
      <w:bookmarkEnd w:id="71"/>
      <w:bookmarkEnd w:id="72"/>
      <w:bookmarkEnd w:id="73"/>
      <w:bookmarkEnd w:id="74"/>
      <w:bookmarkEnd w:id="75"/>
      <w:bookmarkEnd w:id="76"/>
      <w:bookmarkEnd w:id="77"/>
    </w:p>
    <w:p>
      <w:pPr>
        <w:pStyle w:val="20"/>
        <w:ind w:firstLine="480"/>
        <w:rPr>
          <w:rFonts w:ascii="宋体" w:hAnsi="宋体"/>
          <w:szCs w:val="24"/>
        </w:rPr>
      </w:pPr>
      <w:r>
        <w:rPr>
          <w:rFonts w:hint="eastAsia" w:ascii="宋体" w:hAnsi="宋体"/>
          <w:szCs w:val="24"/>
        </w:rPr>
        <w:t>本次招标公告同时在广州公共资源交易中心网（网址：http://www.gzggzy.cn）、广东省招标投标监管网（网址：http://www.gdzbtb.gov.cn/）和中国招标投标公共服务平台（网址：http://www.cebpubservice.com/）发布，本公告的修改、补充，在广州公共资源交易中心网站上发布。本公告在各媒体发布的文本如有不同之处，以在广州公共资源交易中心网发布的文本为准。</w:t>
      </w:r>
    </w:p>
    <w:p>
      <w:pPr>
        <w:pStyle w:val="4"/>
        <w:tabs>
          <w:tab w:val="left" w:pos="501"/>
        </w:tabs>
        <w:spacing w:line="360" w:lineRule="auto"/>
        <w:rPr>
          <w:rFonts w:hint="eastAsia" w:cs="宋体"/>
          <w:spacing w:val="2"/>
          <w:sz w:val="28"/>
          <w:szCs w:val="28"/>
        </w:rPr>
      </w:pPr>
      <w:r>
        <w:rPr>
          <w:rFonts w:hint="eastAsia" w:cs="宋体"/>
          <w:spacing w:val="2"/>
          <w:sz w:val="28"/>
          <w:szCs w:val="28"/>
        </w:rPr>
        <w:t>7.</w:t>
      </w:r>
      <w:r>
        <w:rPr>
          <w:rFonts w:cs="宋体"/>
          <w:spacing w:val="2"/>
          <w:sz w:val="28"/>
          <w:szCs w:val="28"/>
        </w:rPr>
        <w:t xml:space="preserve"> </w:t>
      </w:r>
      <w:r>
        <w:rPr>
          <w:rFonts w:hint="eastAsia" w:cs="宋体"/>
          <w:spacing w:val="2"/>
          <w:sz w:val="28"/>
          <w:szCs w:val="28"/>
        </w:rPr>
        <w:t>其他补充事项</w:t>
      </w:r>
    </w:p>
    <w:p>
      <w:pPr>
        <w:topLinePunct/>
        <w:spacing w:line="360" w:lineRule="auto"/>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7.1中标人按《广州市发展改革委转发省发展改革委关于规范公共资源交易服务收费及有关问题的通知》（穗发改〔2017〕811号）文件的规定，向广州交易集团有限公司代缴交易服务费，其费用包含在中标人投标报价中，招标人不另行支付。</w:t>
      </w:r>
    </w:p>
    <w:p>
      <w:pPr>
        <w:pStyle w:val="20"/>
        <w:ind w:firstLine="480"/>
        <w:rPr>
          <w:rFonts w:hint="eastAsia" w:ascii="宋体" w:hAnsi="宋体"/>
          <w:szCs w:val="24"/>
        </w:rPr>
      </w:pPr>
    </w:p>
    <w:p>
      <w:pPr>
        <w:pStyle w:val="4"/>
        <w:tabs>
          <w:tab w:val="left" w:pos="501"/>
        </w:tabs>
        <w:spacing w:line="360" w:lineRule="auto"/>
        <w:rPr>
          <w:rFonts w:hint="eastAsia" w:cs="宋体"/>
          <w:spacing w:val="2"/>
          <w:sz w:val="28"/>
          <w:szCs w:val="28"/>
        </w:rPr>
      </w:pPr>
      <w:bookmarkStart w:id="78" w:name="_bookmark8"/>
      <w:bookmarkEnd w:id="78"/>
      <w:bookmarkStart w:id="79" w:name="_Toc17523"/>
      <w:bookmarkStart w:id="80" w:name="_Toc9349"/>
      <w:bookmarkStart w:id="81" w:name="_Toc16029"/>
      <w:bookmarkStart w:id="82" w:name="_Toc15612"/>
      <w:bookmarkStart w:id="83" w:name="_Toc118"/>
      <w:bookmarkStart w:id="84" w:name="_Toc26620"/>
      <w:bookmarkStart w:id="85" w:name="_Toc14987"/>
      <w:bookmarkStart w:id="86" w:name="_Toc495"/>
      <w:bookmarkStart w:id="87" w:name="_Toc30446"/>
      <w:bookmarkStart w:id="88" w:name="_Toc22803"/>
      <w:bookmarkStart w:id="89" w:name="_Toc6576"/>
      <w:bookmarkStart w:id="90" w:name="_Toc27563"/>
      <w:r>
        <w:rPr>
          <w:rFonts w:cs="宋体"/>
          <w:spacing w:val="2"/>
          <w:sz w:val="28"/>
          <w:szCs w:val="28"/>
        </w:rPr>
        <w:t>8</w:t>
      </w:r>
      <w:r>
        <w:rPr>
          <w:rFonts w:hint="eastAsia" w:cs="宋体"/>
          <w:spacing w:val="2"/>
          <w:sz w:val="28"/>
          <w:szCs w:val="28"/>
        </w:rPr>
        <w:t>. 联系方式</w:t>
      </w:r>
      <w:bookmarkEnd w:id="79"/>
      <w:bookmarkEnd w:id="80"/>
      <w:bookmarkEnd w:id="81"/>
      <w:bookmarkEnd w:id="82"/>
      <w:bookmarkEnd w:id="83"/>
      <w:bookmarkEnd w:id="84"/>
      <w:bookmarkEnd w:id="85"/>
      <w:bookmarkEnd w:id="86"/>
      <w:bookmarkEnd w:id="87"/>
      <w:bookmarkEnd w:id="88"/>
      <w:bookmarkEnd w:id="89"/>
      <w:bookmarkEnd w:id="90"/>
    </w:p>
    <w:p>
      <w:pPr>
        <w:spacing w:line="360" w:lineRule="auto"/>
        <w:ind w:left="7198" w:right="480" w:hanging="7197" w:hangingChars="2999"/>
        <w:jc w:val="left"/>
        <w:rPr>
          <w:rFonts w:hint="eastAsia" w:ascii="宋体" w:hAnsi="宋体"/>
          <w:sz w:val="24"/>
          <w:u w:val="single"/>
        </w:rPr>
      </w:pPr>
      <w:r>
        <w:rPr>
          <w:rFonts w:ascii="宋体" w:hAnsi="宋体"/>
          <w:sz w:val="24"/>
        </w:rPr>
        <w:t>招 标 人：</w:t>
      </w:r>
      <w:r>
        <w:rPr>
          <w:rFonts w:hint="eastAsia" w:ascii="宋体" w:hAnsi="宋体"/>
          <w:sz w:val="24"/>
          <w:u w:val="single"/>
          <w:lang w:val="zh-CN"/>
        </w:rPr>
        <w:t>广州市番禺区水务工程建管中心（广州市番禺区水旱灾害防御中心）</w:t>
      </w:r>
    </w:p>
    <w:p>
      <w:pPr>
        <w:topLinePunct/>
        <w:spacing w:line="360" w:lineRule="auto"/>
        <w:jc w:val="left"/>
        <w:rPr>
          <w:rFonts w:ascii="宋体" w:hAnsi="宋体" w:cs="宋体"/>
          <w:kern w:val="0"/>
          <w:sz w:val="24"/>
          <w:u w:val="single"/>
        </w:rPr>
      </w:pPr>
      <w:r>
        <w:rPr>
          <w:rFonts w:ascii="宋体" w:hAnsi="宋体"/>
          <w:sz w:val="24"/>
        </w:rPr>
        <w:t>地    址：</w:t>
      </w:r>
      <w:r>
        <w:rPr>
          <w:rFonts w:hint="eastAsia" w:ascii="宋体" w:hAnsi="宋体"/>
          <w:sz w:val="24"/>
          <w:u w:val="single"/>
          <w:lang w:val="zh-CN"/>
        </w:rPr>
        <w:t>广州市番禺区市桥街环城东路</w:t>
      </w:r>
      <w:r>
        <w:rPr>
          <w:rFonts w:hint="eastAsia" w:ascii="宋体" w:hAnsi="宋体"/>
          <w:sz w:val="24"/>
          <w:u w:val="single"/>
        </w:rPr>
        <w:t>20号首二层</w:t>
      </w:r>
    </w:p>
    <w:p>
      <w:pPr>
        <w:topLinePunct/>
        <w:spacing w:line="360" w:lineRule="auto"/>
        <w:ind w:left="7198" w:right="480" w:hanging="7197" w:hangingChars="2999"/>
        <w:jc w:val="left"/>
        <w:rPr>
          <w:rFonts w:hint="eastAsia" w:ascii="宋体" w:hAnsi="宋体" w:eastAsia="宋体"/>
          <w:sz w:val="24"/>
          <w:u w:val="single"/>
          <w:lang w:eastAsia="zh-CN"/>
        </w:rPr>
      </w:pPr>
      <w:r>
        <w:rPr>
          <w:rFonts w:ascii="宋体" w:hAnsi="宋体"/>
          <w:sz w:val="24"/>
        </w:rPr>
        <w:t>联 系 人：</w:t>
      </w:r>
      <w:r>
        <w:rPr>
          <w:rFonts w:hint="eastAsia" w:ascii="宋体" w:hAnsi="宋体"/>
          <w:sz w:val="24"/>
          <w:u w:val="single"/>
          <w:lang w:val="zh-CN"/>
        </w:rPr>
        <w:t>陈工</w:t>
      </w:r>
      <w:r>
        <w:rPr>
          <w:rFonts w:hint="eastAsia" w:ascii="宋体" w:hAnsi="宋体" w:cs="宋体"/>
          <w:sz w:val="24"/>
        </w:rPr>
        <w:t xml:space="preserve">    </w:t>
      </w:r>
      <w:r>
        <w:rPr>
          <w:rFonts w:ascii="宋体" w:hAnsi="宋体"/>
          <w:sz w:val="24"/>
        </w:rPr>
        <w:t>电    话：</w:t>
      </w:r>
      <w:r>
        <w:rPr>
          <w:rFonts w:hint="eastAsia" w:ascii="宋体" w:hAnsi="宋体" w:cs="宋体"/>
          <w:sz w:val="24"/>
          <w:u w:val="single"/>
        </w:rPr>
        <w:t>020-</w:t>
      </w:r>
      <w:r>
        <w:rPr>
          <w:rFonts w:hint="eastAsia" w:ascii="宋体" w:hAnsi="宋体" w:cs="宋体"/>
          <w:sz w:val="24"/>
          <w:u w:val="single"/>
          <w:lang w:eastAsia="zh-CN"/>
        </w:rPr>
        <w:t>34818331</w:t>
      </w:r>
    </w:p>
    <w:p>
      <w:pPr>
        <w:topLinePunct/>
        <w:spacing w:line="360" w:lineRule="auto"/>
        <w:ind w:right="480"/>
        <w:jc w:val="left"/>
        <w:rPr>
          <w:rFonts w:hint="eastAsia" w:ascii="宋体" w:hAnsi="宋体"/>
          <w:sz w:val="24"/>
        </w:rPr>
      </w:pPr>
      <w:r>
        <w:rPr>
          <w:rFonts w:ascii="宋体" w:hAnsi="宋体"/>
          <w:sz w:val="24"/>
        </w:rPr>
        <w:t xml:space="preserve">邮  </w:t>
      </w:r>
      <w:r>
        <w:rPr>
          <w:rFonts w:hint="eastAsia" w:ascii="宋体" w:hAnsi="宋体"/>
          <w:sz w:val="24"/>
        </w:rPr>
        <w:t xml:space="preserve"> </w:t>
      </w:r>
      <w:r>
        <w:rPr>
          <w:rFonts w:ascii="宋体" w:hAnsi="宋体"/>
          <w:sz w:val="24"/>
        </w:rPr>
        <w:t xml:space="preserve">  编：</w:t>
      </w:r>
      <w:r>
        <w:rPr>
          <w:rFonts w:hint="eastAsia" w:ascii="宋体" w:hAnsi="宋体"/>
          <w:sz w:val="24"/>
          <w:u w:val="single"/>
        </w:rPr>
        <w:t>511400</w:t>
      </w:r>
    </w:p>
    <w:p>
      <w:pPr>
        <w:pStyle w:val="20"/>
        <w:ind w:firstLine="480"/>
      </w:pPr>
    </w:p>
    <w:p>
      <w:pPr>
        <w:spacing w:line="360" w:lineRule="auto"/>
        <w:ind w:right="360"/>
        <w:jc w:val="left"/>
        <w:rPr>
          <w:rFonts w:hint="eastAsia" w:ascii="宋体" w:hAnsi="宋体" w:cs="宋体"/>
          <w:sz w:val="24"/>
          <w:u w:val="single"/>
        </w:rPr>
      </w:pPr>
      <w:r>
        <w:rPr>
          <w:rFonts w:ascii="宋体" w:hAnsi="宋体"/>
          <w:sz w:val="24"/>
        </w:rPr>
        <w:t>招标代理机构：</w:t>
      </w:r>
      <w:r>
        <w:rPr>
          <w:rFonts w:hint="eastAsia" w:ascii="宋体" w:hAnsi="宋体"/>
          <w:sz w:val="24"/>
          <w:u w:val="single"/>
        </w:rPr>
        <w:t>广东建瀚招标采购有限公司</w:t>
      </w:r>
    </w:p>
    <w:p>
      <w:pPr>
        <w:topLinePunct/>
        <w:spacing w:line="360" w:lineRule="auto"/>
        <w:jc w:val="left"/>
        <w:rPr>
          <w:rFonts w:ascii="宋体" w:hAnsi="宋体"/>
          <w:sz w:val="24"/>
        </w:rPr>
      </w:pPr>
      <w:r>
        <w:rPr>
          <w:rFonts w:ascii="宋体" w:hAnsi="宋体"/>
          <w:sz w:val="24"/>
        </w:rPr>
        <w:t>地    址：</w:t>
      </w:r>
      <w:r>
        <w:rPr>
          <w:rFonts w:hint="eastAsia" w:ascii="宋体" w:hAnsi="宋体"/>
          <w:sz w:val="24"/>
          <w:u w:val="single"/>
        </w:rPr>
        <w:t xml:space="preserve"> 广州市番禺区南村镇番禺大道北14号313房</w:t>
      </w:r>
    </w:p>
    <w:p>
      <w:pPr>
        <w:spacing w:line="400" w:lineRule="exact"/>
        <w:jc w:val="left"/>
        <w:rPr>
          <w:rFonts w:hint="eastAsia" w:ascii="宋体" w:hAnsi="宋体"/>
          <w:sz w:val="24"/>
        </w:rPr>
      </w:pPr>
      <w:r>
        <w:rPr>
          <w:rFonts w:ascii="宋体" w:hAnsi="宋体"/>
          <w:sz w:val="24"/>
        </w:rPr>
        <w:t>联 系 人：</w:t>
      </w:r>
      <w:r>
        <w:rPr>
          <w:rFonts w:hint="eastAsia" w:ascii="宋体" w:hAnsi="宋体"/>
          <w:sz w:val="24"/>
          <w:u w:val="single"/>
        </w:rPr>
        <w:t>王工</w:t>
      </w:r>
      <w:r>
        <w:rPr>
          <w:rFonts w:hint="eastAsia" w:ascii="宋体" w:hAnsi="宋体"/>
          <w:sz w:val="24"/>
        </w:rPr>
        <w:t xml:space="preserve">     </w:t>
      </w:r>
      <w:r>
        <w:rPr>
          <w:rFonts w:hint="eastAsia" w:ascii="宋体" w:hAnsi="宋体" w:cs="宋体"/>
          <w:sz w:val="24"/>
          <w:szCs w:val="21"/>
        </w:rPr>
        <w:t xml:space="preserve"> 电话：</w:t>
      </w:r>
      <w:r>
        <w:rPr>
          <w:rFonts w:hint="eastAsia" w:ascii="宋体" w:hAnsi="宋体"/>
          <w:sz w:val="24"/>
          <w:u w:val="single"/>
        </w:rPr>
        <w:t>13126454496</w:t>
      </w:r>
      <w:r>
        <w:rPr>
          <w:rFonts w:hint="eastAsia" w:ascii="宋体" w:hAnsi="宋体"/>
          <w:sz w:val="24"/>
        </w:rPr>
        <w:t xml:space="preserve">    </w:t>
      </w:r>
    </w:p>
    <w:p>
      <w:pPr>
        <w:spacing w:line="400" w:lineRule="exact"/>
        <w:jc w:val="left"/>
        <w:rPr>
          <w:rFonts w:hint="eastAsia" w:ascii="宋体" w:hAnsi="宋体"/>
          <w:sz w:val="24"/>
          <w:u w:val="single"/>
        </w:rPr>
      </w:pPr>
      <w:r>
        <w:rPr>
          <w:rFonts w:ascii="宋体" w:hAnsi="宋体"/>
          <w:sz w:val="24"/>
        </w:rPr>
        <w:t xml:space="preserve">邮  </w:t>
      </w:r>
      <w:r>
        <w:rPr>
          <w:rFonts w:hint="eastAsia" w:ascii="宋体" w:hAnsi="宋体"/>
          <w:sz w:val="24"/>
        </w:rPr>
        <w:t xml:space="preserve"> </w:t>
      </w:r>
      <w:r>
        <w:rPr>
          <w:rFonts w:ascii="宋体" w:hAnsi="宋体"/>
          <w:sz w:val="24"/>
        </w:rPr>
        <w:t>编：</w:t>
      </w:r>
      <w:r>
        <w:rPr>
          <w:rFonts w:hint="eastAsia" w:ascii="宋体" w:hAnsi="宋体"/>
          <w:sz w:val="24"/>
          <w:u w:val="single"/>
        </w:rPr>
        <w:t>510000</w:t>
      </w:r>
    </w:p>
    <w:p>
      <w:pPr>
        <w:pStyle w:val="20"/>
        <w:ind w:firstLine="480"/>
      </w:pPr>
    </w:p>
    <w:p>
      <w:pPr>
        <w:spacing w:line="360" w:lineRule="auto"/>
        <w:rPr>
          <w:rFonts w:ascii="宋体" w:hAnsi="宋体" w:cs="宋体"/>
          <w:sz w:val="24"/>
        </w:rPr>
      </w:pPr>
      <w:r>
        <w:rPr>
          <w:rFonts w:hint="eastAsia" w:ascii="宋体" w:hAnsi="宋体"/>
          <w:sz w:val="24"/>
        </w:rPr>
        <w:t>招标监督机构：</w:t>
      </w:r>
      <w:r>
        <w:rPr>
          <w:rFonts w:hint="eastAsia" w:ascii="宋体" w:hAnsi="宋体" w:cs="宋体"/>
          <w:sz w:val="24"/>
          <w:u w:val="single"/>
        </w:rPr>
        <w:t>广州市番禺区水务工程建管中心（广州市番禺区水旱灾害防御中心）</w:t>
      </w:r>
    </w:p>
    <w:p>
      <w:pPr>
        <w:spacing w:line="360" w:lineRule="auto"/>
        <w:rPr>
          <w:rFonts w:hint="eastAsia" w:ascii="宋体" w:hAnsi="宋体" w:eastAsia="宋体" w:cs="宋体"/>
          <w:sz w:val="24"/>
          <w:u w:val="single"/>
          <w:lang w:eastAsia="zh-CN"/>
        </w:rPr>
      </w:pPr>
      <w:r>
        <w:rPr>
          <w:rFonts w:hint="eastAsia" w:ascii="宋体" w:hAnsi="宋体"/>
          <w:sz w:val="24"/>
        </w:rPr>
        <w:t>监管电话：</w:t>
      </w:r>
      <w:r>
        <w:rPr>
          <w:rFonts w:ascii="宋体" w:hAnsi="宋体"/>
          <w:sz w:val="24"/>
          <w:u w:val="single"/>
        </w:rPr>
        <w:t>020-</w:t>
      </w:r>
      <w:r>
        <w:rPr>
          <w:rFonts w:hint="eastAsia" w:ascii="宋体" w:hAnsi="宋体"/>
          <w:sz w:val="24"/>
          <w:u w:val="single"/>
          <w:lang w:eastAsia="zh-CN"/>
        </w:rPr>
        <w:t>34818331</w:t>
      </w:r>
    </w:p>
    <w:p>
      <w:pPr>
        <w:spacing w:line="360" w:lineRule="auto"/>
        <w:rPr>
          <w:rFonts w:hint="eastAsia" w:ascii="宋体" w:hAnsi="宋体" w:cs="宋体"/>
          <w:sz w:val="24"/>
          <w:u w:val="single"/>
        </w:rPr>
      </w:pPr>
      <w:r>
        <w:rPr>
          <w:rFonts w:hint="eastAsia" w:ascii="宋体" w:hAnsi="宋体"/>
          <w:sz w:val="24"/>
        </w:rPr>
        <w:t>地    址：</w:t>
      </w:r>
      <w:r>
        <w:rPr>
          <w:rFonts w:hint="eastAsia" w:ascii="宋体" w:hAnsi="宋体" w:cs="宋体"/>
          <w:sz w:val="24"/>
          <w:u w:val="single"/>
        </w:rPr>
        <w:t>广州市番禺区市桥街环城东路20号首二层</w:t>
      </w:r>
      <w:bookmarkStart w:id="91" w:name="_bookmark9"/>
      <w:bookmarkEnd w:id="91"/>
    </w:p>
    <w:p>
      <w:pPr>
        <w:spacing w:line="360" w:lineRule="auto"/>
        <w:rPr>
          <w:rFonts w:hint="eastAsia" w:ascii="宋体" w:hAnsi="宋体" w:cs="宋体"/>
          <w:sz w:val="24"/>
          <w:u w:val="single"/>
        </w:rPr>
      </w:pPr>
    </w:p>
    <w:p>
      <w:pPr>
        <w:spacing w:line="360" w:lineRule="auto"/>
        <w:rPr>
          <w:rFonts w:hint="eastAsia" w:ascii="宋体" w:hAnsi="宋体" w:cs="宋体"/>
          <w:b/>
          <w:bCs/>
          <w:sz w:val="24"/>
        </w:rPr>
      </w:pPr>
      <w:r>
        <w:rPr>
          <w:rFonts w:hint="eastAsia" w:ascii="宋体" w:hAnsi="宋体"/>
          <w:b/>
          <w:bCs/>
          <w:sz w:val="24"/>
        </w:rPr>
        <w:br w:type="page"/>
      </w:r>
      <w:r>
        <w:rPr>
          <w:rFonts w:hint="eastAsia" w:ascii="宋体" w:hAnsi="宋体"/>
          <w:b/>
          <w:bCs/>
          <w:sz w:val="24"/>
        </w:rPr>
        <w:t>附件一：</w:t>
      </w:r>
    </w:p>
    <w:p>
      <w:pPr>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投标人声明</w:t>
      </w:r>
    </w:p>
    <w:p>
      <w:pPr>
        <w:pStyle w:val="23"/>
        <w:ind w:firstLine="0"/>
        <w:rPr>
          <w:rFonts w:hint="eastAsia" w:ascii="宋体" w:hAnsi="宋体" w:eastAsia="宋体" w:cs="宋体"/>
          <w:color w:val="auto"/>
          <w:sz w:val="24"/>
          <w:szCs w:val="24"/>
        </w:rPr>
      </w:pPr>
      <w:r>
        <w:rPr>
          <w:rFonts w:hint="eastAsia" w:ascii="宋体" w:hAnsi="宋体" w:eastAsia="宋体" w:cs="宋体"/>
          <w:color w:val="auto"/>
          <w:sz w:val="24"/>
          <w:szCs w:val="24"/>
        </w:rPr>
        <w:t>广州市番禺区水务局、广州市番禺区水务工程建管中心（广州市番禺区水旱灾害防御中心）本招标项目招标人及招标监管机构：</w:t>
      </w:r>
    </w:p>
    <w:p>
      <w:pPr>
        <w:pStyle w:val="23"/>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本公司就参加 </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投标工作，作出郑重声明：</w:t>
      </w:r>
    </w:p>
    <w:p>
      <w:pPr>
        <w:pStyle w:val="23"/>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pStyle w:val="23"/>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二、本公司保证在本项目投标中不与其他单位围标、串标，不出让投标资格，不向招标人或评标委员会成员行贿。</w:t>
      </w:r>
    </w:p>
    <w:p>
      <w:pPr>
        <w:pStyle w:val="23"/>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三、本公司不存在招标文件第二章投标人须知第1.4.3项所规定的任何一种情形。</w:t>
      </w:r>
    </w:p>
    <w:p>
      <w:pPr>
        <w:pStyle w:val="23"/>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eastAsia="宋体" w:cs="宋体"/>
          <w:b/>
          <w:color w:val="auto"/>
          <w:sz w:val="24"/>
          <w:szCs w:val="24"/>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23"/>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23"/>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六、与本公司单位负责人为同一人或者与本公司存在控股、管理关系的其他单位包括：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。（注：本条由投标人如实填写，如有，应列出全部满足招标公告资质要求的相关单位的名称；如无，则填写“无”。）</w:t>
      </w:r>
    </w:p>
    <w:p>
      <w:pPr>
        <w:pStyle w:val="23"/>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七、本公司承诺，中标后严格执行安全生产相关管理规定。</w:t>
      </w:r>
    </w:p>
    <w:p>
      <w:pPr>
        <w:pStyle w:val="23"/>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八、本公司承诺，中标后严格按照合同和招标文件规定履行义务，并同意招标人将其履行合同、招标文件义务的履约情况和不诚信行为（包括但不限于由招标人作出的违约责任处理决定等）在招标人网站和建设项目业主网站及其他媒体上公开披露，由此造成的一切损失和不利后果均由本公司自行承担。</w:t>
      </w:r>
    </w:p>
    <w:p>
      <w:pPr>
        <w:pStyle w:val="23"/>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九、本公司承诺，中标后15个工作日内完成本公司的检测管理系统与《广州市水务工程质量检测监管系统》连接，并通过广州市水务工程质量安全监督站备案验收。否则招标人将有权取消我司的中标资格。</w:t>
      </w:r>
    </w:p>
    <w:p>
      <w:pPr>
        <w:pStyle w:val="23"/>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3"/>
        <w:ind w:firstLine="0"/>
        <w:jc w:val="left"/>
        <w:rPr>
          <w:rFonts w:hint="eastAsia" w:ascii="宋体" w:hAnsi="宋体" w:eastAsia="宋体" w:cs="宋体"/>
          <w:color w:val="auto"/>
          <w:sz w:val="24"/>
          <w:szCs w:val="24"/>
        </w:rPr>
      </w:pPr>
    </w:p>
    <w:p>
      <w:pPr>
        <w:pStyle w:val="23"/>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pStyle w:val="23"/>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注：联合体投标时，可由联合体牵头人法定代表人（或授权委托人）签字或盖章，由联合体牵头人单位盖章。</w:t>
      </w:r>
    </w:p>
    <w:p>
      <w:pPr>
        <w:pStyle w:val="23"/>
        <w:rPr>
          <w:rFonts w:hint="eastAsia" w:ascii="宋体" w:hAnsi="宋体" w:eastAsia="宋体" w:cs="宋体"/>
          <w:color w:val="auto"/>
          <w:sz w:val="22"/>
          <w:szCs w:val="22"/>
        </w:rPr>
      </w:pPr>
    </w:p>
    <w:p>
      <w:pPr>
        <w:pStyle w:val="23"/>
        <w:rPr>
          <w:rFonts w:hint="eastAsia" w:ascii="宋体" w:hAnsi="宋体" w:eastAsia="宋体" w:cs="宋体"/>
          <w:color w:val="auto"/>
          <w:sz w:val="22"/>
          <w:szCs w:val="22"/>
        </w:rPr>
      </w:pPr>
    </w:p>
    <w:p>
      <w:pPr>
        <w:pStyle w:val="24"/>
        <w:ind w:left="0" w:right="124" w:rightChars="59" w:firstLine="2880" w:firstLineChars="12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投标单位（盖公章）：</w:t>
      </w:r>
    </w:p>
    <w:p>
      <w:pPr>
        <w:pStyle w:val="23"/>
        <w:ind w:right="124" w:rightChars="59"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法定代表人或授权委托人（签字或盖章）：</w:t>
      </w:r>
    </w:p>
    <w:p>
      <w:pPr>
        <w:pStyle w:val="23"/>
        <w:wordWrap w:val="0"/>
        <w:ind w:right="124" w:rightChars="59"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pPr>
        <w:pStyle w:val="26"/>
        <w:adjustRightInd w:val="0"/>
        <w:snapToGrid w:val="0"/>
        <w:spacing w:line="440" w:lineRule="exact"/>
        <w:ind w:firstLine="0" w:firstLineChars="0"/>
        <w:jc w:val="left"/>
        <w:rPr>
          <w:rFonts w:hint="eastAsia" w:ascii="宋体" w:hAnsi="宋体" w:cs="宋体"/>
          <w:sz w:val="28"/>
          <w:szCs w:val="28"/>
        </w:rPr>
      </w:pPr>
    </w:p>
    <w:p>
      <w:pPr>
        <w:pStyle w:val="23"/>
        <w:wordWrap w:val="0"/>
        <w:ind w:right="124" w:rightChars="59"/>
        <w:rPr>
          <w:rFonts w:hint="eastAsia" w:ascii="宋体" w:hAnsi="宋体" w:cs="宋体"/>
          <w:color w:val="auto"/>
          <w:sz w:val="28"/>
          <w:szCs w:val="28"/>
        </w:rPr>
      </w:pPr>
      <w:r>
        <w:rPr>
          <w:rFonts w:hint="eastAsia" w:ascii="宋体" w:hAnsi="宋体" w:cs="宋体"/>
          <w:b/>
          <w:bCs/>
          <w:sz w:val="24"/>
        </w:rPr>
        <w:br w:type="page"/>
      </w:r>
      <w:r>
        <w:rPr>
          <w:rFonts w:hint="eastAsia" w:ascii="宋体" w:hAnsi="宋体" w:eastAsia="宋体" w:cs="宋体"/>
          <w:b/>
          <w:bCs/>
          <w:color w:val="auto"/>
          <w:sz w:val="28"/>
          <w:szCs w:val="28"/>
        </w:rPr>
        <w:t>附件二</w:t>
      </w:r>
    </w:p>
    <w:p>
      <w:pPr>
        <w:spacing w:line="366" w:lineRule="exact"/>
        <w:jc w:val="center"/>
        <w:rPr>
          <w:rFonts w:ascii="黑体" w:hAnsi="黑体" w:eastAsia="黑体"/>
          <w:b/>
          <w:sz w:val="32"/>
        </w:rPr>
      </w:pPr>
      <w:r>
        <w:rPr>
          <w:rFonts w:ascii="黑体" w:hAnsi="黑体" w:eastAsia="黑体"/>
          <w:b/>
          <w:sz w:val="32"/>
        </w:rPr>
        <w:t>联合体协议书</w:t>
      </w:r>
    </w:p>
    <w:p>
      <w:pPr>
        <w:spacing w:line="200" w:lineRule="exact"/>
        <w:rPr>
          <w:rFonts w:eastAsia="Times New Roman"/>
        </w:rPr>
      </w:pPr>
    </w:p>
    <w:p>
      <w:pPr>
        <w:tabs>
          <w:tab w:val="left" w:pos="6240"/>
        </w:tabs>
        <w:spacing w:line="360" w:lineRule="auto"/>
        <w:ind w:firstLine="840" w:firstLineChars="400"/>
        <w:rPr>
          <w:rFonts w:ascii="宋体" w:hAnsi="宋体"/>
        </w:rPr>
      </w:pPr>
      <w:r>
        <w:rPr>
          <w:rFonts w:hint="eastAsia" w:ascii="宋体" w:hAnsi="宋体"/>
        </w:rPr>
        <w:t xml:space="preserve"> </w:t>
      </w:r>
      <w:r>
        <w:rPr>
          <w:rFonts w:hint="eastAsia" w:ascii="宋体" w:hAnsi="宋体"/>
          <w:u w:val="single"/>
        </w:rPr>
        <w:t xml:space="preserve">           </w:t>
      </w:r>
      <w:r>
        <w:rPr>
          <w:rFonts w:ascii="宋体" w:hAnsi="宋体"/>
        </w:rPr>
        <w:t>（所有成员单位名称）自愿组成</w:t>
      </w:r>
      <w:r>
        <w:rPr>
          <w:rFonts w:hint="eastAsia" w:ascii="宋体" w:hAnsi="宋体"/>
          <w:u w:val="single"/>
        </w:rPr>
        <w:t xml:space="preserve">       </w:t>
      </w:r>
      <w:r>
        <w:rPr>
          <w:rFonts w:ascii="宋体" w:hAnsi="宋体"/>
        </w:rPr>
        <w:t>（联合体名称）联合体，共同参加</w:t>
      </w:r>
      <w:r>
        <w:rPr>
          <w:rFonts w:hint="eastAsia" w:ascii="宋体" w:hAnsi="宋体"/>
          <w:u w:val="single"/>
        </w:rPr>
        <w:t xml:space="preserve">             </w:t>
      </w:r>
      <w:r>
        <w:rPr>
          <w:rFonts w:ascii="宋体" w:hAnsi="宋体"/>
        </w:rPr>
        <w:t>（项目名称）招标项目投标。现就联合体投标事宜订立如下协议。</w:t>
      </w:r>
    </w:p>
    <w:p>
      <w:pPr>
        <w:tabs>
          <w:tab w:val="left" w:pos="2920"/>
          <w:tab w:val="left" w:pos="5860"/>
        </w:tabs>
        <w:spacing w:line="360" w:lineRule="auto"/>
        <w:ind w:left="780"/>
        <w:rPr>
          <w:rFonts w:ascii="宋体" w:hAnsi="宋体"/>
        </w:rPr>
      </w:pPr>
      <w:r>
        <w:rPr>
          <w:rFonts w:eastAsia="Times New Roman"/>
        </w:rPr>
        <w:t>1.</w:t>
      </w:r>
      <w:r>
        <w:rPr>
          <w:rFonts w:eastAsia="Times New Roman"/>
          <w:u w:val="single"/>
        </w:rPr>
        <w:tab/>
      </w:r>
      <w:r>
        <w:rPr>
          <w:rFonts w:ascii="宋体" w:hAnsi="宋体"/>
        </w:rPr>
        <w:t>（某成员单位名称）为</w:t>
      </w:r>
      <w:r>
        <w:rPr>
          <w:rFonts w:eastAsia="Times New Roman"/>
          <w:u w:val="single"/>
        </w:rPr>
        <w:tab/>
      </w:r>
      <w:r>
        <w:rPr>
          <w:rFonts w:ascii="宋体" w:hAnsi="宋体"/>
        </w:rPr>
        <w:t>（联合体名称）牵头人。</w:t>
      </w:r>
    </w:p>
    <w:p>
      <w:pPr>
        <w:numPr>
          <w:ilvl w:val="0"/>
          <w:numId w:val="3"/>
        </w:numPr>
        <w:tabs>
          <w:tab w:val="left" w:pos="1044"/>
        </w:tabs>
        <w:spacing w:line="360" w:lineRule="auto"/>
        <w:ind w:left="360" w:right="260" w:firstLine="420"/>
        <w:rPr>
          <w:rFonts w:eastAsia="Times New Roman"/>
        </w:rPr>
      </w:pPr>
      <w:r>
        <w:rPr>
          <w:rFonts w:ascii="宋体" w:hAnsi="宋体"/>
        </w:rPr>
        <w:t>联合体各成员授权牵头人代表联合体参加投标活动，签署文件，提交和接收相关的资料、信息及指示，进行合同谈判活动，负责合同实施阶段的组织和协调工作，以及处理与本招标项目有关的一切事宜。</w:t>
      </w:r>
    </w:p>
    <w:p>
      <w:pPr>
        <w:numPr>
          <w:ilvl w:val="0"/>
          <w:numId w:val="3"/>
        </w:numPr>
        <w:tabs>
          <w:tab w:val="left" w:pos="1044"/>
        </w:tabs>
        <w:spacing w:line="360" w:lineRule="auto"/>
        <w:ind w:left="360" w:right="140" w:firstLine="420"/>
        <w:rPr>
          <w:rFonts w:eastAsia="Times New Roman"/>
        </w:rPr>
      </w:pPr>
      <w:r>
        <w:rPr>
          <w:rFonts w:ascii="宋体" w:hAnsi="宋体"/>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980"/>
        </w:tabs>
        <w:spacing w:line="360" w:lineRule="auto"/>
        <w:ind w:left="780"/>
        <w:rPr>
          <w:rFonts w:eastAsia="Times New Roman"/>
        </w:rPr>
      </w:pPr>
      <w:r>
        <w:rPr>
          <w:rFonts w:eastAsia="Times New Roman"/>
        </w:rPr>
        <w:t xml:space="preserve">4. </w:t>
      </w:r>
      <w:r>
        <w:rPr>
          <w:rFonts w:ascii="宋体" w:hAnsi="宋体"/>
        </w:rPr>
        <w:t>联合体各成员单位内部的职责分工如下：</w:t>
      </w:r>
      <w:r>
        <w:rPr>
          <w:rFonts w:hint="eastAsia" w:ascii="宋体" w:hAnsi="宋体"/>
          <w:u w:val="single"/>
        </w:rPr>
        <w:t xml:space="preserve">                         </w:t>
      </w:r>
      <w:r>
        <w:rPr>
          <w:rFonts w:ascii="宋体" w:hAnsi="宋体"/>
        </w:rPr>
        <w:t>。</w:t>
      </w:r>
    </w:p>
    <w:p>
      <w:pPr>
        <w:numPr>
          <w:ilvl w:val="0"/>
          <w:numId w:val="4"/>
        </w:numPr>
        <w:tabs>
          <w:tab w:val="left" w:pos="1044"/>
        </w:tabs>
        <w:spacing w:line="360" w:lineRule="auto"/>
        <w:ind w:left="360" w:right="360" w:firstLine="420"/>
        <w:rPr>
          <w:rFonts w:eastAsia="Times New Roman"/>
        </w:rPr>
      </w:pPr>
      <w:r>
        <w:rPr>
          <w:rFonts w:ascii="宋体" w:hAnsi="宋体"/>
        </w:rPr>
        <w:t>本协议书自所有成员单位法定代表人或其委托代理人签字或盖单位章之日起生效，合同履行完毕后自动失效。</w:t>
      </w:r>
    </w:p>
    <w:p>
      <w:pPr>
        <w:numPr>
          <w:ilvl w:val="0"/>
          <w:numId w:val="4"/>
        </w:numPr>
        <w:tabs>
          <w:tab w:val="left" w:pos="1040"/>
        </w:tabs>
        <w:spacing w:line="360" w:lineRule="auto"/>
        <w:ind w:left="1040" w:hanging="260"/>
        <w:rPr>
          <w:rFonts w:eastAsia="Times New Roman"/>
        </w:rPr>
      </w:pPr>
      <w:r>
        <w:rPr>
          <w:rFonts w:ascii="宋体" w:hAnsi="宋体"/>
        </w:rPr>
        <w:t>本协议书一式</w:t>
      </w:r>
      <w:r>
        <w:rPr>
          <w:rFonts w:hint="eastAsia" w:ascii="宋体" w:hAnsi="宋体"/>
          <w:u w:val="single"/>
        </w:rPr>
        <w:t xml:space="preserve">    </w:t>
      </w:r>
      <w:r>
        <w:rPr>
          <w:rFonts w:ascii="宋体" w:hAnsi="宋体"/>
        </w:rPr>
        <w:t>份，联合体成员和招标人各执一份</w:t>
      </w:r>
    </w:p>
    <w:p>
      <w:pPr>
        <w:spacing w:line="221" w:lineRule="exact"/>
        <w:rPr>
          <w:rFonts w:eastAsia="Times New Roman"/>
        </w:rPr>
      </w:pPr>
    </w:p>
    <w:p>
      <w:pPr>
        <w:spacing w:line="360" w:lineRule="auto"/>
        <w:ind w:firstLine="420" w:firstLineChars="200"/>
        <w:rPr>
          <w:rFonts w:ascii="宋体" w:hAnsi="宋体"/>
        </w:rPr>
      </w:pPr>
      <w:r>
        <w:rPr>
          <w:rFonts w:ascii="宋体" w:hAnsi="宋体"/>
        </w:rPr>
        <w:t>注：本协议书由法定代表人签字的，应附法定代表人身份证明；由委托代理人签字的，应附授权委托书。</w:t>
      </w:r>
    </w:p>
    <w:p>
      <w:pPr>
        <w:spacing w:line="200" w:lineRule="exact"/>
        <w:rPr>
          <w:rFonts w:eastAsia="Times New Roman"/>
        </w:rPr>
      </w:pPr>
    </w:p>
    <w:tbl>
      <w:tblPr>
        <w:tblStyle w:val="14"/>
        <w:tblW w:w="6066" w:type="dxa"/>
        <w:tblInd w:w="2694" w:type="dxa"/>
        <w:tblLayout w:type="fixed"/>
        <w:tblCellMar>
          <w:top w:w="0" w:type="dxa"/>
          <w:left w:w="0" w:type="dxa"/>
          <w:bottom w:w="0" w:type="dxa"/>
          <w:right w:w="0" w:type="dxa"/>
        </w:tblCellMar>
      </w:tblPr>
      <w:tblGrid>
        <w:gridCol w:w="1366"/>
        <w:gridCol w:w="400"/>
        <w:gridCol w:w="200"/>
        <w:gridCol w:w="140"/>
        <w:gridCol w:w="200"/>
        <w:gridCol w:w="500"/>
        <w:gridCol w:w="240"/>
        <w:gridCol w:w="220"/>
        <w:gridCol w:w="480"/>
        <w:gridCol w:w="220"/>
        <w:gridCol w:w="20"/>
        <w:gridCol w:w="820"/>
        <w:gridCol w:w="1260"/>
      </w:tblGrid>
      <w:tr>
        <w:tblPrEx>
          <w:tblCellMar>
            <w:top w:w="0" w:type="dxa"/>
            <w:left w:w="0" w:type="dxa"/>
            <w:bottom w:w="0" w:type="dxa"/>
            <w:right w:w="0" w:type="dxa"/>
          </w:tblCellMar>
        </w:tblPrEx>
        <w:trPr>
          <w:trHeight w:val="240" w:hRule="atLeast"/>
        </w:trPr>
        <w:tc>
          <w:tcPr>
            <w:tcW w:w="2806" w:type="dxa"/>
            <w:gridSpan w:val="6"/>
            <w:noWrap w:val="0"/>
            <w:vAlign w:val="bottom"/>
          </w:tcPr>
          <w:p>
            <w:pPr>
              <w:spacing w:line="240" w:lineRule="exact"/>
              <w:rPr>
                <w:rFonts w:ascii="宋体" w:hAnsi="宋体"/>
              </w:rPr>
            </w:pPr>
            <w:r>
              <w:rPr>
                <w:rFonts w:ascii="宋体" w:hAnsi="宋体"/>
              </w:rPr>
              <w:t>联合体牵头人名称：</w:t>
            </w:r>
          </w:p>
        </w:tc>
        <w:tc>
          <w:tcPr>
            <w:tcW w:w="240" w:type="dxa"/>
            <w:noWrap w:val="0"/>
            <w:vAlign w:val="bottom"/>
          </w:tcPr>
          <w:p>
            <w:pPr>
              <w:spacing w:line="0" w:lineRule="atLeast"/>
              <w:rPr>
                <w:rFonts w:ascii="宋体" w:hAnsi="宋体"/>
              </w:rPr>
            </w:pPr>
          </w:p>
        </w:tc>
        <w:tc>
          <w:tcPr>
            <w:tcW w:w="220" w:type="dxa"/>
            <w:noWrap w:val="0"/>
            <w:vAlign w:val="bottom"/>
          </w:tcPr>
          <w:p>
            <w:pPr>
              <w:spacing w:line="0" w:lineRule="atLeast"/>
              <w:rPr>
                <w:rFonts w:ascii="宋体" w:hAnsi="宋体"/>
              </w:rPr>
            </w:pPr>
          </w:p>
        </w:tc>
        <w:tc>
          <w:tcPr>
            <w:tcW w:w="480" w:type="dxa"/>
            <w:noWrap w:val="0"/>
            <w:vAlign w:val="bottom"/>
          </w:tcPr>
          <w:p>
            <w:pPr>
              <w:spacing w:line="0" w:lineRule="atLeast"/>
              <w:rPr>
                <w:rFonts w:ascii="宋体" w:hAnsi="宋体"/>
              </w:rPr>
            </w:pPr>
          </w:p>
        </w:tc>
        <w:tc>
          <w:tcPr>
            <w:tcW w:w="220" w:type="dxa"/>
            <w:noWrap w:val="0"/>
            <w:vAlign w:val="bottom"/>
          </w:tcPr>
          <w:p>
            <w:pPr>
              <w:spacing w:line="0" w:lineRule="atLeast"/>
              <w:rPr>
                <w:rFonts w:ascii="宋体" w:hAnsi="宋体"/>
              </w:rPr>
            </w:pPr>
          </w:p>
        </w:tc>
        <w:tc>
          <w:tcPr>
            <w:tcW w:w="20" w:type="dxa"/>
            <w:noWrap w:val="0"/>
            <w:vAlign w:val="bottom"/>
          </w:tcPr>
          <w:p>
            <w:pPr>
              <w:spacing w:line="0" w:lineRule="atLeast"/>
              <w:rPr>
                <w:rFonts w:ascii="宋体" w:hAnsi="宋体"/>
              </w:rPr>
            </w:pPr>
          </w:p>
        </w:tc>
        <w:tc>
          <w:tcPr>
            <w:tcW w:w="820" w:type="dxa"/>
            <w:noWrap w:val="0"/>
            <w:vAlign w:val="bottom"/>
          </w:tcPr>
          <w:p>
            <w:pPr>
              <w:spacing w:line="0" w:lineRule="atLeast"/>
              <w:rPr>
                <w:rFonts w:ascii="宋体" w:hAnsi="宋体"/>
              </w:rPr>
            </w:pPr>
          </w:p>
        </w:tc>
        <w:tc>
          <w:tcPr>
            <w:tcW w:w="1260" w:type="dxa"/>
            <w:noWrap w:val="0"/>
            <w:vAlign w:val="bottom"/>
          </w:tcPr>
          <w:p>
            <w:pPr>
              <w:spacing w:line="240" w:lineRule="exact"/>
              <w:rPr>
                <w:rFonts w:ascii="宋体" w:hAnsi="宋体"/>
              </w:rPr>
            </w:pPr>
            <w:r>
              <w:rPr>
                <w:rFonts w:ascii="宋体" w:hAnsi="宋体"/>
              </w:rPr>
              <w:t>（盖单位章）</w:t>
            </w:r>
          </w:p>
        </w:tc>
      </w:tr>
      <w:tr>
        <w:tblPrEx>
          <w:tblCellMar>
            <w:top w:w="0" w:type="dxa"/>
            <w:left w:w="0" w:type="dxa"/>
            <w:bottom w:w="0" w:type="dxa"/>
            <w:right w:w="0" w:type="dxa"/>
          </w:tblCellMar>
        </w:tblPrEx>
        <w:trPr>
          <w:trHeight w:val="20" w:hRule="atLeast"/>
        </w:trPr>
        <w:tc>
          <w:tcPr>
            <w:tcW w:w="1366" w:type="dxa"/>
            <w:shd w:val="clear" w:color="auto" w:fill="auto"/>
            <w:noWrap w:val="0"/>
            <w:vAlign w:val="bottom"/>
          </w:tcPr>
          <w:p>
            <w:pPr>
              <w:spacing w:line="20" w:lineRule="exact"/>
              <w:rPr>
                <w:rFonts w:ascii="宋体" w:hAnsi="宋体"/>
              </w:rPr>
            </w:pPr>
          </w:p>
        </w:tc>
        <w:tc>
          <w:tcPr>
            <w:tcW w:w="400" w:type="dxa"/>
            <w:shd w:val="clear" w:color="auto" w:fill="auto"/>
            <w:noWrap w:val="0"/>
            <w:vAlign w:val="bottom"/>
          </w:tcPr>
          <w:p>
            <w:pPr>
              <w:spacing w:line="20" w:lineRule="exact"/>
              <w:rPr>
                <w:rFonts w:ascii="宋体" w:hAnsi="宋体"/>
              </w:rPr>
            </w:pPr>
          </w:p>
        </w:tc>
        <w:tc>
          <w:tcPr>
            <w:tcW w:w="200" w:type="dxa"/>
            <w:shd w:val="clear" w:color="auto" w:fill="auto"/>
            <w:noWrap w:val="0"/>
            <w:vAlign w:val="bottom"/>
          </w:tcPr>
          <w:p>
            <w:pPr>
              <w:spacing w:line="20" w:lineRule="exact"/>
              <w:rPr>
                <w:rFonts w:ascii="宋体" w:hAnsi="宋体"/>
              </w:rPr>
            </w:pPr>
          </w:p>
        </w:tc>
        <w:tc>
          <w:tcPr>
            <w:tcW w:w="140" w:type="dxa"/>
            <w:shd w:val="clear" w:color="auto" w:fill="000000"/>
            <w:noWrap w:val="0"/>
            <w:vAlign w:val="bottom"/>
          </w:tcPr>
          <w:p>
            <w:pPr>
              <w:spacing w:line="20" w:lineRule="exact"/>
              <w:rPr>
                <w:rFonts w:ascii="宋体" w:hAnsi="宋体"/>
              </w:rPr>
            </w:pPr>
          </w:p>
        </w:tc>
        <w:tc>
          <w:tcPr>
            <w:tcW w:w="200" w:type="dxa"/>
            <w:shd w:val="clear" w:color="auto" w:fill="000000"/>
            <w:noWrap w:val="0"/>
            <w:vAlign w:val="bottom"/>
          </w:tcPr>
          <w:p>
            <w:pPr>
              <w:spacing w:line="20" w:lineRule="exact"/>
              <w:rPr>
                <w:rFonts w:ascii="宋体" w:hAnsi="宋体"/>
              </w:rPr>
            </w:pPr>
          </w:p>
        </w:tc>
        <w:tc>
          <w:tcPr>
            <w:tcW w:w="500" w:type="dxa"/>
            <w:shd w:val="clear" w:color="auto" w:fill="000000"/>
            <w:noWrap w:val="0"/>
            <w:vAlign w:val="bottom"/>
          </w:tcPr>
          <w:p>
            <w:pPr>
              <w:spacing w:line="20" w:lineRule="exact"/>
              <w:rPr>
                <w:rFonts w:ascii="宋体" w:hAnsi="宋体"/>
              </w:rPr>
            </w:pPr>
          </w:p>
        </w:tc>
        <w:tc>
          <w:tcPr>
            <w:tcW w:w="240" w:type="dxa"/>
            <w:shd w:val="clear" w:color="auto" w:fill="000000"/>
            <w:noWrap w:val="0"/>
            <w:vAlign w:val="bottom"/>
          </w:tcPr>
          <w:p>
            <w:pPr>
              <w:spacing w:line="20" w:lineRule="exact"/>
              <w:rPr>
                <w:rFonts w:ascii="宋体" w:hAnsi="宋体"/>
              </w:rPr>
            </w:pPr>
          </w:p>
        </w:tc>
        <w:tc>
          <w:tcPr>
            <w:tcW w:w="220" w:type="dxa"/>
            <w:shd w:val="clear" w:color="auto" w:fill="000000"/>
            <w:noWrap w:val="0"/>
            <w:vAlign w:val="bottom"/>
          </w:tcPr>
          <w:p>
            <w:pPr>
              <w:spacing w:line="20" w:lineRule="exact"/>
              <w:rPr>
                <w:rFonts w:ascii="宋体" w:hAnsi="宋体"/>
              </w:rPr>
            </w:pPr>
          </w:p>
        </w:tc>
        <w:tc>
          <w:tcPr>
            <w:tcW w:w="480" w:type="dxa"/>
            <w:shd w:val="clear" w:color="auto" w:fill="000000"/>
            <w:noWrap w:val="0"/>
            <w:vAlign w:val="bottom"/>
          </w:tcPr>
          <w:p>
            <w:pPr>
              <w:spacing w:line="20" w:lineRule="exact"/>
              <w:rPr>
                <w:rFonts w:ascii="宋体" w:hAnsi="宋体"/>
              </w:rPr>
            </w:pPr>
          </w:p>
        </w:tc>
        <w:tc>
          <w:tcPr>
            <w:tcW w:w="220" w:type="dxa"/>
            <w:shd w:val="clear" w:color="auto" w:fill="000000"/>
            <w:noWrap w:val="0"/>
            <w:vAlign w:val="bottom"/>
          </w:tcPr>
          <w:p>
            <w:pPr>
              <w:spacing w:line="20" w:lineRule="exact"/>
              <w:rPr>
                <w:rFonts w:ascii="宋体" w:hAnsi="宋体"/>
              </w:rPr>
            </w:pPr>
          </w:p>
        </w:tc>
        <w:tc>
          <w:tcPr>
            <w:tcW w:w="20" w:type="dxa"/>
            <w:shd w:val="clear" w:color="auto" w:fill="000000"/>
            <w:noWrap w:val="0"/>
            <w:vAlign w:val="bottom"/>
          </w:tcPr>
          <w:p>
            <w:pPr>
              <w:spacing w:line="20" w:lineRule="exact"/>
              <w:rPr>
                <w:rFonts w:ascii="宋体" w:hAnsi="宋体"/>
              </w:rPr>
            </w:pPr>
          </w:p>
        </w:tc>
        <w:tc>
          <w:tcPr>
            <w:tcW w:w="820" w:type="dxa"/>
            <w:shd w:val="clear" w:color="auto" w:fill="000000"/>
            <w:noWrap w:val="0"/>
            <w:vAlign w:val="bottom"/>
          </w:tcPr>
          <w:p>
            <w:pPr>
              <w:spacing w:line="20" w:lineRule="exact"/>
              <w:rPr>
                <w:rFonts w:ascii="宋体" w:hAnsi="宋体"/>
              </w:rPr>
            </w:pPr>
          </w:p>
        </w:tc>
        <w:tc>
          <w:tcPr>
            <w:tcW w:w="1260" w:type="dxa"/>
            <w:noWrap w:val="0"/>
            <w:vAlign w:val="bottom"/>
          </w:tcPr>
          <w:p>
            <w:pPr>
              <w:spacing w:line="20" w:lineRule="exact"/>
              <w:rPr>
                <w:rFonts w:ascii="宋体" w:hAnsi="宋体"/>
              </w:rPr>
            </w:pPr>
          </w:p>
        </w:tc>
      </w:tr>
      <w:tr>
        <w:tblPrEx>
          <w:tblCellMar>
            <w:top w:w="0" w:type="dxa"/>
            <w:left w:w="0" w:type="dxa"/>
            <w:bottom w:w="0" w:type="dxa"/>
            <w:right w:w="0" w:type="dxa"/>
          </w:tblCellMar>
        </w:tblPrEx>
        <w:trPr>
          <w:trHeight w:val="420" w:hRule="atLeast"/>
        </w:trPr>
        <w:tc>
          <w:tcPr>
            <w:tcW w:w="2806" w:type="dxa"/>
            <w:gridSpan w:val="6"/>
            <w:noWrap w:val="0"/>
            <w:vAlign w:val="bottom"/>
          </w:tcPr>
          <w:p>
            <w:pPr>
              <w:spacing w:line="240" w:lineRule="exact"/>
              <w:rPr>
                <w:rFonts w:ascii="宋体" w:hAnsi="宋体"/>
              </w:rPr>
            </w:pPr>
            <w:r>
              <w:rPr>
                <w:rFonts w:ascii="宋体" w:hAnsi="宋体"/>
              </w:rPr>
              <w:t>法定代表人或其委托代理人：</w:t>
            </w:r>
          </w:p>
        </w:tc>
        <w:tc>
          <w:tcPr>
            <w:tcW w:w="240" w:type="dxa"/>
            <w:tcBorders>
              <w:bottom w:val="single" w:color="auto" w:sz="8" w:space="0"/>
            </w:tcBorders>
            <w:noWrap w:val="0"/>
            <w:vAlign w:val="bottom"/>
          </w:tcPr>
          <w:p>
            <w:pPr>
              <w:spacing w:line="0" w:lineRule="atLeast"/>
              <w:rPr>
                <w:rFonts w:ascii="宋体" w:hAnsi="宋体"/>
              </w:rPr>
            </w:pPr>
          </w:p>
        </w:tc>
        <w:tc>
          <w:tcPr>
            <w:tcW w:w="220" w:type="dxa"/>
            <w:tcBorders>
              <w:bottom w:val="single" w:color="auto" w:sz="8" w:space="0"/>
            </w:tcBorders>
            <w:noWrap w:val="0"/>
            <w:vAlign w:val="bottom"/>
          </w:tcPr>
          <w:p>
            <w:pPr>
              <w:spacing w:line="0" w:lineRule="atLeast"/>
              <w:rPr>
                <w:rFonts w:ascii="宋体" w:hAnsi="宋体"/>
              </w:rPr>
            </w:pPr>
          </w:p>
        </w:tc>
        <w:tc>
          <w:tcPr>
            <w:tcW w:w="480" w:type="dxa"/>
            <w:tcBorders>
              <w:bottom w:val="single" w:color="auto" w:sz="8" w:space="0"/>
            </w:tcBorders>
            <w:noWrap w:val="0"/>
            <w:vAlign w:val="bottom"/>
          </w:tcPr>
          <w:p>
            <w:pPr>
              <w:spacing w:line="0" w:lineRule="atLeast"/>
              <w:rPr>
                <w:rFonts w:ascii="宋体" w:hAnsi="宋体"/>
              </w:rPr>
            </w:pPr>
          </w:p>
        </w:tc>
        <w:tc>
          <w:tcPr>
            <w:tcW w:w="220" w:type="dxa"/>
            <w:tcBorders>
              <w:bottom w:val="single" w:color="auto" w:sz="8" w:space="0"/>
            </w:tcBorders>
            <w:noWrap w:val="0"/>
            <w:vAlign w:val="bottom"/>
          </w:tcPr>
          <w:p>
            <w:pPr>
              <w:spacing w:line="0" w:lineRule="atLeast"/>
              <w:rPr>
                <w:rFonts w:ascii="宋体" w:hAnsi="宋体"/>
              </w:rPr>
            </w:pPr>
          </w:p>
        </w:tc>
        <w:tc>
          <w:tcPr>
            <w:tcW w:w="2100" w:type="dxa"/>
            <w:gridSpan w:val="3"/>
            <w:noWrap w:val="0"/>
            <w:vAlign w:val="bottom"/>
          </w:tcPr>
          <w:p>
            <w:pPr>
              <w:spacing w:line="240" w:lineRule="exact"/>
              <w:rPr>
                <w:rFonts w:ascii="宋体" w:hAnsi="宋体"/>
              </w:rPr>
            </w:pPr>
            <w:r>
              <w:rPr>
                <w:rFonts w:ascii="宋体" w:hAnsi="宋体"/>
              </w:rPr>
              <w:t>（签字）</w:t>
            </w:r>
          </w:p>
        </w:tc>
      </w:tr>
      <w:tr>
        <w:tblPrEx>
          <w:tblCellMar>
            <w:top w:w="0" w:type="dxa"/>
            <w:left w:w="0" w:type="dxa"/>
            <w:bottom w:w="0" w:type="dxa"/>
            <w:right w:w="0" w:type="dxa"/>
          </w:tblCellMar>
        </w:tblPrEx>
        <w:trPr>
          <w:trHeight w:val="861" w:hRule="atLeast"/>
        </w:trPr>
        <w:tc>
          <w:tcPr>
            <w:tcW w:w="1766" w:type="dxa"/>
            <w:gridSpan w:val="2"/>
            <w:noWrap w:val="0"/>
            <w:vAlign w:val="bottom"/>
          </w:tcPr>
          <w:p>
            <w:pPr>
              <w:spacing w:line="240" w:lineRule="exact"/>
              <w:rPr>
                <w:rFonts w:ascii="宋体" w:hAnsi="宋体"/>
              </w:rPr>
            </w:pPr>
            <w:r>
              <w:rPr>
                <w:rFonts w:ascii="宋体" w:hAnsi="宋体"/>
              </w:rPr>
              <w:t>联合体成员名称：</w:t>
            </w:r>
          </w:p>
        </w:tc>
        <w:tc>
          <w:tcPr>
            <w:tcW w:w="1040" w:type="dxa"/>
            <w:gridSpan w:val="4"/>
            <w:tcBorders>
              <w:bottom w:val="single" w:color="auto" w:sz="8" w:space="0"/>
            </w:tcBorders>
            <w:noWrap w:val="0"/>
            <w:vAlign w:val="bottom"/>
          </w:tcPr>
          <w:p>
            <w:pPr>
              <w:spacing w:line="0" w:lineRule="atLeast"/>
              <w:rPr>
                <w:rFonts w:ascii="宋体" w:hAnsi="宋体"/>
              </w:rPr>
            </w:pPr>
          </w:p>
        </w:tc>
        <w:tc>
          <w:tcPr>
            <w:tcW w:w="240" w:type="dxa"/>
            <w:tcBorders>
              <w:bottom w:val="single" w:color="auto" w:sz="8" w:space="0"/>
            </w:tcBorders>
            <w:noWrap w:val="0"/>
            <w:vAlign w:val="bottom"/>
          </w:tcPr>
          <w:p>
            <w:pPr>
              <w:spacing w:line="0" w:lineRule="atLeast"/>
              <w:rPr>
                <w:rFonts w:ascii="宋体" w:hAnsi="宋体"/>
              </w:rPr>
            </w:pPr>
          </w:p>
        </w:tc>
        <w:tc>
          <w:tcPr>
            <w:tcW w:w="220" w:type="dxa"/>
            <w:tcBorders>
              <w:bottom w:val="single" w:color="auto" w:sz="8" w:space="0"/>
            </w:tcBorders>
            <w:noWrap w:val="0"/>
            <w:vAlign w:val="bottom"/>
          </w:tcPr>
          <w:p>
            <w:pPr>
              <w:spacing w:line="0" w:lineRule="atLeast"/>
              <w:rPr>
                <w:rFonts w:ascii="宋体" w:hAnsi="宋体"/>
              </w:rPr>
            </w:pPr>
          </w:p>
        </w:tc>
        <w:tc>
          <w:tcPr>
            <w:tcW w:w="480" w:type="dxa"/>
            <w:tcBorders>
              <w:bottom w:val="single" w:color="auto" w:sz="8" w:space="0"/>
            </w:tcBorders>
            <w:noWrap w:val="0"/>
            <w:vAlign w:val="bottom"/>
          </w:tcPr>
          <w:p>
            <w:pPr>
              <w:spacing w:line="0" w:lineRule="atLeast"/>
              <w:rPr>
                <w:rFonts w:ascii="宋体" w:hAnsi="宋体"/>
              </w:rPr>
            </w:pPr>
          </w:p>
        </w:tc>
        <w:tc>
          <w:tcPr>
            <w:tcW w:w="220" w:type="dxa"/>
            <w:tcBorders>
              <w:bottom w:val="single" w:color="auto" w:sz="8" w:space="0"/>
            </w:tcBorders>
            <w:noWrap w:val="0"/>
            <w:vAlign w:val="bottom"/>
          </w:tcPr>
          <w:p>
            <w:pPr>
              <w:spacing w:line="0" w:lineRule="atLeast"/>
              <w:rPr>
                <w:rFonts w:ascii="宋体" w:hAnsi="宋体"/>
              </w:rPr>
            </w:pPr>
          </w:p>
        </w:tc>
        <w:tc>
          <w:tcPr>
            <w:tcW w:w="20" w:type="dxa"/>
            <w:tcBorders>
              <w:bottom w:val="single" w:color="auto" w:sz="8" w:space="0"/>
            </w:tcBorders>
            <w:noWrap w:val="0"/>
            <w:vAlign w:val="bottom"/>
          </w:tcPr>
          <w:p>
            <w:pPr>
              <w:spacing w:line="0" w:lineRule="atLeast"/>
              <w:rPr>
                <w:rFonts w:ascii="宋体" w:hAnsi="宋体"/>
              </w:rPr>
            </w:pPr>
          </w:p>
        </w:tc>
        <w:tc>
          <w:tcPr>
            <w:tcW w:w="820" w:type="dxa"/>
            <w:tcBorders>
              <w:bottom w:val="single" w:color="auto" w:sz="8" w:space="0"/>
            </w:tcBorders>
            <w:noWrap w:val="0"/>
            <w:vAlign w:val="bottom"/>
          </w:tcPr>
          <w:p>
            <w:pPr>
              <w:spacing w:line="0" w:lineRule="atLeast"/>
              <w:rPr>
                <w:rFonts w:ascii="宋体" w:hAnsi="宋体"/>
              </w:rPr>
            </w:pPr>
          </w:p>
        </w:tc>
        <w:tc>
          <w:tcPr>
            <w:tcW w:w="1260" w:type="dxa"/>
            <w:noWrap w:val="0"/>
            <w:vAlign w:val="bottom"/>
          </w:tcPr>
          <w:p>
            <w:pPr>
              <w:spacing w:line="240" w:lineRule="exact"/>
              <w:rPr>
                <w:rFonts w:ascii="宋体" w:hAnsi="宋体"/>
              </w:rPr>
            </w:pPr>
            <w:r>
              <w:rPr>
                <w:rFonts w:ascii="宋体" w:hAnsi="宋体"/>
              </w:rPr>
              <w:t>（盖单位章）</w:t>
            </w:r>
          </w:p>
        </w:tc>
      </w:tr>
      <w:tr>
        <w:tblPrEx>
          <w:tblCellMar>
            <w:top w:w="0" w:type="dxa"/>
            <w:left w:w="0" w:type="dxa"/>
            <w:bottom w:w="0" w:type="dxa"/>
            <w:right w:w="0" w:type="dxa"/>
          </w:tblCellMar>
        </w:tblPrEx>
        <w:trPr>
          <w:trHeight w:val="419" w:hRule="atLeast"/>
        </w:trPr>
        <w:tc>
          <w:tcPr>
            <w:tcW w:w="2806" w:type="dxa"/>
            <w:gridSpan w:val="6"/>
            <w:noWrap w:val="0"/>
            <w:vAlign w:val="bottom"/>
          </w:tcPr>
          <w:p>
            <w:pPr>
              <w:spacing w:line="240" w:lineRule="exact"/>
              <w:rPr>
                <w:rFonts w:ascii="宋体" w:hAnsi="宋体"/>
              </w:rPr>
            </w:pPr>
            <w:r>
              <w:rPr>
                <w:rFonts w:ascii="宋体" w:hAnsi="宋体"/>
              </w:rPr>
              <w:t>法定代表人或其委托代理人：</w:t>
            </w:r>
          </w:p>
        </w:tc>
        <w:tc>
          <w:tcPr>
            <w:tcW w:w="240" w:type="dxa"/>
            <w:tcBorders>
              <w:bottom w:val="single" w:color="auto" w:sz="8" w:space="0"/>
            </w:tcBorders>
            <w:noWrap w:val="0"/>
            <w:vAlign w:val="bottom"/>
          </w:tcPr>
          <w:p>
            <w:pPr>
              <w:spacing w:line="0" w:lineRule="atLeast"/>
              <w:rPr>
                <w:rFonts w:ascii="宋体" w:hAnsi="宋体"/>
              </w:rPr>
            </w:pPr>
          </w:p>
        </w:tc>
        <w:tc>
          <w:tcPr>
            <w:tcW w:w="220" w:type="dxa"/>
            <w:tcBorders>
              <w:bottom w:val="single" w:color="auto" w:sz="8" w:space="0"/>
            </w:tcBorders>
            <w:noWrap w:val="0"/>
            <w:vAlign w:val="bottom"/>
          </w:tcPr>
          <w:p>
            <w:pPr>
              <w:spacing w:line="0" w:lineRule="atLeast"/>
              <w:rPr>
                <w:rFonts w:ascii="宋体" w:hAnsi="宋体"/>
              </w:rPr>
            </w:pPr>
          </w:p>
        </w:tc>
        <w:tc>
          <w:tcPr>
            <w:tcW w:w="480" w:type="dxa"/>
            <w:tcBorders>
              <w:bottom w:val="single" w:color="auto" w:sz="8" w:space="0"/>
            </w:tcBorders>
            <w:noWrap w:val="0"/>
            <w:vAlign w:val="bottom"/>
          </w:tcPr>
          <w:p>
            <w:pPr>
              <w:spacing w:line="0" w:lineRule="atLeast"/>
              <w:rPr>
                <w:rFonts w:ascii="宋体" w:hAnsi="宋体"/>
              </w:rPr>
            </w:pPr>
            <w:r>
              <w:rPr>
                <w:rFonts w:hint="eastAsia" w:ascii="宋体" w:hAnsi="宋体"/>
              </w:rPr>
              <w:t xml:space="preserve">   </w:t>
            </w:r>
          </w:p>
        </w:tc>
        <w:tc>
          <w:tcPr>
            <w:tcW w:w="2320" w:type="dxa"/>
            <w:gridSpan w:val="4"/>
            <w:noWrap w:val="0"/>
            <w:vAlign w:val="bottom"/>
          </w:tcPr>
          <w:p>
            <w:pPr>
              <w:spacing w:line="240" w:lineRule="exact"/>
              <w:rPr>
                <w:rFonts w:ascii="宋体" w:hAnsi="宋体"/>
              </w:rPr>
            </w:pPr>
            <w:r>
              <w:rPr>
                <w:rFonts w:ascii="宋体" w:hAnsi="宋体"/>
              </w:rPr>
              <w:t>（签字）</w:t>
            </w:r>
          </w:p>
        </w:tc>
      </w:tr>
      <w:tr>
        <w:tblPrEx>
          <w:tblCellMar>
            <w:top w:w="0" w:type="dxa"/>
            <w:left w:w="0" w:type="dxa"/>
            <w:bottom w:w="0" w:type="dxa"/>
            <w:right w:w="0" w:type="dxa"/>
          </w:tblCellMar>
        </w:tblPrEx>
        <w:trPr>
          <w:trHeight w:val="752" w:hRule="atLeast"/>
        </w:trPr>
        <w:tc>
          <w:tcPr>
            <w:tcW w:w="1366" w:type="dxa"/>
            <w:noWrap w:val="0"/>
            <w:vAlign w:val="bottom"/>
          </w:tcPr>
          <w:p>
            <w:pPr>
              <w:spacing w:line="0" w:lineRule="atLeast"/>
              <w:rPr>
                <w:rFonts w:eastAsia="Times New Roman"/>
                <w:sz w:val="24"/>
              </w:rPr>
            </w:pPr>
          </w:p>
        </w:tc>
        <w:tc>
          <w:tcPr>
            <w:tcW w:w="400" w:type="dxa"/>
            <w:noWrap w:val="0"/>
            <w:vAlign w:val="bottom"/>
          </w:tcPr>
          <w:p>
            <w:pPr>
              <w:spacing w:line="0" w:lineRule="atLeast"/>
              <w:rPr>
                <w:rFonts w:eastAsia="Times New Roman"/>
                <w:sz w:val="24"/>
              </w:rPr>
            </w:pPr>
          </w:p>
        </w:tc>
        <w:tc>
          <w:tcPr>
            <w:tcW w:w="200" w:type="dxa"/>
            <w:noWrap w:val="0"/>
            <w:vAlign w:val="bottom"/>
          </w:tcPr>
          <w:p>
            <w:pPr>
              <w:spacing w:line="0" w:lineRule="atLeast"/>
              <w:rPr>
                <w:rFonts w:eastAsia="Times New Roman"/>
                <w:sz w:val="24"/>
              </w:rPr>
            </w:pPr>
          </w:p>
        </w:tc>
        <w:tc>
          <w:tcPr>
            <w:tcW w:w="140" w:type="dxa"/>
            <w:noWrap w:val="0"/>
            <w:vAlign w:val="bottom"/>
          </w:tcPr>
          <w:p>
            <w:pPr>
              <w:spacing w:line="0" w:lineRule="atLeast"/>
              <w:rPr>
                <w:rFonts w:eastAsia="Times New Roman"/>
                <w:sz w:val="24"/>
              </w:rPr>
            </w:pPr>
          </w:p>
        </w:tc>
        <w:tc>
          <w:tcPr>
            <w:tcW w:w="700" w:type="dxa"/>
            <w:gridSpan w:val="2"/>
            <w:noWrap w:val="0"/>
            <w:vAlign w:val="bottom"/>
          </w:tcPr>
          <w:p>
            <w:pPr>
              <w:spacing w:line="240" w:lineRule="exact"/>
              <w:rPr>
                <w:rFonts w:ascii="宋体" w:hAnsi="宋体"/>
              </w:rPr>
            </w:pPr>
            <w:r>
              <w:rPr>
                <w:rFonts w:ascii="宋体" w:hAnsi="宋体"/>
              </w:rPr>
              <w:t>年</w:t>
            </w:r>
          </w:p>
        </w:tc>
        <w:tc>
          <w:tcPr>
            <w:tcW w:w="940" w:type="dxa"/>
            <w:gridSpan w:val="3"/>
            <w:noWrap w:val="0"/>
            <w:vAlign w:val="bottom"/>
          </w:tcPr>
          <w:p>
            <w:pPr>
              <w:spacing w:line="240" w:lineRule="exact"/>
              <w:ind w:left="240"/>
              <w:rPr>
                <w:rFonts w:ascii="宋体" w:hAnsi="宋体"/>
              </w:rPr>
            </w:pPr>
            <w:r>
              <w:rPr>
                <w:rFonts w:ascii="宋体" w:hAnsi="宋体"/>
              </w:rPr>
              <w:t>月</w:t>
            </w:r>
          </w:p>
        </w:tc>
        <w:tc>
          <w:tcPr>
            <w:tcW w:w="220" w:type="dxa"/>
            <w:noWrap w:val="0"/>
            <w:vAlign w:val="bottom"/>
          </w:tcPr>
          <w:p>
            <w:pPr>
              <w:spacing w:line="0" w:lineRule="atLeast"/>
              <w:rPr>
                <w:rFonts w:eastAsia="Times New Roman"/>
                <w:sz w:val="24"/>
              </w:rPr>
            </w:pPr>
          </w:p>
        </w:tc>
        <w:tc>
          <w:tcPr>
            <w:tcW w:w="20" w:type="dxa"/>
            <w:noWrap w:val="0"/>
            <w:vAlign w:val="bottom"/>
          </w:tcPr>
          <w:p>
            <w:pPr>
              <w:spacing w:line="0" w:lineRule="atLeast"/>
              <w:rPr>
                <w:rFonts w:eastAsia="Times New Roman"/>
                <w:sz w:val="24"/>
              </w:rPr>
            </w:pPr>
          </w:p>
        </w:tc>
        <w:tc>
          <w:tcPr>
            <w:tcW w:w="2080" w:type="dxa"/>
            <w:gridSpan w:val="2"/>
            <w:noWrap w:val="0"/>
            <w:vAlign w:val="bottom"/>
          </w:tcPr>
          <w:p>
            <w:pPr>
              <w:spacing w:line="240" w:lineRule="exact"/>
              <w:rPr>
                <w:rFonts w:ascii="宋体" w:hAnsi="宋体"/>
              </w:rPr>
            </w:pPr>
            <w:r>
              <w:rPr>
                <w:rFonts w:ascii="宋体" w:hAnsi="宋体"/>
              </w:rPr>
              <w:t>日</w:t>
            </w:r>
          </w:p>
        </w:tc>
      </w:tr>
      <w:tr>
        <w:tblPrEx>
          <w:tblCellMar>
            <w:top w:w="0" w:type="dxa"/>
            <w:left w:w="0" w:type="dxa"/>
            <w:bottom w:w="0" w:type="dxa"/>
            <w:right w:w="0" w:type="dxa"/>
          </w:tblCellMar>
        </w:tblPrEx>
        <w:trPr>
          <w:trHeight w:val="752" w:hRule="atLeast"/>
        </w:trPr>
        <w:tc>
          <w:tcPr>
            <w:tcW w:w="1366" w:type="dxa"/>
            <w:noWrap w:val="0"/>
            <w:vAlign w:val="bottom"/>
          </w:tcPr>
          <w:p>
            <w:pPr>
              <w:spacing w:line="0" w:lineRule="atLeast"/>
              <w:rPr>
                <w:rFonts w:eastAsia="Times New Roman"/>
                <w:sz w:val="24"/>
              </w:rPr>
            </w:pPr>
          </w:p>
        </w:tc>
        <w:tc>
          <w:tcPr>
            <w:tcW w:w="400" w:type="dxa"/>
            <w:noWrap w:val="0"/>
            <w:vAlign w:val="bottom"/>
          </w:tcPr>
          <w:p>
            <w:pPr>
              <w:spacing w:line="0" w:lineRule="atLeast"/>
              <w:rPr>
                <w:rFonts w:eastAsia="Times New Roman"/>
                <w:sz w:val="24"/>
              </w:rPr>
            </w:pPr>
          </w:p>
        </w:tc>
        <w:tc>
          <w:tcPr>
            <w:tcW w:w="200" w:type="dxa"/>
            <w:noWrap w:val="0"/>
            <w:vAlign w:val="bottom"/>
          </w:tcPr>
          <w:p>
            <w:pPr>
              <w:spacing w:line="0" w:lineRule="atLeast"/>
              <w:rPr>
                <w:rFonts w:eastAsia="Times New Roman"/>
                <w:sz w:val="24"/>
              </w:rPr>
            </w:pPr>
          </w:p>
        </w:tc>
        <w:tc>
          <w:tcPr>
            <w:tcW w:w="140" w:type="dxa"/>
            <w:noWrap w:val="0"/>
            <w:vAlign w:val="bottom"/>
          </w:tcPr>
          <w:p>
            <w:pPr>
              <w:spacing w:line="0" w:lineRule="atLeast"/>
              <w:rPr>
                <w:rFonts w:eastAsia="Times New Roman"/>
                <w:sz w:val="24"/>
              </w:rPr>
            </w:pPr>
          </w:p>
        </w:tc>
        <w:tc>
          <w:tcPr>
            <w:tcW w:w="700" w:type="dxa"/>
            <w:gridSpan w:val="2"/>
            <w:noWrap w:val="0"/>
            <w:vAlign w:val="bottom"/>
          </w:tcPr>
          <w:p>
            <w:pPr>
              <w:spacing w:line="240" w:lineRule="exact"/>
              <w:rPr>
                <w:rFonts w:ascii="宋体" w:hAnsi="宋体"/>
              </w:rPr>
            </w:pPr>
          </w:p>
        </w:tc>
        <w:tc>
          <w:tcPr>
            <w:tcW w:w="940" w:type="dxa"/>
            <w:gridSpan w:val="3"/>
            <w:noWrap w:val="0"/>
            <w:vAlign w:val="bottom"/>
          </w:tcPr>
          <w:p>
            <w:pPr>
              <w:spacing w:line="240" w:lineRule="exact"/>
              <w:ind w:left="240"/>
              <w:rPr>
                <w:rFonts w:ascii="宋体" w:hAnsi="宋体"/>
              </w:rPr>
            </w:pPr>
          </w:p>
        </w:tc>
        <w:tc>
          <w:tcPr>
            <w:tcW w:w="220" w:type="dxa"/>
            <w:noWrap w:val="0"/>
            <w:vAlign w:val="bottom"/>
          </w:tcPr>
          <w:p>
            <w:pPr>
              <w:spacing w:line="0" w:lineRule="atLeast"/>
              <w:rPr>
                <w:rFonts w:eastAsia="Times New Roman"/>
                <w:sz w:val="24"/>
              </w:rPr>
            </w:pPr>
          </w:p>
        </w:tc>
        <w:tc>
          <w:tcPr>
            <w:tcW w:w="20" w:type="dxa"/>
            <w:noWrap w:val="0"/>
            <w:vAlign w:val="bottom"/>
          </w:tcPr>
          <w:p>
            <w:pPr>
              <w:spacing w:line="0" w:lineRule="atLeast"/>
              <w:rPr>
                <w:rFonts w:eastAsia="Times New Roman"/>
                <w:sz w:val="24"/>
              </w:rPr>
            </w:pPr>
          </w:p>
        </w:tc>
        <w:tc>
          <w:tcPr>
            <w:tcW w:w="2080" w:type="dxa"/>
            <w:gridSpan w:val="2"/>
            <w:noWrap w:val="0"/>
            <w:vAlign w:val="bottom"/>
          </w:tcPr>
          <w:p>
            <w:pPr>
              <w:spacing w:line="240" w:lineRule="exact"/>
              <w:rPr>
                <w:rFonts w:ascii="宋体" w:hAnsi="宋体"/>
              </w:rPr>
            </w:pPr>
          </w:p>
        </w:tc>
      </w:tr>
    </w:tbl>
    <w:p>
      <w:pPr>
        <w:pStyle w:val="23"/>
        <w:wordWrap w:val="0"/>
        <w:ind w:right="124" w:rightChars="59" w:firstLine="0"/>
        <w:rPr>
          <w:rFonts w:hint="eastAsia" w:ascii="宋体" w:hAnsi="宋体" w:cs="宋体"/>
          <w:color w:val="auto"/>
          <w:sz w:val="28"/>
          <w:szCs w:val="28"/>
        </w:rPr>
      </w:pPr>
    </w:p>
    <w:p>
      <w:pPr>
        <w:spacing w:line="360" w:lineRule="auto"/>
        <w:rPr>
          <w:rFonts w:hint="eastAsia" w:ascii="宋体" w:hAnsi="宋体" w:cs="宋体"/>
          <w:sz w:val="24"/>
        </w:rPr>
      </w:pPr>
    </w:p>
    <w:p>
      <w:pPr>
        <w:pStyle w:val="26"/>
        <w:adjustRightInd w:val="0"/>
        <w:snapToGrid w:val="0"/>
        <w:spacing w:line="440" w:lineRule="exact"/>
        <w:ind w:firstLine="0" w:firstLineChars="0"/>
        <w:jc w:val="left"/>
        <w:rPr>
          <w:rFonts w:hint="eastAsia" w:ascii="宋体" w:hAnsi="宋体" w:cs="宋体"/>
          <w:sz w:val="24"/>
        </w:rPr>
      </w:pPr>
    </w:p>
    <w:p>
      <w:pPr>
        <w:pStyle w:val="26"/>
        <w:adjustRightInd w:val="0"/>
        <w:snapToGrid w:val="0"/>
        <w:spacing w:line="440" w:lineRule="exact"/>
        <w:ind w:firstLine="0" w:firstLineChars="0"/>
        <w:jc w:val="left"/>
        <w:rPr>
          <w:rFonts w:hint="default" w:ascii="宋体" w:hAnsi="宋体" w:cs="宋体"/>
          <w:sz w:val="24"/>
          <w:lang w:val="en-US"/>
        </w:rPr>
      </w:pPr>
    </w:p>
    <w:sectPr>
      <w:footerReference r:id="rId9" w:type="default"/>
      <w:pgSz w:w="11906" w:h="16838"/>
      <w:pgMar w:top="1247" w:right="1417" w:bottom="1247" w:left="1417"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Fonts w:hint="eastAsia"/>
      </w:rPr>
      <w:t>一–2</w:t>
    </w:r>
    <w:r>
      <w:fldChar w:fldCharType="end"/>
    </w:r>
  </w:p>
  <w:p>
    <w:pPr>
      <w:pStyle w:val="9"/>
      <w:ind w:right="360" w:firstLine="360"/>
      <w:jc w:val="center"/>
    </w:pPr>
    <w:r>
      <w:rP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E"/>
    <w:multiLevelType w:val="multilevel"/>
    <w:tmpl w:val="0000003E"/>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3F"/>
    <w:multiLevelType w:val="multilevel"/>
    <w:tmpl w:val="0000003F"/>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125FD527"/>
    <w:multiLevelType w:val="singleLevel"/>
    <w:tmpl w:val="125FD527"/>
    <w:lvl w:ilvl="0" w:tentative="0">
      <w:start w:val="2"/>
      <w:numFmt w:val="decimal"/>
      <w:suff w:val="nothing"/>
      <w:lvlText w:val="（%1）"/>
      <w:lvlJc w:val="left"/>
    </w:lvl>
  </w:abstractNum>
  <w:abstractNum w:abstractNumId="3">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ZmYyZjUzMzIwYWYxYWIwZDcyOWNiNjUyYWYxMTAifQ=="/>
  </w:docVars>
  <w:rsids>
    <w:rsidRoot w:val="6901280C"/>
    <w:rsid w:val="0004387D"/>
    <w:rsid w:val="00095B01"/>
    <w:rsid w:val="000C1DD2"/>
    <w:rsid w:val="000C4960"/>
    <w:rsid w:val="000E1315"/>
    <w:rsid w:val="001022F2"/>
    <w:rsid w:val="00123934"/>
    <w:rsid w:val="001566C4"/>
    <w:rsid w:val="00285AED"/>
    <w:rsid w:val="002C1598"/>
    <w:rsid w:val="003224EE"/>
    <w:rsid w:val="00395F24"/>
    <w:rsid w:val="004008FB"/>
    <w:rsid w:val="0040239C"/>
    <w:rsid w:val="00424B03"/>
    <w:rsid w:val="0045596C"/>
    <w:rsid w:val="00476158"/>
    <w:rsid w:val="00532805"/>
    <w:rsid w:val="00623E39"/>
    <w:rsid w:val="00674473"/>
    <w:rsid w:val="006B578D"/>
    <w:rsid w:val="00781D74"/>
    <w:rsid w:val="007B3971"/>
    <w:rsid w:val="007F0458"/>
    <w:rsid w:val="008154AE"/>
    <w:rsid w:val="00970BD3"/>
    <w:rsid w:val="00A13E22"/>
    <w:rsid w:val="00A24B79"/>
    <w:rsid w:val="00A43A63"/>
    <w:rsid w:val="00A478D8"/>
    <w:rsid w:val="00A758CA"/>
    <w:rsid w:val="00A858E8"/>
    <w:rsid w:val="00AD1921"/>
    <w:rsid w:val="00AD24F9"/>
    <w:rsid w:val="00B01177"/>
    <w:rsid w:val="00B36935"/>
    <w:rsid w:val="00BA0757"/>
    <w:rsid w:val="00BD05BA"/>
    <w:rsid w:val="00C41361"/>
    <w:rsid w:val="00C56B91"/>
    <w:rsid w:val="00E62B5F"/>
    <w:rsid w:val="00EC5C30"/>
    <w:rsid w:val="00F1622E"/>
    <w:rsid w:val="00F33B6B"/>
    <w:rsid w:val="00F37DDA"/>
    <w:rsid w:val="00F4188B"/>
    <w:rsid w:val="028875B4"/>
    <w:rsid w:val="030F6465"/>
    <w:rsid w:val="037B371D"/>
    <w:rsid w:val="039344F4"/>
    <w:rsid w:val="043E4B3A"/>
    <w:rsid w:val="049C3F23"/>
    <w:rsid w:val="050B7D5A"/>
    <w:rsid w:val="06C834BB"/>
    <w:rsid w:val="082C0DD0"/>
    <w:rsid w:val="09B01462"/>
    <w:rsid w:val="0ADA47D3"/>
    <w:rsid w:val="0B5B1127"/>
    <w:rsid w:val="0BE04A65"/>
    <w:rsid w:val="0CC954FA"/>
    <w:rsid w:val="0E136391"/>
    <w:rsid w:val="106E29B8"/>
    <w:rsid w:val="10970189"/>
    <w:rsid w:val="11667E72"/>
    <w:rsid w:val="1261783E"/>
    <w:rsid w:val="133D0E68"/>
    <w:rsid w:val="14117786"/>
    <w:rsid w:val="14562D0C"/>
    <w:rsid w:val="153F4462"/>
    <w:rsid w:val="1775032D"/>
    <w:rsid w:val="19BB5EC2"/>
    <w:rsid w:val="19FB734D"/>
    <w:rsid w:val="1B686EE8"/>
    <w:rsid w:val="1C69659F"/>
    <w:rsid w:val="1D207A82"/>
    <w:rsid w:val="1D7921BF"/>
    <w:rsid w:val="1DAF37F3"/>
    <w:rsid w:val="2021417D"/>
    <w:rsid w:val="24D45113"/>
    <w:rsid w:val="26BB768E"/>
    <w:rsid w:val="27F35CF0"/>
    <w:rsid w:val="291458F7"/>
    <w:rsid w:val="29733D56"/>
    <w:rsid w:val="2B752C53"/>
    <w:rsid w:val="2C4D0810"/>
    <w:rsid w:val="2CE101E6"/>
    <w:rsid w:val="2DBC078B"/>
    <w:rsid w:val="2EBF619F"/>
    <w:rsid w:val="319800E0"/>
    <w:rsid w:val="31C47A6F"/>
    <w:rsid w:val="31E61505"/>
    <w:rsid w:val="33357C1C"/>
    <w:rsid w:val="34E451DD"/>
    <w:rsid w:val="3595590F"/>
    <w:rsid w:val="361C690A"/>
    <w:rsid w:val="361D1965"/>
    <w:rsid w:val="3643314B"/>
    <w:rsid w:val="38F461CB"/>
    <w:rsid w:val="391306CB"/>
    <w:rsid w:val="392C69A0"/>
    <w:rsid w:val="395F0EEB"/>
    <w:rsid w:val="3ABD2FD5"/>
    <w:rsid w:val="3C687CCA"/>
    <w:rsid w:val="3D8A5D72"/>
    <w:rsid w:val="3EEC38DD"/>
    <w:rsid w:val="3F3B023D"/>
    <w:rsid w:val="3FB9189A"/>
    <w:rsid w:val="40E63592"/>
    <w:rsid w:val="41503A74"/>
    <w:rsid w:val="4168282C"/>
    <w:rsid w:val="41A95077"/>
    <w:rsid w:val="436332AB"/>
    <w:rsid w:val="44083C3F"/>
    <w:rsid w:val="45060392"/>
    <w:rsid w:val="48096036"/>
    <w:rsid w:val="4A04467A"/>
    <w:rsid w:val="4A4612DE"/>
    <w:rsid w:val="4AC85117"/>
    <w:rsid w:val="4C7327B1"/>
    <w:rsid w:val="4CE3707C"/>
    <w:rsid w:val="4CFB04C3"/>
    <w:rsid w:val="4E063304"/>
    <w:rsid w:val="4F852D78"/>
    <w:rsid w:val="50CF6810"/>
    <w:rsid w:val="523E6592"/>
    <w:rsid w:val="54A560AE"/>
    <w:rsid w:val="55DD06EB"/>
    <w:rsid w:val="5663506A"/>
    <w:rsid w:val="59710078"/>
    <w:rsid w:val="59CB38B6"/>
    <w:rsid w:val="59F85A60"/>
    <w:rsid w:val="5A0422B2"/>
    <w:rsid w:val="5D2B6790"/>
    <w:rsid w:val="5DF802AE"/>
    <w:rsid w:val="5DFF2E17"/>
    <w:rsid w:val="601D2D07"/>
    <w:rsid w:val="60426BD0"/>
    <w:rsid w:val="6866737A"/>
    <w:rsid w:val="68855018"/>
    <w:rsid w:val="6901280C"/>
    <w:rsid w:val="69227369"/>
    <w:rsid w:val="6A5E005E"/>
    <w:rsid w:val="6A607FD8"/>
    <w:rsid w:val="6CE8600F"/>
    <w:rsid w:val="6D3C0CF7"/>
    <w:rsid w:val="6F2E2BC7"/>
    <w:rsid w:val="6F67214C"/>
    <w:rsid w:val="70052E70"/>
    <w:rsid w:val="715822D7"/>
    <w:rsid w:val="74A7099A"/>
    <w:rsid w:val="75CB690A"/>
    <w:rsid w:val="7640532B"/>
    <w:rsid w:val="77807DE0"/>
    <w:rsid w:val="78417EFC"/>
    <w:rsid w:val="7A1B5AA1"/>
    <w:rsid w:val="7B7909CD"/>
    <w:rsid w:val="7BAE2FAB"/>
    <w:rsid w:val="7C427632"/>
    <w:rsid w:val="7DFF67F8"/>
    <w:rsid w:val="7F2C21C7"/>
    <w:rsid w:val="7F620F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numPr>
        <w:ilvl w:val="0"/>
        <w:numId w:val="1"/>
      </w:numPr>
      <w:outlineLvl w:val="3"/>
    </w:pPr>
    <w:rPr>
      <w:sz w:val="28"/>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Note Heading"/>
    <w:basedOn w:val="1"/>
    <w:next w:val="1"/>
    <w:qFormat/>
    <w:uiPriority w:val="0"/>
    <w:pPr>
      <w:snapToGrid w:val="0"/>
      <w:spacing w:line="320" w:lineRule="exact"/>
      <w:ind w:firstLine="413" w:firstLineChars="200"/>
    </w:pPr>
    <w:rPr>
      <w:rFonts w:ascii="宋体" w:hAnsi="宋体"/>
      <w:b/>
      <w:color w:val="000000"/>
    </w:rPr>
  </w:style>
  <w:style w:type="paragraph" w:styleId="6">
    <w:name w:val="annotation text"/>
    <w:basedOn w:val="1"/>
    <w:uiPriority w:val="0"/>
    <w:pPr>
      <w:jc w:val="left"/>
    </w:pPr>
  </w:style>
  <w:style w:type="paragraph" w:styleId="7">
    <w:name w:val="Body Text"/>
    <w:basedOn w:val="1"/>
    <w:next w:val="1"/>
    <w:qFormat/>
    <w:uiPriority w:val="0"/>
    <w:pPr>
      <w:spacing w:after="120"/>
    </w:p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ind w:left="420" w:leftChars="200"/>
    </w:pPr>
  </w:style>
  <w:style w:type="paragraph" w:styleId="12">
    <w:name w:val="Body Text First Indent"/>
    <w:basedOn w:val="7"/>
    <w:qFormat/>
    <w:uiPriority w:val="0"/>
    <w:pPr>
      <w:spacing w:line="312" w:lineRule="auto"/>
      <w:ind w:firstLine="420"/>
    </w:pPr>
    <w:rPr>
      <w:rFonts w:ascii="Times New Roman" w:hAnsi="Times New Roman"/>
      <w:szCs w:val="24"/>
    </w:rPr>
  </w:style>
  <w:style w:type="paragraph" w:styleId="13">
    <w:name w:val="Body Text First Indent 2"/>
    <w:basedOn w:val="1"/>
    <w:unhideWhenUsed/>
    <w:qFormat/>
    <w:uiPriority w:val="0"/>
    <w:pPr>
      <w:spacing w:after="120" w:line="256" w:lineRule="auto"/>
      <w:ind w:left="420" w:leftChars="200" w:firstLine="420" w:firstLineChars="200"/>
    </w:pPr>
    <w:rPr>
      <w:rFonts w:cs="Times New Roman"/>
    </w:rPr>
  </w:style>
  <w:style w:type="character" w:styleId="16">
    <w:name w:val="page number"/>
    <w:qFormat/>
    <w:uiPriority w:val="0"/>
  </w:style>
  <w:style w:type="character" w:styleId="17">
    <w:name w:val="Hyperlink"/>
    <w:qFormat/>
    <w:uiPriority w:val="99"/>
    <w:rPr>
      <w:color w:val="0000FF"/>
      <w:u w:val="single"/>
    </w:rPr>
  </w:style>
  <w:style w:type="character" w:customStyle="1" w:styleId="18">
    <w:name w:val="批注框文本 Char"/>
    <w:link w:val="8"/>
    <w:qFormat/>
    <w:uiPriority w:val="0"/>
    <w:rPr>
      <w:kern w:val="2"/>
      <w:sz w:val="18"/>
      <w:szCs w:val="18"/>
    </w:rPr>
  </w:style>
  <w:style w:type="paragraph" w:customStyle="1" w:styleId="1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缩进1"/>
    <w:basedOn w:val="21"/>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21">
    <w:name w:val="正文1"/>
    <w:basedOn w:val="1"/>
    <w:qFormat/>
    <w:uiPriority w:val="0"/>
    <w:pPr>
      <w:adjustRightInd w:val="0"/>
      <w:spacing w:line="240" w:lineRule="atLeast"/>
      <w:jc w:val="center"/>
      <w:textAlignment w:val="baseline"/>
    </w:pPr>
    <w:rPr>
      <w:rFonts w:ascii="Tahoma" w:hAnsi="Tahoma"/>
      <w:sz w:val="24"/>
    </w:rPr>
  </w:style>
  <w:style w:type="character" w:customStyle="1" w:styleId="22">
    <w:name w:val="NormalCharacter"/>
    <w:qFormat/>
    <w:uiPriority w:val="0"/>
    <w:rPr>
      <w:kern w:val="2"/>
      <w:sz w:val="21"/>
      <w:szCs w:val="22"/>
      <w:lang w:val="en-US" w:eastAsia="zh-CN" w:bidi="ar-SA"/>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6">
    <w:name w:val="List Paragraph"/>
    <w:basedOn w:val="1"/>
    <w:qFormat/>
    <w:uiPriority w:val="99"/>
    <w:pPr>
      <w:ind w:firstLine="420" w:firstLineChars="200"/>
    </w:pPr>
  </w:style>
  <w:style w:type="paragraph" w:customStyle="1" w:styleId="27">
    <w:name w:val="_Style 26"/>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eChat%20Files\wxid_narzfgpnigl222\FileStorage\File\2023-06\6.19&#25307;&#26631;&#20844;&#21578;-&#31532;&#19977;&#26041;&#26816;&#27979;&#65288;&#30058;&#31162;&#21306;&#21069;&#38155;&#20013;&#37096;&#27969;&#22495;&#31532;&#20108;&#25209;&#25490;&#27700;&#21333;&#20803;&#37197;&#22871;&#20844;&#20849;&#31649;&#32593;&#23436;&#21892;&#21450;&#25913;&#36896;&#24037;&#31243;&#65289;(2)(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6.19招标公告-第三方检测（番禺区前锋中部流域第二批排水单元配套公共管网完善及改造工程）(2)(1).wpt</Template>
  <Pages>10</Pages>
  <Words>5838</Words>
  <Characters>6204</Characters>
  <Lines>49</Lines>
  <Paragraphs>13</Paragraphs>
  <TotalTime>0</TotalTime>
  <ScaleCrop>false</ScaleCrop>
  <LinksUpToDate>false</LinksUpToDate>
  <CharactersWithSpaces>6488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2023-06-19T07:26:00Z</dcterms:created>
  <dc:creator>.</dc:creator>
  <cp:lastModifiedBy>.</cp:lastModifiedBy>
  <dcterms:modified xsi:type="dcterms:W3CDTF">2023-06-26T08:29:49Z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B9B165738829411DA0A7569C7F01E380_11</vt:lpwstr>
  </property>
</Properties>
</file>