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kern w:val="0"/>
          <w:sz w:val="32"/>
          <w:szCs w:val="32"/>
          <w:highlight w:val="none"/>
        </w:rPr>
      </w:pPr>
      <w:bookmarkStart w:id="0" w:name="_Toc21787626"/>
      <w:r>
        <w:rPr>
          <w:rFonts w:hint="eastAsia" w:ascii="宋体" w:hAnsi="宋体"/>
          <w:b/>
          <w:color w:val="auto"/>
          <w:kern w:val="0"/>
          <w:sz w:val="32"/>
          <w:szCs w:val="32"/>
          <w:highlight w:val="none"/>
          <w:u w:val="none"/>
          <w:lang w:eastAsia="zh-CN"/>
        </w:rPr>
        <w:t>派潭河（镇墟段）防洪排涝整治工程</w:t>
      </w:r>
      <w:r>
        <w:rPr>
          <w:rFonts w:hint="eastAsia" w:ascii="宋体" w:hAnsi="宋体"/>
          <w:b/>
          <w:color w:val="auto"/>
          <w:kern w:val="0"/>
          <w:sz w:val="32"/>
          <w:szCs w:val="32"/>
          <w:highlight w:val="none"/>
        </w:rPr>
        <w:t>招标公告</w:t>
      </w:r>
    </w:p>
    <w:p>
      <w:pPr>
        <w:pStyle w:val="3"/>
        <w:spacing w:before="156" w:beforeLines="50" w:after="156" w:afterLines="50" w:line="500" w:lineRule="exact"/>
        <w:rPr>
          <w:color w:val="auto"/>
          <w:kern w:val="0"/>
          <w:highlight w:val="none"/>
        </w:rPr>
      </w:pPr>
      <w:r>
        <w:rPr>
          <w:rFonts w:hint="eastAsia"/>
          <w:color w:val="auto"/>
          <w:kern w:val="0"/>
          <w:highlight w:val="none"/>
        </w:rPr>
        <w:t>招标条件</w:t>
      </w:r>
    </w:p>
    <w:p>
      <w:pPr>
        <w:spacing w:line="500" w:lineRule="exact"/>
        <w:ind w:firstLine="540" w:firstLineChars="225"/>
        <w:rPr>
          <w:rFonts w:ascii="宋体" w:hAnsi="宋体"/>
          <w:color w:val="auto"/>
          <w:kern w:val="0"/>
          <w:sz w:val="24"/>
          <w:szCs w:val="24"/>
          <w:highlight w:val="none"/>
        </w:rPr>
      </w:pPr>
      <w:r>
        <w:rPr>
          <w:rFonts w:ascii="宋体" w:hAnsi="宋体"/>
          <w:color w:val="auto"/>
          <w:kern w:val="0"/>
          <w:sz w:val="24"/>
          <w:szCs w:val="24"/>
          <w:highlight w:val="none"/>
        </w:rPr>
        <w:t>本招标项目</w:t>
      </w:r>
      <w:r>
        <w:rPr>
          <w:rFonts w:hint="eastAsia" w:ascii="宋体" w:hAnsi="宋体"/>
          <w:color w:val="auto"/>
          <w:kern w:val="0"/>
          <w:sz w:val="24"/>
          <w:szCs w:val="24"/>
          <w:highlight w:val="none"/>
          <w:u w:val="single"/>
          <w:lang w:eastAsia="zh-CN"/>
        </w:rPr>
        <w:t>派潭河（镇墟段）防洪排涝整治工程</w:t>
      </w:r>
      <w:r>
        <w:rPr>
          <w:rFonts w:ascii="宋体" w:hAnsi="宋体"/>
          <w:color w:val="auto"/>
          <w:kern w:val="0"/>
          <w:sz w:val="24"/>
          <w:szCs w:val="24"/>
          <w:highlight w:val="none"/>
        </w:rPr>
        <w:t>已由</w:t>
      </w:r>
      <w:r>
        <w:rPr>
          <w:rFonts w:hint="eastAsia" w:ascii="宋体" w:hAnsi="宋体"/>
          <w:color w:val="auto"/>
          <w:kern w:val="0"/>
          <w:sz w:val="24"/>
          <w:szCs w:val="24"/>
          <w:highlight w:val="none"/>
          <w:u w:val="single"/>
        </w:rPr>
        <w:t>广州市增城区发展和改革局</w:t>
      </w:r>
      <w:r>
        <w:rPr>
          <w:rFonts w:ascii="宋体" w:hAnsi="宋体"/>
          <w:color w:val="auto"/>
          <w:kern w:val="0"/>
          <w:sz w:val="24"/>
          <w:szCs w:val="24"/>
          <w:highlight w:val="none"/>
        </w:rPr>
        <w:t>以</w:t>
      </w:r>
      <w:r>
        <w:rPr>
          <w:rFonts w:hint="eastAsia" w:ascii="宋体" w:hAnsi="宋体" w:cs="宋体"/>
          <w:color w:val="auto"/>
          <w:sz w:val="24"/>
          <w:highlight w:val="none"/>
          <w:u w:val="single"/>
        </w:rPr>
        <w:t>穗增发改投批〔</w:t>
      </w:r>
      <w:r>
        <w:rPr>
          <w:rFonts w:hint="eastAsia" w:ascii="宋体" w:hAnsi="宋体" w:cs="宋体"/>
          <w:color w:val="auto"/>
          <w:sz w:val="24"/>
          <w:highlight w:val="none"/>
          <w:u w:val="single"/>
          <w:lang w:val="en-US" w:eastAsia="zh-CN"/>
        </w:rPr>
        <w:t>2020</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248</w:t>
      </w:r>
      <w:r>
        <w:rPr>
          <w:rFonts w:hint="eastAsia" w:ascii="宋体" w:hAnsi="宋体" w:cs="宋体"/>
          <w:color w:val="auto"/>
          <w:sz w:val="24"/>
          <w:highlight w:val="none"/>
          <w:u w:val="single"/>
        </w:rPr>
        <w:t>号</w:t>
      </w:r>
      <w:r>
        <w:rPr>
          <w:rFonts w:ascii="宋体" w:hAnsi="宋体"/>
          <w:color w:val="auto"/>
          <w:kern w:val="0"/>
          <w:sz w:val="24"/>
          <w:szCs w:val="24"/>
          <w:highlight w:val="none"/>
        </w:rPr>
        <w:t>批准建设</w:t>
      </w:r>
      <w:r>
        <w:rPr>
          <w:rFonts w:hint="eastAsia" w:ascii="宋体" w:hAnsi="宋体"/>
          <w:color w:val="auto"/>
          <w:kern w:val="0"/>
          <w:sz w:val="24"/>
          <w:szCs w:val="24"/>
          <w:highlight w:val="none"/>
        </w:rPr>
        <w:t>，</w:t>
      </w:r>
      <w:r>
        <w:rPr>
          <w:rFonts w:ascii="宋体" w:hAnsi="宋体"/>
          <w:color w:val="auto"/>
          <w:kern w:val="0"/>
          <w:sz w:val="24"/>
          <w:szCs w:val="24"/>
          <w:highlight w:val="none"/>
        </w:rPr>
        <w:t>项目业主为</w:t>
      </w:r>
      <w:r>
        <w:rPr>
          <w:rFonts w:hint="eastAsia" w:ascii="宋体" w:hAnsi="宋体"/>
          <w:color w:val="auto"/>
          <w:kern w:val="0"/>
          <w:sz w:val="24"/>
          <w:szCs w:val="24"/>
          <w:highlight w:val="none"/>
          <w:u w:val="single"/>
          <w:lang w:eastAsia="zh-CN"/>
        </w:rPr>
        <w:t>广州市增城区派潭镇人民政府</w:t>
      </w:r>
      <w:r>
        <w:rPr>
          <w:rFonts w:ascii="宋体" w:hAnsi="宋体"/>
          <w:color w:val="auto"/>
          <w:kern w:val="0"/>
          <w:sz w:val="24"/>
          <w:szCs w:val="24"/>
          <w:highlight w:val="none"/>
        </w:rPr>
        <w:t>，建设资金来自</w:t>
      </w:r>
      <w:r>
        <w:rPr>
          <w:rFonts w:hint="eastAsia" w:ascii="宋体" w:hAnsi="宋体"/>
          <w:color w:val="auto"/>
          <w:kern w:val="0"/>
          <w:sz w:val="24"/>
          <w:szCs w:val="24"/>
          <w:highlight w:val="none"/>
          <w:u w:val="single"/>
        </w:rPr>
        <w:t>区</w:t>
      </w:r>
      <w:r>
        <w:rPr>
          <w:rFonts w:hint="eastAsia" w:ascii="宋体" w:hAnsi="宋体"/>
          <w:color w:val="auto"/>
          <w:kern w:val="0"/>
          <w:sz w:val="24"/>
          <w:szCs w:val="24"/>
          <w:highlight w:val="none"/>
          <w:u w:val="single"/>
          <w:lang w:eastAsia="zh-CN"/>
        </w:rPr>
        <w:t>财政资金</w:t>
      </w:r>
      <w:r>
        <w:rPr>
          <w:rFonts w:ascii="宋体" w:hAnsi="宋体"/>
          <w:color w:val="auto"/>
          <w:kern w:val="0"/>
          <w:sz w:val="24"/>
          <w:szCs w:val="24"/>
          <w:highlight w:val="none"/>
        </w:rPr>
        <w:t>，项目出资比例为</w:t>
      </w:r>
      <w:r>
        <w:rPr>
          <w:rFonts w:hint="eastAsia" w:ascii="宋体" w:hAnsi="宋体"/>
          <w:color w:val="auto"/>
          <w:kern w:val="0"/>
          <w:sz w:val="24"/>
          <w:szCs w:val="24"/>
          <w:highlight w:val="none"/>
          <w:u w:val="single"/>
        </w:rPr>
        <w:t>100%</w:t>
      </w:r>
      <w:r>
        <w:rPr>
          <w:rFonts w:ascii="宋体" w:hAnsi="宋体"/>
          <w:color w:val="auto"/>
          <w:kern w:val="0"/>
          <w:sz w:val="24"/>
          <w:szCs w:val="24"/>
          <w:highlight w:val="none"/>
        </w:rPr>
        <w:t>, 招标人为</w:t>
      </w:r>
      <w:r>
        <w:rPr>
          <w:rFonts w:hint="eastAsia" w:ascii="宋体" w:hAnsi="宋体"/>
          <w:color w:val="auto"/>
          <w:kern w:val="0"/>
          <w:sz w:val="24"/>
          <w:szCs w:val="24"/>
          <w:highlight w:val="none"/>
          <w:u w:val="single"/>
          <w:lang w:eastAsia="zh-CN"/>
        </w:rPr>
        <w:t>广州市增城区派潭镇人民政府</w:t>
      </w:r>
      <w:r>
        <w:rPr>
          <w:rFonts w:hint="eastAsia" w:ascii="宋体" w:hAnsi="宋体"/>
          <w:color w:val="auto"/>
          <w:kern w:val="0"/>
          <w:sz w:val="24"/>
          <w:szCs w:val="24"/>
          <w:highlight w:val="none"/>
        </w:rPr>
        <w:t>。</w:t>
      </w:r>
      <w:r>
        <w:rPr>
          <w:rFonts w:ascii="宋体" w:hAnsi="宋体"/>
          <w:color w:val="auto"/>
          <w:kern w:val="0"/>
          <w:sz w:val="24"/>
          <w:szCs w:val="24"/>
          <w:highlight w:val="none"/>
        </w:rPr>
        <w:t>项目已具备招标条件，现对该项目施工进行公开招标。</w:t>
      </w:r>
    </w:p>
    <w:p>
      <w:pPr>
        <w:pStyle w:val="3"/>
        <w:spacing w:before="156" w:beforeLines="50" w:after="156" w:afterLines="50" w:line="500" w:lineRule="exact"/>
        <w:rPr>
          <w:color w:val="auto"/>
          <w:kern w:val="0"/>
          <w:highlight w:val="none"/>
        </w:rPr>
      </w:pPr>
      <w:r>
        <w:rPr>
          <w:color w:val="auto"/>
          <w:kern w:val="0"/>
          <w:highlight w:val="none"/>
        </w:rPr>
        <w:t>项目概况与招标范围</w:t>
      </w:r>
    </w:p>
    <w:p>
      <w:pPr>
        <w:numPr>
          <w:ilvl w:val="1"/>
          <w:numId w:val="1"/>
        </w:numPr>
        <w:spacing w:line="440" w:lineRule="exact"/>
        <w:ind w:left="0" w:firstLine="0"/>
        <w:rPr>
          <w:rFonts w:ascii="宋体" w:hAnsi="宋体"/>
          <w:color w:val="auto"/>
          <w:sz w:val="24"/>
          <w:szCs w:val="24"/>
          <w:highlight w:val="none"/>
        </w:rPr>
      </w:pPr>
      <w:r>
        <w:rPr>
          <w:rFonts w:hint="eastAsia" w:ascii="宋体" w:hAnsi="宋体"/>
          <w:color w:val="auto"/>
          <w:sz w:val="24"/>
          <w:szCs w:val="24"/>
          <w:highlight w:val="none"/>
        </w:rPr>
        <w:t>建设地点：</w:t>
      </w:r>
      <w:r>
        <w:rPr>
          <w:rFonts w:hint="eastAsia" w:ascii="宋体" w:hAnsi="宋体"/>
          <w:color w:val="auto"/>
          <w:sz w:val="24"/>
          <w:szCs w:val="24"/>
          <w:highlight w:val="none"/>
          <w:lang w:eastAsia="zh-CN"/>
        </w:rPr>
        <w:t>增城区派潭镇派潭河（镇墟段）</w:t>
      </w:r>
      <w:r>
        <w:rPr>
          <w:rFonts w:hint="eastAsia" w:ascii="宋体" w:hAnsi="宋体"/>
          <w:color w:val="auto"/>
          <w:sz w:val="24"/>
          <w:szCs w:val="24"/>
          <w:highlight w:val="none"/>
        </w:rPr>
        <w:t>。</w:t>
      </w:r>
    </w:p>
    <w:p>
      <w:pPr>
        <w:numPr>
          <w:ilvl w:val="1"/>
          <w:numId w:val="1"/>
        </w:numPr>
        <w:spacing w:line="440" w:lineRule="exact"/>
        <w:ind w:left="0" w:firstLine="0"/>
        <w:rPr>
          <w:rFonts w:ascii="宋体" w:hAnsi="宋体"/>
          <w:color w:val="auto"/>
          <w:sz w:val="24"/>
          <w:szCs w:val="24"/>
          <w:highlight w:val="none"/>
        </w:rPr>
      </w:pPr>
      <w:r>
        <w:rPr>
          <w:rFonts w:hint="eastAsia" w:ascii="宋体" w:hAnsi="宋体"/>
          <w:color w:val="auto"/>
          <w:sz w:val="24"/>
          <w:szCs w:val="24"/>
          <w:highlight w:val="none"/>
        </w:rPr>
        <w:t>项目规模：</w:t>
      </w:r>
      <w:r>
        <w:rPr>
          <w:rFonts w:hint="eastAsia" w:ascii="宋体" w:hAnsi="宋体"/>
          <w:color w:val="auto"/>
          <w:sz w:val="24"/>
          <w:szCs w:val="24"/>
          <w:highlight w:val="none"/>
          <w:lang w:eastAsia="zh-CN"/>
        </w:rPr>
        <w:t>本工程为派潭河（镇墟段）防洪排涝整治工程，整治段下游起点为鹅兜村高埔河入河口处，上游终点接高陂头拦河闸下游，整治长度 6.110km，工程以防洪排涝为主，整治内容主要包括河道清疏、护脚护坡、新建堤防、新建泵站及相关配套工程等</w:t>
      </w:r>
      <w:r>
        <w:rPr>
          <w:rFonts w:hint="eastAsia" w:ascii="宋体" w:hAnsi="宋体" w:eastAsia="宋体" w:cs="Times New Roman"/>
          <w:color w:val="auto"/>
          <w:sz w:val="24"/>
          <w:szCs w:val="24"/>
          <w:highlight w:val="none"/>
        </w:rPr>
        <w:t>。</w:t>
      </w:r>
    </w:p>
    <w:p>
      <w:pPr>
        <w:numPr>
          <w:ilvl w:val="1"/>
          <w:numId w:val="1"/>
        </w:numPr>
        <w:spacing w:line="440" w:lineRule="exact"/>
        <w:rPr>
          <w:rFonts w:ascii="宋体" w:hAnsi="宋体"/>
          <w:color w:val="auto"/>
          <w:sz w:val="24"/>
          <w:szCs w:val="24"/>
          <w:highlight w:val="none"/>
        </w:rPr>
      </w:pPr>
      <w:r>
        <w:rPr>
          <w:rFonts w:hint="eastAsia" w:ascii="宋体" w:hAnsi="宋体"/>
          <w:color w:val="auto"/>
          <w:sz w:val="24"/>
          <w:szCs w:val="24"/>
          <w:highlight w:val="none"/>
        </w:rPr>
        <w:t>最高投标限价：</w:t>
      </w:r>
      <w:r>
        <w:rPr>
          <w:rFonts w:hint="eastAsia" w:ascii="宋体" w:hAnsi="宋体"/>
          <w:color w:val="auto"/>
          <w:sz w:val="24"/>
          <w:szCs w:val="24"/>
          <w:highlight w:val="none"/>
          <w:u w:val="single"/>
          <w:lang w:eastAsia="zh-CN"/>
        </w:rPr>
        <w:t xml:space="preserve">  84103273.06  </w:t>
      </w:r>
      <w:r>
        <w:rPr>
          <w:rFonts w:ascii="宋体" w:hAnsi="宋体"/>
          <w:color w:val="auto"/>
          <w:sz w:val="24"/>
          <w:szCs w:val="24"/>
          <w:highlight w:val="none"/>
        </w:rPr>
        <w:t>元</w:t>
      </w:r>
      <w:r>
        <w:rPr>
          <w:rFonts w:hint="eastAsia" w:ascii="宋体" w:hAnsi="宋体"/>
          <w:color w:val="auto"/>
          <w:sz w:val="24"/>
          <w:szCs w:val="24"/>
          <w:highlight w:val="none"/>
        </w:rPr>
        <w:t>。</w:t>
      </w:r>
    </w:p>
    <w:p>
      <w:pPr>
        <w:numPr>
          <w:ilvl w:val="1"/>
          <w:numId w:val="1"/>
        </w:numPr>
        <w:spacing w:line="440" w:lineRule="exact"/>
        <w:rPr>
          <w:rFonts w:ascii="宋体" w:hAnsi="宋体"/>
          <w:color w:val="auto"/>
          <w:sz w:val="24"/>
          <w:szCs w:val="24"/>
          <w:highlight w:val="none"/>
        </w:rPr>
      </w:pPr>
      <w:r>
        <w:rPr>
          <w:rFonts w:hint="eastAsia" w:ascii="宋体" w:hAnsi="宋体"/>
          <w:color w:val="auto"/>
          <w:sz w:val="24"/>
          <w:szCs w:val="24"/>
          <w:highlight w:val="none"/>
        </w:rPr>
        <w:t>计划工期：</w:t>
      </w:r>
      <w:r>
        <w:rPr>
          <w:rFonts w:hint="eastAsia" w:ascii="宋体" w:hAnsi="宋体"/>
          <w:color w:val="auto"/>
          <w:sz w:val="24"/>
          <w:szCs w:val="24"/>
          <w:highlight w:val="none"/>
          <w:u w:val="single"/>
        </w:rPr>
        <w:t>3</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日历天。</w:t>
      </w:r>
    </w:p>
    <w:p>
      <w:pPr>
        <w:numPr>
          <w:ilvl w:val="1"/>
          <w:numId w:val="1"/>
        </w:numPr>
        <w:spacing w:line="440" w:lineRule="exact"/>
        <w:ind w:left="0" w:firstLine="0"/>
        <w:rPr>
          <w:rFonts w:hint="eastAsia" w:ascii="宋体" w:hAnsi="宋体"/>
          <w:color w:val="auto"/>
          <w:sz w:val="24"/>
          <w:szCs w:val="24"/>
          <w:highlight w:val="none"/>
        </w:rPr>
      </w:pPr>
      <w:r>
        <w:rPr>
          <w:rFonts w:hint="eastAsia" w:ascii="宋体" w:hAnsi="宋体"/>
          <w:color w:val="auto"/>
          <w:sz w:val="24"/>
          <w:szCs w:val="24"/>
          <w:highlight w:val="none"/>
        </w:rPr>
        <w:t>招标内容：</w:t>
      </w:r>
      <w:r>
        <w:rPr>
          <w:rFonts w:hint="eastAsia" w:ascii="宋体" w:hAnsi="宋体"/>
          <w:color w:val="auto"/>
          <w:sz w:val="24"/>
          <w:szCs w:val="24"/>
          <w:highlight w:val="none"/>
          <w:lang w:eastAsia="zh-CN"/>
        </w:rPr>
        <w:t>本工程为派潭河（镇墟段）防洪排涝整治工程，整治段下游起点为鹅兜村高埔河入河口处，上游终点接高陂头拦河闸下游，整治长度 6.110km，工程以防洪排涝为主，整治内容主要包括河道清疏、护脚护坡、新建堤防、新建泵站及相关配套工程等</w:t>
      </w:r>
      <w:r>
        <w:rPr>
          <w:rFonts w:hint="eastAsia" w:ascii="宋体" w:hAnsi="宋体" w:eastAsia="宋体" w:cs="Times New Roman"/>
          <w:color w:val="auto"/>
          <w:sz w:val="24"/>
          <w:szCs w:val="24"/>
          <w:highlight w:val="none"/>
        </w:rPr>
        <w:t>。</w:t>
      </w:r>
      <w:r>
        <w:rPr>
          <w:rFonts w:hint="eastAsia" w:ascii="宋体" w:hAnsi="宋体"/>
          <w:color w:val="auto"/>
          <w:sz w:val="24"/>
          <w:szCs w:val="24"/>
          <w:highlight w:val="none"/>
        </w:rPr>
        <w:t>（具体工作内容详见施工设计图纸和工程量清单）。</w:t>
      </w:r>
    </w:p>
    <w:p>
      <w:pPr>
        <w:numPr>
          <w:ilvl w:val="1"/>
          <w:numId w:val="1"/>
        </w:numPr>
        <w:tabs>
          <w:tab w:val="left" w:pos="0"/>
        </w:tabs>
        <w:spacing w:line="440" w:lineRule="exact"/>
        <w:ind w:left="7" w:hanging="7"/>
        <w:rPr>
          <w:rFonts w:ascii="宋体" w:hAnsi="宋体"/>
          <w:color w:val="auto"/>
          <w:sz w:val="24"/>
          <w:szCs w:val="24"/>
          <w:highlight w:val="none"/>
        </w:rPr>
      </w:pPr>
      <w:r>
        <w:rPr>
          <w:rFonts w:hint="eastAsia" w:ascii="宋体" w:hAnsi="宋体"/>
          <w:color w:val="auto"/>
          <w:sz w:val="24"/>
          <w:szCs w:val="24"/>
          <w:highlight w:val="none"/>
        </w:rPr>
        <w:t>标段划分：1个标段。</w:t>
      </w:r>
    </w:p>
    <w:p>
      <w:pPr>
        <w:numPr>
          <w:ilvl w:val="1"/>
          <w:numId w:val="1"/>
        </w:numPr>
        <w:tabs>
          <w:tab w:val="left" w:pos="0"/>
        </w:tabs>
        <w:spacing w:line="440" w:lineRule="exact"/>
        <w:ind w:left="7" w:hanging="7"/>
        <w:rPr>
          <w:rFonts w:ascii="宋体" w:hAnsi="宋体"/>
          <w:color w:val="auto"/>
          <w:sz w:val="24"/>
          <w:szCs w:val="24"/>
          <w:highlight w:val="none"/>
        </w:rPr>
      </w:pPr>
      <w:r>
        <w:rPr>
          <w:rFonts w:hint="eastAsia" w:ascii="宋体" w:hAnsi="宋体"/>
          <w:color w:val="auto"/>
          <w:sz w:val="24"/>
          <w:szCs w:val="24"/>
          <w:highlight w:val="none"/>
        </w:rPr>
        <w:t>承包方式：</w:t>
      </w:r>
      <w:r>
        <w:rPr>
          <w:rFonts w:hint="eastAsia" w:ascii="宋体" w:hAnsi="宋体"/>
          <w:color w:val="auto"/>
          <w:sz w:val="24"/>
          <w:szCs w:val="24"/>
          <w:highlight w:val="none"/>
          <w:u w:val="single"/>
        </w:rPr>
        <w:t>包工、包料、包工期、包质量、包安全、包文明施工。综合单价包干、项目措施费包干</w:t>
      </w:r>
      <w:r>
        <w:rPr>
          <w:rFonts w:hint="eastAsia" w:ascii="宋体" w:hAnsi="宋体"/>
          <w:color w:val="auto"/>
          <w:sz w:val="24"/>
          <w:szCs w:val="24"/>
          <w:highlight w:val="none"/>
          <w:u w:val="none"/>
        </w:rPr>
        <w:t>。</w:t>
      </w:r>
    </w:p>
    <w:p>
      <w:pPr>
        <w:pStyle w:val="3"/>
        <w:spacing w:before="120" w:after="120" w:line="500" w:lineRule="exact"/>
        <w:rPr>
          <w:color w:val="auto"/>
          <w:highlight w:val="none"/>
        </w:rPr>
      </w:pPr>
      <w:r>
        <w:rPr>
          <w:color w:val="auto"/>
          <w:highlight w:val="none"/>
        </w:rPr>
        <w:t>投标人资格要求</w:t>
      </w:r>
    </w:p>
    <w:p>
      <w:pPr>
        <w:spacing w:line="440" w:lineRule="exact"/>
        <w:jc w:val="left"/>
        <w:rPr>
          <w:rFonts w:ascii="宋体" w:hAnsi="宋体"/>
          <w:bCs/>
          <w:color w:val="auto"/>
          <w:sz w:val="24"/>
          <w:highlight w:val="none"/>
        </w:rPr>
      </w:pPr>
      <w:r>
        <w:rPr>
          <w:rFonts w:hint="eastAsia" w:ascii="宋体" w:hAnsi="宋体"/>
          <w:bCs/>
          <w:color w:val="auto"/>
          <w:sz w:val="24"/>
          <w:highlight w:val="none"/>
        </w:rPr>
        <w:t>投标人应具备承担本工程施工的资质条件、能力和信誉，具体要求如下：</w:t>
      </w:r>
    </w:p>
    <w:p>
      <w:pPr>
        <w:widowControl/>
        <w:numPr>
          <w:ilvl w:val="0"/>
          <w:numId w:val="2"/>
        </w:numPr>
        <w:spacing w:line="440" w:lineRule="exact"/>
        <w:ind w:left="0" w:firstLine="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投标人应具有独立法人资格并依法取得营业执照，营业执照处于有效期。</w:t>
      </w:r>
    </w:p>
    <w:p>
      <w:pPr>
        <w:widowControl/>
        <w:numPr>
          <w:ilvl w:val="0"/>
          <w:numId w:val="2"/>
        </w:numPr>
        <w:spacing w:line="440" w:lineRule="exact"/>
        <w:ind w:left="0" w:firstLine="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投标人应持有建设行政主管部门颁发的企业资质证书及安全生产许可证。</w:t>
      </w:r>
    </w:p>
    <w:p>
      <w:pPr>
        <w:widowControl/>
        <w:numPr>
          <w:ilvl w:val="0"/>
          <w:numId w:val="2"/>
        </w:numPr>
        <w:spacing w:line="440" w:lineRule="exact"/>
        <w:ind w:left="0" w:firstLine="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投标人应具备以下资质：</w:t>
      </w:r>
    </w:p>
    <w:p>
      <w:pPr>
        <w:widowControl/>
        <w:numPr>
          <w:ilvl w:val="0"/>
          <w:numId w:val="0"/>
        </w:numPr>
        <w:spacing w:line="440" w:lineRule="exact"/>
        <w:ind w:left="0" w:firstLine="480" w:firstLineChars="200"/>
        <w:jc w:val="left"/>
      </w:pPr>
      <w:r>
        <w:rPr>
          <w:rFonts w:hint="eastAsia" w:ascii="宋体" w:hAnsi="宋体" w:cs="宋体"/>
          <w:color w:val="auto"/>
          <w:kern w:val="0"/>
          <w:sz w:val="24"/>
          <w:szCs w:val="24"/>
          <w:highlight w:val="none"/>
        </w:rPr>
        <w:t>投标人具有承接本工程所需的</w:t>
      </w:r>
      <w:r>
        <w:rPr>
          <w:rFonts w:hint="eastAsia" w:ascii="宋体" w:hAnsi="宋体" w:cs="宋体"/>
          <w:color w:val="auto"/>
          <w:kern w:val="0"/>
          <w:sz w:val="24"/>
          <w:szCs w:val="24"/>
          <w:highlight w:val="none"/>
          <w:u w:val="none"/>
          <w:lang w:eastAsia="zh-CN"/>
        </w:rPr>
        <w:t>水利水电工程施工总承包二级</w:t>
      </w:r>
      <w:r>
        <w:rPr>
          <w:rFonts w:hint="eastAsia" w:ascii="宋体" w:hAnsi="宋体" w:cs="宋体"/>
          <w:color w:val="auto"/>
          <w:kern w:val="0"/>
          <w:sz w:val="24"/>
          <w:szCs w:val="24"/>
          <w:highlight w:val="none"/>
        </w:rPr>
        <w:t>或以上级别施工总承包资质。</w:t>
      </w:r>
    </w:p>
    <w:p>
      <w:pPr>
        <w:pStyle w:val="12"/>
        <w:spacing w:before="0" w:after="0" w:line="360" w:lineRule="auto"/>
        <w:ind w:firstLine="540"/>
        <w:rPr>
          <w:rFonts w:hint="eastAsia"/>
          <w:b/>
        </w:rPr>
      </w:pPr>
      <w:r>
        <w:rPr>
          <w:rFonts w:hint="eastAsia"/>
          <w:b/>
        </w:rPr>
        <w:t>注：工程建筑业企业资质证书有效期按《住房和城乡建设部办公厅关于建设工程企业资质延续有关事项的通知》（建办市函〔2020〕334号）、《住房和城乡建设部建筑市场监管司关于建设工程企业资质有效期延期的通知》（建司局函市〔2020〕38号）、《广东省住房和城乡建设厅关于建设工程企业资质延续有关事项的通知》（粤建许函〔2020〕298号）、《广州市住房和城乡建设局关于建设工程企业资质有效期顺延的通知》（穗建审批〔2020〕295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的要求设置执行。</w:t>
      </w:r>
    </w:p>
    <w:p>
      <w:pPr>
        <w:pStyle w:val="12"/>
        <w:spacing w:before="0" w:after="0" w:line="360" w:lineRule="auto"/>
        <w:ind w:firstLine="540"/>
        <w:rPr>
          <w:rFonts w:hint="eastAsia"/>
          <w:b/>
          <w:highlight w:val="yellow"/>
        </w:rPr>
      </w:pPr>
      <w:r>
        <w:rPr>
          <w:rFonts w:hint="eastAsia"/>
          <w:b/>
        </w:rPr>
        <w:t xml:space="preserve">如投标人的企业资质是根据 2020年11月30日发布的《住房和城乡建设部关于印发建设工程企业资质管理制度改革方案的通知》（建市〔2020〕94号）办理的，则资质相应要求如下：投标人具有建设行政主管部门颁发的水利水电工程施工总承包乙级或以上资质。 </w:t>
      </w:r>
    </w:p>
    <w:p>
      <w:pPr>
        <w:widowControl/>
        <w:numPr>
          <w:ilvl w:val="0"/>
          <w:numId w:val="2"/>
        </w:numPr>
        <w:spacing w:line="440" w:lineRule="exact"/>
        <w:ind w:left="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对投标人拟派项目负责人的要求：</w:t>
      </w:r>
    </w:p>
    <w:p>
      <w:pPr>
        <w:numPr>
          <w:ilvl w:val="0"/>
          <w:numId w:val="3"/>
        </w:numPr>
        <w:spacing w:line="360" w:lineRule="auto"/>
        <w:ind w:firstLine="480" w:firstLineChars="200"/>
        <w:rPr>
          <w:rFonts w:hint="eastAsia" w:ascii="宋体" w:hAnsi="宋体"/>
          <w:color w:val="auto"/>
          <w:sz w:val="24"/>
          <w:szCs w:val="24"/>
          <w:highlight w:val="none"/>
          <w:u w:val="none"/>
        </w:rPr>
      </w:pPr>
      <w:r>
        <w:rPr>
          <w:rFonts w:hint="eastAsia" w:ascii="宋体" w:hAnsi="宋体"/>
          <w:bCs/>
          <w:color w:val="auto"/>
          <w:sz w:val="24"/>
          <w:highlight w:val="none"/>
        </w:rPr>
        <w:t>投标人拟担任本工程项目负责人的人员须具</w:t>
      </w:r>
      <w:r>
        <w:rPr>
          <w:rFonts w:hint="eastAsia" w:ascii="宋体" w:hAnsi="宋体"/>
          <w:bCs/>
          <w:color w:val="auto"/>
          <w:sz w:val="24"/>
          <w:highlight w:val="none"/>
          <w:u w:val="none"/>
        </w:rPr>
        <w:t>有</w:t>
      </w:r>
      <w:r>
        <w:rPr>
          <w:rFonts w:hint="eastAsia" w:ascii="宋体" w:hAnsi="宋体" w:cs="宋体"/>
          <w:color w:val="auto"/>
          <w:kern w:val="0"/>
          <w:sz w:val="24"/>
          <w:szCs w:val="24"/>
          <w:highlight w:val="none"/>
          <w:u w:val="none"/>
        </w:rPr>
        <w:t>水利水电</w:t>
      </w:r>
      <w:r>
        <w:rPr>
          <w:rFonts w:hint="eastAsia" w:ascii="宋体" w:hAnsi="宋体"/>
          <w:color w:val="auto"/>
          <w:sz w:val="24"/>
          <w:szCs w:val="24"/>
          <w:highlight w:val="none"/>
          <w:u w:val="none"/>
        </w:rPr>
        <w:t>专业一级注册建造师。（注：注册建造师不含临时建造师）</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2）项目负责人持有</w:t>
      </w:r>
      <w:r>
        <w:rPr>
          <w:rFonts w:hint="eastAsia" w:ascii="宋体" w:hAnsi="宋体"/>
          <w:color w:val="auto"/>
          <w:sz w:val="24"/>
          <w:szCs w:val="24"/>
          <w:highlight w:val="none"/>
        </w:rPr>
        <w:t>水行政主管部门颁发的安全生产考核合格证（</w:t>
      </w:r>
      <w:r>
        <w:rPr>
          <w:rFonts w:ascii="宋体" w:hAnsi="宋体"/>
          <w:color w:val="auto"/>
          <w:sz w:val="24"/>
          <w:szCs w:val="24"/>
          <w:highlight w:val="none"/>
        </w:rPr>
        <w:t>B类）</w:t>
      </w:r>
    </w:p>
    <w:p>
      <w:pPr>
        <w:widowControl/>
        <w:spacing w:line="360" w:lineRule="auto"/>
        <w:ind w:firstLine="440" w:firstLineChars="200"/>
        <w:jc w:val="left"/>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u w:val="none"/>
        </w:rPr>
        <w:t>注：</w:t>
      </w:r>
      <w:r>
        <w:rPr>
          <w:rFonts w:hint="eastAsia" w:ascii="宋体" w:hAnsi="宋体" w:eastAsia="宋体" w:cs="宋体"/>
          <w:color w:val="auto"/>
          <w:sz w:val="22"/>
          <w:szCs w:val="22"/>
          <w:highlight w:val="none"/>
          <w:u w:val="none"/>
          <w:lang w:val="en-US" w:eastAsia="zh-CN"/>
        </w:rPr>
        <w:t>①</w:t>
      </w:r>
      <w:r>
        <w:rPr>
          <w:rFonts w:hint="eastAsia" w:ascii="宋体" w:hAnsi="宋体" w:eastAsia="宋体" w:cs="宋体"/>
          <w:color w:val="auto"/>
          <w:sz w:val="22"/>
          <w:szCs w:val="22"/>
          <w:highlight w:val="none"/>
          <w:u w:val="single"/>
        </w:rPr>
        <w:t>项目负责人在任职期间不得担任专职安全员，项目专职安全员在任职期间也不得担任项目负责人，项目负责人和安全员不为同一人。</w:t>
      </w:r>
      <w:r>
        <w:rPr>
          <w:rFonts w:hint="eastAsia" w:ascii="宋体" w:hAnsi="宋体" w:cs="宋体"/>
          <w:kern w:val="0"/>
          <w:szCs w:val="21"/>
        </w:rPr>
        <w:t>②根据《住房和城乡建设部办公厅关于全面实行一级建造师电子注册证书的通知》（</w:t>
      </w:r>
      <w:r>
        <w:rPr>
          <w:rFonts w:ascii="宋体" w:hAnsi="宋体" w:cs="宋体"/>
          <w:kern w:val="0"/>
          <w:szCs w:val="21"/>
        </w:rPr>
        <w:t xml:space="preserve"> </w:t>
      </w:r>
      <w:r>
        <w:rPr>
          <w:rFonts w:hint="eastAsia" w:ascii="宋体" w:hAnsi="宋体" w:cs="宋体"/>
          <w:kern w:val="0"/>
          <w:szCs w:val="21"/>
        </w:rPr>
        <w:t>建办市〔</w:t>
      </w:r>
      <w:r>
        <w:rPr>
          <w:rFonts w:ascii="宋体" w:hAnsi="宋体" w:cs="宋体"/>
          <w:kern w:val="0"/>
          <w:szCs w:val="21"/>
        </w:rPr>
        <w:t>2021〕40号），自2022年1月1日起，一级建造师统一使用电子证书，纸质注册证书作废，具体操作流程可查阅《住房和城乡建设部一级建造师电子证照申领和使用手册》。</w:t>
      </w:r>
    </w:p>
    <w:p>
      <w:pPr>
        <w:widowControl/>
        <w:numPr>
          <w:ilvl w:val="0"/>
          <w:numId w:val="2"/>
        </w:numPr>
        <w:spacing w:line="440" w:lineRule="exact"/>
        <w:ind w:left="0" w:firstLine="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对投标人拟派专职安全员的要求：</w:t>
      </w:r>
    </w:p>
    <w:p>
      <w:pPr>
        <w:widowControl/>
        <w:spacing w:line="440" w:lineRule="exact"/>
        <w:ind w:firstLine="480" w:firstLineChars="200"/>
        <w:jc w:val="left"/>
        <w:rPr>
          <w:rFonts w:ascii="宋体" w:hAnsi="宋体" w:cs="仿宋_GB2312"/>
          <w:color w:val="auto"/>
          <w:sz w:val="24"/>
          <w:szCs w:val="24"/>
          <w:highlight w:val="none"/>
        </w:rPr>
      </w:pPr>
      <w:r>
        <w:rPr>
          <w:rFonts w:hint="eastAsia" w:ascii="宋体" w:hAnsi="宋体" w:cs="仿宋_GB2312"/>
          <w:color w:val="auto"/>
          <w:sz w:val="24"/>
          <w:szCs w:val="24"/>
          <w:highlight w:val="none"/>
        </w:rPr>
        <w:t>专职安全员须具有水行政主管部门颁发的安全生产考核合格证（</w:t>
      </w:r>
      <w:r>
        <w:rPr>
          <w:rFonts w:ascii="宋体" w:hAnsi="宋体" w:cs="仿宋_GB2312"/>
          <w:color w:val="auto"/>
          <w:sz w:val="24"/>
          <w:szCs w:val="24"/>
          <w:highlight w:val="none"/>
        </w:rPr>
        <w:t>C类）</w:t>
      </w:r>
    </w:p>
    <w:p>
      <w:pPr>
        <w:widowControl/>
        <w:numPr>
          <w:ilvl w:val="0"/>
          <w:numId w:val="2"/>
        </w:numPr>
        <w:spacing w:line="440" w:lineRule="exact"/>
        <w:ind w:left="0" w:firstLine="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类似项目业绩要求：</w:t>
      </w:r>
      <w:r>
        <w:rPr>
          <w:rFonts w:hint="eastAsia" w:ascii="宋体" w:hAnsi="宋体" w:cs="宋体"/>
          <w:color w:val="auto"/>
          <w:kern w:val="0"/>
          <w:sz w:val="24"/>
          <w:szCs w:val="24"/>
          <w:highlight w:val="none"/>
          <w:u w:val="single"/>
        </w:rPr>
        <w:t>无</w:t>
      </w:r>
    </w:p>
    <w:p>
      <w:pPr>
        <w:widowControl/>
        <w:numPr>
          <w:ilvl w:val="0"/>
          <w:numId w:val="2"/>
        </w:numPr>
        <w:spacing w:line="440" w:lineRule="exact"/>
        <w:ind w:left="0" w:firstLine="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提交社保文件的要求</w:t>
      </w:r>
    </w:p>
    <w:p>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投标申请人须保证授权的委托代理人及项目部主要组成人员（项目负责人、技术负责人（如有）、专职安全员）均为本单位的正式职工，必须具有离投标截止时间最近</w:t>
      </w:r>
      <w:r>
        <w:rPr>
          <w:rFonts w:hint="eastAsia" w:ascii="宋体" w:hAnsi="宋体" w:cs="宋体"/>
          <w:color w:val="auto"/>
          <w:kern w:val="0"/>
          <w:sz w:val="24"/>
          <w:szCs w:val="24"/>
          <w:highlight w:val="none"/>
          <w:u w:val="single"/>
        </w:rPr>
        <w:t>6</w:t>
      </w:r>
      <w:r>
        <w:rPr>
          <w:rFonts w:hint="eastAsia" w:ascii="宋体" w:hAnsi="宋体" w:cs="宋体"/>
          <w:color w:val="auto"/>
          <w:kern w:val="0"/>
          <w:sz w:val="24"/>
          <w:szCs w:val="24"/>
          <w:highlight w:val="none"/>
          <w:u w:val="none"/>
        </w:rPr>
        <w:t>个</w:t>
      </w:r>
      <w:r>
        <w:rPr>
          <w:rFonts w:hint="eastAsia" w:ascii="宋体" w:hAnsi="宋体" w:cs="宋体"/>
          <w:color w:val="auto"/>
          <w:kern w:val="0"/>
          <w:sz w:val="24"/>
          <w:szCs w:val="24"/>
          <w:highlight w:val="none"/>
        </w:rPr>
        <w:t>月（时间为：</w:t>
      </w:r>
      <w:r>
        <w:rPr>
          <w:rFonts w:hint="eastAsia" w:ascii="宋体" w:hAnsi="宋体" w:cs="宋体"/>
          <w:color w:val="auto"/>
          <w:kern w:val="0"/>
          <w:sz w:val="24"/>
          <w:szCs w:val="24"/>
          <w:highlight w:val="none"/>
          <w:lang w:val="en-US" w:eastAsia="zh-CN"/>
        </w:rPr>
        <w:t>2022</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lang w:eastAsia="zh-CN"/>
        </w:rPr>
        <w:t>月至2023年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rPr>
        <w:t>）在本单位交纳的社保证明文件（以加盖社会保险基金管理中心印章的《投保单》或《社会保险参保人员证明》资料为准）。</w:t>
      </w:r>
    </w:p>
    <w:p>
      <w:pPr>
        <w:widowControl/>
        <w:numPr>
          <w:ilvl w:val="0"/>
          <w:numId w:val="2"/>
        </w:numPr>
        <w:spacing w:line="440" w:lineRule="exact"/>
        <w:ind w:left="0" w:firstLine="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关于联合体投标</w:t>
      </w:r>
    </w:p>
    <w:p>
      <w:pPr>
        <w:widowControl/>
        <w:spacing w:line="360" w:lineRule="auto"/>
        <w:ind w:firstLine="540"/>
        <w:jc w:val="left"/>
        <w:rPr>
          <w:rFonts w:hint="eastAsia" w:ascii="宋体" w:hAnsi="宋体"/>
          <w:color w:val="auto"/>
          <w:sz w:val="24"/>
          <w:szCs w:val="24"/>
          <w:highlight w:val="none"/>
        </w:rPr>
      </w:pPr>
      <w:r>
        <w:rPr>
          <w:rFonts w:hint="eastAsia" w:ascii="宋体" w:hAnsi="宋体"/>
          <w:color w:val="auto"/>
          <w:sz w:val="24"/>
          <w:szCs w:val="24"/>
          <w:highlight w:val="none"/>
        </w:rPr>
        <w:t>本次招标不接受联合体投标。</w:t>
      </w:r>
    </w:p>
    <w:p>
      <w:pPr>
        <w:widowControl/>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3.9</w:t>
      </w:r>
      <w:r>
        <w:rPr>
          <w:rFonts w:hint="eastAsia" w:ascii="宋体" w:hAnsi="宋体"/>
          <w:color w:val="auto"/>
          <w:sz w:val="24"/>
          <w:szCs w:val="24"/>
          <w:highlight w:val="none"/>
          <w:u w:val="single"/>
        </w:rPr>
        <w:t>落实失信联合惩戒措施</w:t>
      </w:r>
    </w:p>
    <w:p>
      <w:pPr>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未被纳入国家、市、区的失信联合惩戒名单且未被限制参加建设工程投标的（具体名单以递交投标文件截止时间“信用广州”https://credit1.gz.gov.cn/sgs/sgsXkNew公布的“失信黑名单”为准。不包含限制参加财政投资工程或政府投资工程的投标）。注：因联合惩戒措施表述存在细微差别，惩戒措施与上文不完全一致但措施内容相同的，也应属于被限制参与相关项目的投标。</w:t>
      </w:r>
    </w:p>
    <w:p>
      <w:pPr>
        <w:pStyle w:val="3"/>
        <w:spacing w:before="100" w:after="100" w:line="360" w:lineRule="auto"/>
        <w:rPr>
          <w:color w:val="auto"/>
          <w:highlight w:val="none"/>
        </w:rPr>
      </w:pPr>
      <w:r>
        <w:rPr>
          <w:rFonts w:hint="eastAsia"/>
          <w:color w:val="auto"/>
          <w:highlight w:val="none"/>
        </w:rPr>
        <w:t>招标公告和</w:t>
      </w:r>
      <w:r>
        <w:rPr>
          <w:color w:val="auto"/>
          <w:highlight w:val="none"/>
        </w:rPr>
        <w:t>招标文件的获取</w:t>
      </w:r>
    </w:p>
    <w:p>
      <w:pPr>
        <w:widowControl/>
        <w:numPr>
          <w:ilvl w:val="0"/>
          <w:numId w:val="0"/>
        </w:numPr>
        <w:shd w:val="clear" w:color="auto" w:fill="FFFFFF"/>
        <w:snapToGrid w:val="0"/>
        <w:spacing w:line="440" w:lineRule="exact"/>
        <w:ind w:left="0" w:firstLine="0"/>
        <w:rPr>
          <w:rFonts w:ascii="宋体" w:hAnsi="宋体"/>
          <w:bCs/>
          <w:color w:val="auto"/>
          <w:sz w:val="24"/>
          <w:highlight w:val="none"/>
        </w:rPr>
      </w:pPr>
      <w:r>
        <w:rPr>
          <w:rFonts w:hint="eastAsia" w:ascii="宋体" w:hAnsi="宋体"/>
          <w:bCs/>
          <w:color w:val="auto"/>
          <w:sz w:val="24"/>
          <w:highlight w:val="none"/>
          <w:lang w:val="en-US" w:eastAsia="zh-CN"/>
        </w:rPr>
        <w:t>4.1</w:t>
      </w:r>
      <w:r>
        <w:rPr>
          <w:rFonts w:hint="eastAsia" w:ascii="宋体" w:hAnsi="宋体"/>
          <w:bCs/>
          <w:color w:val="auto"/>
          <w:sz w:val="24"/>
          <w:highlight w:val="none"/>
        </w:rPr>
        <w:t>招标公告发布时间</w:t>
      </w:r>
    </w:p>
    <w:p>
      <w:pPr>
        <w:widowControl/>
        <w:shd w:val="clear" w:color="auto" w:fill="FFFFFF"/>
        <w:snapToGrid w:val="0"/>
        <w:spacing w:line="440" w:lineRule="exact"/>
        <w:ind w:firstLine="480" w:firstLineChars="200"/>
        <w:rPr>
          <w:rFonts w:ascii="宋体" w:hAnsi="宋体"/>
          <w:color w:val="auto"/>
          <w:sz w:val="24"/>
          <w:szCs w:val="24"/>
          <w:highlight w:val="none"/>
        </w:rPr>
      </w:pPr>
      <w:r>
        <w:rPr>
          <w:rFonts w:hint="eastAsia" w:ascii="宋体" w:hAnsi="宋体"/>
          <w:bCs/>
          <w:color w:val="auto"/>
          <w:sz w:val="24"/>
          <w:highlight w:val="none"/>
        </w:rPr>
        <w:t>从</w:t>
      </w:r>
      <w:r>
        <w:rPr>
          <w:rFonts w:hint="eastAsia" w:ascii="宋体" w:hAnsi="宋体"/>
          <w:bCs/>
          <w:color w:val="auto"/>
          <w:sz w:val="24"/>
          <w:highlight w:val="none"/>
          <w:u w:val="single"/>
          <w:lang w:eastAsia="zh-CN"/>
        </w:rPr>
        <w:t>2023</w:t>
      </w:r>
      <w:r>
        <w:rPr>
          <w:rFonts w:hint="eastAsia" w:ascii="宋体" w:hAnsi="宋体"/>
          <w:bCs/>
          <w:color w:val="auto"/>
          <w:sz w:val="24"/>
          <w:highlight w:val="none"/>
          <w:u w:val="none"/>
          <w:lang w:eastAsia="zh-CN"/>
        </w:rPr>
        <w:t>年</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6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26 </w:t>
      </w:r>
      <w:r>
        <w:rPr>
          <w:rFonts w:hint="eastAsia" w:ascii="宋体" w:hAnsi="宋体"/>
          <w:bCs/>
          <w:color w:val="auto"/>
          <w:sz w:val="24"/>
          <w:highlight w:val="none"/>
        </w:rPr>
        <w:t>日至</w:t>
      </w:r>
      <w:r>
        <w:rPr>
          <w:rFonts w:hint="eastAsia" w:ascii="宋体" w:hAnsi="宋体"/>
          <w:bCs/>
          <w:color w:val="auto"/>
          <w:sz w:val="24"/>
          <w:highlight w:val="none"/>
          <w:u w:val="single"/>
          <w:lang w:eastAsia="zh-CN"/>
        </w:rPr>
        <w:t>2023</w:t>
      </w:r>
      <w:r>
        <w:rPr>
          <w:rFonts w:hint="eastAsia" w:ascii="宋体" w:hAnsi="宋体"/>
          <w:bCs/>
          <w:color w:val="auto"/>
          <w:sz w:val="24"/>
          <w:highlight w:val="none"/>
          <w:u w:val="none"/>
          <w:lang w:eastAsia="zh-CN"/>
        </w:rPr>
        <w:t>年</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7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18</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rPr>
        <w:t>日</w:t>
      </w:r>
      <w:r>
        <w:rPr>
          <w:rFonts w:hint="eastAsia" w:ascii="宋体" w:hAnsi="宋体"/>
          <w:bCs/>
          <w:color w:val="auto"/>
          <w:sz w:val="24"/>
          <w:highlight w:val="none"/>
          <w:u w:val="single"/>
          <w:lang w:val="en-US" w:eastAsia="zh-CN"/>
        </w:rPr>
        <w:t xml:space="preserve"> 11</w:t>
      </w:r>
      <w:r>
        <w:rPr>
          <w:rFonts w:hint="eastAsia" w:ascii="宋体" w:hAnsi="宋体"/>
          <w:bCs/>
          <w:color w:val="auto"/>
          <w:sz w:val="24"/>
          <w:highlight w:val="none"/>
          <w:u w:val="single"/>
        </w:rPr>
        <w:t xml:space="preserve"> </w:t>
      </w:r>
      <w:r>
        <w:rPr>
          <w:rFonts w:hint="eastAsia" w:ascii="宋体" w:hAnsi="宋体"/>
          <w:bCs/>
          <w:color w:val="auto"/>
          <w:sz w:val="24"/>
          <w:highlight w:val="none"/>
        </w:rPr>
        <w:t>时</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00 </w:t>
      </w:r>
      <w:r>
        <w:rPr>
          <w:rFonts w:hint="eastAsia" w:ascii="宋体" w:hAnsi="宋体"/>
          <w:bCs/>
          <w:color w:val="auto"/>
          <w:sz w:val="24"/>
          <w:highlight w:val="none"/>
        </w:rPr>
        <w:t>分（注：发布招标公告的时间为招标公告发出之日起至投标截止时间止）。</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00" w:lineRule="exact"/>
        <w:ind w:left="0" w:firstLine="0"/>
        <w:textAlignment w:val="auto"/>
        <w:rPr>
          <w:rFonts w:ascii="宋体" w:hAnsi="宋体"/>
          <w:bCs/>
          <w:color w:val="auto"/>
          <w:sz w:val="24"/>
          <w:highlight w:val="none"/>
        </w:rPr>
      </w:pPr>
      <w:r>
        <w:rPr>
          <w:rFonts w:hint="eastAsia" w:ascii="宋体" w:hAnsi="宋体"/>
          <w:bCs/>
          <w:color w:val="auto"/>
          <w:sz w:val="24"/>
          <w:highlight w:val="none"/>
          <w:lang w:val="en-US" w:eastAsia="zh-CN"/>
        </w:rPr>
        <w:t>4.2</w:t>
      </w:r>
      <w:r>
        <w:rPr>
          <w:rFonts w:hint="eastAsia" w:ascii="宋体" w:hAnsi="宋体"/>
          <w:bCs/>
          <w:color w:val="auto"/>
          <w:sz w:val="24"/>
          <w:highlight w:val="none"/>
        </w:rPr>
        <w:t>招标文件获取方式</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color w:val="auto"/>
          <w:sz w:val="24"/>
          <w:szCs w:val="24"/>
          <w:highlight w:val="none"/>
        </w:rPr>
        <w:t>广州公共资源交易</w:t>
      </w:r>
      <w:r>
        <w:rPr>
          <w:rFonts w:hint="eastAsia" w:ascii="宋体" w:hAnsi="宋体"/>
          <w:color w:val="auto"/>
          <w:sz w:val="24"/>
          <w:highlight w:val="none"/>
        </w:rPr>
        <w:t>网发布</w:t>
      </w:r>
      <w:r>
        <w:rPr>
          <w:rFonts w:hint="eastAsia" w:ascii="黑体" w:hAnsi="黑体" w:eastAsia="黑体" w:cs="宋体"/>
          <w:color w:val="auto"/>
          <w:kern w:val="0"/>
          <w:sz w:val="28"/>
          <w:szCs w:val="28"/>
          <w:highlight w:val="none"/>
        </w:rPr>
        <w:t>，</w:t>
      </w:r>
      <w:r>
        <w:rPr>
          <w:rFonts w:hint="eastAsia" w:ascii="宋体" w:hAnsi="宋体"/>
          <w:color w:val="auto"/>
          <w:sz w:val="24"/>
          <w:szCs w:val="24"/>
          <w:highlight w:val="none"/>
        </w:rPr>
        <w:t>由投标</w:t>
      </w:r>
      <w:r>
        <w:rPr>
          <w:rFonts w:hint="eastAsia" w:ascii="宋体" w:hAnsi="宋体" w:cs="宋体"/>
          <w:color w:val="auto"/>
          <w:kern w:val="0"/>
          <w:sz w:val="24"/>
          <w:szCs w:val="24"/>
          <w:highlight w:val="none"/>
        </w:rPr>
        <w:t>人自行下载。</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00" w:lineRule="exact"/>
        <w:ind w:left="0" w:firstLine="0"/>
        <w:textAlignment w:val="auto"/>
        <w:rPr>
          <w:rFonts w:ascii="宋体" w:hAnsi="宋体"/>
          <w:bCs/>
          <w:color w:val="auto"/>
          <w:sz w:val="24"/>
          <w:highlight w:val="none"/>
        </w:rPr>
      </w:pPr>
      <w:r>
        <w:rPr>
          <w:rFonts w:hint="eastAsia" w:ascii="宋体" w:hAnsi="宋体"/>
          <w:bCs/>
          <w:color w:val="auto"/>
          <w:sz w:val="24"/>
          <w:highlight w:val="none"/>
          <w:lang w:val="en-US" w:eastAsia="zh-CN"/>
        </w:rPr>
        <w:t>4.3</w:t>
      </w:r>
      <w:r>
        <w:rPr>
          <w:rFonts w:hint="eastAsia" w:ascii="宋体" w:hAnsi="宋体"/>
          <w:bCs/>
          <w:color w:val="auto"/>
          <w:sz w:val="24"/>
          <w:highlight w:val="none"/>
        </w:rPr>
        <w:t>招标公告网上发布时，同时发布招标文件、施工图纸、招标控制价。</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00" w:lineRule="exact"/>
        <w:ind w:left="0" w:firstLine="0"/>
        <w:textAlignment w:val="auto"/>
        <w:rPr>
          <w:rFonts w:ascii="宋体" w:hAnsi="宋体"/>
          <w:bCs/>
          <w:color w:val="auto"/>
          <w:sz w:val="24"/>
          <w:highlight w:val="none"/>
        </w:rPr>
      </w:pPr>
      <w:r>
        <w:rPr>
          <w:rFonts w:hint="eastAsia" w:ascii="宋体" w:hAnsi="宋体"/>
          <w:bCs/>
          <w:color w:val="auto"/>
          <w:sz w:val="24"/>
          <w:highlight w:val="none"/>
          <w:lang w:val="en-US" w:eastAsia="zh-CN"/>
        </w:rPr>
        <w:t>4.4</w:t>
      </w:r>
      <w:r>
        <w:rPr>
          <w:rFonts w:hint="eastAsia" w:ascii="宋体" w:hAnsi="宋体"/>
          <w:bCs/>
          <w:color w:val="auto"/>
          <w:sz w:val="24"/>
          <w:highlight w:val="none"/>
        </w:rPr>
        <w:t>招标公告、招标文件发布媒体</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textAlignment w:val="auto"/>
        <w:rPr>
          <w:rFonts w:ascii="宋体" w:hAnsi="宋体"/>
          <w:bCs/>
          <w:color w:val="auto"/>
          <w:sz w:val="24"/>
          <w:highlight w:val="none"/>
        </w:rPr>
      </w:pPr>
      <w:r>
        <w:rPr>
          <w:rFonts w:hint="eastAsia" w:ascii="宋体" w:hAnsi="宋体"/>
          <w:bCs/>
          <w:color w:val="auto"/>
          <w:sz w:val="24"/>
          <w:highlight w:val="none"/>
        </w:rPr>
        <w:t>本公告在广州公共资源交易网（网址：http://www.gzggzy.cn）、广东省招标投标监管网（网址：</w:t>
      </w:r>
      <w:r>
        <w:rPr>
          <w:rFonts w:ascii="宋体" w:hAnsi="宋体"/>
          <w:bCs/>
          <w:color w:val="auto"/>
          <w:sz w:val="24"/>
          <w:highlight w:val="none"/>
        </w:rPr>
        <w:t xml:space="preserve"> http://zbtb.gd.gov.cn/login</w:t>
      </w:r>
      <w:r>
        <w:rPr>
          <w:rFonts w:hint="eastAsia" w:ascii="宋体" w:hAnsi="宋体"/>
          <w:bCs/>
          <w:color w:val="auto"/>
          <w:sz w:val="24"/>
          <w:highlight w:val="none"/>
        </w:rPr>
        <w:t>）和中国招标投标公共服务平台（网址：http://www.cebpubservice.com/）及</w:t>
      </w:r>
      <w:r>
        <w:rPr>
          <w:rFonts w:hint="eastAsia" w:ascii="宋体" w:hAnsi="宋体"/>
          <w:bCs/>
          <w:color w:val="auto"/>
          <w:sz w:val="24"/>
          <w:highlight w:val="none"/>
          <w:u w:val="single"/>
        </w:rPr>
        <w:t>广州市增城区人民政府门户网站（http://www.zc.gov.cn/）的“首页&gt;公开&gt;公共资源配置领域&gt;工程建设项目招投标”栏目</w:t>
      </w:r>
      <w:r>
        <w:rPr>
          <w:rFonts w:hint="eastAsia" w:ascii="宋体" w:hAnsi="宋体"/>
          <w:bCs/>
          <w:color w:val="auto"/>
          <w:sz w:val="24"/>
          <w:highlight w:val="none"/>
        </w:rPr>
        <w:t>发布，本公告的修改、补充，在广州公共资源交易网发布。</w:t>
      </w:r>
    </w:p>
    <w:p>
      <w:pPr>
        <w:pStyle w:val="3"/>
        <w:keepNext w:val="0"/>
        <w:keepLines w:val="0"/>
        <w:pageBreakBefore w:val="0"/>
        <w:kinsoku/>
        <w:wordWrap/>
        <w:overflowPunct/>
        <w:topLinePunct w:val="0"/>
        <w:autoSpaceDE/>
        <w:autoSpaceDN/>
        <w:bidi w:val="0"/>
        <w:adjustRightInd/>
        <w:spacing w:before="100" w:after="100" w:line="500" w:lineRule="exact"/>
        <w:textAlignment w:val="auto"/>
        <w:rPr>
          <w:color w:val="auto"/>
          <w:highlight w:val="none"/>
        </w:rPr>
      </w:pPr>
      <w:r>
        <w:rPr>
          <w:color w:val="auto"/>
          <w:highlight w:val="none"/>
        </w:rPr>
        <w:t>投标文件的递交</w:t>
      </w:r>
    </w:p>
    <w:p>
      <w:pPr>
        <w:keepNext w:val="0"/>
        <w:keepLines w:val="0"/>
        <w:pageBreakBefore w:val="0"/>
        <w:numPr>
          <w:ilvl w:val="0"/>
          <w:numId w:val="0"/>
        </w:numPr>
        <w:kinsoku/>
        <w:wordWrap/>
        <w:overflowPunct/>
        <w:topLinePunct w:val="0"/>
        <w:autoSpaceDE/>
        <w:autoSpaceDN/>
        <w:bidi w:val="0"/>
        <w:adjustRightInd/>
        <w:spacing w:line="500" w:lineRule="exact"/>
        <w:ind w:left="-370" w:leftChars="-176" w:firstLine="240" w:firstLineChars="100"/>
        <w:jc w:val="left"/>
        <w:textAlignment w:val="auto"/>
        <w:rPr>
          <w:rFonts w:ascii="宋体" w:hAnsi="宋体"/>
          <w:color w:val="auto"/>
          <w:sz w:val="24"/>
          <w:szCs w:val="24"/>
          <w:highlight w:val="none"/>
        </w:rPr>
      </w:pPr>
      <w:r>
        <w:rPr>
          <w:rFonts w:hint="eastAsia" w:ascii="宋体" w:hAnsi="宋体"/>
          <w:color w:val="auto"/>
          <w:sz w:val="24"/>
          <w:szCs w:val="24"/>
          <w:highlight w:val="none"/>
        </w:rPr>
        <w:t>投标文件递交的截止时间（投标截止时间，下同）为</w:t>
      </w:r>
      <w:r>
        <w:rPr>
          <w:rFonts w:hint="eastAsia" w:ascii="宋体" w:hAnsi="宋体"/>
          <w:bCs/>
          <w:color w:val="auto"/>
          <w:sz w:val="24"/>
          <w:highlight w:val="none"/>
          <w:u w:val="single"/>
          <w:lang w:eastAsia="zh-CN"/>
        </w:rPr>
        <w:t>2023</w:t>
      </w:r>
      <w:r>
        <w:rPr>
          <w:rFonts w:hint="eastAsia" w:ascii="宋体" w:hAnsi="宋体"/>
          <w:bCs/>
          <w:color w:val="auto"/>
          <w:sz w:val="24"/>
          <w:highlight w:val="none"/>
          <w:u w:val="none"/>
          <w:lang w:eastAsia="zh-CN"/>
        </w:rPr>
        <w:t>年</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7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18</w:t>
      </w:r>
      <w:r>
        <w:rPr>
          <w:rFonts w:hint="eastAsia" w:ascii="宋体" w:hAnsi="宋体"/>
          <w:bCs/>
          <w:color w:val="auto"/>
          <w:sz w:val="24"/>
          <w:highlight w:val="none"/>
        </w:rPr>
        <w:t>日</w:t>
      </w:r>
      <w:r>
        <w:rPr>
          <w:rFonts w:hint="eastAsia" w:ascii="宋体" w:hAnsi="宋体"/>
          <w:bCs/>
          <w:color w:val="auto"/>
          <w:sz w:val="24"/>
          <w:highlight w:val="none"/>
          <w:u w:val="single"/>
          <w:lang w:val="en-US" w:eastAsia="zh-CN"/>
        </w:rPr>
        <w:t xml:space="preserve"> 11</w:t>
      </w:r>
      <w:r>
        <w:rPr>
          <w:rFonts w:hint="eastAsia" w:ascii="宋体" w:hAnsi="宋体"/>
          <w:bCs/>
          <w:color w:val="auto"/>
          <w:sz w:val="24"/>
          <w:highlight w:val="none"/>
          <w:u w:val="single"/>
        </w:rPr>
        <w:t xml:space="preserve"> </w:t>
      </w:r>
      <w:r>
        <w:rPr>
          <w:rFonts w:hint="eastAsia" w:ascii="宋体" w:hAnsi="宋体"/>
          <w:bCs/>
          <w:color w:val="auto"/>
          <w:sz w:val="24"/>
          <w:highlight w:val="none"/>
        </w:rPr>
        <w:t>时</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00 </w:t>
      </w:r>
      <w:r>
        <w:rPr>
          <w:rFonts w:hint="eastAsia" w:ascii="宋体" w:hAnsi="宋体"/>
          <w:bCs/>
          <w:color w:val="auto"/>
          <w:sz w:val="24"/>
          <w:highlight w:val="none"/>
        </w:rPr>
        <w:t>分</w:t>
      </w:r>
      <w:r>
        <w:rPr>
          <w:rFonts w:hint="eastAsia" w:ascii="宋体" w:hAnsi="宋体"/>
          <w:color w:val="auto"/>
          <w:sz w:val="24"/>
          <w:szCs w:val="24"/>
          <w:highlight w:val="none"/>
        </w:rPr>
        <w:t>投标人投标文件解密时间为投标截止时间后</w:t>
      </w:r>
      <w:r>
        <w:rPr>
          <w:rFonts w:hint="eastAsia" w:ascii="宋体" w:hAnsi="宋体"/>
          <w:color w:val="auto"/>
          <w:sz w:val="24"/>
          <w:szCs w:val="24"/>
          <w:highlight w:val="none"/>
          <w:u w:val="single"/>
          <w:lang w:val="en-US" w:eastAsia="zh-CN"/>
        </w:rPr>
        <w:t>30</w:t>
      </w:r>
      <w:r>
        <w:rPr>
          <w:rFonts w:hint="eastAsia" w:ascii="宋体" w:hAnsi="宋体"/>
          <w:color w:val="auto"/>
          <w:sz w:val="24"/>
          <w:szCs w:val="24"/>
          <w:highlight w:val="none"/>
          <w:lang w:val="en-US" w:eastAsia="zh-CN"/>
        </w:rPr>
        <w:t>分钟</w:t>
      </w:r>
      <w:r>
        <w:rPr>
          <w:rFonts w:hint="eastAsia" w:ascii="宋体" w:hAnsi="宋体"/>
          <w:color w:val="auto"/>
          <w:sz w:val="24"/>
          <w:szCs w:val="24"/>
          <w:highlight w:val="none"/>
        </w:rPr>
        <w:t>，即：</w:t>
      </w:r>
    </w:p>
    <w:p>
      <w:pPr>
        <w:keepNext w:val="0"/>
        <w:keepLines w:val="0"/>
        <w:pageBreakBefore w:val="0"/>
        <w:numPr>
          <w:ilvl w:val="0"/>
          <w:numId w:val="0"/>
        </w:numPr>
        <w:kinsoku/>
        <w:wordWrap/>
        <w:overflowPunct/>
        <w:topLinePunct w:val="0"/>
        <w:autoSpaceDE/>
        <w:autoSpaceDN/>
        <w:bidi w:val="0"/>
        <w:adjustRightInd/>
        <w:spacing w:line="500" w:lineRule="exact"/>
        <w:ind w:left="0" w:firstLine="480" w:firstLineChars="200"/>
        <w:textAlignment w:val="auto"/>
        <w:rPr>
          <w:rFonts w:ascii="宋体" w:hAnsi="宋体"/>
          <w:color w:val="auto"/>
          <w:sz w:val="24"/>
          <w:szCs w:val="24"/>
          <w:highlight w:val="none"/>
        </w:rPr>
      </w:pPr>
      <w:r>
        <w:rPr>
          <w:rFonts w:hint="eastAsia" w:ascii="宋体" w:hAnsi="宋体"/>
          <w:bCs/>
          <w:color w:val="auto"/>
          <w:sz w:val="24"/>
          <w:highlight w:val="none"/>
          <w:u w:val="single"/>
          <w:lang w:eastAsia="zh-CN"/>
        </w:rPr>
        <w:t>2023</w:t>
      </w:r>
      <w:r>
        <w:rPr>
          <w:rFonts w:hint="eastAsia" w:ascii="宋体" w:hAnsi="宋体"/>
          <w:bCs/>
          <w:color w:val="auto"/>
          <w:sz w:val="24"/>
          <w:highlight w:val="none"/>
          <w:u w:val="none"/>
          <w:lang w:eastAsia="zh-CN"/>
        </w:rPr>
        <w:t>年</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7  </w:t>
      </w:r>
      <w:r>
        <w:rPr>
          <w:rFonts w:hint="eastAsia" w:ascii="宋体" w:hAnsi="宋体"/>
          <w:bCs/>
          <w:color w:val="auto"/>
          <w:sz w:val="24"/>
          <w:highlight w:val="none"/>
        </w:rPr>
        <w:t>月</w:t>
      </w:r>
      <w:r>
        <w:rPr>
          <w:rFonts w:hint="eastAsia" w:ascii="宋体" w:hAnsi="宋体"/>
          <w:bCs/>
          <w:color w:val="auto"/>
          <w:sz w:val="24"/>
          <w:highlight w:val="none"/>
          <w:u w:val="single"/>
          <w:lang w:val="en-US" w:eastAsia="zh-CN"/>
        </w:rPr>
        <w:t>18</w:t>
      </w:r>
      <w:bookmarkStart w:id="1" w:name="_GoBack"/>
      <w:bookmarkEnd w:id="1"/>
      <w:r>
        <w:rPr>
          <w:rFonts w:hint="eastAsia" w:ascii="宋体" w:hAnsi="宋体"/>
          <w:bCs/>
          <w:color w:val="auto"/>
          <w:sz w:val="24"/>
          <w:highlight w:val="none"/>
        </w:rPr>
        <w:t>日</w:t>
      </w:r>
      <w:r>
        <w:rPr>
          <w:rFonts w:hint="eastAsia" w:ascii="宋体" w:hAnsi="宋体"/>
          <w:bCs/>
          <w:color w:val="auto"/>
          <w:sz w:val="24"/>
          <w:highlight w:val="none"/>
          <w:u w:val="single"/>
          <w:lang w:val="en-US" w:eastAsia="zh-CN"/>
        </w:rPr>
        <w:t xml:space="preserve"> 11 </w:t>
      </w:r>
      <w:r>
        <w:rPr>
          <w:rFonts w:hint="eastAsia" w:ascii="宋体" w:hAnsi="宋体"/>
          <w:bCs/>
          <w:color w:val="auto"/>
          <w:sz w:val="24"/>
          <w:highlight w:val="none"/>
          <w:u w:val="single"/>
        </w:rPr>
        <w:t xml:space="preserve"> </w:t>
      </w:r>
      <w:r>
        <w:rPr>
          <w:rFonts w:hint="eastAsia" w:ascii="宋体" w:hAnsi="宋体"/>
          <w:bCs/>
          <w:color w:val="auto"/>
          <w:sz w:val="24"/>
          <w:highlight w:val="none"/>
        </w:rPr>
        <w:t>时</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00</w:t>
      </w:r>
      <w:r>
        <w:rPr>
          <w:rFonts w:hint="eastAsia" w:ascii="宋体" w:hAnsi="宋体"/>
          <w:bCs/>
          <w:color w:val="auto"/>
          <w:sz w:val="24"/>
          <w:highlight w:val="none"/>
          <w:u w:val="single"/>
        </w:rPr>
        <w:t xml:space="preserve"> </w:t>
      </w:r>
      <w:r>
        <w:rPr>
          <w:rFonts w:hint="eastAsia" w:ascii="宋体" w:hAnsi="宋体"/>
          <w:bCs/>
          <w:color w:val="auto"/>
          <w:sz w:val="24"/>
          <w:highlight w:val="none"/>
        </w:rPr>
        <w:t>分</w:t>
      </w:r>
      <w:r>
        <w:rPr>
          <w:rFonts w:ascii="宋体" w:hAnsi="宋体"/>
          <w:color w:val="auto"/>
          <w:sz w:val="24"/>
          <w:szCs w:val="24"/>
          <w:highlight w:val="none"/>
        </w:rPr>
        <w:t>至</w:t>
      </w:r>
      <w:r>
        <w:rPr>
          <w:rFonts w:hint="eastAsia" w:ascii="宋体" w:hAnsi="宋体"/>
          <w:bCs/>
          <w:color w:val="auto"/>
          <w:sz w:val="24"/>
          <w:highlight w:val="none"/>
          <w:u w:val="single"/>
          <w:lang w:eastAsia="zh-CN"/>
        </w:rPr>
        <w:t>2023</w:t>
      </w:r>
      <w:r>
        <w:rPr>
          <w:rFonts w:hint="eastAsia" w:ascii="宋体" w:hAnsi="宋体"/>
          <w:bCs/>
          <w:color w:val="auto"/>
          <w:sz w:val="24"/>
          <w:highlight w:val="none"/>
          <w:u w:val="none"/>
          <w:lang w:eastAsia="zh-CN"/>
        </w:rPr>
        <w:t>年</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7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18 </w:t>
      </w:r>
      <w:r>
        <w:rPr>
          <w:rFonts w:hint="eastAsia" w:ascii="宋体" w:hAnsi="宋体"/>
          <w:bCs/>
          <w:color w:val="auto"/>
          <w:sz w:val="24"/>
          <w:highlight w:val="none"/>
        </w:rPr>
        <w:t>日</w:t>
      </w:r>
      <w:r>
        <w:rPr>
          <w:rFonts w:hint="eastAsia" w:ascii="宋体" w:hAnsi="宋体"/>
          <w:bCs/>
          <w:color w:val="auto"/>
          <w:sz w:val="24"/>
          <w:highlight w:val="none"/>
          <w:u w:val="single"/>
          <w:lang w:val="en-US" w:eastAsia="zh-CN"/>
        </w:rPr>
        <w:t xml:space="preserve"> 11 </w:t>
      </w:r>
      <w:r>
        <w:rPr>
          <w:rFonts w:hint="eastAsia" w:ascii="宋体" w:hAnsi="宋体"/>
          <w:bCs/>
          <w:color w:val="auto"/>
          <w:sz w:val="24"/>
          <w:highlight w:val="none"/>
        </w:rPr>
        <w:t>时</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30</w:t>
      </w:r>
      <w:r>
        <w:rPr>
          <w:rFonts w:hint="eastAsia" w:ascii="宋体" w:hAnsi="宋体"/>
          <w:bCs/>
          <w:color w:val="auto"/>
          <w:sz w:val="24"/>
          <w:highlight w:val="none"/>
        </w:rPr>
        <w:t>分</w:t>
      </w:r>
      <w:r>
        <w:rPr>
          <w:rFonts w:hint="eastAsia" w:ascii="宋体" w:hAnsi="宋体"/>
          <w:color w:val="auto"/>
          <w:sz w:val="24"/>
          <w:szCs w:val="24"/>
          <w:highlight w:val="none"/>
        </w:rPr>
        <w:t xml:space="preserve">    </w:t>
      </w:r>
    </w:p>
    <w:p>
      <w:pPr>
        <w:keepNext w:val="0"/>
        <w:keepLines w:val="0"/>
        <w:pageBreakBefore w:val="0"/>
        <w:numPr>
          <w:ilvl w:val="0"/>
          <w:numId w:val="4"/>
        </w:numPr>
        <w:kinsoku/>
        <w:wordWrap/>
        <w:overflowPunct/>
        <w:topLinePunct w:val="0"/>
        <w:autoSpaceDE/>
        <w:autoSpaceDN/>
        <w:bidi w:val="0"/>
        <w:adjustRightInd/>
        <w:spacing w:line="500" w:lineRule="exact"/>
        <w:ind w:left="422" w:hanging="422" w:hangingChars="176"/>
        <w:jc w:val="left"/>
        <w:textAlignment w:val="auto"/>
        <w:rPr>
          <w:rFonts w:ascii="宋体" w:hAnsi="宋体"/>
          <w:color w:val="auto"/>
          <w:sz w:val="24"/>
          <w:szCs w:val="24"/>
          <w:highlight w:val="none"/>
        </w:rPr>
      </w:pPr>
      <w:r>
        <w:rPr>
          <w:rFonts w:hint="eastAsia" w:ascii="宋体" w:hAnsi="宋体"/>
          <w:color w:val="auto"/>
          <w:sz w:val="24"/>
          <w:szCs w:val="24"/>
          <w:highlight w:val="none"/>
        </w:rPr>
        <w:t>开标时间：</w:t>
      </w:r>
      <w:r>
        <w:rPr>
          <w:rFonts w:hint="eastAsia" w:ascii="宋体" w:hAnsi="宋体"/>
          <w:bCs/>
          <w:color w:val="auto"/>
          <w:sz w:val="24"/>
          <w:highlight w:val="none"/>
          <w:u w:val="single"/>
          <w:lang w:eastAsia="zh-CN"/>
        </w:rPr>
        <w:t>2023</w:t>
      </w:r>
      <w:r>
        <w:rPr>
          <w:rFonts w:hint="eastAsia" w:ascii="宋体" w:hAnsi="宋体"/>
          <w:bCs/>
          <w:color w:val="auto"/>
          <w:sz w:val="24"/>
          <w:highlight w:val="none"/>
          <w:u w:val="none"/>
          <w:lang w:eastAsia="zh-CN"/>
        </w:rPr>
        <w:t>年</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7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18</w:t>
      </w:r>
      <w:r>
        <w:rPr>
          <w:rFonts w:hint="eastAsia" w:ascii="宋体" w:hAnsi="宋体"/>
          <w:bCs/>
          <w:color w:val="auto"/>
          <w:sz w:val="24"/>
          <w:highlight w:val="none"/>
        </w:rPr>
        <w:t>日</w:t>
      </w:r>
      <w:r>
        <w:rPr>
          <w:rFonts w:hint="eastAsia" w:ascii="宋体" w:hAnsi="宋体"/>
          <w:bCs/>
          <w:color w:val="auto"/>
          <w:sz w:val="24"/>
          <w:highlight w:val="none"/>
          <w:u w:val="single"/>
          <w:lang w:val="en-US" w:eastAsia="zh-CN"/>
        </w:rPr>
        <w:t xml:space="preserve"> 11</w:t>
      </w:r>
      <w:r>
        <w:rPr>
          <w:rFonts w:hint="eastAsia" w:ascii="宋体" w:hAnsi="宋体"/>
          <w:bCs/>
          <w:color w:val="auto"/>
          <w:sz w:val="24"/>
          <w:highlight w:val="none"/>
          <w:u w:val="single"/>
        </w:rPr>
        <w:t xml:space="preserve"> </w:t>
      </w:r>
      <w:r>
        <w:rPr>
          <w:rFonts w:hint="eastAsia" w:ascii="宋体" w:hAnsi="宋体"/>
          <w:bCs/>
          <w:color w:val="auto"/>
          <w:sz w:val="24"/>
          <w:highlight w:val="none"/>
        </w:rPr>
        <w:t>时</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 xml:space="preserve"> </w:t>
      </w:r>
      <w:r>
        <w:rPr>
          <w:rFonts w:hint="eastAsia" w:ascii="宋体" w:hAnsi="宋体"/>
          <w:bCs/>
          <w:color w:val="auto"/>
          <w:sz w:val="24"/>
          <w:highlight w:val="none"/>
        </w:rPr>
        <w:t>分</w:t>
      </w:r>
      <w:r>
        <w:rPr>
          <w:rFonts w:hint="eastAsia" w:ascii="宋体" w:hAnsi="宋体"/>
          <w:color w:val="auto"/>
          <w:sz w:val="24"/>
          <w:szCs w:val="24"/>
          <w:highlight w:val="none"/>
        </w:rPr>
        <w:t>。</w:t>
      </w:r>
    </w:p>
    <w:p>
      <w:pPr>
        <w:keepNext w:val="0"/>
        <w:keepLines w:val="0"/>
        <w:pageBreakBefore w:val="0"/>
        <w:numPr>
          <w:ilvl w:val="0"/>
          <w:numId w:val="4"/>
        </w:numPr>
        <w:kinsoku/>
        <w:wordWrap/>
        <w:overflowPunct/>
        <w:topLinePunct w:val="0"/>
        <w:autoSpaceDE/>
        <w:autoSpaceDN/>
        <w:bidi w:val="0"/>
        <w:adjustRightInd/>
        <w:spacing w:line="500" w:lineRule="exact"/>
        <w:ind w:left="422" w:hanging="422" w:hangingChars="176"/>
        <w:jc w:val="left"/>
        <w:textAlignment w:val="auto"/>
        <w:rPr>
          <w:rFonts w:ascii="宋体" w:hAnsi="宋体"/>
          <w:color w:val="auto"/>
          <w:sz w:val="24"/>
          <w:szCs w:val="24"/>
          <w:highlight w:val="none"/>
        </w:rPr>
      </w:pPr>
      <w:r>
        <w:rPr>
          <w:rFonts w:hint="eastAsia" w:ascii="宋体" w:hAnsi="宋体"/>
          <w:color w:val="auto"/>
          <w:sz w:val="24"/>
          <w:szCs w:val="24"/>
          <w:highlight w:val="none"/>
        </w:rPr>
        <w:t>投标截止时间与开标时间是否有变化，请密切留意招标答疑中的相关信息。</w:t>
      </w:r>
    </w:p>
    <w:p>
      <w:pPr>
        <w:keepNext w:val="0"/>
        <w:keepLines w:val="0"/>
        <w:pageBreakBefore w:val="0"/>
        <w:numPr>
          <w:ilvl w:val="-1"/>
          <w:numId w:val="0"/>
        </w:numPr>
        <w:kinsoku/>
        <w:wordWrap/>
        <w:overflowPunct/>
        <w:topLinePunct w:val="0"/>
        <w:autoSpaceDE/>
        <w:autoSpaceDN/>
        <w:bidi w:val="0"/>
        <w:adjustRightInd/>
        <w:spacing w:line="500" w:lineRule="exact"/>
        <w:ind w:left="111" w:leftChars="53" w:firstLine="0" w:firstLineChars="0"/>
        <w:jc w:val="left"/>
        <w:textAlignment w:val="auto"/>
        <w:rPr>
          <w:rFonts w:ascii="宋体" w:hAnsi="宋体"/>
          <w:color w:val="auto"/>
          <w:sz w:val="24"/>
          <w:szCs w:val="24"/>
          <w:highlight w:val="none"/>
        </w:rPr>
      </w:pPr>
      <w:r>
        <w:rPr>
          <w:rFonts w:hint="eastAsia" w:ascii="宋体" w:hAnsi="宋体"/>
          <w:color w:val="auto"/>
          <w:sz w:val="24"/>
          <w:szCs w:val="24"/>
          <w:highlight w:val="none"/>
        </w:rPr>
        <w:t>递交投标文件截止时间后，开标时间因故推迟的，相关评标信息仍以原递交投标文件截止时间的信息为准。</w:t>
      </w:r>
    </w:p>
    <w:p>
      <w:pPr>
        <w:keepNext w:val="0"/>
        <w:keepLines w:val="0"/>
        <w:pageBreakBefore w:val="0"/>
        <w:numPr>
          <w:ilvl w:val="0"/>
          <w:numId w:val="4"/>
        </w:numPr>
        <w:kinsoku/>
        <w:wordWrap/>
        <w:overflowPunct/>
        <w:topLinePunct w:val="0"/>
        <w:autoSpaceDE/>
        <w:autoSpaceDN/>
        <w:bidi w:val="0"/>
        <w:adjustRightInd/>
        <w:spacing w:line="500" w:lineRule="exact"/>
        <w:ind w:left="426" w:hanging="426"/>
        <w:jc w:val="left"/>
        <w:textAlignment w:val="auto"/>
        <w:rPr>
          <w:rFonts w:ascii="宋体" w:hAnsi="宋体"/>
          <w:color w:val="auto"/>
          <w:sz w:val="24"/>
          <w:szCs w:val="24"/>
          <w:highlight w:val="none"/>
        </w:rPr>
      </w:pPr>
      <w:r>
        <w:rPr>
          <w:rFonts w:hint="eastAsia" w:ascii="宋体" w:hAnsi="宋体"/>
          <w:color w:val="auto"/>
          <w:sz w:val="24"/>
          <w:szCs w:val="24"/>
          <w:highlight w:val="none"/>
        </w:rPr>
        <w:t>投标人通过</w:t>
      </w:r>
      <w:r>
        <w:rPr>
          <w:rFonts w:hint="eastAsia" w:ascii="宋体" w:hAnsi="宋体"/>
          <w:color w:val="auto"/>
          <w:sz w:val="24"/>
          <w:szCs w:val="24"/>
          <w:highlight w:val="none"/>
          <w:u w:val="single"/>
        </w:rPr>
        <w:t>广州公共资源</w:t>
      </w:r>
      <w:r>
        <w:rPr>
          <w:rFonts w:hint="eastAsia" w:ascii="宋体" w:hAnsi="宋体"/>
          <w:color w:val="auto"/>
          <w:sz w:val="24"/>
          <w:szCs w:val="24"/>
          <w:highlight w:val="none"/>
          <w:u w:val="none"/>
        </w:rPr>
        <w:t>交易平台</w:t>
      </w:r>
      <w:r>
        <w:rPr>
          <w:rFonts w:hint="eastAsia" w:ascii="宋体" w:hAnsi="宋体"/>
          <w:color w:val="auto"/>
          <w:sz w:val="24"/>
          <w:szCs w:val="24"/>
          <w:highlight w:val="none"/>
        </w:rPr>
        <w:t>递交电子投标文件。投标人应在递交投标</w:t>
      </w:r>
    </w:p>
    <w:p>
      <w:pPr>
        <w:keepNext w:val="0"/>
        <w:keepLines w:val="0"/>
        <w:pageBreakBefore w:val="0"/>
        <w:numPr>
          <w:ilvl w:val="-1"/>
          <w:numId w:val="0"/>
        </w:numPr>
        <w:kinsoku/>
        <w:wordWrap/>
        <w:overflowPunct/>
        <w:topLinePunct w:val="0"/>
        <w:autoSpaceDE/>
        <w:autoSpaceDN/>
        <w:bidi w:val="0"/>
        <w:adjustRightInd/>
        <w:spacing w:line="500" w:lineRule="exact"/>
        <w:ind w:left="0" w:firstLine="0"/>
        <w:jc w:val="left"/>
        <w:textAlignment w:val="auto"/>
        <w:rPr>
          <w:rFonts w:ascii="宋体" w:hAnsi="宋体"/>
          <w:color w:val="auto"/>
          <w:sz w:val="24"/>
          <w:szCs w:val="24"/>
          <w:highlight w:val="none"/>
        </w:rPr>
      </w:pPr>
      <w:r>
        <w:rPr>
          <w:rFonts w:hint="eastAsia" w:ascii="宋体" w:hAnsi="宋体"/>
          <w:color w:val="auto"/>
          <w:sz w:val="24"/>
          <w:szCs w:val="24"/>
          <w:highlight w:val="none"/>
        </w:rPr>
        <w:t>文件截止时间前，登录</w:t>
      </w:r>
      <w:r>
        <w:rPr>
          <w:rFonts w:hint="eastAsia" w:ascii="宋体" w:hAnsi="宋体"/>
          <w:color w:val="auto"/>
          <w:sz w:val="24"/>
          <w:szCs w:val="24"/>
          <w:highlight w:val="none"/>
          <w:u w:val="single"/>
        </w:rPr>
        <w:t>广州公共资源</w:t>
      </w:r>
      <w:r>
        <w:rPr>
          <w:rFonts w:hint="eastAsia" w:ascii="宋体" w:hAnsi="宋体"/>
          <w:color w:val="auto"/>
          <w:sz w:val="24"/>
          <w:szCs w:val="24"/>
          <w:highlight w:val="none"/>
          <w:u w:val="none"/>
        </w:rPr>
        <w:t>交易平台</w:t>
      </w:r>
      <w:r>
        <w:rPr>
          <w:rFonts w:hint="eastAsia" w:ascii="宋体" w:hAnsi="宋体"/>
          <w:color w:val="auto"/>
          <w:sz w:val="24"/>
          <w:szCs w:val="24"/>
          <w:highlight w:val="none"/>
        </w:rPr>
        <w:t>网站办理网上投标登记手续；完成所有投标文件的上传，并取得回执码，</w:t>
      </w:r>
      <w:r>
        <w:rPr>
          <w:rFonts w:ascii="宋体" w:hAnsi="宋体"/>
          <w:color w:val="auto"/>
          <w:sz w:val="24"/>
          <w:szCs w:val="24"/>
          <w:highlight w:val="none"/>
        </w:rPr>
        <w:t>投标截止时间前未完成投标文件传输的，视为未递交投标文件</w:t>
      </w:r>
      <w:r>
        <w:rPr>
          <w:rFonts w:hint="eastAsia" w:ascii="宋体" w:hAnsi="宋体"/>
          <w:color w:val="auto"/>
          <w:sz w:val="24"/>
          <w:szCs w:val="24"/>
          <w:highlight w:val="none"/>
        </w:rPr>
        <w:t>。</w:t>
      </w:r>
    </w:p>
    <w:p>
      <w:pPr>
        <w:keepNext w:val="0"/>
        <w:keepLines w:val="0"/>
        <w:pageBreakBefore w:val="0"/>
        <w:numPr>
          <w:ilvl w:val="0"/>
          <w:numId w:val="4"/>
        </w:numPr>
        <w:kinsoku/>
        <w:wordWrap/>
        <w:overflowPunct/>
        <w:topLinePunct w:val="0"/>
        <w:autoSpaceDE/>
        <w:autoSpaceDN/>
        <w:bidi w:val="0"/>
        <w:adjustRightInd/>
        <w:spacing w:line="500" w:lineRule="exact"/>
        <w:ind w:left="426" w:hanging="426"/>
        <w:textAlignment w:val="auto"/>
        <w:rPr>
          <w:rFonts w:ascii="宋体" w:hAnsi="宋体"/>
          <w:color w:val="auto"/>
          <w:sz w:val="24"/>
          <w:szCs w:val="24"/>
          <w:highlight w:val="none"/>
        </w:rPr>
      </w:pPr>
      <w:r>
        <w:rPr>
          <w:rFonts w:hint="eastAsia" w:ascii="宋体" w:hAnsi="宋体"/>
          <w:color w:val="auto"/>
          <w:sz w:val="24"/>
          <w:szCs w:val="24"/>
          <w:highlight w:val="none"/>
        </w:rPr>
        <w:t>投标人办理网上投标登记时，对拟派项目负责人是否被交易平台其他项目锁</w:t>
      </w:r>
    </w:p>
    <w:p>
      <w:pPr>
        <w:keepNext w:val="0"/>
        <w:keepLines w:val="0"/>
        <w:pageBreakBefore w:val="0"/>
        <w:numPr>
          <w:ilvl w:val="-1"/>
          <w:numId w:val="0"/>
        </w:numPr>
        <w:kinsoku/>
        <w:wordWrap/>
        <w:overflowPunct/>
        <w:topLinePunct w:val="0"/>
        <w:autoSpaceDE/>
        <w:autoSpaceDN/>
        <w:bidi w:val="0"/>
        <w:adjustRightInd/>
        <w:spacing w:line="500" w:lineRule="exact"/>
        <w:ind w:left="0" w:firstLine="0"/>
        <w:textAlignment w:val="auto"/>
        <w:rPr>
          <w:rFonts w:ascii="宋体" w:hAnsi="宋体"/>
          <w:color w:val="auto"/>
          <w:sz w:val="24"/>
          <w:szCs w:val="24"/>
          <w:highlight w:val="none"/>
        </w:rPr>
      </w:pPr>
      <w:r>
        <w:rPr>
          <w:rFonts w:hint="eastAsia" w:ascii="宋体" w:hAnsi="宋体"/>
          <w:color w:val="auto"/>
          <w:sz w:val="24"/>
          <w:szCs w:val="24"/>
          <w:highlight w:val="none"/>
        </w:rPr>
        <w:t>定进行检查，如果已经锁定，则无法完成投标登记。成功办理网上投标登记的，拟派项目负责人将被锁定。中标候选人公示结束后，未中标的投标人的拟派项目负责人即自动解锁。</w:t>
      </w:r>
    </w:p>
    <w:p>
      <w:pPr>
        <w:keepNext w:val="0"/>
        <w:keepLines w:val="0"/>
        <w:pageBreakBefore w:val="0"/>
        <w:numPr>
          <w:ilvl w:val="0"/>
          <w:numId w:val="4"/>
        </w:numPr>
        <w:kinsoku/>
        <w:wordWrap/>
        <w:overflowPunct/>
        <w:topLinePunct w:val="0"/>
        <w:autoSpaceDE/>
        <w:autoSpaceDN/>
        <w:bidi w:val="0"/>
        <w:adjustRightInd/>
        <w:spacing w:line="500" w:lineRule="exact"/>
        <w:ind w:left="426" w:hanging="426"/>
        <w:textAlignment w:val="auto"/>
        <w:rPr>
          <w:rFonts w:ascii="宋体" w:hAnsi="宋体"/>
          <w:color w:val="auto"/>
          <w:sz w:val="24"/>
          <w:szCs w:val="24"/>
          <w:highlight w:val="none"/>
        </w:rPr>
      </w:pPr>
      <w:r>
        <w:rPr>
          <w:rFonts w:hint="eastAsia" w:ascii="宋体" w:hAnsi="宋体"/>
          <w:color w:val="auto"/>
          <w:sz w:val="24"/>
          <w:szCs w:val="24"/>
          <w:highlight w:val="none"/>
        </w:rPr>
        <w:t>在投标文件递交截止时间之前，投标人可以撤回或替换已递交的投标文件；</w:t>
      </w:r>
    </w:p>
    <w:p>
      <w:pPr>
        <w:keepNext w:val="0"/>
        <w:keepLines w:val="0"/>
        <w:pageBreakBefore w:val="0"/>
        <w:numPr>
          <w:ilvl w:val="-1"/>
          <w:numId w:val="0"/>
        </w:numPr>
        <w:kinsoku/>
        <w:wordWrap/>
        <w:overflowPunct/>
        <w:topLinePunct w:val="0"/>
        <w:autoSpaceDE/>
        <w:autoSpaceDN/>
        <w:bidi w:val="0"/>
        <w:adjustRightInd/>
        <w:spacing w:line="500" w:lineRule="exact"/>
        <w:ind w:left="0" w:firstLine="0"/>
        <w:textAlignment w:val="auto"/>
        <w:rPr>
          <w:rFonts w:ascii="宋体" w:hAnsi="宋体"/>
          <w:color w:val="auto"/>
          <w:sz w:val="24"/>
          <w:szCs w:val="24"/>
          <w:highlight w:val="none"/>
        </w:rPr>
      </w:pPr>
      <w:r>
        <w:rPr>
          <w:rFonts w:hint="eastAsia" w:ascii="宋体" w:hAnsi="宋体"/>
          <w:color w:val="auto"/>
          <w:sz w:val="24"/>
          <w:szCs w:val="24"/>
          <w:highlight w:val="none"/>
        </w:rPr>
        <w:t>可以修改网上投标登记相关信息。</w:t>
      </w:r>
    </w:p>
    <w:p>
      <w:pPr>
        <w:spacing w:line="440" w:lineRule="exact"/>
        <w:ind w:left="240" w:hanging="240" w:hangingChars="100"/>
      </w:pPr>
      <w:r>
        <w:rPr>
          <w:rFonts w:hint="eastAsia" w:ascii="宋体" w:hAnsi="宋体"/>
          <w:color w:val="auto"/>
          <w:sz w:val="24"/>
          <w:szCs w:val="24"/>
          <w:highlight w:val="none"/>
        </w:rPr>
        <w:t>5.</w:t>
      </w:r>
      <w:r>
        <w:rPr>
          <w:rFonts w:hint="eastAsia" w:ascii="宋体" w:hAnsi="宋体"/>
          <w:color w:val="auto"/>
          <w:sz w:val="24"/>
          <w:szCs w:val="24"/>
          <w:highlight w:val="none"/>
          <w:lang w:val="en-US" w:eastAsia="zh-CN"/>
        </w:rPr>
        <w:t>7</w:t>
      </w:r>
      <w:r>
        <w:rPr>
          <w:rFonts w:ascii="宋体" w:hAnsi="宋体"/>
          <w:color w:val="auto"/>
          <w:sz w:val="24"/>
          <w:szCs w:val="24"/>
          <w:highlight w:val="none"/>
          <w:u w:val="single"/>
        </w:rPr>
        <w:t>广东中京建设有限公司因在增城区水务工程建设中存在严重违约行为，根据</w:t>
      </w:r>
    </w:p>
    <w:p>
      <w:pPr>
        <w:spacing w:line="440" w:lineRule="exact"/>
        <w:ind w:left="0" w:leftChars="0" w:firstLine="0" w:firstLineChars="0"/>
        <w:rPr>
          <w:rFonts w:ascii="宋体" w:hAnsi="宋体"/>
          <w:color w:val="auto"/>
          <w:sz w:val="24"/>
          <w:szCs w:val="24"/>
          <w:highlight w:val="none"/>
          <w:u w:val="single"/>
        </w:rPr>
      </w:pPr>
      <w:r>
        <w:rPr>
          <w:rFonts w:ascii="宋体" w:hAnsi="宋体"/>
          <w:color w:val="auto"/>
          <w:sz w:val="24"/>
          <w:szCs w:val="24"/>
          <w:highlight w:val="none"/>
          <w:u w:val="single"/>
        </w:rPr>
        <w:t>《广州市增城区水务局关于对广东中京建设有限公司（施工单位）不良行为的通报》（穗增水〔2020〕102号）的规定，不予以接受广东中京建设有限公司参加增城区水务建设项目的投标，有效期至2023年9月27日。</w:t>
      </w:r>
    </w:p>
    <w:p>
      <w:pPr>
        <w:pStyle w:val="3"/>
        <w:spacing w:before="100" w:after="100" w:line="440" w:lineRule="exact"/>
        <w:rPr>
          <w:color w:val="auto"/>
          <w:highlight w:val="none"/>
        </w:rPr>
      </w:pPr>
      <w:r>
        <w:rPr>
          <w:rFonts w:hint="eastAsia"/>
          <w:color w:val="auto"/>
          <w:highlight w:val="none"/>
        </w:rPr>
        <w:t>投标保证金</w:t>
      </w:r>
    </w:p>
    <w:p>
      <w:pPr>
        <w:spacing w:line="44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rPr>
        <w:t>投标保证金</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rPr>
        <w:t>万元，投标保证金须按招标文件规定的方式在开标前完成缴纳。</w:t>
      </w:r>
    </w:p>
    <w:p>
      <w:pPr>
        <w:pStyle w:val="3"/>
        <w:spacing w:before="100" w:after="100" w:line="440" w:lineRule="exact"/>
        <w:rPr>
          <w:color w:val="auto"/>
          <w:highlight w:val="none"/>
        </w:rPr>
      </w:pPr>
      <w:r>
        <w:rPr>
          <w:rFonts w:hint="eastAsia"/>
          <w:color w:val="auto"/>
          <w:highlight w:val="none"/>
        </w:rPr>
        <w:t>资格审查方式</w:t>
      </w:r>
    </w:p>
    <w:p>
      <w:pPr>
        <w:numPr>
          <w:ilvl w:val="0"/>
          <w:numId w:val="5"/>
        </w:numPr>
        <w:spacing w:line="440" w:lineRule="exact"/>
        <w:ind w:left="0" w:firstLine="0"/>
        <w:rPr>
          <w:rFonts w:ascii="宋体" w:hAnsi="宋体"/>
          <w:color w:val="auto"/>
          <w:sz w:val="24"/>
          <w:szCs w:val="24"/>
          <w:highlight w:val="none"/>
        </w:rPr>
      </w:pPr>
      <w:r>
        <w:rPr>
          <w:rFonts w:hint="eastAsia" w:ascii="宋体" w:hAnsi="宋体"/>
          <w:color w:val="auto"/>
          <w:sz w:val="24"/>
          <w:szCs w:val="24"/>
          <w:highlight w:val="none"/>
        </w:rPr>
        <w:t>本工程采用资格后审方式，由评标委员会负责资格审查。</w:t>
      </w:r>
    </w:p>
    <w:p>
      <w:pPr>
        <w:numPr>
          <w:ilvl w:val="0"/>
          <w:numId w:val="5"/>
        </w:numPr>
        <w:spacing w:line="440" w:lineRule="exact"/>
        <w:ind w:left="420"/>
        <w:rPr>
          <w:rFonts w:ascii="宋体" w:hAnsi="宋体"/>
          <w:color w:val="auto"/>
          <w:sz w:val="24"/>
          <w:szCs w:val="24"/>
          <w:highlight w:val="none"/>
        </w:rPr>
      </w:pPr>
      <w:r>
        <w:rPr>
          <w:rFonts w:hint="eastAsia" w:ascii="宋体" w:hAnsi="宋体"/>
          <w:color w:val="auto"/>
          <w:sz w:val="24"/>
          <w:szCs w:val="24"/>
          <w:highlight w:val="none"/>
        </w:rPr>
        <w:t>资格审查结果将在广州公共资源交易网和广东省招标投标监管网公示，公示时间不得少于3日。</w:t>
      </w:r>
    </w:p>
    <w:p>
      <w:pPr>
        <w:pStyle w:val="3"/>
        <w:spacing w:before="100" w:after="100" w:line="440" w:lineRule="exact"/>
        <w:rPr>
          <w:color w:val="auto"/>
          <w:highlight w:val="none"/>
        </w:rPr>
      </w:pPr>
      <w:r>
        <w:rPr>
          <w:rFonts w:hint="eastAsia"/>
          <w:color w:val="auto"/>
          <w:highlight w:val="none"/>
        </w:rPr>
        <w:t>企业信息登记</w:t>
      </w:r>
    </w:p>
    <w:p>
      <w:pPr>
        <w:spacing w:line="440" w:lineRule="exact"/>
        <w:ind w:firstLine="480" w:firstLineChars="200"/>
        <w:rPr>
          <w:color w:val="auto"/>
          <w:highlight w:val="none"/>
        </w:rPr>
      </w:pPr>
      <w:r>
        <w:rPr>
          <w:rFonts w:hint="eastAsia"/>
          <w:color w:val="auto"/>
          <w:sz w:val="24"/>
          <w:highlight w:val="none"/>
        </w:rPr>
        <w:t>本次招标要求投标人办理网上投标登记前，须在</w:t>
      </w:r>
      <w:r>
        <w:rPr>
          <w:rFonts w:hint="eastAsia" w:ascii="宋体" w:hAnsi="宋体"/>
          <w:color w:val="auto"/>
          <w:sz w:val="24"/>
          <w:szCs w:val="24"/>
          <w:highlight w:val="none"/>
          <w:u w:val="single"/>
        </w:rPr>
        <w:t>广州公共资源</w:t>
      </w:r>
      <w:r>
        <w:rPr>
          <w:rFonts w:hint="eastAsia"/>
          <w:color w:val="auto"/>
          <w:sz w:val="24"/>
          <w:highlight w:val="none"/>
        </w:rPr>
        <w:t>交易平台完成企业信息登记，及拟担任本工程项目负责人、专职安全员须是本企业信息登记中的在册人员。</w:t>
      </w:r>
      <w:r>
        <w:rPr>
          <w:rFonts w:hint="eastAsia" w:ascii="宋体" w:hAnsi="宋体" w:cs="宋体"/>
          <w:color w:val="auto"/>
          <w:kern w:val="0"/>
          <w:sz w:val="24"/>
          <w:szCs w:val="24"/>
          <w:highlight w:val="none"/>
        </w:rPr>
        <w:t>企业信息登记应按照</w:t>
      </w:r>
      <w:r>
        <w:rPr>
          <w:rFonts w:hint="eastAsia" w:ascii="宋体" w:hAnsi="宋体"/>
          <w:color w:val="auto"/>
          <w:sz w:val="24"/>
          <w:szCs w:val="24"/>
          <w:highlight w:val="none"/>
          <w:u w:val="single"/>
        </w:rPr>
        <w:t>广州公共资源</w:t>
      </w:r>
      <w:r>
        <w:rPr>
          <w:rFonts w:hint="eastAsia" w:ascii="宋体" w:hAnsi="宋体" w:cs="宋体"/>
          <w:color w:val="auto"/>
          <w:kern w:val="0"/>
          <w:sz w:val="24"/>
          <w:szCs w:val="24"/>
          <w:highlight w:val="none"/>
          <w:u w:val="none"/>
        </w:rPr>
        <w:t>交易平台</w:t>
      </w:r>
      <w:r>
        <w:rPr>
          <w:rFonts w:hint="eastAsia" w:ascii="宋体" w:hAnsi="宋体" w:cs="宋体"/>
          <w:color w:val="auto"/>
          <w:kern w:val="0"/>
          <w:sz w:val="24"/>
          <w:szCs w:val="24"/>
          <w:highlight w:val="none"/>
        </w:rPr>
        <w:t>关于企业信息登记的相关指南进行操作。详见：</w:t>
      </w:r>
      <w:r>
        <w:rPr>
          <w:rFonts w:hint="eastAsia" w:ascii="宋体" w:hAnsi="宋体" w:cs="宋体"/>
          <w:color w:val="auto"/>
          <w:sz w:val="24"/>
          <w:szCs w:val="24"/>
          <w:highlight w:val="none"/>
          <w:u w:val="single"/>
        </w:rPr>
        <w:t xml:space="preserve">广州公共资源交易中心网站 </w:t>
      </w:r>
      <w:r>
        <w:rPr>
          <w:rFonts w:hint="eastAsia" w:ascii="宋体" w:hAnsi="宋体" w:cs="宋体"/>
          <w:color w:val="auto"/>
          <w:sz w:val="24"/>
          <w:szCs w:val="24"/>
          <w:highlight w:val="none"/>
        </w:rPr>
        <w:t>。</w:t>
      </w:r>
    </w:p>
    <w:p>
      <w:pPr>
        <w:pStyle w:val="3"/>
        <w:spacing w:before="100" w:after="100" w:line="440" w:lineRule="exact"/>
        <w:rPr>
          <w:color w:val="auto"/>
          <w:highlight w:val="none"/>
        </w:rPr>
      </w:pPr>
      <w:r>
        <w:rPr>
          <w:rFonts w:hint="eastAsia"/>
          <w:color w:val="auto"/>
          <w:highlight w:val="none"/>
        </w:rPr>
        <w:t>诚信得分</w:t>
      </w:r>
    </w:p>
    <w:p>
      <w:pPr>
        <w:spacing w:line="440" w:lineRule="exact"/>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投标人诚信评价分取自本项目招标公告发布第一天所在季度的上一季度广州市水务工程企业库及诚信评价系统网站（http://120.236.111.11:8001/#/website）中的“企业诚信排名&gt;&gt;施工—</w:t>
      </w:r>
      <w:r>
        <w:rPr>
          <w:rFonts w:hint="eastAsia" w:ascii="Times New Roman" w:hAnsi="Times New Roman" w:eastAsia="宋体" w:cs="Times New Roman"/>
          <w:color w:val="auto"/>
          <w:sz w:val="24"/>
          <w:highlight w:val="none"/>
          <w:lang w:eastAsia="zh-CN"/>
        </w:rPr>
        <w:t>水利</w:t>
      </w:r>
      <w:r>
        <w:rPr>
          <w:rFonts w:hint="eastAsia" w:ascii="Times New Roman" w:hAnsi="Times New Roman" w:eastAsia="宋体" w:cs="Times New Roman"/>
          <w:color w:val="auto"/>
          <w:sz w:val="24"/>
          <w:highlight w:val="none"/>
        </w:rPr>
        <w:t>”中“诚信综合评价”分，未入库企业或在广州市水务工程企业库及诚信评价系统网</w:t>
      </w:r>
      <w:r>
        <w:rPr>
          <w:rFonts w:hint="eastAsia" w:ascii="Times New Roman" w:hAnsi="Times New Roman" w:eastAsia="宋体" w:cs="Times New Roman"/>
          <w:color w:val="auto"/>
          <w:sz w:val="24"/>
          <w:highlight w:val="none"/>
          <w:lang w:eastAsia="zh-CN"/>
        </w:rPr>
        <w:t>站</w:t>
      </w:r>
      <w:r>
        <w:rPr>
          <w:rFonts w:hint="eastAsia" w:ascii="Times New Roman" w:hAnsi="Times New Roman" w:eastAsia="宋体" w:cs="Times New Roman"/>
          <w:color w:val="auto"/>
          <w:sz w:val="24"/>
          <w:highlight w:val="none"/>
        </w:rPr>
        <w:t>中尚无诚信排名“施工－</w:t>
      </w:r>
      <w:r>
        <w:rPr>
          <w:rFonts w:hint="eastAsia" w:ascii="Times New Roman" w:hAnsi="Times New Roman" w:eastAsia="宋体" w:cs="Times New Roman"/>
          <w:color w:val="auto"/>
          <w:sz w:val="24"/>
          <w:highlight w:val="none"/>
          <w:lang w:eastAsia="zh-CN"/>
        </w:rPr>
        <w:t>水利</w:t>
      </w:r>
      <w:r>
        <w:rPr>
          <w:rFonts w:hint="eastAsia" w:ascii="Times New Roman" w:hAnsi="Times New Roman" w:eastAsia="宋体" w:cs="Times New Roman"/>
          <w:color w:val="auto"/>
          <w:sz w:val="24"/>
          <w:highlight w:val="none"/>
        </w:rPr>
        <w:t>”得分的投标人，其诚信得分按80分计算（100（市场行为评价分）×20%+75（质量安全管理评价得分）×50%+75（履约评价得分）×30%=80分）。</w:t>
      </w:r>
    </w:p>
    <w:p>
      <w:pPr>
        <w:pStyle w:val="3"/>
        <w:spacing w:before="100" w:after="100" w:line="440" w:lineRule="exact"/>
        <w:rPr>
          <w:color w:val="auto"/>
          <w:highlight w:val="none"/>
        </w:rPr>
      </w:pPr>
      <w:r>
        <w:rPr>
          <w:rFonts w:hint="eastAsia"/>
          <w:color w:val="auto"/>
          <w:highlight w:val="none"/>
        </w:rPr>
        <w:t>疑问、异议、投诉处理</w:t>
      </w:r>
    </w:p>
    <w:p>
      <w:pPr>
        <w:numPr>
          <w:ilvl w:val="0"/>
          <w:numId w:val="0"/>
        </w:numPr>
        <w:spacing w:line="440" w:lineRule="exact"/>
        <w:ind w:left="480" w:hanging="480" w:hanging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10.1</w:t>
      </w:r>
      <w:r>
        <w:rPr>
          <w:rFonts w:hint="eastAsia" w:ascii="宋体" w:hAnsi="宋体" w:eastAsia="宋体" w:cs="Times New Roman"/>
          <w:color w:val="auto"/>
          <w:sz w:val="24"/>
          <w:szCs w:val="24"/>
          <w:highlight w:val="none"/>
        </w:rPr>
        <w:t>关于疑问、异议、投诉的基本概念和处理程序详见《广州市水务局关于明</w:t>
      </w:r>
    </w:p>
    <w:p>
      <w:pPr>
        <w:numPr>
          <w:ilvl w:val="0"/>
          <w:numId w:val="0"/>
        </w:numPr>
        <w:spacing w:line="440" w:lineRule="exact"/>
        <w:ind w:left="480" w:hanging="480" w:hanging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确市属水务工程招标投标活动中疑问、异议和投诉有关事项的通知》（穗水建设</w:t>
      </w:r>
    </w:p>
    <w:p>
      <w:pPr>
        <w:numPr>
          <w:ilvl w:val="0"/>
          <w:numId w:val="0"/>
        </w:numPr>
        <w:spacing w:line="440" w:lineRule="exact"/>
        <w:ind w:left="480" w:hanging="480" w:hanging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〔2017〕31号，以下简称《通知》）。《通知》可通过广州市水务局门户网站或广</w:t>
      </w:r>
    </w:p>
    <w:p>
      <w:pPr>
        <w:numPr>
          <w:ilvl w:val="0"/>
          <w:numId w:val="0"/>
        </w:numPr>
        <w:spacing w:line="440" w:lineRule="exact"/>
        <w:ind w:left="480" w:hanging="480" w:hanging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州公共资源交易中心网站获取。</w:t>
      </w:r>
    </w:p>
    <w:p>
      <w:pPr>
        <w:numPr>
          <w:ilvl w:val="0"/>
          <w:numId w:val="0"/>
        </w:numPr>
        <w:spacing w:line="440" w:lineRule="exact"/>
        <w:ind w:left="480" w:hanging="480" w:hanging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10.2</w:t>
      </w:r>
      <w:r>
        <w:rPr>
          <w:rFonts w:hint="eastAsia" w:ascii="宋体" w:hAnsi="宋体" w:eastAsia="宋体" w:cs="Times New Roman"/>
          <w:color w:val="auto"/>
          <w:sz w:val="24"/>
          <w:szCs w:val="24"/>
          <w:highlight w:val="none"/>
        </w:rPr>
        <w:t>潜在投标人或利害关系人对本招标告及招标文件、开标、评标结果有疑问</w:t>
      </w:r>
    </w:p>
    <w:p>
      <w:pPr>
        <w:numPr>
          <w:ilvl w:val="0"/>
          <w:numId w:val="0"/>
        </w:numPr>
        <w:spacing w:line="440" w:lineRule="exact"/>
        <w:ind w:left="480" w:hanging="480" w:hanging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或异议的，向招标人提出，由招标人受理。投诉由本招标项目的招标监督机构受</w:t>
      </w:r>
    </w:p>
    <w:p>
      <w:pPr>
        <w:numPr>
          <w:ilvl w:val="0"/>
          <w:numId w:val="0"/>
        </w:numPr>
        <w:spacing w:line="440" w:lineRule="exact"/>
        <w:ind w:left="480" w:hanging="480" w:hanging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理。</w:t>
      </w:r>
    </w:p>
    <w:p>
      <w:pPr>
        <w:pStyle w:val="2"/>
        <w:rPr>
          <w:rFonts w:hint="eastAsia"/>
        </w:rPr>
      </w:pPr>
      <w:r>
        <w:rPr>
          <w:rFonts w:hint="eastAsia"/>
          <w:lang w:eastAsia="zh-CN"/>
        </w:rPr>
        <w:t>注：</w:t>
      </w:r>
      <w:r>
        <w:rPr>
          <w:rFonts w:hint="eastAsia"/>
        </w:rPr>
        <w:t>潜在投标人或利害关系人可以通过线下</w:t>
      </w:r>
      <w:r>
        <w:rPr>
          <w:rFonts w:hint="eastAsia"/>
          <w:lang w:eastAsia="zh-CN"/>
        </w:rPr>
        <w:t>书面</w:t>
      </w:r>
      <w:r>
        <w:rPr>
          <w:rFonts w:hint="eastAsia"/>
        </w:rPr>
        <w:t>或线上的形式提出异议。其中对资格预审文件、招标文件和评标结果有异议的，通过广交易建设工程电子交易系统提出；对开标有异议的，通过广交易建设工程电子开标系统提出。具体操作详见“广州交易集团有限公司（广州公共资源交易中心）门户网站首页-&gt;服务指南-&gt;系统帮助-&gt;操作手册-&gt;发起及受理异议操作指引”</w:t>
      </w:r>
    </w:p>
    <w:p>
      <w:pPr>
        <w:pStyle w:val="3"/>
        <w:spacing w:before="100" w:after="100" w:line="440" w:lineRule="exact"/>
        <w:rPr>
          <w:color w:val="auto"/>
          <w:highlight w:val="none"/>
        </w:rPr>
      </w:pPr>
      <w:r>
        <w:rPr>
          <w:color w:val="auto"/>
          <w:highlight w:val="none"/>
        </w:rPr>
        <w:t>联系方式</w:t>
      </w:r>
    </w:p>
    <w:p>
      <w:pPr>
        <w:spacing w:line="440" w:lineRule="exact"/>
        <w:ind w:firstLine="480" w:firstLineChars="200"/>
        <w:rPr>
          <w:rFonts w:hint="eastAsia" w:ascii="宋体" w:eastAsia="宋体"/>
          <w:color w:val="auto"/>
          <w:sz w:val="24"/>
          <w:highlight w:val="none"/>
          <w:u w:val="single"/>
          <w:lang w:eastAsia="zh-CN"/>
        </w:rPr>
      </w:pPr>
      <w:r>
        <w:rPr>
          <w:rFonts w:hint="eastAsia" w:ascii="宋体" w:hAnsi="宋体"/>
          <w:color w:val="auto"/>
          <w:sz w:val="24"/>
          <w:highlight w:val="none"/>
        </w:rPr>
        <w:t>招标单位：</w:t>
      </w:r>
      <w:r>
        <w:rPr>
          <w:rFonts w:hint="eastAsia" w:ascii="宋体" w:hAnsi="宋体"/>
          <w:color w:val="auto"/>
          <w:sz w:val="24"/>
          <w:highlight w:val="none"/>
          <w:lang w:eastAsia="zh-CN"/>
        </w:rPr>
        <w:t>广州市增城区派潭镇人民政府</w:t>
      </w:r>
    </w:p>
    <w:p>
      <w:pPr>
        <w:spacing w:line="44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rPr>
        <w:t>联系人：</w:t>
      </w:r>
      <w:r>
        <w:rPr>
          <w:rFonts w:hint="eastAsia" w:ascii="宋体" w:hAnsi="宋体"/>
          <w:color w:val="auto"/>
          <w:sz w:val="24"/>
          <w:highlight w:val="none"/>
          <w:lang w:val="en-US" w:eastAsia="zh-CN"/>
        </w:rPr>
        <w:t>林工</w:t>
      </w:r>
      <w:r>
        <w:rPr>
          <w:rFonts w:hint="eastAsia" w:ascii="宋体" w:hAnsi="宋体"/>
          <w:color w:val="auto"/>
          <w:sz w:val="24"/>
          <w:highlight w:val="none"/>
        </w:rPr>
        <w:t xml:space="preserve">         联系电话：</w:t>
      </w:r>
      <w:r>
        <w:rPr>
          <w:rFonts w:hint="eastAsia" w:ascii="宋体" w:hAnsi="宋体"/>
          <w:color w:val="auto"/>
          <w:sz w:val="24"/>
          <w:highlight w:val="none"/>
          <w:lang w:val="en-US" w:eastAsia="zh-CN"/>
        </w:rPr>
        <w:t>020-82821303</w:t>
      </w:r>
    </w:p>
    <w:p>
      <w:pPr>
        <w:spacing w:line="440" w:lineRule="exact"/>
        <w:ind w:firstLine="480" w:firstLineChars="200"/>
        <w:rPr>
          <w:rFonts w:hint="eastAsia" w:ascii="宋体" w:eastAsia="宋体"/>
          <w:color w:val="auto"/>
          <w:sz w:val="24"/>
          <w:highlight w:val="none"/>
          <w:u w:val="single"/>
          <w:lang w:eastAsia="zh-CN"/>
        </w:rPr>
      </w:pPr>
      <w:r>
        <w:rPr>
          <w:rFonts w:hint="eastAsia" w:ascii="宋体" w:hAnsi="宋体"/>
          <w:color w:val="auto"/>
          <w:sz w:val="24"/>
          <w:highlight w:val="none"/>
        </w:rPr>
        <w:t>招标代理机构：</w:t>
      </w:r>
      <w:r>
        <w:rPr>
          <w:rFonts w:hint="eastAsia" w:ascii="宋体" w:hAnsi="宋体"/>
          <w:color w:val="auto"/>
          <w:sz w:val="24"/>
          <w:highlight w:val="none"/>
          <w:lang w:eastAsia="zh-CN"/>
        </w:rPr>
        <w:t>广东科信工程管理有限公司</w:t>
      </w:r>
    </w:p>
    <w:p>
      <w:pPr>
        <w:spacing w:line="440" w:lineRule="exact"/>
        <w:ind w:firstLine="480" w:firstLineChars="200"/>
        <w:rPr>
          <w:rFonts w:hint="eastAsia" w:ascii="宋体"/>
          <w:color w:val="auto"/>
          <w:sz w:val="24"/>
          <w:highlight w:val="none"/>
          <w:u w:val="single"/>
        </w:rPr>
      </w:pPr>
      <w:r>
        <w:rPr>
          <w:rFonts w:hint="eastAsia" w:ascii="宋体" w:hAnsi="宋体"/>
          <w:color w:val="auto"/>
          <w:sz w:val="24"/>
          <w:highlight w:val="none"/>
        </w:rPr>
        <w:t>联系人：</w:t>
      </w:r>
      <w:r>
        <w:rPr>
          <w:rFonts w:hint="eastAsia" w:ascii="宋体" w:hAnsi="宋体"/>
          <w:color w:val="auto"/>
          <w:sz w:val="24"/>
          <w:highlight w:val="none"/>
          <w:lang w:val="en-US" w:eastAsia="zh-CN"/>
        </w:rPr>
        <w:t>李工、郑工</w:t>
      </w:r>
      <w:r>
        <w:rPr>
          <w:rFonts w:hint="eastAsia" w:ascii="宋体" w:hAnsi="宋体"/>
          <w:color w:val="auto"/>
          <w:sz w:val="24"/>
          <w:highlight w:val="none"/>
        </w:rPr>
        <w:t xml:space="preserve">        联系电话：020-87037139</w:t>
      </w:r>
    </w:p>
    <w:p>
      <w:pPr>
        <w:spacing w:line="440" w:lineRule="exact"/>
        <w:ind w:firstLine="480" w:firstLineChars="200"/>
        <w:rPr>
          <w:rFonts w:ascii="宋体"/>
          <w:color w:val="auto"/>
          <w:sz w:val="24"/>
          <w:highlight w:val="none"/>
        </w:rPr>
      </w:pPr>
      <w:r>
        <w:rPr>
          <w:rFonts w:hint="eastAsia" w:ascii="宋体" w:hAnsi="宋体"/>
          <w:color w:val="auto"/>
          <w:sz w:val="24"/>
          <w:highlight w:val="none"/>
        </w:rPr>
        <w:t>招标监督机构：广州市增城区水务局</w:t>
      </w:r>
    </w:p>
    <w:p>
      <w:pPr>
        <w:spacing w:line="440" w:lineRule="exact"/>
        <w:ind w:firstLine="480" w:firstLineChars="200"/>
        <w:rPr>
          <w:color w:val="auto"/>
          <w:sz w:val="24"/>
          <w:szCs w:val="21"/>
          <w:highlight w:val="none"/>
        </w:rPr>
      </w:pPr>
      <w:r>
        <w:rPr>
          <w:rFonts w:hint="eastAsia" w:ascii="宋体" w:hAnsi="宋体"/>
          <w:color w:val="auto"/>
          <w:sz w:val="24"/>
          <w:highlight w:val="none"/>
        </w:rPr>
        <w:t>监督电话：020-82639502</w:t>
      </w:r>
    </w:p>
    <w:p>
      <w:pPr>
        <w:jc w:val="right"/>
        <w:rPr>
          <w:color w:val="auto"/>
        </w:rPr>
      </w:pPr>
      <w:r>
        <w:rPr>
          <w:rFonts w:hint="eastAsia" w:ascii="宋体" w:hAnsi="宋体"/>
          <w:color w:val="auto"/>
          <w:sz w:val="24"/>
          <w:highlight w:val="none"/>
          <w:u w:val="single"/>
          <w:lang w:eastAsia="zh-CN"/>
        </w:rPr>
        <w:t>2023</w:t>
      </w:r>
      <w:r>
        <w:rPr>
          <w:rFonts w:hint="eastAsia" w:ascii="宋体" w:hAnsi="宋体"/>
          <w:color w:val="auto"/>
          <w:sz w:val="24"/>
          <w:highlight w:val="none"/>
          <w:u w:val="none"/>
          <w:lang w:eastAsia="zh-CN"/>
        </w:rPr>
        <w:t>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6</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20</w:t>
      </w:r>
      <w:r>
        <w:rPr>
          <w:rFonts w:hint="eastAsia" w:ascii="宋体" w:hAnsi="宋体"/>
          <w:color w:val="auto"/>
          <w:sz w:val="24"/>
          <w:highlight w:val="none"/>
          <w:u w:val="single"/>
        </w:rPr>
        <w:t xml:space="preserve"> </w:t>
      </w:r>
      <w:r>
        <w:rPr>
          <w:rFonts w:hint="eastAsia" w:ascii="宋体" w:hAnsi="宋体"/>
          <w:color w:val="auto"/>
          <w:sz w:val="24"/>
          <w:highlight w:val="none"/>
        </w:rPr>
        <w:t>日</w:t>
      </w:r>
    </w:p>
    <w:bookmarkEnd w:id="0"/>
    <w:p>
      <w:pPr>
        <w:rPr>
          <w:color w:val="auto"/>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C5264"/>
    <w:multiLevelType w:val="singleLevel"/>
    <w:tmpl w:val="8B4C5264"/>
    <w:lvl w:ilvl="0" w:tentative="0">
      <w:start w:val="1"/>
      <w:numFmt w:val="decimal"/>
      <w:suff w:val="nothing"/>
      <w:lvlText w:val="（%1）"/>
      <w:lvlJc w:val="left"/>
    </w:lvl>
  </w:abstractNum>
  <w:abstractNum w:abstractNumId="1">
    <w:nsid w:val="198C4EF6"/>
    <w:multiLevelType w:val="multilevel"/>
    <w:tmpl w:val="198C4EF6"/>
    <w:lvl w:ilvl="0" w:tentative="0">
      <w:start w:val="1"/>
      <w:numFmt w:val="decimal"/>
      <w:lvlText w:val="5.%1"/>
      <w:lvlJc w:val="left"/>
      <w:pPr>
        <w:ind w:left="846" w:hanging="420"/>
      </w:pPr>
      <w:rPr>
        <w:rFonts w:hint="eastAsia"/>
      </w:rPr>
    </w:lvl>
    <w:lvl w:ilvl="1" w:tentative="0">
      <w:start w:val="1"/>
      <w:numFmt w:val="lowerLetter"/>
      <w:lvlText w:val="%2)"/>
      <w:lvlJc w:val="left"/>
      <w:pPr>
        <w:ind w:left="726" w:hanging="420"/>
      </w:pPr>
    </w:lvl>
    <w:lvl w:ilvl="2" w:tentative="0">
      <w:start w:val="1"/>
      <w:numFmt w:val="lowerRoman"/>
      <w:lvlText w:val="%3."/>
      <w:lvlJc w:val="right"/>
      <w:pPr>
        <w:ind w:left="1146" w:hanging="420"/>
      </w:pPr>
    </w:lvl>
    <w:lvl w:ilvl="3" w:tentative="0">
      <w:start w:val="1"/>
      <w:numFmt w:val="decimal"/>
      <w:lvlText w:val="%4."/>
      <w:lvlJc w:val="left"/>
      <w:pPr>
        <w:ind w:left="1566" w:hanging="420"/>
      </w:pPr>
    </w:lvl>
    <w:lvl w:ilvl="4" w:tentative="0">
      <w:start w:val="1"/>
      <w:numFmt w:val="lowerLetter"/>
      <w:lvlText w:val="%5)"/>
      <w:lvlJc w:val="left"/>
      <w:pPr>
        <w:ind w:left="1986" w:hanging="420"/>
      </w:pPr>
    </w:lvl>
    <w:lvl w:ilvl="5" w:tentative="0">
      <w:start w:val="1"/>
      <w:numFmt w:val="lowerRoman"/>
      <w:lvlText w:val="%6."/>
      <w:lvlJc w:val="right"/>
      <w:pPr>
        <w:ind w:left="2406" w:hanging="420"/>
      </w:pPr>
    </w:lvl>
    <w:lvl w:ilvl="6" w:tentative="0">
      <w:start w:val="1"/>
      <w:numFmt w:val="decimal"/>
      <w:lvlText w:val="%7."/>
      <w:lvlJc w:val="left"/>
      <w:pPr>
        <w:ind w:left="2826" w:hanging="420"/>
      </w:pPr>
    </w:lvl>
    <w:lvl w:ilvl="7" w:tentative="0">
      <w:start w:val="1"/>
      <w:numFmt w:val="lowerLetter"/>
      <w:lvlText w:val="%8)"/>
      <w:lvlJc w:val="left"/>
      <w:pPr>
        <w:ind w:left="3246" w:hanging="420"/>
      </w:pPr>
    </w:lvl>
    <w:lvl w:ilvl="8" w:tentative="0">
      <w:start w:val="1"/>
      <w:numFmt w:val="lowerRoman"/>
      <w:lvlText w:val="%9."/>
      <w:lvlJc w:val="right"/>
      <w:pPr>
        <w:ind w:left="3666" w:hanging="420"/>
      </w:pPr>
    </w:lvl>
  </w:abstractNum>
  <w:abstractNum w:abstractNumId="2">
    <w:nsid w:val="5095272C"/>
    <w:multiLevelType w:val="multilevel"/>
    <w:tmpl w:val="5095272C"/>
    <w:lvl w:ilvl="0" w:tentative="0">
      <w:start w:val="1"/>
      <w:numFmt w:val="decimal"/>
      <w:lvlText w:val="7.%1"/>
      <w:lvlJc w:val="left"/>
      <w:pPr>
        <w:ind w:left="9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EA36FE3"/>
    <w:multiLevelType w:val="multilevel"/>
    <w:tmpl w:val="5EA36FE3"/>
    <w:lvl w:ilvl="0" w:tentative="0">
      <w:start w:val="1"/>
      <w:numFmt w:val="decimal"/>
      <w:lvlText w:val="3.%1"/>
      <w:lvlJc w:val="left"/>
      <w:pPr>
        <w:ind w:left="960" w:hanging="420"/>
      </w:pPr>
      <w:rPr>
        <w:rFonts w:hint="eastAsia"/>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4">
    <w:nsid w:val="74AB13E1"/>
    <w:multiLevelType w:val="multilevel"/>
    <w:tmpl w:val="74AB13E1"/>
    <w:lvl w:ilvl="0" w:tentative="0">
      <w:start w:val="1"/>
      <w:numFmt w:val="decimal"/>
      <w:pStyle w:val="3"/>
      <w:lvlText w:val="%1."/>
      <w:lvlJc w:val="left"/>
      <w:pPr>
        <w:ind w:left="420" w:hanging="420"/>
      </w:pPr>
      <w:rPr>
        <w:rFonts w:hint="eastAsia"/>
        <w:sz w:val="30"/>
        <w:szCs w:val="30"/>
      </w:rPr>
    </w:lvl>
    <w:lvl w:ilvl="1" w:tentative="0">
      <w:start w:val="1"/>
      <w:numFmt w:val="decimal"/>
      <w:isLgl/>
      <w:lvlText w:val="%1.%2"/>
      <w:lvlJc w:val="left"/>
      <w:pPr>
        <w:ind w:left="567" w:hanging="567"/>
      </w:pPr>
      <w:rPr>
        <w:rFonts w:hint="default"/>
      </w:rPr>
    </w:lvl>
    <w:lvl w:ilvl="2" w:tentative="0">
      <w:start w:val="1"/>
      <w:numFmt w:val="decimal"/>
      <w:isLgl/>
      <w:lvlText w:val="%1.%2.%3"/>
      <w:lvlJc w:val="left"/>
      <w:pPr>
        <w:ind w:left="567" w:hanging="567"/>
      </w:pPr>
      <w:rPr>
        <w:rFonts w:hint="eastAsia" w:eastAsia="黑体"/>
        <w:b w:val="0"/>
        <w:i w:val="0"/>
      </w:rPr>
    </w:lvl>
    <w:lvl w:ilvl="3" w:tentative="0">
      <w:start w:val="1"/>
      <w:numFmt w:val="decimal"/>
      <w:isLgl/>
      <w:lvlText w:val="%1.%2.%3.%4"/>
      <w:lvlJc w:val="left"/>
      <w:pPr>
        <w:ind w:left="2526" w:hanging="1080"/>
      </w:pPr>
      <w:rPr>
        <w:rFonts w:hint="default"/>
      </w:rPr>
    </w:lvl>
    <w:lvl w:ilvl="4" w:tentative="0">
      <w:start w:val="1"/>
      <w:numFmt w:val="decimal"/>
      <w:isLgl/>
      <w:lvlText w:val="%1.%2.%3.%4.%5"/>
      <w:lvlJc w:val="left"/>
      <w:pPr>
        <w:ind w:left="3368" w:hanging="1440"/>
      </w:pPr>
      <w:rPr>
        <w:rFonts w:hint="default"/>
      </w:rPr>
    </w:lvl>
    <w:lvl w:ilvl="5" w:tentative="0">
      <w:start w:val="1"/>
      <w:numFmt w:val="decimal"/>
      <w:isLgl/>
      <w:lvlText w:val="%1.%2.%3.%4.%5.%6"/>
      <w:lvlJc w:val="left"/>
      <w:pPr>
        <w:ind w:left="3850" w:hanging="1440"/>
      </w:pPr>
      <w:rPr>
        <w:rFonts w:hint="default"/>
      </w:rPr>
    </w:lvl>
    <w:lvl w:ilvl="6" w:tentative="0">
      <w:start w:val="1"/>
      <w:numFmt w:val="decimal"/>
      <w:isLgl/>
      <w:lvlText w:val="%1.%2.%3.%4.%5.%6.%7"/>
      <w:lvlJc w:val="left"/>
      <w:pPr>
        <w:ind w:left="4692" w:hanging="1800"/>
      </w:pPr>
      <w:rPr>
        <w:rFonts w:hint="default"/>
      </w:rPr>
    </w:lvl>
    <w:lvl w:ilvl="7" w:tentative="0">
      <w:start w:val="1"/>
      <w:numFmt w:val="decimal"/>
      <w:isLgl/>
      <w:lvlText w:val="%1.%2.%3.%4.%5.%6.%7.%8"/>
      <w:lvlJc w:val="left"/>
      <w:pPr>
        <w:ind w:left="5534" w:hanging="2160"/>
      </w:pPr>
      <w:rPr>
        <w:rFonts w:hint="default"/>
      </w:rPr>
    </w:lvl>
    <w:lvl w:ilvl="8" w:tentative="0">
      <w:start w:val="1"/>
      <w:numFmt w:val="decimal"/>
      <w:isLgl/>
      <w:lvlText w:val="%1.%2.%3.%4.%5.%6.%7.%8.%9"/>
      <w:lvlJc w:val="left"/>
      <w:pPr>
        <w:ind w:left="6016" w:hanging="2160"/>
      </w:pPr>
      <w:rPr>
        <w:rFont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MTExNmNhMTE1MmFhNTc1NTk5ZGEwOGZmZDAxOGUifQ=="/>
  </w:docVars>
  <w:rsids>
    <w:rsidRoot w:val="50A81D82"/>
    <w:rsid w:val="02892B8C"/>
    <w:rsid w:val="034201E6"/>
    <w:rsid w:val="03BF6DF7"/>
    <w:rsid w:val="06E86AA4"/>
    <w:rsid w:val="07041C7C"/>
    <w:rsid w:val="08B56D23"/>
    <w:rsid w:val="09177C26"/>
    <w:rsid w:val="0E717112"/>
    <w:rsid w:val="0F640F79"/>
    <w:rsid w:val="10DD463F"/>
    <w:rsid w:val="16A444D2"/>
    <w:rsid w:val="22032E04"/>
    <w:rsid w:val="2C98683F"/>
    <w:rsid w:val="32E25046"/>
    <w:rsid w:val="32E4458C"/>
    <w:rsid w:val="33AF2F23"/>
    <w:rsid w:val="374D4F95"/>
    <w:rsid w:val="3F9410E8"/>
    <w:rsid w:val="40B31773"/>
    <w:rsid w:val="414C1C7A"/>
    <w:rsid w:val="41BA1B41"/>
    <w:rsid w:val="434C0260"/>
    <w:rsid w:val="4CBC4EA8"/>
    <w:rsid w:val="4E8155BB"/>
    <w:rsid w:val="4FB37368"/>
    <w:rsid w:val="50A81D82"/>
    <w:rsid w:val="50CB7250"/>
    <w:rsid w:val="53755060"/>
    <w:rsid w:val="53A14225"/>
    <w:rsid w:val="54435854"/>
    <w:rsid w:val="573A7816"/>
    <w:rsid w:val="57E71A91"/>
    <w:rsid w:val="5A832FD8"/>
    <w:rsid w:val="5F221E14"/>
    <w:rsid w:val="64281C7B"/>
    <w:rsid w:val="64AD7267"/>
    <w:rsid w:val="69521F47"/>
    <w:rsid w:val="69894514"/>
    <w:rsid w:val="6BE06AD3"/>
    <w:rsid w:val="6EFE3D04"/>
    <w:rsid w:val="71E1579E"/>
    <w:rsid w:val="727662A7"/>
    <w:rsid w:val="735A7977"/>
    <w:rsid w:val="735E0499"/>
    <w:rsid w:val="770E3436"/>
    <w:rsid w:val="7B615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numPr>
        <w:ilvl w:val="0"/>
        <w:numId w:val="1"/>
      </w:numPr>
      <w:spacing w:before="260" w:after="260" w:line="415" w:lineRule="auto"/>
      <w:outlineLvl w:val="1"/>
    </w:pPr>
    <w:rPr>
      <w:rFonts w:ascii="黑体" w:hAnsi="黑体" w:eastAsia="黑体"/>
      <w:b/>
      <w:bCs/>
      <w:kern w:val="44"/>
      <w:sz w:val="30"/>
      <w:szCs w:val="3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kern w:val="0"/>
      <w:sz w:val="20"/>
      <w:szCs w:val="20"/>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样式 宋体 行距: 1.5 倍行距"/>
    <w:basedOn w:val="1"/>
    <w:qFormat/>
    <w:uiPriority w:val="0"/>
    <w:pPr>
      <w:jc w:val="center"/>
    </w:pPr>
    <w:rPr>
      <w:rFonts w:ascii="Times New Roman" w:hAnsi="Times New Roman" w:eastAsia="宋体" w:cs="Times New Roman"/>
      <w:b/>
    </w:rPr>
  </w:style>
  <w:style w:type="paragraph" w:customStyle="1" w:styleId="10">
    <w:name w:val="BodyText"/>
    <w:basedOn w:val="1"/>
    <w:qFormat/>
    <w:uiPriority w:val="0"/>
    <w:pPr>
      <w:spacing w:after="120"/>
    </w:pPr>
    <w:rPr>
      <w:rFonts w:ascii="Times New Roman" w:hAnsi="Times New Roman"/>
      <w:kern w:val="0"/>
      <w:sz w:val="20"/>
      <w:szCs w:val="20"/>
    </w:rPr>
  </w:style>
  <w:style w:type="character" w:customStyle="1" w:styleId="11">
    <w:name w:val="fontstyle01"/>
    <w:qFormat/>
    <w:uiPriority w:val="0"/>
    <w:rPr>
      <w:rFonts w:ascii="宋体" w:hAnsi="宋体" w:eastAsia="宋体" w:cs="宋体"/>
      <w:color w:val="000000"/>
      <w:sz w:val="24"/>
      <w:szCs w:val="24"/>
    </w:rPr>
  </w:style>
  <w:style w:type="paragraph" w:customStyle="1" w:styleId="12">
    <w:name w:val="p0"/>
    <w:basedOn w:val="1"/>
    <w:qFormat/>
    <w:uiPriority w:val="0"/>
    <w:pPr>
      <w:widowControl/>
      <w:spacing w:before="75" w:after="75"/>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3524</Words>
  <Characters>3908</Characters>
  <Lines>0</Lines>
  <Paragraphs>0</Paragraphs>
  <TotalTime>2</TotalTime>
  <ScaleCrop>false</ScaleCrop>
  <LinksUpToDate>false</LinksUpToDate>
  <CharactersWithSpaces>3993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2022-06-21T03:53:00Z</dcterms:created>
  <dc:creator>Administrator</dc:creator>
  <cp:lastModifiedBy>…KING</cp:lastModifiedBy>
  <cp:lastPrinted>2023-06-20T01:20:00Z</cp:lastPrinted>
  <dcterms:modified xsi:type="dcterms:W3CDTF">2023-06-25T11:11:38Z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9B2CE9701ADE4C3DBC43541A6F059935_13</vt:lpwstr>
  </property>
</Properties>
</file>