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宋体" w:hAnsi="宋体"/>
          <w:sz w:val="30"/>
          <w:szCs w:val="30"/>
        </w:rPr>
      </w:pPr>
      <w:bookmarkStart w:id="122" w:name="_GoBack"/>
      <w:bookmarkEnd w:id="122"/>
      <w:r>
        <w:rPr>
          <w:rFonts w:ascii="宋体" w:hAnsi="宋体"/>
          <w:bCs/>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3201035</wp:posOffset>
                </wp:positionH>
                <wp:positionV relativeFrom="paragraph">
                  <wp:posOffset>4445</wp:posOffset>
                </wp:positionV>
                <wp:extent cx="2550160" cy="600075"/>
                <wp:effectExtent l="0" t="0" r="2540" b="9525"/>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2550160" cy="600075"/>
                        </a:xfrm>
                        <a:prstGeom prst="rect">
                          <a:avLst/>
                        </a:prstGeom>
                        <a:solidFill>
                          <a:srgbClr val="FFFFFF"/>
                        </a:solidFill>
                        <a:ln>
                          <a:noFill/>
                        </a:ln>
                        <a:effectLst/>
                      </wps:spPr>
                      <wps:txbx>
                        <w:txbxContent>
                          <w:p>
                            <w:pPr>
                              <w:spacing w:line="300" w:lineRule="exact"/>
                              <w:rPr>
                                <w:sz w:val="24"/>
                                <w:szCs w:val="24"/>
                              </w:rPr>
                            </w:pPr>
                            <w:r>
                              <w:rPr>
                                <w:sz w:val="24"/>
                                <w:szCs w:val="24"/>
                              </w:rPr>
                              <w:t>甲方合同编号</w:t>
                            </w:r>
                            <w:r>
                              <w:rPr>
                                <w:rFonts w:hint="eastAsia"/>
                                <w:sz w:val="24"/>
                                <w:szCs w:val="24"/>
                              </w:rPr>
                              <w:t>：</w:t>
                            </w:r>
                          </w:p>
                          <w:p>
                            <w:pPr>
                              <w:spacing w:line="360" w:lineRule="auto"/>
                              <w:rPr>
                                <w:sz w:val="24"/>
                                <w:szCs w:val="24"/>
                              </w:rPr>
                            </w:pPr>
                            <w:r>
                              <w:rPr>
                                <w:rFonts w:hint="eastAsia"/>
                                <w:sz w:val="24"/>
                                <w:szCs w:val="24"/>
                              </w:rPr>
                              <w:t>乙方合同编号：</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252.05pt;margin-top:0.35pt;height:47.25pt;width:200.8pt;z-index:251659264;mso-width-relative:page;mso-height-relative:page;" fillcolor="#FFFFFF" filled="t" stroked="f" coordsize="21600,21600" o:gfxdata="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9Nwe1AAAAAcBAAAPAAAAAAAAAAEAIAAAACIAAABkcnMvZG93&#10;bnJldi54bWxQSwECFAAUAAAACACHTuJAoM71ngQCAAD9AwAADgAAAAAAAAABACAAAAAjAQAAZHJz&#10;L2Uyb0RvYy54bWxQSwUGAAAAAAYABgBZAQAAmQUAAAAA&#10;">
                <v:fill on="t" focussize="0,0"/>
                <v:stroke on="f"/>
                <v:imagedata o:title=""/>
                <o:lock v:ext="edit" aspectratio="f"/>
                <v:textbox>
                  <w:txbxContent>
                    <w:p>
                      <w:pPr>
                        <w:spacing w:line="300" w:lineRule="exact"/>
                        <w:rPr>
                          <w:sz w:val="24"/>
                          <w:szCs w:val="24"/>
                        </w:rPr>
                      </w:pPr>
                      <w:r>
                        <w:rPr>
                          <w:sz w:val="24"/>
                          <w:szCs w:val="24"/>
                        </w:rPr>
                        <w:t>甲方合同编号</w:t>
                      </w:r>
                      <w:r>
                        <w:rPr>
                          <w:rFonts w:hint="eastAsia"/>
                          <w:sz w:val="24"/>
                          <w:szCs w:val="24"/>
                        </w:rPr>
                        <w:t>：</w:t>
                      </w:r>
                    </w:p>
                    <w:p>
                      <w:pPr>
                        <w:spacing w:line="360" w:lineRule="auto"/>
                        <w:rPr>
                          <w:sz w:val="24"/>
                          <w:szCs w:val="24"/>
                        </w:rPr>
                      </w:pPr>
                      <w:r>
                        <w:rPr>
                          <w:rFonts w:hint="eastAsia"/>
                          <w:sz w:val="24"/>
                          <w:szCs w:val="24"/>
                        </w:rPr>
                        <w:t>乙方合同编号：</w:t>
                      </w:r>
                    </w:p>
                  </w:txbxContent>
                </v:textbox>
              </v:shape>
            </w:pict>
          </mc:Fallback>
        </mc:AlternateContent>
      </w:r>
      <w:bookmarkStart w:id="0" w:name="_Toc296503025"/>
      <w:bookmarkStart w:id="1" w:name="_Toc296890982"/>
    </w:p>
    <w:p>
      <w:pPr>
        <w:jc w:val="left"/>
        <w:rPr>
          <w:rFonts w:ascii="宋体" w:hAnsi="宋体"/>
          <w:sz w:val="30"/>
          <w:szCs w:val="30"/>
        </w:rPr>
      </w:pPr>
    </w:p>
    <w:p>
      <w:pPr>
        <w:spacing w:before="240" w:beforeLines="100" w:after="240" w:afterLines="100" w:line="360" w:lineRule="auto"/>
        <w:ind w:left="210" w:leftChars="100" w:right="210" w:rightChars="100"/>
        <w:jc w:val="center"/>
        <w:rPr>
          <w:rFonts w:ascii="宋体" w:hAnsi="宋体" w:cs="黑体"/>
          <w:b/>
          <w:bCs/>
          <w:color w:val="000000"/>
          <w:kern w:val="0"/>
          <w:sz w:val="52"/>
          <w:szCs w:val="52"/>
          <w:lang w:val="zh-CN"/>
        </w:rPr>
      </w:pPr>
    </w:p>
    <w:p>
      <w:pPr>
        <w:spacing w:before="240" w:beforeLines="100" w:after="240" w:afterLines="100" w:line="360" w:lineRule="auto"/>
        <w:ind w:left="210" w:leftChars="100" w:right="210" w:rightChars="100"/>
        <w:jc w:val="center"/>
        <w:rPr>
          <w:rFonts w:ascii="宋体" w:hAnsi="宋体" w:cs="黑体"/>
          <w:b/>
          <w:bCs/>
          <w:color w:val="000000"/>
          <w:kern w:val="0"/>
          <w:sz w:val="52"/>
          <w:szCs w:val="52"/>
          <w:lang w:val="zh-CN"/>
        </w:rPr>
      </w:pPr>
    </w:p>
    <w:p>
      <w:pPr>
        <w:spacing w:before="240" w:beforeLines="100" w:after="240" w:afterLines="100" w:line="560" w:lineRule="exact"/>
        <w:ind w:left="210" w:leftChars="100" w:right="210" w:rightChars="100"/>
        <w:jc w:val="center"/>
        <w:rPr>
          <w:rFonts w:ascii="宋体" w:hAnsi="宋体"/>
          <w:color w:val="000000"/>
          <w:sz w:val="52"/>
          <w:szCs w:val="52"/>
        </w:rPr>
      </w:pPr>
      <w:r>
        <w:rPr>
          <w:rFonts w:hint="eastAsia" w:ascii="宋体" w:hAnsi="宋体" w:cs="黑体"/>
          <w:b/>
          <w:bCs/>
          <w:color w:val="000000"/>
          <w:kern w:val="0"/>
          <w:sz w:val="52"/>
          <w:szCs w:val="52"/>
          <w:lang w:val="zh-CN"/>
        </w:rPr>
        <w:t>动力电池梯次利用项目勘察设计合同</w:t>
      </w:r>
    </w:p>
    <w:p>
      <w:pPr>
        <w:jc w:val="left"/>
        <w:rPr>
          <w:rFonts w:ascii="宋体" w:hAnsi="宋体"/>
          <w:sz w:val="30"/>
          <w:szCs w:val="30"/>
        </w:rPr>
      </w:pPr>
    </w:p>
    <w:p>
      <w:pPr>
        <w:jc w:val="left"/>
        <w:rPr>
          <w:rFonts w:ascii="宋体" w:hAnsi="宋体"/>
          <w:sz w:val="30"/>
          <w:szCs w:val="30"/>
        </w:rPr>
      </w:pPr>
    </w:p>
    <w:p>
      <w:pPr>
        <w:spacing w:line="360" w:lineRule="auto"/>
        <w:ind w:firstLine="640" w:firstLineChars="200"/>
        <w:jc w:val="left"/>
        <w:rPr>
          <w:rFonts w:ascii="宋体" w:hAnsi="宋体"/>
          <w:sz w:val="32"/>
          <w:szCs w:val="32"/>
        </w:rPr>
      </w:pPr>
      <w:r>
        <w:rPr>
          <w:rFonts w:hint="eastAsia" w:ascii="宋体" w:hAnsi="宋体"/>
          <w:sz w:val="32"/>
          <w:szCs w:val="32"/>
        </w:rPr>
        <w:t>甲方（</w:t>
      </w:r>
      <w:r>
        <w:rPr>
          <w:rFonts w:hint="eastAsia" w:ascii="宋体" w:hAnsi="宋体"/>
          <w:sz w:val="32"/>
          <w:szCs w:val="32"/>
          <w:lang w:eastAsia="zh-CN"/>
        </w:rPr>
        <w:t>甲方</w:t>
      </w:r>
      <w:r>
        <w:rPr>
          <w:rFonts w:hint="eastAsia" w:ascii="宋体" w:hAnsi="宋体"/>
          <w:sz w:val="32"/>
          <w:szCs w:val="32"/>
        </w:rPr>
        <w:t>）：</w:t>
      </w:r>
      <w:r>
        <w:rPr>
          <w:rFonts w:hint="eastAsia" w:ascii="宋体" w:hAnsi="宋体"/>
          <w:bCs/>
          <w:sz w:val="32"/>
          <w:szCs w:val="32"/>
        </w:rPr>
        <w:t>广州环投恒创科技有限公司</w:t>
      </w:r>
    </w:p>
    <w:p>
      <w:pPr>
        <w:pStyle w:val="41"/>
        <w:spacing w:line="360" w:lineRule="auto"/>
        <w:ind w:left="0" w:leftChars="0" w:firstLine="640"/>
        <w:rPr>
          <w:rFonts w:hAnsi="宋体"/>
          <w:kern w:val="2"/>
          <w:sz w:val="32"/>
          <w:szCs w:val="32"/>
        </w:rPr>
      </w:pPr>
      <w:r>
        <w:rPr>
          <w:rFonts w:hint="eastAsia" w:hAnsi="宋体"/>
          <w:sz w:val="32"/>
          <w:szCs w:val="32"/>
        </w:rPr>
        <w:t>乙方（</w:t>
      </w:r>
      <w:r>
        <w:rPr>
          <w:rFonts w:hint="eastAsia" w:hAnsi="宋体"/>
          <w:sz w:val="32"/>
          <w:szCs w:val="32"/>
          <w:lang w:eastAsia="zh-CN"/>
        </w:rPr>
        <w:t>乙方</w:t>
      </w:r>
      <w:r>
        <w:rPr>
          <w:rFonts w:hint="eastAsia" w:hAnsi="宋体"/>
          <w:sz w:val="32"/>
          <w:szCs w:val="32"/>
        </w:rPr>
        <w:t>）：</w:t>
      </w:r>
    </w:p>
    <w:p>
      <w:pPr>
        <w:spacing w:line="360" w:lineRule="auto"/>
        <w:ind w:left="1260" w:leftChars="600"/>
        <w:jc w:val="left"/>
        <w:rPr>
          <w:rFonts w:ascii="宋体" w:hAnsi="宋体"/>
          <w:sz w:val="32"/>
          <w:szCs w:val="32"/>
        </w:rPr>
      </w:pPr>
    </w:p>
    <w:p>
      <w:pPr>
        <w:spacing w:line="480" w:lineRule="auto"/>
        <w:ind w:left="1260" w:leftChars="600"/>
        <w:jc w:val="left"/>
        <w:rPr>
          <w:rFonts w:ascii="宋体" w:hAnsi="宋体"/>
          <w:sz w:val="32"/>
          <w:szCs w:val="32"/>
          <w:u w:val="single"/>
        </w:rPr>
      </w:pPr>
    </w:p>
    <w:p>
      <w:pPr>
        <w:spacing w:line="480" w:lineRule="auto"/>
        <w:ind w:left="1260" w:leftChars="600"/>
        <w:jc w:val="left"/>
        <w:rPr>
          <w:rFonts w:ascii="宋体" w:hAnsi="宋体"/>
          <w:sz w:val="32"/>
          <w:szCs w:val="32"/>
        </w:rPr>
      </w:pPr>
      <w:r>
        <w:rPr>
          <w:rFonts w:hint="eastAsia" w:ascii="宋体" w:hAnsi="宋体"/>
          <w:sz w:val="32"/>
          <w:szCs w:val="32"/>
        </w:rPr>
        <w:t>签 订 地 点：</w:t>
      </w:r>
      <w:r>
        <w:rPr>
          <w:rFonts w:hint="eastAsia" w:ascii="宋体" w:hAnsi="宋体"/>
          <w:sz w:val="32"/>
          <w:szCs w:val="32"/>
          <w:u w:val="single"/>
        </w:rPr>
        <w:t xml:space="preserve">     广州市      </w:t>
      </w:r>
    </w:p>
    <w:p>
      <w:pPr>
        <w:tabs>
          <w:tab w:val="right" w:leader="middleDot" w:pos="8400"/>
        </w:tabs>
        <w:spacing w:line="480" w:lineRule="auto"/>
        <w:ind w:left="1260" w:leftChars="600"/>
        <w:jc w:val="left"/>
        <w:rPr>
          <w:rFonts w:ascii="宋体" w:hAnsi="宋体"/>
          <w:sz w:val="28"/>
          <w:szCs w:val="28"/>
        </w:rPr>
      </w:pPr>
      <w:r>
        <w:rPr>
          <w:rFonts w:hint="eastAsia" w:ascii="宋体" w:hAnsi="宋体"/>
          <w:sz w:val="32"/>
          <w:szCs w:val="32"/>
        </w:rPr>
        <w:t>签 订 时 间 ： 2023年   月   日</w:t>
      </w:r>
    </w:p>
    <w:p>
      <w:pPr>
        <w:tabs>
          <w:tab w:val="right" w:leader="middleDot" w:pos="8400"/>
        </w:tabs>
        <w:jc w:val="left"/>
        <w:rPr>
          <w:rFonts w:ascii="宋体" w:hAnsi="宋体"/>
          <w:sz w:val="28"/>
          <w:szCs w:val="28"/>
        </w:rPr>
      </w:pPr>
    </w:p>
    <w:p>
      <w:pPr>
        <w:tabs>
          <w:tab w:val="right" w:leader="middleDot" w:pos="8400"/>
        </w:tabs>
        <w:jc w:val="left"/>
        <w:rPr>
          <w:rFonts w:ascii="宋体" w:hAnsi="宋体"/>
          <w:sz w:val="28"/>
          <w:szCs w:val="28"/>
        </w:rPr>
      </w:pPr>
    </w:p>
    <w:p>
      <w:pPr>
        <w:tabs>
          <w:tab w:val="right" w:leader="middleDot" w:pos="8400"/>
        </w:tabs>
        <w:jc w:val="left"/>
        <w:rPr>
          <w:rFonts w:ascii="宋体" w:hAnsi="宋体"/>
          <w:sz w:val="28"/>
          <w:szCs w:val="28"/>
        </w:rPr>
      </w:pPr>
    </w:p>
    <w:p>
      <w:pPr>
        <w:tabs>
          <w:tab w:val="right" w:leader="middleDot" w:pos="8400"/>
        </w:tabs>
        <w:jc w:val="left"/>
        <w:rPr>
          <w:rFonts w:ascii="宋体" w:hAnsi="宋体"/>
          <w:sz w:val="28"/>
          <w:szCs w:val="28"/>
        </w:rPr>
        <w:sectPr>
          <w:headerReference r:id="rId4" w:type="first"/>
          <w:footerReference r:id="rId6" w:type="first"/>
          <w:headerReference r:id="rId3" w:type="default"/>
          <w:footerReference r:id="rId5" w:type="default"/>
          <w:type w:val="nextColumn"/>
          <w:pgSz w:w="11906" w:h="16838"/>
          <w:pgMar w:top="1247" w:right="1247" w:bottom="1247" w:left="1474" w:header="851" w:footer="624" w:gutter="0"/>
          <w:pgNumType w:fmt="decimal"/>
          <w:cols w:space="720" w:num="1"/>
          <w:docGrid w:linePitch="312" w:charSpace="0"/>
        </w:sectPr>
      </w:pPr>
    </w:p>
    <w:p>
      <w:pPr>
        <w:tabs>
          <w:tab w:val="right" w:leader="middleDot" w:pos="8400"/>
        </w:tabs>
        <w:jc w:val="center"/>
        <w:rPr>
          <w:rFonts w:ascii="宋体" w:hAnsi="宋体"/>
          <w:b/>
          <w:sz w:val="36"/>
          <w:szCs w:val="36"/>
        </w:rPr>
      </w:pPr>
      <w:r>
        <w:rPr>
          <w:rFonts w:hint="eastAsia" w:ascii="宋体" w:hAnsi="宋体"/>
          <w:b/>
          <w:sz w:val="36"/>
          <w:szCs w:val="36"/>
        </w:rPr>
        <w:t>目  录</w:t>
      </w:r>
    </w:p>
    <w:p>
      <w:pPr>
        <w:tabs>
          <w:tab w:val="right" w:leader="middleDot" w:pos="8400"/>
        </w:tabs>
        <w:jc w:val="center"/>
        <w:rPr>
          <w:rFonts w:ascii="宋体" w:hAnsi="宋体"/>
          <w:b/>
          <w:sz w:val="36"/>
          <w:szCs w:val="36"/>
        </w:rPr>
      </w:pPr>
    </w:p>
    <w:p>
      <w:pPr>
        <w:pStyle w:val="34"/>
        <w:tabs>
          <w:tab w:val="right" w:leader="dot" w:pos="9175"/>
        </w:tabs>
        <w:rPr>
          <w:rStyle w:val="49"/>
          <w:rFonts w:ascii="微软雅黑" w:hAnsi="微软雅黑" w:eastAsia="微软雅黑"/>
          <w:sz w:val="18"/>
          <w:szCs w:val="18"/>
        </w:rPr>
      </w:pPr>
      <w:r>
        <w:rPr>
          <w:rFonts w:ascii="微软雅黑" w:hAnsi="微软雅黑" w:eastAsia="微软雅黑"/>
          <w:sz w:val="18"/>
          <w:szCs w:val="18"/>
        </w:rPr>
        <w:fldChar w:fldCharType="begin"/>
      </w:r>
      <w:r>
        <w:rPr>
          <w:rFonts w:hint="eastAsia" w:ascii="微软雅黑" w:hAnsi="微软雅黑" w:eastAsia="微软雅黑"/>
          <w:sz w:val="18"/>
          <w:szCs w:val="18"/>
        </w:rPr>
        <w:instrText xml:space="preserve">TOC \o "1-6" \h \z \u</w:instrText>
      </w:r>
      <w:r>
        <w:rPr>
          <w:rFonts w:ascii="微软雅黑" w:hAnsi="微软雅黑" w:eastAsia="微软雅黑"/>
          <w:sz w:val="18"/>
          <w:szCs w:val="18"/>
        </w:rPr>
        <w:fldChar w:fldCharType="separate"/>
      </w:r>
      <w:r>
        <w:fldChar w:fldCharType="begin"/>
      </w:r>
      <w:r>
        <w:instrText xml:space="preserve"> HYPERLINK \l "_Toc1736120" </w:instrText>
      </w:r>
      <w:r>
        <w:fldChar w:fldCharType="separate"/>
      </w:r>
      <w:r>
        <w:rPr>
          <w:rStyle w:val="49"/>
          <w:rFonts w:hint="eastAsia" w:ascii="微软雅黑" w:hAnsi="微软雅黑" w:eastAsia="微软雅黑"/>
          <w:sz w:val="18"/>
          <w:szCs w:val="18"/>
        </w:rPr>
        <w:t>第一部分合同协议书</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_Toc1736120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1</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"_Toc1736121" </w:instrText>
      </w:r>
      <w:r>
        <w:fldChar w:fldCharType="separate"/>
      </w:r>
      <w:r>
        <w:rPr>
          <w:rStyle w:val="49"/>
          <w:rFonts w:hint="eastAsia" w:ascii="微软雅黑" w:hAnsi="微软雅黑" w:eastAsia="微软雅黑"/>
          <w:sz w:val="18"/>
          <w:szCs w:val="18"/>
        </w:rPr>
        <w:t>一、工程概况</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_Toc1736121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1</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"_Toc1736122" </w:instrText>
      </w:r>
      <w:r>
        <w:fldChar w:fldCharType="separate"/>
      </w:r>
      <w:r>
        <w:rPr>
          <w:rStyle w:val="49"/>
          <w:rFonts w:hint="eastAsia" w:ascii="微软雅黑" w:hAnsi="微软雅黑" w:eastAsia="微软雅黑"/>
          <w:sz w:val="18"/>
          <w:szCs w:val="18"/>
        </w:rPr>
        <w:t>二、工程勘察设计范围、阶段与服务内容</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_Toc1736122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1</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"_Toc1736123" </w:instrText>
      </w:r>
      <w:r>
        <w:fldChar w:fldCharType="separate"/>
      </w:r>
      <w:r>
        <w:rPr>
          <w:rStyle w:val="49"/>
          <w:rFonts w:hint="eastAsia" w:ascii="微软雅黑" w:hAnsi="微软雅黑" w:eastAsia="微软雅黑"/>
          <w:sz w:val="18"/>
          <w:szCs w:val="18"/>
        </w:rPr>
        <w:t>三、工程勘察设计周期</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_Toc1736123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2</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"_Toc1736124" </w:instrText>
      </w:r>
      <w:r>
        <w:fldChar w:fldCharType="separate"/>
      </w:r>
      <w:r>
        <w:rPr>
          <w:rStyle w:val="49"/>
          <w:rFonts w:hint="eastAsia" w:ascii="微软雅黑" w:hAnsi="微软雅黑" w:eastAsia="微软雅黑"/>
          <w:sz w:val="18"/>
          <w:szCs w:val="18"/>
        </w:rPr>
        <w:t>四、合同价格形式与签约合同价</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_Toc1736124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2</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"_Toc1736125" </w:instrText>
      </w:r>
      <w:r>
        <w:fldChar w:fldCharType="separate"/>
      </w:r>
      <w:r>
        <w:rPr>
          <w:rStyle w:val="49"/>
          <w:rFonts w:hint="eastAsia" w:ascii="微软雅黑" w:hAnsi="微软雅黑" w:eastAsia="微软雅黑"/>
          <w:sz w:val="18"/>
          <w:szCs w:val="18"/>
        </w:rPr>
        <w:t>五、</w:t>
      </w:r>
      <w:r>
        <w:rPr>
          <w:rStyle w:val="49"/>
          <w:rFonts w:hint="eastAsia" w:ascii="微软雅黑" w:hAnsi="微软雅黑" w:eastAsia="微软雅黑"/>
          <w:sz w:val="18"/>
          <w:szCs w:val="18"/>
          <w:lang w:eastAsia="zh-CN"/>
        </w:rPr>
        <w:t>乙方</w:t>
      </w:r>
      <w:r>
        <w:rPr>
          <w:rStyle w:val="49"/>
          <w:rFonts w:hint="eastAsia" w:ascii="微软雅黑" w:hAnsi="微软雅黑" w:eastAsia="微软雅黑"/>
          <w:sz w:val="18"/>
          <w:szCs w:val="18"/>
        </w:rPr>
        <w:t>项目负责人</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_Toc1736125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3</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"_Toc1736126" </w:instrText>
      </w:r>
      <w:r>
        <w:fldChar w:fldCharType="separate"/>
      </w:r>
      <w:r>
        <w:rPr>
          <w:rStyle w:val="49"/>
          <w:rFonts w:hint="eastAsia" w:ascii="微软雅黑" w:hAnsi="微软雅黑" w:eastAsia="微软雅黑"/>
          <w:sz w:val="18"/>
          <w:szCs w:val="18"/>
        </w:rPr>
        <w:t>六、合同签订依据</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_Toc1736126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3</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"_Toc1736127" </w:instrText>
      </w:r>
      <w:r>
        <w:fldChar w:fldCharType="separate"/>
      </w:r>
      <w:r>
        <w:rPr>
          <w:rStyle w:val="49"/>
          <w:rFonts w:hint="eastAsia" w:ascii="微软雅黑" w:hAnsi="微软雅黑" w:eastAsia="微软雅黑"/>
          <w:sz w:val="18"/>
          <w:szCs w:val="18"/>
        </w:rPr>
        <w:t>七、合同文件优先次序</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_Toc1736127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3</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"_Toc1736128" </w:instrText>
      </w:r>
      <w:r>
        <w:fldChar w:fldCharType="separate"/>
      </w:r>
      <w:r>
        <w:rPr>
          <w:rStyle w:val="49"/>
          <w:rFonts w:hint="eastAsia" w:ascii="微软雅黑" w:hAnsi="微软雅黑" w:eastAsia="微软雅黑"/>
          <w:sz w:val="18"/>
          <w:szCs w:val="18"/>
        </w:rPr>
        <w:t>八、现就以下事项达成一致意见，签订本合同协议书：</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_Toc1736128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"_Toc1736129" </w:instrText>
      </w:r>
      <w:r>
        <w:fldChar w:fldCharType="separate"/>
      </w:r>
      <w:r>
        <w:rPr>
          <w:rStyle w:val="49"/>
          <w:rFonts w:hint="eastAsia" w:ascii="微软雅黑" w:hAnsi="微软雅黑" w:eastAsia="微软雅黑"/>
          <w:sz w:val="18"/>
          <w:szCs w:val="18"/>
        </w:rPr>
        <w:t>第二部分合同条款</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_Toc1736129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"_Toc1736130" </w:instrText>
      </w:r>
      <w:r>
        <w:fldChar w:fldCharType="separate"/>
      </w:r>
      <w:r>
        <w:rPr>
          <w:rStyle w:val="49"/>
          <w:rFonts w:hint="eastAsia" w:ascii="微软雅黑" w:hAnsi="微软雅黑" w:eastAsia="微软雅黑"/>
          <w:sz w:val="18"/>
          <w:szCs w:val="18"/>
        </w:rPr>
        <w:t>一、定义</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_Toc1736130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"_Toc1736131" </w:instrText>
      </w:r>
      <w:r>
        <w:fldChar w:fldCharType="separate"/>
      </w:r>
      <w:r>
        <w:rPr>
          <w:rStyle w:val="49"/>
          <w:rFonts w:hint="eastAsia" w:ascii="微软雅黑" w:hAnsi="微软雅黑" w:eastAsia="微软雅黑"/>
          <w:sz w:val="18"/>
          <w:szCs w:val="18"/>
        </w:rPr>
        <w:t>二、勘察设计工作范围及服务内容</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_Toc1736131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9</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"_Toc1736132" </w:instrText>
      </w:r>
      <w:r>
        <w:fldChar w:fldCharType="separate"/>
      </w:r>
      <w:r>
        <w:rPr>
          <w:rStyle w:val="49"/>
          <w:rFonts w:hint="eastAsia" w:ascii="微软雅黑" w:hAnsi="微软雅黑" w:eastAsia="微软雅黑"/>
          <w:sz w:val="18"/>
          <w:szCs w:val="18"/>
        </w:rPr>
        <w:t>三、勘察设计管理</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_Toc1736132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14</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"_Toc1736133" </w:instrText>
      </w:r>
      <w:r>
        <w:fldChar w:fldCharType="separate"/>
      </w:r>
      <w:r>
        <w:rPr>
          <w:rStyle w:val="49"/>
          <w:rFonts w:hint="eastAsia" w:ascii="微软雅黑" w:hAnsi="微软雅黑" w:eastAsia="微软雅黑"/>
          <w:sz w:val="18"/>
          <w:szCs w:val="18"/>
        </w:rPr>
        <w:t>四、通信交流</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_Toc1736133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16</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"_Toc1736134" </w:instrText>
      </w:r>
      <w:r>
        <w:fldChar w:fldCharType="separate"/>
      </w:r>
      <w:r>
        <w:rPr>
          <w:rStyle w:val="49"/>
          <w:rFonts w:hint="eastAsia" w:ascii="微软雅黑" w:hAnsi="微软雅黑" w:eastAsia="微软雅黑"/>
          <w:sz w:val="18"/>
          <w:szCs w:val="18"/>
        </w:rPr>
        <w:t>五、双方权利及义务</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_Toc1736134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17</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"_Toc1736135" </w:instrText>
      </w:r>
      <w:r>
        <w:fldChar w:fldCharType="separate"/>
      </w:r>
      <w:r>
        <w:rPr>
          <w:rStyle w:val="49"/>
          <w:rFonts w:hint="eastAsia" w:ascii="微软雅黑" w:hAnsi="微软雅黑" w:eastAsia="微软雅黑"/>
          <w:sz w:val="18"/>
          <w:szCs w:val="18"/>
        </w:rPr>
        <w:t>六、勘察设计质量的要求</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_Toc1736135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23</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"_Toc1736136" </w:instrText>
      </w:r>
      <w:r>
        <w:fldChar w:fldCharType="separate"/>
      </w:r>
      <w:r>
        <w:rPr>
          <w:rStyle w:val="49"/>
          <w:rFonts w:hint="eastAsia" w:ascii="微软雅黑" w:hAnsi="微软雅黑" w:eastAsia="微软雅黑"/>
          <w:sz w:val="18"/>
          <w:szCs w:val="18"/>
        </w:rPr>
        <w:t>七、投资控制的要求</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_Toc1736136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26</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"_Toc1736137" </w:instrText>
      </w:r>
      <w:r>
        <w:fldChar w:fldCharType="separate"/>
      </w:r>
      <w:r>
        <w:rPr>
          <w:rStyle w:val="49"/>
          <w:rFonts w:hint="eastAsia" w:ascii="微软雅黑" w:hAnsi="微软雅黑" w:eastAsia="微软雅黑"/>
          <w:sz w:val="18"/>
          <w:szCs w:val="18"/>
        </w:rPr>
        <w:t>八、服务期限及勘察设计文件的交付</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_Toc1736137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27</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"_Toc1736138" </w:instrText>
      </w:r>
      <w:r>
        <w:fldChar w:fldCharType="separate"/>
      </w:r>
      <w:r>
        <w:rPr>
          <w:rStyle w:val="49"/>
          <w:rFonts w:hint="eastAsia" w:ascii="微软雅黑" w:hAnsi="微软雅黑" w:eastAsia="微软雅黑"/>
          <w:sz w:val="18"/>
          <w:szCs w:val="18"/>
        </w:rPr>
        <w:t>九、勘察设计服务</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_Toc1736138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32</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"_Toc1736139" </w:instrText>
      </w:r>
      <w:r>
        <w:fldChar w:fldCharType="separate"/>
      </w:r>
      <w:r>
        <w:rPr>
          <w:rStyle w:val="49"/>
          <w:rFonts w:hint="eastAsia" w:ascii="微软雅黑" w:hAnsi="微软雅黑" w:eastAsia="微软雅黑"/>
          <w:sz w:val="18"/>
          <w:szCs w:val="18"/>
        </w:rPr>
        <w:t>十、设计变更管理</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_Toc1736139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35</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"_Toc1736140" </w:instrText>
      </w:r>
      <w:r>
        <w:fldChar w:fldCharType="separate"/>
      </w:r>
      <w:r>
        <w:rPr>
          <w:rStyle w:val="49"/>
          <w:rFonts w:hint="eastAsia" w:ascii="微软雅黑" w:hAnsi="微软雅黑" w:eastAsia="微软雅黑"/>
          <w:sz w:val="18"/>
          <w:szCs w:val="18"/>
        </w:rPr>
        <w:t>十一、合同价款及其支付</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_Toc1736140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36</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"_Toc1736141" </w:instrText>
      </w:r>
      <w:r>
        <w:fldChar w:fldCharType="separate"/>
      </w:r>
      <w:r>
        <w:rPr>
          <w:rStyle w:val="49"/>
          <w:rFonts w:hint="eastAsia" w:ascii="微软雅黑" w:hAnsi="微软雅黑" w:eastAsia="微软雅黑"/>
          <w:sz w:val="18"/>
          <w:szCs w:val="18"/>
        </w:rPr>
        <w:t>十二、税费</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_Toc1736141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43</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"_Toc1736142" </w:instrText>
      </w:r>
      <w:r>
        <w:fldChar w:fldCharType="separate"/>
      </w:r>
      <w:r>
        <w:rPr>
          <w:rStyle w:val="49"/>
          <w:rFonts w:hint="eastAsia" w:ascii="微软雅黑" w:hAnsi="微软雅黑" w:eastAsia="微软雅黑"/>
          <w:sz w:val="18"/>
          <w:szCs w:val="18"/>
        </w:rPr>
        <w:t>十三、知识产权</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_Toc1736142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43</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"_Toc1736143" </w:instrText>
      </w:r>
      <w:r>
        <w:fldChar w:fldCharType="separate"/>
      </w:r>
      <w:r>
        <w:rPr>
          <w:rStyle w:val="49"/>
          <w:rFonts w:hint="eastAsia" w:ascii="微软雅黑" w:hAnsi="微软雅黑" w:eastAsia="微软雅黑"/>
          <w:sz w:val="18"/>
          <w:szCs w:val="18"/>
        </w:rPr>
        <w:t>十四、违约和索赔</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_Toc1736143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44</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"_Toc1736144" </w:instrText>
      </w:r>
      <w:r>
        <w:fldChar w:fldCharType="separate"/>
      </w:r>
      <w:r>
        <w:rPr>
          <w:rStyle w:val="49"/>
          <w:rFonts w:hint="eastAsia" w:ascii="微软雅黑" w:hAnsi="微软雅黑" w:eastAsia="微软雅黑"/>
          <w:sz w:val="18"/>
          <w:szCs w:val="18"/>
        </w:rPr>
        <w:t>十五、不可抗力</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_Toc1736144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48</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"_Toc1736145" </w:instrText>
      </w:r>
      <w:r>
        <w:fldChar w:fldCharType="separate"/>
      </w:r>
      <w:r>
        <w:rPr>
          <w:rStyle w:val="49"/>
          <w:rFonts w:hint="eastAsia" w:ascii="微软雅黑" w:hAnsi="微软雅黑" w:eastAsia="微软雅黑"/>
          <w:sz w:val="18"/>
          <w:szCs w:val="18"/>
        </w:rPr>
        <w:t>十六、风险与保险</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_Toc1736145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48</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"_Toc1736146" </w:instrText>
      </w:r>
      <w:r>
        <w:fldChar w:fldCharType="separate"/>
      </w:r>
      <w:r>
        <w:rPr>
          <w:rStyle w:val="49"/>
          <w:rFonts w:hint="eastAsia" w:ascii="微软雅黑" w:hAnsi="微软雅黑" w:eastAsia="微软雅黑"/>
          <w:sz w:val="18"/>
          <w:szCs w:val="18"/>
        </w:rPr>
        <w:t>十七、文字及货币约定</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_Toc1736146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49</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"_Toc1736147" </w:instrText>
      </w:r>
      <w:r>
        <w:fldChar w:fldCharType="separate"/>
      </w:r>
      <w:r>
        <w:rPr>
          <w:rStyle w:val="49"/>
          <w:rFonts w:hint="eastAsia" w:ascii="微软雅黑" w:hAnsi="微软雅黑" w:eastAsia="微软雅黑"/>
          <w:sz w:val="18"/>
          <w:szCs w:val="18"/>
        </w:rPr>
        <w:t>十八、法律适用</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_Toc1736147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49</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"_Toc1736148" </w:instrText>
      </w:r>
      <w:r>
        <w:fldChar w:fldCharType="separate"/>
      </w:r>
      <w:r>
        <w:rPr>
          <w:rStyle w:val="49"/>
          <w:rFonts w:hint="eastAsia" w:ascii="微软雅黑" w:hAnsi="微软雅黑" w:eastAsia="微软雅黑"/>
          <w:sz w:val="18"/>
          <w:szCs w:val="18"/>
        </w:rPr>
        <w:t>十九、合同生效及其它条款</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_Toc1736148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50</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"_Toc1736149" </w:instrText>
      </w:r>
      <w:r>
        <w:fldChar w:fldCharType="separate"/>
      </w:r>
      <w:r>
        <w:rPr>
          <w:rStyle w:val="49"/>
          <w:rFonts w:hint="eastAsia" w:ascii="微软雅黑" w:hAnsi="微软雅黑" w:eastAsia="微软雅黑"/>
          <w:sz w:val="18"/>
          <w:szCs w:val="18"/>
        </w:rPr>
        <w:t>二十、合同附件</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_Toc1736149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51</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"_Toc1736150" </w:instrText>
      </w:r>
      <w:r>
        <w:fldChar w:fldCharType="separate"/>
      </w:r>
      <w:r>
        <w:rPr>
          <w:rStyle w:val="49"/>
          <w:rFonts w:hint="eastAsia" w:ascii="微软雅黑" w:hAnsi="微软雅黑" w:eastAsia="微软雅黑"/>
          <w:sz w:val="18"/>
          <w:szCs w:val="18"/>
        </w:rPr>
        <w:t>附件一：设计单位的考核细则</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_Toc1736150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51</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"_Toc1736151" </w:instrText>
      </w:r>
      <w:r>
        <w:fldChar w:fldCharType="separate"/>
      </w:r>
      <w:r>
        <w:rPr>
          <w:rStyle w:val="49"/>
          <w:rFonts w:hint="eastAsia" w:ascii="微软雅黑" w:hAnsi="微软雅黑" w:eastAsia="微软雅黑"/>
          <w:sz w:val="18"/>
          <w:szCs w:val="18"/>
        </w:rPr>
        <w:t>附件二：动力电池梯次利用项目</w:t>
      </w:r>
      <w:r>
        <w:rPr>
          <w:rStyle w:val="49"/>
          <w:rFonts w:hint="eastAsia" w:ascii="微软雅黑" w:hAnsi="微软雅黑" w:eastAsia="微软雅黑"/>
          <w:sz w:val="18"/>
          <w:szCs w:val="18"/>
          <w:lang w:val="en-US" w:eastAsia="zh-CN"/>
        </w:rPr>
        <w:t>勘察</w:t>
      </w:r>
      <w:r>
        <w:rPr>
          <w:rStyle w:val="49"/>
          <w:rFonts w:hint="eastAsia" w:ascii="微软雅黑" w:hAnsi="微软雅黑" w:eastAsia="微软雅黑"/>
          <w:sz w:val="18"/>
          <w:szCs w:val="18"/>
        </w:rPr>
        <w:t>设计任务书</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_Toc1736151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59</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"_Toc1736175" </w:instrText>
      </w:r>
      <w:r>
        <w:fldChar w:fldCharType="separate"/>
      </w:r>
      <w:r>
        <w:rPr>
          <w:rStyle w:val="49"/>
          <w:rFonts w:hint="eastAsia" w:ascii="微软雅黑" w:hAnsi="微软雅黑" w:eastAsia="微软雅黑"/>
          <w:sz w:val="18"/>
          <w:szCs w:val="18"/>
        </w:rPr>
        <w:t>附件三：勘察、设计人主要设计人员表</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_Toc1736175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61</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"_Toc1736176" </w:instrText>
      </w:r>
      <w:r>
        <w:fldChar w:fldCharType="separate"/>
      </w:r>
      <w:r>
        <w:rPr>
          <w:rStyle w:val="49"/>
          <w:rFonts w:hint="eastAsia" w:ascii="微软雅黑" w:hAnsi="微软雅黑" w:eastAsia="微软雅黑"/>
          <w:sz w:val="18"/>
          <w:szCs w:val="18"/>
        </w:rPr>
        <w:t>附件四：勘察、设计工程量清单报价表</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_Toc1736176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62</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"_Toc1736177" </w:instrText>
      </w:r>
      <w:r>
        <w:fldChar w:fldCharType="separate"/>
      </w:r>
      <w:r>
        <w:rPr>
          <w:rStyle w:val="49"/>
          <w:rFonts w:hint="eastAsia" w:ascii="微软雅黑" w:hAnsi="微软雅黑" w:eastAsia="微软雅黑"/>
          <w:sz w:val="18"/>
          <w:szCs w:val="18"/>
        </w:rPr>
        <w:t>附件五：廉政合同</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_Toc1736177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62</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"_Toc1736178" </w:instrText>
      </w:r>
      <w:r>
        <w:fldChar w:fldCharType="separate"/>
      </w:r>
      <w:r>
        <w:rPr>
          <w:rStyle w:val="49"/>
          <w:rFonts w:hint="eastAsia" w:ascii="微软雅黑" w:hAnsi="微软雅黑" w:eastAsia="微软雅黑"/>
          <w:sz w:val="18"/>
          <w:szCs w:val="18"/>
        </w:rPr>
        <w:t>附件六：工程勘察安全承诺书</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_Toc1736178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66</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"_Toc1736179" </w:instrText>
      </w:r>
      <w:r>
        <w:fldChar w:fldCharType="separate"/>
      </w:r>
      <w:r>
        <w:rPr>
          <w:rStyle w:val="49"/>
          <w:rFonts w:hint="eastAsia" w:ascii="微软雅黑" w:hAnsi="微软雅黑" w:eastAsia="微软雅黑"/>
          <w:sz w:val="18"/>
          <w:szCs w:val="18"/>
        </w:rPr>
        <w:t>附件七：设计进度表</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_Toc1736179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67</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"_Toc1736180" </w:instrText>
      </w:r>
      <w:r>
        <w:fldChar w:fldCharType="separate"/>
      </w:r>
      <w:r>
        <w:rPr>
          <w:rStyle w:val="49"/>
          <w:rFonts w:hint="eastAsia" w:ascii="微软雅黑" w:hAnsi="微软雅黑" w:eastAsia="微软雅黑"/>
          <w:sz w:val="18"/>
          <w:szCs w:val="18"/>
        </w:rPr>
        <w:t>附件八：发包方应提交的设计基础文件</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_Toc1736180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68</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"_Toc1736181" </w:instrText>
      </w:r>
      <w:r>
        <w:fldChar w:fldCharType="separate"/>
      </w:r>
      <w:r>
        <w:rPr>
          <w:rStyle w:val="49"/>
          <w:rFonts w:hint="eastAsia" w:ascii="微软雅黑" w:hAnsi="微软雅黑" w:eastAsia="微软雅黑"/>
          <w:sz w:val="18"/>
          <w:szCs w:val="18"/>
        </w:rPr>
        <w:t>附件九：安健环管理协议</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_Toc1736181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69</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"_Toc1736197" </w:instrText>
      </w:r>
      <w:r>
        <w:fldChar w:fldCharType="separate"/>
      </w:r>
      <w:r>
        <w:rPr>
          <w:rStyle w:val="49"/>
          <w:rFonts w:hint="eastAsia" w:ascii="微软雅黑" w:hAnsi="微软雅黑" w:eastAsia="微软雅黑"/>
          <w:sz w:val="18"/>
          <w:szCs w:val="18"/>
        </w:rPr>
        <w:t>附件十：安全文明施工管理</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_Toc1736197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81</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r>
        <w:fldChar w:fldCharType="begin"/>
      </w:r>
      <w:r>
        <w:instrText xml:space="preserve"> HYPERLINK \l "_Toc1736201" </w:instrText>
      </w:r>
      <w:r>
        <w:fldChar w:fldCharType="separate"/>
      </w:r>
      <w:r>
        <w:rPr>
          <w:rStyle w:val="49"/>
          <w:rFonts w:hint="eastAsia" w:ascii="微软雅黑" w:hAnsi="微软雅黑" w:eastAsia="微软雅黑"/>
          <w:sz w:val="18"/>
          <w:szCs w:val="18"/>
        </w:rPr>
        <w:t>附件十一：综合治理</w:t>
      </w:r>
      <w:r>
        <w:rPr>
          <w:rStyle w:val="49"/>
          <w:rFonts w:ascii="微软雅黑" w:hAnsi="微软雅黑" w:eastAsia="微软雅黑"/>
          <w:sz w:val="18"/>
          <w:szCs w:val="18"/>
        </w:rPr>
        <w:tab/>
      </w:r>
      <w:r>
        <w:rPr>
          <w:rStyle w:val="49"/>
          <w:rFonts w:ascii="微软雅黑" w:hAnsi="微软雅黑" w:eastAsia="微软雅黑"/>
          <w:sz w:val="18"/>
          <w:szCs w:val="18"/>
        </w:rPr>
        <w:fldChar w:fldCharType="begin"/>
      </w:r>
      <w:r>
        <w:rPr>
          <w:rStyle w:val="49"/>
          <w:rFonts w:ascii="微软雅黑" w:hAnsi="微软雅黑" w:eastAsia="微软雅黑"/>
          <w:sz w:val="18"/>
          <w:szCs w:val="18"/>
        </w:rPr>
        <w:instrText xml:space="preserve"> PAGEREF _Toc1736201 \h </w:instrText>
      </w:r>
      <w:r>
        <w:rPr>
          <w:rStyle w:val="49"/>
          <w:rFonts w:ascii="微软雅黑" w:hAnsi="微软雅黑" w:eastAsia="微软雅黑"/>
          <w:sz w:val="18"/>
          <w:szCs w:val="18"/>
        </w:rPr>
        <w:fldChar w:fldCharType="separate"/>
      </w:r>
      <w:r>
        <w:rPr>
          <w:rStyle w:val="49"/>
          <w:rFonts w:ascii="微软雅黑" w:hAnsi="微软雅黑" w:eastAsia="微软雅黑"/>
          <w:sz w:val="18"/>
          <w:szCs w:val="18"/>
        </w:rPr>
        <w:t>92</w:t>
      </w:r>
      <w:r>
        <w:rPr>
          <w:rStyle w:val="49"/>
          <w:rFonts w:ascii="微软雅黑" w:hAnsi="微软雅黑" w:eastAsia="微软雅黑"/>
          <w:sz w:val="18"/>
          <w:szCs w:val="18"/>
        </w:rPr>
        <w:fldChar w:fldCharType="end"/>
      </w:r>
      <w:r>
        <w:rPr>
          <w:rStyle w:val="49"/>
          <w:rFonts w:ascii="微软雅黑" w:hAnsi="微软雅黑" w:eastAsia="微软雅黑"/>
          <w:sz w:val="18"/>
          <w:szCs w:val="18"/>
        </w:rPr>
        <w:fldChar w:fldCharType="end"/>
      </w:r>
    </w:p>
    <w:p>
      <w:pPr>
        <w:pStyle w:val="34"/>
        <w:tabs>
          <w:tab w:val="right" w:leader="dot" w:pos="9175"/>
        </w:tabs>
        <w:rPr>
          <w:rStyle w:val="49"/>
          <w:rFonts w:ascii="微软雅黑" w:hAnsi="微软雅黑" w:eastAsia="微软雅黑"/>
          <w:sz w:val="18"/>
          <w:szCs w:val="18"/>
        </w:rPr>
      </w:pPr>
    </w:p>
    <w:p/>
    <w:p/>
    <w:p>
      <w:pPr>
        <w:tabs>
          <w:tab w:val="right" w:leader="middleDot" w:pos="8400"/>
        </w:tabs>
        <w:jc w:val="left"/>
        <w:rPr>
          <w:rFonts w:ascii="微软雅黑" w:hAnsi="微软雅黑" w:eastAsia="微软雅黑"/>
          <w:sz w:val="18"/>
          <w:szCs w:val="18"/>
        </w:rPr>
      </w:pPr>
      <w:r>
        <w:rPr>
          <w:rFonts w:ascii="微软雅黑" w:hAnsi="微软雅黑" w:eastAsia="微软雅黑"/>
          <w:sz w:val="18"/>
          <w:szCs w:val="18"/>
        </w:rPr>
        <w:fldChar w:fldCharType="end"/>
      </w:r>
    </w:p>
    <w:p>
      <w:pPr>
        <w:pStyle w:val="3"/>
        <w:rPr>
          <w:rFonts w:ascii="宋体" w:hAnsi="宋体"/>
          <w:color w:val="000000"/>
        </w:rPr>
      </w:pPr>
      <w:bookmarkStart w:id="2" w:name="_Toc351203480"/>
      <w:bookmarkStart w:id="3" w:name="_Toc1736120"/>
      <w:r>
        <w:rPr>
          <w:rFonts w:ascii="宋体" w:hAnsi="宋体"/>
        </w:rPr>
        <w:t>第一部分 合同协议书</w:t>
      </w:r>
      <w:bookmarkEnd w:id="0"/>
      <w:bookmarkEnd w:id="1"/>
      <w:bookmarkEnd w:id="2"/>
      <w:bookmarkEnd w:id="3"/>
    </w:p>
    <w:p>
      <w:pPr>
        <w:spacing w:line="300" w:lineRule="auto"/>
        <w:jc w:val="left"/>
        <w:rPr>
          <w:rFonts w:ascii="宋体" w:hAnsi="宋体"/>
          <w:b/>
          <w:color w:val="000000"/>
          <w:sz w:val="28"/>
          <w:szCs w:val="28"/>
        </w:rPr>
      </w:pPr>
      <w:r>
        <w:rPr>
          <w:rFonts w:hint="eastAsia" w:ascii="宋体" w:hAnsi="宋体"/>
          <w:b/>
          <w:color w:val="000000"/>
          <w:sz w:val="28"/>
          <w:szCs w:val="28"/>
        </w:rPr>
        <w:t>甲 方（发包人）：</w:t>
      </w:r>
      <w:r>
        <w:rPr>
          <w:rFonts w:hint="eastAsia" w:ascii="宋体" w:hAnsi="宋体"/>
          <w:b/>
          <w:color w:val="000000"/>
          <w:sz w:val="28"/>
          <w:szCs w:val="28"/>
          <w:u w:val="single"/>
        </w:rPr>
        <w:t>广州环投恒创科技有限公司</w:t>
      </w:r>
    </w:p>
    <w:p>
      <w:pPr>
        <w:pStyle w:val="41"/>
        <w:ind w:left="0" w:leftChars="0" w:firstLine="0" w:firstLineChars="0"/>
        <w:rPr>
          <w:rFonts w:hAnsi="宋体"/>
          <w:b/>
          <w:color w:val="000000"/>
          <w:kern w:val="2"/>
          <w:sz w:val="28"/>
          <w:szCs w:val="28"/>
        </w:rPr>
      </w:pPr>
      <w:r>
        <w:rPr>
          <w:rFonts w:hint="eastAsia" w:hAnsi="宋体"/>
          <w:b/>
          <w:color w:val="000000"/>
          <w:sz w:val="28"/>
          <w:szCs w:val="28"/>
        </w:rPr>
        <w:t>乙方（设计人）</w:t>
      </w:r>
      <w:r>
        <w:rPr>
          <w:rFonts w:hint="eastAsia" w:hAnsi="宋体"/>
          <w:b/>
          <w:color w:val="000000"/>
          <w:kern w:val="2"/>
          <w:sz w:val="28"/>
          <w:szCs w:val="28"/>
        </w:rPr>
        <w:t xml:space="preserve">：                         </w:t>
      </w:r>
    </w:p>
    <w:p>
      <w:pPr>
        <w:spacing w:after="240" w:afterLines="100" w:line="300" w:lineRule="auto"/>
        <w:jc w:val="left"/>
        <w:rPr>
          <w:rFonts w:ascii="宋体" w:hAnsi="宋体"/>
          <w:b/>
          <w:color w:val="000000"/>
          <w:sz w:val="30"/>
          <w:szCs w:val="30"/>
        </w:rPr>
      </w:pPr>
    </w:p>
    <w:p>
      <w:pPr>
        <w:spacing w:line="300" w:lineRule="auto"/>
        <w:ind w:firstLine="420"/>
        <w:jc w:val="left"/>
        <w:rPr>
          <w:rFonts w:ascii="宋体" w:hAnsi="宋体"/>
          <w:color w:val="000000"/>
          <w:sz w:val="24"/>
          <w:szCs w:val="24"/>
        </w:rPr>
      </w:pPr>
      <w:r>
        <w:rPr>
          <w:rFonts w:hint="eastAsia" w:ascii="宋体" w:hAnsi="宋体"/>
          <w:color w:val="000000"/>
          <w:sz w:val="24"/>
          <w:szCs w:val="24"/>
        </w:rPr>
        <w:t>根据《中华人民共和国民法典》、《中华人民共和国建筑法》、《中华人民共和国招标投标法》及有关法律规定，遵循平等、自愿、公平和诚实信用的原则，本协议由双方就</w:t>
      </w:r>
      <w:r>
        <w:rPr>
          <w:rFonts w:hint="eastAsia" w:ascii="Times New Roman" w:hAnsi="Times New Roman"/>
          <w:sz w:val="24"/>
        </w:rPr>
        <w:t>动力电池梯次利用项目</w:t>
      </w:r>
      <w:r>
        <w:rPr>
          <w:rFonts w:hint="eastAsia" w:ascii="宋体" w:hAnsi="宋体"/>
          <w:color w:val="000000"/>
          <w:sz w:val="24"/>
          <w:szCs w:val="24"/>
        </w:rPr>
        <w:t>勘察设计及有关事项协商一致并签署。</w:t>
      </w:r>
    </w:p>
    <w:p>
      <w:pPr>
        <w:pStyle w:val="4"/>
        <w:rPr>
          <w:rFonts w:ascii="宋体" w:hAnsi="宋体"/>
        </w:rPr>
      </w:pPr>
      <w:bookmarkStart w:id="4" w:name="_Toc1736121"/>
      <w:r>
        <w:rPr>
          <w:rFonts w:ascii="宋体" w:hAnsi="宋体"/>
        </w:rPr>
        <w:t>一、工程概况</w:t>
      </w:r>
      <w:bookmarkEnd w:id="4"/>
    </w:p>
    <w:p>
      <w:pPr>
        <w:pStyle w:val="324"/>
        <w:spacing w:line="469" w:lineRule="exact"/>
        <w:ind w:firstLine="480" w:firstLineChars="200"/>
        <w:rPr>
          <w:bCs/>
          <w:color w:val="000000"/>
          <w:sz w:val="24"/>
          <w:szCs w:val="24"/>
        </w:rPr>
      </w:pPr>
      <w:r>
        <w:rPr>
          <w:bCs/>
          <w:color w:val="000000"/>
          <w:sz w:val="24"/>
          <w:szCs w:val="24"/>
        </w:rPr>
        <w:t>1.工程名称</w:t>
      </w:r>
      <w:r>
        <w:rPr>
          <w:rFonts w:hint="eastAsia"/>
          <w:bCs/>
          <w:color w:val="000000"/>
          <w:sz w:val="24"/>
          <w:szCs w:val="24"/>
        </w:rPr>
        <w:t>：</w:t>
      </w:r>
      <w:r>
        <w:rPr>
          <w:rFonts w:hint="eastAsia"/>
          <w:bCs/>
          <w:color w:val="000000"/>
          <w:sz w:val="24"/>
          <w:szCs w:val="24"/>
          <w:u w:val="single"/>
          <w:lang w:eastAsia="zh-CN"/>
        </w:rPr>
        <w:t>动力电池梯次利用项目</w:t>
      </w:r>
      <w:r>
        <w:rPr>
          <w:bCs/>
          <w:color w:val="000000"/>
          <w:sz w:val="24"/>
          <w:szCs w:val="24"/>
        </w:rPr>
        <w:t>。</w:t>
      </w:r>
    </w:p>
    <w:p>
      <w:pPr>
        <w:pStyle w:val="324"/>
        <w:spacing w:line="469" w:lineRule="exact"/>
        <w:ind w:firstLine="480" w:firstLineChars="200"/>
        <w:rPr>
          <w:bCs/>
          <w:color w:val="000000"/>
          <w:sz w:val="24"/>
          <w:szCs w:val="24"/>
        </w:rPr>
      </w:pPr>
      <w:r>
        <w:rPr>
          <w:rFonts w:hint="eastAsia"/>
          <w:bCs/>
          <w:color w:val="000000"/>
          <w:sz w:val="24"/>
          <w:szCs w:val="24"/>
        </w:rPr>
        <w:t>2.工程</w:t>
      </w:r>
      <w:r>
        <w:rPr>
          <w:rFonts w:hint="eastAsia"/>
          <w:bCs/>
          <w:color w:val="000000"/>
          <w:sz w:val="24"/>
          <w:szCs w:val="24"/>
          <w:lang w:val="en-US" w:eastAsia="zh-CN"/>
        </w:rPr>
        <w:t>核准、批准、</w:t>
      </w:r>
      <w:r>
        <w:rPr>
          <w:rFonts w:hint="eastAsia"/>
          <w:bCs/>
          <w:color w:val="000000"/>
          <w:sz w:val="24"/>
          <w:szCs w:val="24"/>
        </w:rPr>
        <w:t>备案文号：</w:t>
      </w:r>
      <w:r>
        <w:rPr>
          <w:rFonts w:hint="eastAsia"/>
          <w:bCs/>
          <w:color w:val="000000"/>
          <w:sz w:val="24"/>
          <w:szCs w:val="24"/>
          <w:u w:val="single"/>
          <w:lang w:eastAsia="zh-CN"/>
        </w:rPr>
        <w:t>广东省企业投资备案证</w:t>
      </w:r>
      <w:r>
        <w:rPr>
          <w:rFonts w:hint="eastAsia"/>
          <w:bCs/>
          <w:color w:val="000000"/>
          <w:sz w:val="24"/>
          <w:szCs w:val="24"/>
          <w:u w:val="single"/>
        </w:rPr>
        <w:t>（</w:t>
      </w:r>
      <w:r>
        <w:rPr>
          <w:rFonts w:hint="eastAsia"/>
          <w:bCs/>
          <w:color w:val="000000"/>
          <w:sz w:val="24"/>
          <w:szCs w:val="24"/>
          <w:u w:val="single"/>
          <w:lang w:val="en-US" w:eastAsia="zh-CN"/>
        </w:rPr>
        <w:t>2302-440113-04-01-447358</w:t>
      </w:r>
      <w:r>
        <w:rPr>
          <w:rFonts w:hint="eastAsia"/>
          <w:bCs/>
          <w:color w:val="000000"/>
          <w:sz w:val="24"/>
          <w:szCs w:val="24"/>
          <w:u w:val="single"/>
        </w:rPr>
        <w:t>）</w:t>
      </w:r>
      <w:r>
        <w:rPr>
          <w:rFonts w:hint="eastAsia"/>
          <w:bCs/>
          <w:color w:val="000000"/>
          <w:sz w:val="24"/>
          <w:szCs w:val="24"/>
        </w:rPr>
        <w:t>。</w:t>
      </w:r>
    </w:p>
    <w:p>
      <w:pPr>
        <w:spacing w:beforeLines="0" w:afterLines="0" w:line="600" w:lineRule="exact"/>
        <w:ind w:firstLine="480" w:firstLineChars="200"/>
        <w:rPr>
          <w:rFonts w:hint="eastAsia"/>
          <w:sz w:val="24"/>
          <w:szCs w:val="24"/>
          <w:u w:val="single"/>
          <w:lang w:val="en-US" w:eastAsia="zh-CN"/>
        </w:rPr>
      </w:pPr>
      <w:r>
        <w:rPr>
          <w:rFonts w:hint="eastAsia"/>
          <w:bCs/>
          <w:color w:val="000000"/>
          <w:sz w:val="24"/>
          <w:szCs w:val="24"/>
        </w:rPr>
        <w:t>3</w:t>
      </w:r>
      <w:r>
        <w:rPr>
          <w:bCs/>
          <w:color w:val="000000"/>
          <w:sz w:val="24"/>
          <w:szCs w:val="24"/>
        </w:rPr>
        <w:t>.</w:t>
      </w:r>
      <w:r>
        <w:rPr>
          <w:rFonts w:hint="eastAsia"/>
          <w:bCs/>
          <w:color w:val="000000"/>
          <w:sz w:val="24"/>
          <w:szCs w:val="24"/>
        </w:rPr>
        <w:t>工程内容及规模：</w:t>
      </w:r>
      <w:r>
        <w:rPr>
          <w:rFonts w:hint="eastAsia"/>
          <w:bCs/>
          <w:color w:val="000000"/>
          <w:sz w:val="24"/>
          <w:szCs w:val="24"/>
          <w:u w:val="single"/>
          <w:lang w:val="en-US" w:eastAsia="zh-CN"/>
        </w:rPr>
        <w:t>本项目总用地面积26343平方米，可建设用地面积24730平方米。</w:t>
      </w:r>
      <w:r>
        <w:rPr>
          <w:rFonts w:hint="eastAsia"/>
          <w:sz w:val="24"/>
          <w:szCs w:val="24"/>
          <w:u w:val="single"/>
          <w:lang w:val="en-US" w:eastAsia="zh-CN"/>
        </w:rPr>
        <w:t>项目总投资约4.45亿元。项目内容包括两部分，一是建设新能源汽车退役动力电池梯次利用产线，年回收处理能力1.5万吨，产品用于储能、备能、充换电等领域；二是开展碳中和节能减排研究和电动化产研孵化。</w:t>
      </w:r>
    </w:p>
    <w:p>
      <w:pPr>
        <w:spacing w:beforeLines="0" w:afterLines="0" w:line="600" w:lineRule="exact"/>
        <w:ind w:firstLine="480" w:firstLineChars="200"/>
        <w:rPr>
          <w:sz w:val="24"/>
          <w:szCs w:val="24"/>
          <w:u w:val="single"/>
          <w:lang w:val="en-US" w:eastAsia="zh-CN"/>
        </w:rPr>
      </w:pPr>
      <w:r>
        <w:rPr>
          <w:rFonts w:hint="eastAsia" w:ascii="Calibri" w:hAnsi="Calibri" w:cs="Times New Roman"/>
          <w:bCs/>
          <w:color w:val="000000"/>
          <w:sz w:val="24"/>
          <w:szCs w:val="24"/>
          <w:u w:val="single"/>
        </w:rPr>
        <w:t>项目的主要建设内容包括：</w:t>
      </w:r>
      <w:r>
        <w:rPr>
          <w:rFonts w:hint="eastAsia" w:ascii="Calibri" w:hAnsi="Calibri" w:eastAsia="宋体" w:cs="Times New Roman"/>
          <w:bCs/>
          <w:color w:val="000000"/>
          <w:sz w:val="24"/>
          <w:szCs w:val="24"/>
          <w:u w:val="single"/>
        </w:rPr>
        <w:t>1.5万吨/年新能源汽车退役动力电池梯次利用生产</w:t>
      </w:r>
      <w:r>
        <w:rPr>
          <w:rFonts w:hint="eastAsia" w:ascii="Calibri" w:hAnsi="Calibri" w:eastAsia="宋体" w:cs="Times New Roman"/>
          <w:bCs/>
          <w:color w:val="000000"/>
          <w:sz w:val="24"/>
          <w:szCs w:val="24"/>
          <w:u w:val="single"/>
          <w:lang w:val="en-US" w:eastAsia="zh-CN"/>
        </w:rPr>
        <w:t>车间一</w:t>
      </w:r>
      <w:r>
        <w:rPr>
          <w:rFonts w:hint="eastAsia" w:ascii="Calibri" w:hAnsi="Calibri" w:eastAsia="宋体" w:cs="Times New Roman"/>
          <w:bCs/>
          <w:color w:val="000000"/>
          <w:sz w:val="24"/>
          <w:szCs w:val="24"/>
          <w:u w:val="single"/>
          <w:lang w:eastAsia="zh-CN"/>
        </w:rPr>
        <w:t>、</w:t>
      </w:r>
      <w:r>
        <w:rPr>
          <w:rFonts w:hint="eastAsia" w:ascii="Calibri" w:hAnsi="Calibri" w:eastAsia="宋体" w:cs="Times New Roman"/>
          <w:bCs/>
          <w:color w:val="000000"/>
          <w:sz w:val="24"/>
          <w:szCs w:val="24"/>
          <w:u w:val="single"/>
          <w:lang w:val="en-US" w:eastAsia="zh-CN"/>
        </w:rPr>
        <w:t>车间二、仓库及</w:t>
      </w:r>
      <w:r>
        <w:rPr>
          <w:rFonts w:hint="eastAsia" w:ascii="Calibri" w:hAnsi="Calibri" w:eastAsia="宋体" w:cs="Times New Roman"/>
          <w:bCs/>
          <w:color w:val="000000"/>
          <w:sz w:val="24"/>
          <w:szCs w:val="24"/>
          <w:u w:val="single"/>
        </w:rPr>
        <w:t>配套建设的附属设施：包括</w:t>
      </w:r>
      <w:r>
        <w:rPr>
          <w:rFonts w:hint="eastAsia" w:ascii="Calibri" w:hAnsi="Calibri" w:eastAsia="宋体" w:cs="Times New Roman"/>
          <w:bCs/>
          <w:color w:val="000000"/>
          <w:sz w:val="24"/>
          <w:szCs w:val="24"/>
          <w:u w:val="single"/>
          <w:lang w:val="en-US" w:eastAsia="zh-CN"/>
        </w:rPr>
        <w:t>综合楼（包含办公、宿舍及食堂等）、事故池</w:t>
      </w:r>
      <w:r>
        <w:rPr>
          <w:rFonts w:hint="eastAsia" w:ascii="Calibri" w:hAnsi="Calibri" w:eastAsia="宋体"/>
          <w:bCs/>
          <w:color w:val="000000"/>
          <w:sz w:val="24"/>
          <w:szCs w:val="24"/>
          <w:u w:val="single"/>
        </w:rPr>
        <w:t>等</w:t>
      </w:r>
      <w:r>
        <w:rPr>
          <w:rFonts w:hint="eastAsia" w:ascii="Calibri" w:hAnsi="Calibri" w:eastAsia="宋体"/>
          <w:bCs/>
          <w:color w:val="000000"/>
          <w:sz w:val="24"/>
          <w:szCs w:val="24"/>
          <w:u w:val="single"/>
          <w:lang w:eastAsia="zh-CN"/>
        </w:rPr>
        <w:t>。</w:t>
      </w:r>
      <w:r>
        <w:rPr>
          <w:rFonts w:hint="eastAsia" w:ascii="Calibri" w:hAnsi="Calibri" w:cs="Times New Roman"/>
          <w:bCs/>
          <w:color w:val="000000"/>
          <w:sz w:val="24"/>
          <w:szCs w:val="24"/>
          <w:u w:val="single"/>
        </w:rPr>
        <w:t>厂区土建工程、给排水工程、暖通工程、消防工程、变配电及自控工程、厂区管网工程、道路工程、厂区绿化工程、厂区土石方工程、处理工艺及相关工程等。</w:t>
      </w:r>
      <w:r>
        <w:rPr>
          <w:rFonts w:hint="eastAsia" w:cs="Times New Roman"/>
          <w:bCs/>
          <w:color w:val="000000"/>
          <w:sz w:val="24"/>
          <w:szCs w:val="24"/>
          <w:u w:val="single"/>
        </w:rPr>
        <w:t>其中</w:t>
      </w:r>
      <w:r>
        <w:rPr>
          <w:rFonts w:hint="eastAsia" w:cs="Times New Roman"/>
          <w:bCs/>
          <w:color w:val="000000"/>
          <w:sz w:val="24"/>
          <w:szCs w:val="24"/>
          <w:u w:val="single"/>
          <w:lang w:val="en-US" w:eastAsia="zh-CN"/>
        </w:rPr>
        <w:t>梯次利用生产车间一</w:t>
      </w:r>
      <w:r>
        <w:rPr>
          <w:rFonts w:hint="eastAsia" w:cs="Times New Roman"/>
          <w:bCs/>
          <w:color w:val="000000"/>
          <w:sz w:val="24"/>
          <w:szCs w:val="24"/>
          <w:u w:val="single"/>
        </w:rPr>
        <w:t>单体建筑面积约为22000平方米，高度约55米。本工程设计规模为大型的建设项目。</w:t>
      </w:r>
    </w:p>
    <w:p>
      <w:pPr>
        <w:spacing w:before="120" w:beforeLines="50" w:after="120" w:afterLines="50" w:line="300" w:lineRule="auto"/>
        <w:ind w:firstLine="480" w:firstLineChars="200"/>
        <w:rPr>
          <w:rFonts w:ascii="宋体" w:hAnsi="宋体"/>
          <w:color w:val="000000"/>
          <w:sz w:val="24"/>
          <w:szCs w:val="24"/>
          <w:u w:val="single"/>
        </w:rPr>
      </w:pPr>
      <w:r>
        <w:rPr>
          <w:rFonts w:hint="eastAsia" w:ascii="宋体" w:hAnsi="宋体"/>
          <w:color w:val="000000"/>
          <w:sz w:val="24"/>
          <w:szCs w:val="24"/>
        </w:rPr>
        <w:t>4.</w:t>
      </w:r>
      <w:r>
        <w:rPr>
          <w:rFonts w:ascii="宋体" w:hAnsi="宋体"/>
          <w:bCs/>
          <w:color w:val="000000"/>
          <w:sz w:val="24"/>
          <w:szCs w:val="24"/>
        </w:rPr>
        <w:t>工程</w:t>
      </w:r>
      <w:r>
        <w:rPr>
          <w:rFonts w:hint="eastAsia" w:ascii="宋体" w:hAnsi="宋体"/>
          <w:bCs/>
          <w:color w:val="000000"/>
          <w:sz w:val="24"/>
          <w:szCs w:val="24"/>
        </w:rPr>
        <w:t>所在地地址</w:t>
      </w:r>
      <w:r>
        <w:rPr>
          <w:rFonts w:ascii="宋体" w:hAnsi="宋体"/>
          <w:bCs/>
          <w:color w:val="000000"/>
          <w:sz w:val="24"/>
          <w:szCs w:val="24"/>
        </w:rPr>
        <w:t>：</w:t>
      </w:r>
      <w:r>
        <w:rPr>
          <w:rFonts w:hint="eastAsia" w:ascii="宋体" w:hAnsi="宋体" w:cs="宋体"/>
          <w:sz w:val="24"/>
          <w:szCs w:val="24"/>
          <w:u w:val="single"/>
        </w:rPr>
        <w:t>建设场址位于广州市番禺区化龙镇</w:t>
      </w:r>
      <w:r>
        <w:rPr>
          <w:rFonts w:ascii="宋体" w:hAnsi="宋体"/>
          <w:bCs/>
          <w:color w:val="000000"/>
          <w:sz w:val="24"/>
          <w:szCs w:val="24"/>
        </w:rPr>
        <w:t xml:space="preserve">。 </w:t>
      </w:r>
    </w:p>
    <w:p>
      <w:pPr>
        <w:spacing w:before="120" w:beforeLines="50" w:after="120" w:afterLines="50" w:line="300" w:lineRule="auto"/>
        <w:ind w:firstLine="480" w:firstLineChars="200"/>
        <w:rPr>
          <w:rFonts w:ascii="宋体" w:hAnsi="宋体"/>
          <w:color w:val="000000"/>
          <w:sz w:val="24"/>
          <w:szCs w:val="24"/>
        </w:rPr>
      </w:pPr>
      <w:r>
        <w:rPr>
          <w:rFonts w:hint="eastAsia" w:ascii="宋体" w:hAnsi="宋体"/>
          <w:color w:val="000000"/>
          <w:sz w:val="24"/>
          <w:szCs w:val="24"/>
        </w:rPr>
        <w:t>5.工程投资估算：</w:t>
      </w:r>
      <w:r>
        <w:rPr>
          <w:rFonts w:hint="eastAsia" w:ascii="宋体" w:hAnsi="宋体" w:cs="宋体"/>
          <w:sz w:val="24"/>
          <w:u w:val="single"/>
        </w:rPr>
        <w:t>该项目估算总投资约44519.41万元，其中:工程费用约22006.71万元，设备及技术投资8375万元</w:t>
      </w:r>
      <w:r>
        <w:rPr>
          <w:rFonts w:hint="eastAsia" w:ascii="宋体" w:hAnsi="宋体"/>
          <w:color w:val="000000"/>
          <w:sz w:val="24"/>
          <w:szCs w:val="24"/>
        </w:rPr>
        <w:t>。</w:t>
      </w:r>
    </w:p>
    <w:p>
      <w:pPr>
        <w:pStyle w:val="4"/>
        <w:rPr>
          <w:rFonts w:ascii="宋体" w:hAnsi="宋体"/>
        </w:rPr>
      </w:pPr>
      <w:bookmarkStart w:id="5" w:name="_Toc1736122"/>
      <w:r>
        <w:rPr>
          <w:rFonts w:hint="eastAsia" w:ascii="宋体" w:hAnsi="宋体"/>
        </w:rPr>
        <w:t>二</w:t>
      </w:r>
      <w:r>
        <w:rPr>
          <w:rFonts w:ascii="宋体" w:hAnsi="宋体"/>
        </w:rPr>
        <w:t>、工程勘察</w:t>
      </w:r>
      <w:r>
        <w:rPr>
          <w:rFonts w:hint="eastAsia" w:ascii="宋体" w:hAnsi="宋体"/>
        </w:rPr>
        <w:t>设计范围、阶段与服务内容</w:t>
      </w:r>
      <w:bookmarkEnd w:id="5"/>
    </w:p>
    <w:p>
      <w:pPr>
        <w:pStyle w:val="324"/>
        <w:spacing w:line="469" w:lineRule="exact"/>
        <w:rPr>
          <w:bCs/>
          <w:color w:val="000000"/>
          <w:sz w:val="24"/>
          <w:szCs w:val="24"/>
        </w:rPr>
      </w:pPr>
      <w:r>
        <w:rPr>
          <w:rFonts w:hint="eastAsia"/>
          <w:bCs/>
          <w:color w:val="000000"/>
          <w:sz w:val="24"/>
          <w:szCs w:val="24"/>
        </w:rPr>
        <w:t>1.工程勘察、测量范围：</w:t>
      </w:r>
      <w:r>
        <w:rPr>
          <w:rFonts w:hint="eastAsia"/>
          <w:sz w:val="24"/>
          <w:szCs w:val="24"/>
          <w:u w:val="single"/>
        </w:rPr>
        <w:t>地质勘察</w:t>
      </w:r>
      <w:r>
        <w:rPr>
          <w:rFonts w:hint="eastAsia"/>
          <w:sz w:val="24"/>
          <w:szCs w:val="24"/>
          <w:u w:val="single"/>
          <w:lang w:eastAsia="zh-CN"/>
        </w:rPr>
        <w:t>（</w:t>
      </w:r>
      <w:r>
        <w:rPr>
          <w:rFonts w:hint="eastAsia"/>
          <w:sz w:val="24"/>
          <w:szCs w:val="24"/>
          <w:u w:val="single"/>
          <w:lang w:val="en-US" w:eastAsia="zh-CN"/>
        </w:rPr>
        <w:t>初勘、详勘）</w:t>
      </w:r>
      <w:r>
        <w:rPr>
          <w:rFonts w:hint="eastAsia"/>
          <w:sz w:val="24"/>
          <w:szCs w:val="24"/>
          <w:u w:val="single"/>
        </w:rPr>
        <w:t>、地形测量，满足项目初步设计和施工图设计的需要，包括但不限于：负责整体厂区的岩土工程勘察工作，含岩土工程勘察、取样与原位测试、室内试验、工程测量等。</w:t>
      </w:r>
      <w:r>
        <w:rPr>
          <w:rFonts w:hint="eastAsia"/>
          <w:sz w:val="24"/>
          <w:szCs w:val="24"/>
          <w:u w:val="single"/>
          <w:lang w:val="en-US" w:eastAsia="zh-CN"/>
        </w:rPr>
        <w:t>本次勘察钻孔总进尺暂定为2300米（</w:t>
      </w:r>
      <w:r>
        <w:rPr>
          <w:rFonts w:hint="eastAsia"/>
          <w:sz w:val="24"/>
          <w:szCs w:val="24"/>
          <w:u w:val="single"/>
        </w:rPr>
        <w:t>单价控制，工程量按实结算</w:t>
      </w:r>
      <w:r>
        <w:rPr>
          <w:rFonts w:hint="eastAsia"/>
          <w:sz w:val="24"/>
          <w:szCs w:val="24"/>
          <w:u w:val="single"/>
          <w:lang w:val="en-US" w:eastAsia="zh-CN"/>
        </w:rPr>
        <w:t>），</w:t>
      </w:r>
      <w:r>
        <w:rPr>
          <w:rFonts w:hint="eastAsia"/>
          <w:sz w:val="24"/>
          <w:szCs w:val="24"/>
          <w:u w:val="single"/>
        </w:rPr>
        <w:t>正式钻孔平面布置图及有关技术要求由项目设计单位提供的技术文件为准。本项目的地质勘探及测量（初勘、详勘），满足项目初步设计和施工图设计的需要，负责整体厂区的岩土工程勘察工作，含岩土工程勘察、取样与原位测试、室内试验、工程测量等内容。</w:t>
      </w:r>
      <w:r>
        <w:rPr>
          <w:rFonts w:hint="eastAsia"/>
          <w:bCs/>
          <w:color w:val="000000"/>
          <w:sz w:val="24"/>
          <w:szCs w:val="24"/>
          <w:u w:val="single"/>
        </w:rPr>
        <w:t>具体详见合同附件二：</w:t>
      </w:r>
      <w:r>
        <w:rPr>
          <w:rFonts w:hint="eastAsia"/>
          <w:color w:val="000000"/>
          <w:sz w:val="24"/>
          <w:szCs w:val="24"/>
          <w:u w:val="single"/>
        </w:rPr>
        <w:t xml:space="preserve"> 勘察设计任务书 </w:t>
      </w:r>
      <w:r>
        <w:rPr>
          <w:rFonts w:hint="eastAsia"/>
          <w:bCs/>
          <w:color w:val="000000"/>
          <w:sz w:val="24"/>
          <w:szCs w:val="24"/>
        </w:rPr>
        <w:t>。</w:t>
      </w:r>
    </w:p>
    <w:p>
      <w:pPr>
        <w:spacing w:line="600" w:lineRule="exact"/>
        <w:ind w:firstLine="480" w:firstLineChars="200"/>
        <w:rPr>
          <w:rFonts w:ascii="宋体" w:hAnsi="宋体"/>
          <w:bCs/>
          <w:color w:val="000000"/>
          <w:sz w:val="24"/>
          <w:szCs w:val="24"/>
          <w:u w:val="single"/>
        </w:rPr>
      </w:pPr>
      <w:r>
        <w:rPr>
          <w:rFonts w:hint="eastAsia" w:ascii="宋体" w:hAnsi="宋体"/>
          <w:bCs/>
          <w:color w:val="000000"/>
          <w:sz w:val="24"/>
          <w:szCs w:val="24"/>
        </w:rPr>
        <w:t>2.工程设计范围：</w:t>
      </w:r>
      <w:r>
        <w:rPr>
          <w:rFonts w:hint="eastAsia"/>
          <w:color w:val="000000"/>
          <w:sz w:val="24"/>
        </w:rPr>
        <w:t>本项目的招标范围为从签订合同开始到项目竣工验收合格，包括缺陷责任期的整个过程中的所有勘察设计工作及配合服务工作。设计深度严格按照国家有关规范及行业设计规范要求进行，</w:t>
      </w:r>
      <w:r>
        <w:rPr>
          <w:rFonts w:hint="eastAsia"/>
          <w:color w:val="000000"/>
          <w:sz w:val="24"/>
          <w:lang w:eastAsia="zh-CN"/>
        </w:rPr>
        <w:t>乙方</w:t>
      </w:r>
      <w:r>
        <w:rPr>
          <w:rFonts w:hint="eastAsia"/>
          <w:color w:val="000000"/>
          <w:sz w:val="24"/>
        </w:rPr>
        <w:t>应按规划及功能要求、配套设施要求进行设计，同时尊重并充分考虑</w:t>
      </w:r>
      <w:r>
        <w:rPr>
          <w:rFonts w:hint="eastAsia"/>
          <w:color w:val="000000"/>
          <w:sz w:val="24"/>
          <w:lang w:eastAsia="zh-CN"/>
        </w:rPr>
        <w:t>甲方</w:t>
      </w:r>
      <w:r>
        <w:rPr>
          <w:rFonts w:hint="eastAsia"/>
          <w:color w:val="000000"/>
          <w:sz w:val="24"/>
        </w:rPr>
        <w:t>提出的具体需求。包括（但不限于）方案设计与修改、初步设计、施工图设计、现场服务、初步设计概算编制、修建性详细规划、施工图预算和编制竣工图，以及其他配合工作，包括（但不限于）相关</w:t>
      </w:r>
      <w:r>
        <w:rPr>
          <w:rFonts w:hint="eastAsia"/>
          <w:color w:val="000000"/>
          <w:sz w:val="24"/>
          <w:lang w:val="en-US" w:eastAsia="zh-CN"/>
        </w:rPr>
        <w:t>报规</w:t>
      </w:r>
      <w:r>
        <w:rPr>
          <w:rFonts w:hint="eastAsia"/>
          <w:color w:val="000000"/>
          <w:sz w:val="24"/>
        </w:rPr>
        <w:t>报建、建规设计方案审查、规划放线、单体建筑审查、施工及设备招标配合、施工图审查、结算和保修服务，负责规划设计方案及调整规划设计方案（若有）审批、规划许可和规划验收等工作顺利完成。</w:t>
      </w:r>
    </w:p>
    <w:p>
      <w:pPr>
        <w:spacing w:line="600" w:lineRule="exact"/>
        <w:ind w:firstLine="480" w:firstLineChars="200"/>
        <w:jc w:val="left"/>
        <w:rPr>
          <w:rFonts w:ascii="宋体" w:hAnsi="宋体"/>
          <w:bCs/>
          <w:color w:val="000000"/>
          <w:sz w:val="24"/>
          <w:szCs w:val="24"/>
        </w:rPr>
      </w:pPr>
      <w:r>
        <w:rPr>
          <w:rFonts w:hint="eastAsia" w:ascii="宋体" w:hAnsi="宋体"/>
          <w:bCs/>
          <w:color w:val="000000"/>
          <w:sz w:val="24"/>
          <w:szCs w:val="24"/>
        </w:rPr>
        <w:t>3.</w:t>
      </w:r>
      <w:r>
        <w:rPr>
          <w:rFonts w:ascii="宋体" w:hAnsi="宋体"/>
          <w:bCs/>
          <w:color w:val="000000"/>
          <w:sz w:val="24"/>
          <w:szCs w:val="24"/>
        </w:rPr>
        <w:t>工程</w:t>
      </w:r>
      <w:r>
        <w:rPr>
          <w:rFonts w:hint="eastAsia" w:ascii="宋体" w:hAnsi="宋体"/>
          <w:bCs/>
          <w:color w:val="000000"/>
          <w:sz w:val="24"/>
          <w:szCs w:val="24"/>
        </w:rPr>
        <w:t>设计范围、服务内容</w:t>
      </w:r>
      <w:r>
        <w:rPr>
          <w:rFonts w:ascii="宋体" w:hAnsi="宋体"/>
          <w:bCs/>
          <w:color w:val="000000"/>
          <w:sz w:val="24"/>
          <w:szCs w:val="24"/>
        </w:rPr>
        <w:t>：</w:t>
      </w:r>
      <w:r>
        <w:rPr>
          <w:rFonts w:hint="eastAsia" w:ascii="宋体" w:hAnsi="宋体"/>
          <w:bCs/>
          <w:color w:val="000000"/>
          <w:sz w:val="24"/>
          <w:szCs w:val="24"/>
        </w:rPr>
        <w:t>工程设计范围、阶段与服务内容具体详见“合同附件二：动力电池梯次利用项目</w:t>
      </w:r>
      <w:r>
        <w:rPr>
          <w:rFonts w:hint="eastAsia" w:ascii="宋体" w:hAnsi="宋体"/>
          <w:bCs/>
          <w:color w:val="000000"/>
          <w:sz w:val="24"/>
          <w:szCs w:val="24"/>
          <w:lang w:val="zh-CN"/>
        </w:rPr>
        <w:t>勘察设计</w:t>
      </w:r>
      <w:r>
        <w:rPr>
          <w:rFonts w:hint="eastAsia" w:ascii="宋体" w:hAnsi="宋体"/>
          <w:bCs/>
          <w:color w:val="000000"/>
          <w:sz w:val="24"/>
          <w:szCs w:val="24"/>
        </w:rPr>
        <w:t>任务书”。</w:t>
      </w:r>
      <w:bookmarkStart w:id="6" w:name="_Toc351203482"/>
    </w:p>
    <w:p>
      <w:pPr>
        <w:pStyle w:val="4"/>
        <w:rPr>
          <w:rFonts w:ascii="宋体" w:hAnsi="宋体"/>
          <w:color w:val="000000"/>
          <w:sz w:val="24"/>
          <w:szCs w:val="24"/>
        </w:rPr>
      </w:pPr>
      <w:bookmarkStart w:id="7" w:name="_Toc1736123"/>
      <w:r>
        <w:rPr>
          <w:rFonts w:hint="eastAsia" w:ascii="宋体" w:hAnsi="宋体"/>
        </w:rPr>
        <w:t>三</w:t>
      </w:r>
      <w:r>
        <w:rPr>
          <w:rFonts w:ascii="宋体" w:hAnsi="宋体"/>
        </w:rPr>
        <w:t>、</w:t>
      </w:r>
      <w:bookmarkEnd w:id="6"/>
      <w:r>
        <w:rPr>
          <w:rFonts w:hint="eastAsia" w:ascii="宋体" w:hAnsi="宋体"/>
        </w:rPr>
        <w:t>工程勘察设计周期</w:t>
      </w:r>
      <w:bookmarkEnd w:id="7"/>
    </w:p>
    <w:p>
      <w:pPr>
        <w:spacing w:line="600" w:lineRule="exact"/>
        <w:ind w:firstLine="480" w:firstLineChars="200"/>
        <w:rPr>
          <w:color w:val="000000"/>
          <w:sz w:val="24"/>
        </w:rPr>
      </w:pPr>
      <w:r>
        <w:rPr>
          <w:rFonts w:hint="eastAsia" w:ascii="宋体" w:hAnsi="宋体"/>
          <w:bCs/>
          <w:color w:val="000000"/>
          <w:sz w:val="24"/>
          <w:szCs w:val="24"/>
        </w:rPr>
        <w:t>2.1</w:t>
      </w:r>
      <w:r>
        <w:rPr>
          <w:rFonts w:ascii="宋体" w:hAnsi="宋体"/>
          <w:bCs/>
          <w:kern w:val="44"/>
          <w:sz w:val="24"/>
          <w:szCs w:val="24"/>
        </w:rPr>
        <w:t>勘察设计工期要求：</w:t>
      </w:r>
      <w:r>
        <w:rPr>
          <w:rFonts w:hint="eastAsia"/>
          <w:color w:val="000000"/>
          <w:sz w:val="24"/>
        </w:rPr>
        <w:t>工程初步勘察开工日期暂定2023年  月  日（具体以</w:t>
      </w:r>
      <w:r>
        <w:rPr>
          <w:rFonts w:hint="eastAsia"/>
          <w:color w:val="000000"/>
          <w:sz w:val="24"/>
          <w:lang w:eastAsia="zh-CN"/>
        </w:rPr>
        <w:t>甲方</w:t>
      </w:r>
      <w:r>
        <w:rPr>
          <w:rFonts w:hint="eastAsia"/>
          <w:color w:val="000000"/>
          <w:sz w:val="24"/>
        </w:rPr>
        <w:t>指定开工日期为准），工程详细勘察以</w:t>
      </w:r>
      <w:r>
        <w:rPr>
          <w:rFonts w:hint="eastAsia"/>
          <w:color w:val="000000"/>
          <w:sz w:val="24"/>
          <w:lang w:eastAsia="zh-CN"/>
        </w:rPr>
        <w:t>甲方</w:t>
      </w:r>
      <w:r>
        <w:rPr>
          <w:rFonts w:hint="eastAsia"/>
          <w:color w:val="000000"/>
          <w:sz w:val="24"/>
        </w:rPr>
        <w:t>指定开工日期为准。</w:t>
      </w:r>
    </w:p>
    <w:p>
      <w:pPr>
        <w:spacing w:line="600" w:lineRule="exact"/>
        <w:ind w:firstLine="480" w:firstLineChars="200"/>
        <w:rPr>
          <w:color w:val="000000"/>
          <w:sz w:val="24"/>
        </w:rPr>
      </w:pPr>
      <w:r>
        <w:rPr>
          <w:rFonts w:hint="eastAsia"/>
          <w:color w:val="000000"/>
          <w:sz w:val="24"/>
        </w:rPr>
        <w:t>（1）工期起计时间为甲方下达开工通知当天，初步勘察应在5个日历日内完成，详细勘察应在场区土方平整后15个日历日内完成并退场。</w:t>
      </w:r>
    </w:p>
    <w:p>
      <w:pPr>
        <w:spacing w:line="600" w:lineRule="exact"/>
        <w:ind w:firstLine="480" w:firstLineChars="200"/>
        <w:rPr>
          <w:rFonts w:ascii="宋体" w:hAnsi="宋体"/>
          <w:bCs/>
          <w:kern w:val="44"/>
          <w:sz w:val="24"/>
          <w:szCs w:val="24"/>
        </w:rPr>
      </w:pPr>
      <w:r>
        <w:rPr>
          <w:rFonts w:hint="eastAsia"/>
          <w:color w:val="000000"/>
          <w:sz w:val="24"/>
        </w:rPr>
        <w:t>（2）勘察人退场前应清理现场堆土、淤泥、废弃物等垃圾，并平整恢复施工场地，勘察成果和试验报告应于现场工作完成后15日历天内提交，并确保勘察成果和试验报告的完整和真实性。合同服务期限为本合同生效之日起至本工程全厂竣工验收合格后满2年止。</w:t>
      </w:r>
    </w:p>
    <w:p>
      <w:pPr>
        <w:snapToGrid w:val="0"/>
        <w:spacing w:line="360" w:lineRule="auto"/>
        <w:ind w:firstLine="480" w:firstLineChars="200"/>
        <w:rPr>
          <w:rFonts w:ascii="宋体" w:hAnsi="宋体"/>
          <w:bCs/>
          <w:color w:val="000000"/>
          <w:sz w:val="24"/>
          <w:szCs w:val="24"/>
        </w:rPr>
      </w:pPr>
      <w:r>
        <w:rPr>
          <w:rFonts w:hint="eastAsia" w:ascii="宋体" w:hAnsi="宋体"/>
          <w:bCs/>
          <w:color w:val="000000"/>
          <w:sz w:val="24"/>
          <w:szCs w:val="24"/>
        </w:rPr>
        <w:t>2.2具体工程设计周期及工期计划以专用合同条款及其附件二勘察设计任务书的约定为准。</w:t>
      </w:r>
    </w:p>
    <w:p>
      <w:pPr>
        <w:pStyle w:val="4"/>
        <w:rPr>
          <w:rFonts w:ascii="宋体" w:hAnsi="宋体"/>
        </w:rPr>
      </w:pPr>
      <w:bookmarkStart w:id="8" w:name="_Toc1736124"/>
      <w:bookmarkStart w:id="9" w:name="_Toc351203484"/>
      <w:r>
        <w:rPr>
          <w:rFonts w:hint="eastAsia" w:ascii="宋体" w:hAnsi="宋体"/>
        </w:rPr>
        <w:t>四</w:t>
      </w:r>
      <w:r>
        <w:rPr>
          <w:rFonts w:ascii="宋体" w:hAnsi="宋体"/>
        </w:rPr>
        <w:t>、合同价格形式与签约合同价</w:t>
      </w:r>
      <w:bookmarkEnd w:id="8"/>
      <w:bookmarkEnd w:id="9"/>
      <w:r>
        <w:rPr>
          <w:rFonts w:ascii="宋体" w:hAnsi="宋体"/>
        </w:rPr>
        <w:tab/>
      </w:r>
    </w:p>
    <w:p>
      <w:pPr>
        <w:spacing w:before="120" w:beforeLines="50" w:after="120" w:afterLines="50" w:line="300" w:lineRule="auto"/>
        <w:ind w:firstLine="470" w:firstLineChars="196"/>
        <w:rPr>
          <w:rFonts w:ascii="宋体" w:hAnsi="宋体"/>
          <w:bCs/>
          <w:color w:val="000000"/>
          <w:sz w:val="24"/>
          <w:szCs w:val="24"/>
        </w:rPr>
      </w:pPr>
      <w:r>
        <w:rPr>
          <w:rFonts w:hint="eastAsia" w:ascii="宋体" w:hAnsi="宋体"/>
          <w:bCs/>
          <w:color w:val="000000"/>
          <w:sz w:val="24"/>
          <w:szCs w:val="24"/>
        </w:rPr>
        <w:t>根据合同的规定，设计人、勘察人应履行</w:t>
      </w:r>
      <w:r>
        <w:rPr>
          <w:rFonts w:hint="eastAsia" w:ascii="宋体" w:hAnsi="宋体"/>
          <w:bCs/>
          <w:color w:val="000000"/>
          <w:sz w:val="24"/>
          <w:szCs w:val="24"/>
          <w:u w:val="single"/>
        </w:rPr>
        <w:t>动力电池梯次利用项目</w:t>
      </w:r>
      <w:r>
        <w:rPr>
          <w:rFonts w:hint="eastAsia" w:ascii="宋体" w:hAnsi="宋体"/>
          <w:bCs/>
          <w:color w:val="000000"/>
          <w:sz w:val="24"/>
          <w:szCs w:val="24"/>
        </w:rPr>
        <w:t>勘察设计服务，接受</w:t>
      </w:r>
      <w:r>
        <w:rPr>
          <w:rFonts w:hint="eastAsia" w:ascii="宋体" w:hAnsi="宋体"/>
          <w:bCs/>
          <w:color w:val="000000"/>
          <w:sz w:val="24"/>
          <w:szCs w:val="24"/>
          <w:lang w:eastAsia="zh-CN"/>
        </w:rPr>
        <w:t>甲方</w:t>
      </w:r>
      <w:r>
        <w:rPr>
          <w:rFonts w:hint="eastAsia" w:ascii="宋体" w:hAnsi="宋体"/>
          <w:bCs/>
          <w:color w:val="000000"/>
          <w:sz w:val="24"/>
          <w:szCs w:val="24"/>
        </w:rPr>
        <w:t>对其勘察设计工作的管理，为</w:t>
      </w:r>
      <w:r>
        <w:rPr>
          <w:rFonts w:hint="eastAsia" w:ascii="宋体" w:hAnsi="宋体"/>
          <w:bCs/>
          <w:color w:val="000000"/>
          <w:sz w:val="24"/>
          <w:szCs w:val="24"/>
          <w:lang w:eastAsia="zh-CN"/>
        </w:rPr>
        <w:t>甲方</w:t>
      </w:r>
      <w:r>
        <w:rPr>
          <w:rFonts w:hint="eastAsia" w:ascii="宋体" w:hAnsi="宋体"/>
          <w:bCs/>
          <w:color w:val="000000"/>
          <w:sz w:val="24"/>
          <w:szCs w:val="24"/>
        </w:rPr>
        <w:t>提供符合国家规范和合同要求的勘察设计成果，以含税暂定合同价</w:t>
      </w:r>
      <w:r>
        <w:rPr>
          <w:rFonts w:hint="eastAsia" w:ascii="宋体" w:hAnsi="宋体"/>
          <w:bCs/>
          <w:color w:val="000000"/>
          <w:sz w:val="24"/>
          <w:szCs w:val="24"/>
          <w:u w:val="single"/>
        </w:rPr>
        <w:t xml:space="preserve">￥    </w:t>
      </w:r>
      <w:r>
        <w:rPr>
          <w:rFonts w:hint="eastAsia" w:ascii="宋体" w:hAnsi="宋体"/>
          <w:bCs/>
          <w:color w:val="000000"/>
          <w:sz w:val="24"/>
          <w:szCs w:val="24"/>
        </w:rPr>
        <w:t>元（大写：人民币</w:t>
      </w:r>
      <w:r>
        <w:rPr>
          <w:rFonts w:hint="eastAsia" w:ascii="宋体" w:hAnsi="宋体"/>
          <w:bCs/>
          <w:color w:val="000000"/>
          <w:sz w:val="24"/>
          <w:szCs w:val="24"/>
          <w:u w:val="single"/>
        </w:rPr>
        <w:t xml:space="preserve"> </w:t>
      </w:r>
      <w:r>
        <w:rPr>
          <w:rFonts w:hint="eastAsia" w:ascii="宋体" w:hAnsi="宋体"/>
          <w:bCs/>
          <w:color w:val="000000"/>
          <w:sz w:val="24"/>
          <w:szCs w:val="24"/>
        </w:rPr>
        <w:t>）为本项目提供勘察设计服务。合同期限内，如遇国家增值税税率发生变化时，依据国家财政部、税务总局发布的相关调整税率通知，按最新税率执行，若最新税率调减，则合同价格对应核减税费减少部分金额后结算。其中：</w:t>
      </w:r>
    </w:p>
    <w:p>
      <w:pPr>
        <w:spacing w:before="120" w:beforeLines="50" w:after="120" w:afterLines="50" w:line="300" w:lineRule="auto"/>
        <w:ind w:firstLine="470" w:firstLineChars="196"/>
        <w:rPr>
          <w:rFonts w:ascii="宋体" w:hAnsi="宋体"/>
          <w:bCs/>
          <w:color w:val="000000"/>
          <w:sz w:val="24"/>
          <w:szCs w:val="24"/>
        </w:rPr>
      </w:pPr>
      <w:r>
        <w:rPr>
          <w:rFonts w:hint="eastAsia" w:ascii="宋体" w:hAnsi="宋体"/>
          <w:bCs/>
          <w:color w:val="000000"/>
          <w:sz w:val="24"/>
          <w:szCs w:val="24"/>
        </w:rPr>
        <w:t>1、工程勘察费暂定为</w:t>
      </w:r>
      <w:r>
        <w:rPr>
          <w:rFonts w:hint="eastAsia" w:ascii="宋体" w:hAnsi="宋体"/>
          <w:bCs/>
          <w:color w:val="000000"/>
          <w:sz w:val="24"/>
          <w:szCs w:val="24"/>
          <w:u w:val="single"/>
        </w:rPr>
        <w:t>￥   元</w:t>
      </w:r>
      <w:r>
        <w:rPr>
          <w:rFonts w:hint="eastAsia" w:ascii="宋体" w:hAnsi="宋体"/>
          <w:bCs/>
          <w:color w:val="000000"/>
          <w:sz w:val="24"/>
          <w:szCs w:val="24"/>
        </w:rPr>
        <w:t>（大写：人民币   ），该费用为暂定含税总价，其中综合单价包干，实际结算价以合同条款“十一、合同价款及其支付 4条、5条”约定为准。</w:t>
      </w:r>
    </w:p>
    <w:p>
      <w:pPr>
        <w:spacing w:before="120" w:beforeLines="50" w:after="120" w:afterLines="50" w:line="300" w:lineRule="auto"/>
        <w:ind w:firstLine="470" w:firstLineChars="196"/>
        <w:rPr>
          <w:rFonts w:ascii="宋体" w:hAnsi="宋体"/>
          <w:bCs/>
          <w:color w:val="000000"/>
          <w:sz w:val="24"/>
          <w:szCs w:val="24"/>
        </w:rPr>
      </w:pPr>
      <w:r>
        <w:rPr>
          <w:rFonts w:hint="eastAsia" w:ascii="宋体" w:hAnsi="宋体"/>
          <w:bCs/>
          <w:color w:val="000000"/>
          <w:sz w:val="24"/>
          <w:szCs w:val="24"/>
        </w:rPr>
        <w:t>2、工程设计费含税包干固定总价为</w:t>
      </w:r>
      <w:r>
        <w:rPr>
          <w:rFonts w:hint="eastAsia" w:ascii="宋体" w:hAnsi="宋体"/>
          <w:bCs/>
          <w:color w:val="000000"/>
          <w:sz w:val="24"/>
          <w:szCs w:val="24"/>
          <w:u w:val="single"/>
        </w:rPr>
        <w:t>￥    元</w:t>
      </w:r>
      <w:r>
        <w:rPr>
          <w:rFonts w:hint="eastAsia" w:ascii="宋体" w:hAnsi="宋体"/>
          <w:bCs/>
          <w:color w:val="000000"/>
          <w:sz w:val="24"/>
          <w:szCs w:val="24"/>
        </w:rPr>
        <w:t>（大写：人民币</w:t>
      </w:r>
      <w:r>
        <w:rPr>
          <w:rFonts w:hint="eastAsia" w:ascii="宋体" w:hAnsi="宋体"/>
          <w:bCs/>
          <w:color w:val="000000"/>
          <w:sz w:val="24"/>
          <w:szCs w:val="24"/>
          <w:u w:val="single"/>
        </w:rPr>
        <w:t xml:space="preserve">     </w:t>
      </w:r>
      <w:r>
        <w:rPr>
          <w:rFonts w:hint="eastAsia" w:ascii="宋体" w:hAnsi="宋体"/>
          <w:bCs/>
          <w:color w:val="000000"/>
          <w:sz w:val="24"/>
          <w:szCs w:val="24"/>
        </w:rPr>
        <w:t>），具体详见“十一、合同价款及其支付  2、设计合同价款”条款约定。</w:t>
      </w:r>
    </w:p>
    <w:p>
      <w:pPr>
        <w:pStyle w:val="4"/>
        <w:rPr>
          <w:rFonts w:ascii="宋体" w:hAnsi="宋体"/>
        </w:rPr>
      </w:pPr>
      <w:bookmarkStart w:id="10" w:name="_Toc1736125"/>
      <w:r>
        <w:rPr>
          <w:rFonts w:hint="eastAsia" w:ascii="宋体" w:hAnsi="宋体"/>
        </w:rPr>
        <w:t>五、承包人项目负责人</w:t>
      </w:r>
      <w:bookmarkEnd w:id="10"/>
    </w:p>
    <w:p>
      <w:pPr>
        <w:spacing w:line="300" w:lineRule="auto"/>
        <w:ind w:firstLine="420"/>
        <w:jc w:val="left"/>
        <w:rPr>
          <w:rFonts w:ascii="宋体" w:hAnsi="宋体"/>
          <w:color w:val="000000"/>
          <w:sz w:val="24"/>
          <w:szCs w:val="24"/>
        </w:rPr>
      </w:pPr>
      <w:r>
        <w:rPr>
          <w:rFonts w:hint="eastAsia" w:ascii="宋体" w:hAnsi="宋体"/>
          <w:color w:val="000000"/>
          <w:sz w:val="24"/>
          <w:szCs w:val="24"/>
        </w:rPr>
        <w:t>1、工程勘察项目负责人：</w:t>
      </w:r>
      <w:r>
        <w:rPr>
          <w:rFonts w:hint="eastAsia" w:ascii="宋体" w:hAnsi="宋体"/>
          <w:color w:val="000000"/>
          <w:sz w:val="24"/>
          <w:szCs w:val="24"/>
          <w:u w:val="single"/>
        </w:rPr>
        <w:t xml:space="preserve">     </w:t>
      </w:r>
      <w:r>
        <w:rPr>
          <w:rFonts w:hint="eastAsia" w:ascii="宋体" w:hAnsi="宋体"/>
          <w:color w:val="000000"/>
          <w:sz w:val="24"/>
          <w:szCs w:val="24"/>
        </w:rPr>
        <w:t xml:space="preserve"> （职称证书名称及编号：     ），电话：</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pPr>
        <w:spacing w:line="300" w:lineRule="auto"/>
        <w:ind w:firstLine="420"/>
        <w:jc w:val="left"/>
        <w:rPr>
          <w:rFonts w:ascii="宋体" w:hAnsi="宋体"/>
          <w:color w:val="000000"/>
          <w:sz w:val="24"/>
          <w:szCs w:val="24"/>
        </w:rPr>
      </w:pPr>
      <w:r>
        <w:rPr>
          <w:rFonts w:hint="eastAsia" w:ascii="宋体" w:hAnsi="宋体"/>
          <w:color w:val="000000"/>
          <w:sz w:val="24"/>
          <w:szCs w:val="24"/>
        </w:rPr>
        <w:t>2、工程设计项目负责人：         （职称证书名称及编号：    ），电话：     。</w:t>
      </w:r>
    </w:p>
    <w:p>
      <w:pPr>
        <w:pStyle w:val="4"/>
        <w:rPr>
          <w:rFonts w:ascii="宋体" w:hAnsi="宋体"/>
        </w:rPr>
      </w:pPr>
      <w:bookmarkStart w:id="11" w:name="_Toc1736126"/>
      <w:r>
        <w:rPr>
          <w:rFonts w:hint="eastAsia" w:ascii="宋体" w:hAnsi="宋体"/>
        </w:rPr>
        <w:t>六、合同签订依据</w:t>
      </w:r>
      <w:bookmarkEnd w:id="11"/>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1、本合同依据下列文件签订：</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1）《中华人民共和国民法典》；</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2）《中华人民共和国建筑法》；</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3）《建设工程勘察设计管理条例》；</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4）《建设工程质量管理条例》；</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5）《市政公用工程设计文件编制深度的规定》；</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6）中国及地方有关建设工程勘察设计管理法律和规章；</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7）建设工程批准文件；</w:t>
      </w:r>
    </w:p>
    <w:p>
      <w:pPr>
        <w:spacing w:line="300" w:lineRule="auto"/>
        <w:ind w:left="420" w:leftChars="200"/>
        <w:jc w:val="left"/>
        <w:rPr>
          <w:rFonts w:ascii="宋体" w:hAnsi="宋体"/>
          <w:color w:val="000000"/>
          <w:sz w:val="24"/>
          <w:szCs w:val="24"/>
        </w:rPr>
      </w:pPr>
      <w:r>
        <w:rPr>
          <w:rFonts w:hint="eastAsia" w:ascii="宋体" w:hAnsi="宋体"/>
          <w:color w:val="000000"/>
          <w:sz w:val="24"/>
          <w:szCs w:val="24"/>
        </w:rPr>
        <w:t>8）本项目设计公开招标文件、中标文件及其附件。</w:t>
      </w:r>
    </w:p>
    <w:p>
      <w:pPr>
        <w:pStyle w:val="4"/>
        <w:rPr>
          <w:rFonts w:ascii="宋体" w:hAnsi="宋体"/>
        </w:rPr>
      </w:pPr>
      <w:bookmarkStart w:id="12" w:name="_Toc1736127"/>
      <w:r>
        <w:rPr>
          <w:rFonts w:hint="eastAsia" w:ascii="宋体" w:hAnsi="宋体"/>
        </w:rPr>
        <w:t>七、合同文件优先次序</w:t>
      </w:r>
      <w:bookmarkEnd w:id="12"/>
    </w:p>
    <w:p>
      <w:pPr>
        <w:spacing w:before="120" w:beforeLines="50" w:line="300" w:lineRule="auto"/>
        <w:ind w:firstLine="420"/>
        <w:jc w:val="left"/>
        <w:rPr>
          <w:rFonts w:ascii="宋体" w:hAnsi="宋体"/>
          <w:color w:val="000000"/>
          <w:sz w:val="24"/>
          <w:szCs w:val="24"/>
        </w:rPr>
      </w:pPr>
      <w:r>
        <w:rPr>
          <w:rFonts w:hint="eastAsia" w:ascii="宋体" w:hAnsi="宋体"/>
          <w:color w:val="000000"/>
          <w:sz w:val="24"/>
          <w:szCs w:val="24"/>
        </w:rPr>
        <w:t>1、下列文件应被认为是组成本合同的一部分，并互为补充和解释，如各部分存在冲突之处，以如下排列次序在前为优先：</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1） 合同实施期间双方签订的本合同的补充协议；</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2） 广东省、广州市人民政府关于</w:t>
      </w:r>
      <w:r>
        <w:rPr>
          <w:rFonts w:hint="eastAsia" w:ascii="宋体" w:hAnsi="宋体"/>
          <w:bCs/>
          <w:color w:val="000000"/>
          <w:sz w:val="24"/>
          <w:szCs w:val="24"/>
          <w:u w:val="single"/>
        </w:rPr>
        <w:t>动力电池梯次利用项目</w:t>
      </w:r>
      <w:r>
        <w:rPr>
          <w:rFonts w:hint="eastAsia" w:ascii="宋体" w:hAnsi="宋体"/>
          <w:color w:val="000000"/>
          <w:sz w:val="24"/>
          <w:szCs w:val="24"/>
        </w:rPr>
        <w:t>的有关文件；</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3） 合同实施期间，甲方组织的专家论证会的专家意见、会议纪要或相关汇总文件；</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4） 合同（含附件）；</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5） 组成合同的其它文件；</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6） 有关投标文件的所有商务谈判文件及承诺；</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7） 投标文件及其附件；</w:t>
      </w:r>
    </w:p>
    <w:p>
      <w:pPr>
        <w:spacing w:before="120" w:beforeLines="50" w:line="300" w:lineRule="auto"/>
        <w:ind w:left="420" w:leftChars="200"/>
        <w:jc w:val="left"/>
        <w:rPr>
          <w:rFonts w:ascii="宋体" w:hAnsi="宋体"/>
          <w:color w:val="000000"/>
          <w:sz w:val="24"/>
          <w:szCs w:val="24"/>
        </w:rPr>
      </w:pPr>
      <w:r>
        <w:rPr>
          <w:rFonts w:hint="eastAsia" w:ascii="宋体" w:hAnsi="宋体"/>
          <w:color w:val="000000"/>
          <w:sz w:val="24"/>
          <w:szCs w:val="24"/>
        </w:rPr>
        <w:t>8） 招标文件（含附件）及补充公告。</w:t>
      </w:r>
    </w:p>
    <w:p>
      <w:pPr>
        <w:pStyle w:val="4"/>
        <w:rPr>
          <w:rFonts w:ascii="宋体" w:hAnsi="宋体"/>
        </w:rPr>
      </w:pPr>
      <w:bookmarkStart w:id="13" w:name="_Toc1736128"/>
      <w:r>
        <w:rPr>
          <w:rFonts w:hint="eastAsia" w:ascii="宋体" w:hAnsi="宋体"/>
          <w:color w:val="000000"/>
          <w:sz w:val="24"/>
          <w:szCs w:val="24"/>
        </w:rPr>
        <w:t>八、</w:t>
      </w:r>
      <w:r>
        <w:rPr>
          <w:rFonts w:hint="eastAsia" w:ascii="宋体" w:hAnsi="宋体"/>
        </w:rPr>
        <w:t>现就以下事项达成一致意见，签订本合同协议书：</w:t>
      </w:r>
      <w:bookmarkEnd w:id="13"/>
    </w:p>
    <w:p>
      <w:pPr>
        <w:spacing w:line="300" w:lineRule="auto"/>
        <w:ind w:firstLine="420"/>
        <w:rPr>
          <w:rFonts w:ascii="宋体" w:hAnsi="宋体"/>
          <w:color w:val="000000"/>
          <w:sz w:val="24"/>
          <w:szCs w:val="24"/>
        </w:rPr>
      </w:pPr>
      <w:r>
        <w:rPr>
          <w:rFonts w:hint="eastAsia" w:ascii="宋体" w:hAnsi="宋体"/>
          <w:color w:val="000000"/>
          <w:sz w:val="24"/>
          <w:szCs w:val="24"/>
        </w:rPr>
        <w:t>1、合同中的措词和用语应与下文提及的设计合同通用条款中分别赋予它们的含义相同。</w:t>
      </w:r>
    </w:p>
    <w:p>
      <w:pPr>
        <w:spacing w:line="300" w:lineRule="auto"/>
        <w:ind w:firstLine="420"/>
        <w:rPr>
          <w:rFonts w:ascii="宋体" w:hAnsi="宋体"/>
          <w:color w:val="000000"/>
          <w:sz w:val="24"/>
          <w:szCs w:val="24"/>
        </w:rPr>
      </w:pPr>
      <w:r>
        <w:rPr>
          <w:rFonts w:hint="eastAsia" w:ascii="宋体" w:hAnsi="宋体"/>
          <w:color w:val="000000"/>
          <w:sz w:val="24"/>
          <w:szCs w:val="24"/>
        </w:rPr>
        <w:t>2、下列文件应被认为是组成本合同的一部分，并应被作为其一部分进行阅读和理解，即：</w:t>
      </w:r>
    </w:p>
    <w:p>
      <w:pPr>
        <w:spacing w:line="300" w:lineRule="auto"/>
        <w:ind w:left="420" w:leftChars="200"/>
        <w:rPr>
          <w:rFonts w:ascii="宋体" w:hAnsi="宋体"/>
          <w:color w:val="000000"/>
          <w:sz w:val="24"/>
          <w:szCs w:val="24"/>
        </w:rPr>
      </w:pPr>
      <w:r>
        <w:rPr>
          <w:rFonts w:hint="eastAsia" w:ascii="宋体" w:hAnsi="宋体"/>
          <w:color w:val="000000"/>
          <w:sz w:val="24"/>
          <w:szCs w:val="24"/>
        </w:rPr>
        <w:t>a)</w:t>
      </w:r>
      <w:r>
        <w:rPr>
          <w:rFonts w:hint="eastAsia" w:ascii="宋体" w:hAnsi="宋体"/>
          <w:color w:val="000000"/>
          <w:sz w:val="24"/>
          <w:szCs w:val="24"/>
        </w:rPr>
        <w:tab/>
      </w:r>
      <w:r>
        <w:rPr>
          <w:rFonts w:hint="eastAsia" w:ascii="宋体" w:hAnsi="宋体"/>
          <w:color w:val="000000"/>
          <w:sz w:val="24"/>
          <w:szCs w:val="24"/>
        </w:rPr>
        <w:t>勘察设计合同条款，</w:t>
      </w:r>
    </w:p>
    <w:p>
      <w:pPr>
        <w:spacing w:before="120" w:beforeLines="50" w:after="120" w:afterLines="50" w:line="300" w:lineRule="auto"/>
        <w:ind w:left="420" w:leftChars="200"/>
        <w:rPr>
          <w:rFonts w:ascii="宋体" w:hAnsi="宋体"/>
          <w:color w:val="000000"/>
          <w:sz w:val="24"/>
          <w:szCs w:val="24"/>
        </w:rPr>
      </w:pPr>
      <w:r>
        <w:rPr>
          <w:rFonts w:hint="eastAsia" w:ascii="宋体" w:hAnsi="宋体"/>
          <w:color w:val="000000"/>
          <w:sz w:val="24"/>
          <w:szCs w:val="24"/>
        </w:rPr>
        <w:t>b)</w:t>
      </w:r>
      <w:r>
        <w:rPr>
          <w:rFonts w:hint="eastAsia" w:ascii="宋体" w:hAnsi="宋体"/>
          <w:color w:val="000000"/>
          <w:sz w:val="24"/>
          <w:szCs w:val="24"/>
        </w:rPr>
        <w:tab/>
      </w:r>
      <w:r>
        <w:rPr>
          <w:rFonts w:hint="eastAsia" w:ascii="宋体" w:hAnsi="宋体"/>
          <w:color w:val="000000"/>
          <w:sz w:val="24"/>
          <w:szCs w:val="24"/>
        </w:rPr>
        <w:t>合同附件，即：</w:t>
      </w:r>
    </w:p>
    <w:p>
      <w:pPr>
        <w:spacing w:line="300" w:lineRule="auto"/>
        <w:ind w:left="840" w:leftChars="400"/>
        <w:rPr>
          <w:rFonts w:ascii="宋体" w:hAnsi="宋体"/>
          <w:color w:val="000000"/>
          <w:sz w:val="24"/>
          <w:szCs w:val="24"/>
        </w:rPr>
      </w:pPr>
      <w:r>
        <w:rPr>
          <w:rFonts w:hint="eastAsia" w:ascii="宋体" w:hAnsi="宋体"/>
          <w:color w:val="000000"/>
          <w:sz w:val="24"/>
          <w:szCs w:val="24"/>
        </w:rPr>
        <w:t>附件一：设计单位的考核细则</w:t>
      </w:r>
    </w:p>
    <w:p>
      <w:pPr>
        <w:spacing w:line="300" w:lineRule="auto"/>
        <w:ind w:left="840" w:leftChars="400"/>
        <w:rPr>
          <w:rFonts w:ascii="宋体" w:hAnsi="宋体"/>
          <w:color w:val="000000"/>
          <w:sz w:val="24"/>
          <w:szCs w:val="24"/>
        </w:rPr>
      </w:pPr>
      <w:r>
        <w:rPr>
          <w:rFonts w:hint="eastAsia" w:ascii="宋体" w:hAnsi="宋体"/>
          <w:color w:val="000000"/>
          <w:sz w:val="24"/>
          <w:szCs w:val="24"/>
        </w:rPr>
        <w:t>附件二：</w:t>
      </w:r>
      <w:r>
        <w:rPr>
          <w:rFonts w:hint="eastAsia" w:ascii="Times New Roman" w:hAnsi="Times New Roman"/>
          <w:sz w:val="24"/>
        </w:rPr>
        <w:t>勘察</w:t>
      </w:r>
      <w:r>
        <w:rPr>
          <w:rFonts w:hint="eastAsia" w:ascii="宋体" w:hAnsi="宋体"/>
          <w:color w:val="000000"/>
          <w:sz w:val="24"/>
          <w:szCs w:val="24"/>
        </w:rPr>
        <w:t>设计任务书</w:t>
      </w:r>
    </w:p>
    <w:p>
      <w:pPr>
        <w:spacing w:line="300" w:lineRule="auto"/>
        <w:ind w:left="840" w:leftChars="400"/>
        <w:rPr>
          <w:rFonts w:ascii="宋体" w:hAnsi="宋体"/>
          <w:color w:val="000000"/>
          <w:sz w:val="24"/>
          <w:szCs w:val="24"/>
        </w:rPr>
      </w:pPr>
      <w:r>
        <w:rPr>
          <w:rFonts w:hint="eastAsia" w:ascii="宋体" w:hAnsi="宋体"/>
          <w:color w:val="000000"/>
          <w:sz w:val="24"/>
          <w:szCs w:val="24"/>
        </w:rPr>
        <w:t>附件三：勘察、设计负责人和主要设计人员表</w:t>
      </w:r>
    </w:p>
    <w:p>
      <w:pPr>
        <w:spacing w:line="300" w:lineRule="auto"/>
        <w:ind w:left="840" w:leftChars="400"/>
        <w:rPr>
          <w:rFonts w:ascii="宋体" w:hAnsi="宋体"/>
          <w:color w:val="000000"/>
          <w:sz w:val="24"/>
          <w:szCs w:val="24"/>
        </w:rPr>
      </w:pPr>
      <w:r>
        <w:rPr>
          <w:rFonts w:hint="eastAsia" w:ascii="宋体" w:hAnsi="宋体"/>
          <w:color w:val="000000"/>
          <w:sz w:val="24"/>
          <w:szCs w:val="24"/>
        </w:rPr>
        <w:t>附件四：勘察、设计工程量清单报价表</w:t>
      </w:r>
    </w:p>
    <w:p>
      <w:pPr>
        <w:spacing w:line="300" w:lineRule="auto"/>
        <w:ind w:left="840" w:leftChars="400"/>
        <w:rPr>
          <w:rFonts w:ascii="宋体" w:hAnsi="宋体"/>
          <w:color w:val="000000"/>
          <w:sz w:val="24"/>
          <w:szCs w:val="24"/>
        </w:rPr>
      </w:pPr>
      <w:r>
        <w:rPr>
          <w:rFonts w:hint="eastAsia" w:ascii="宋体" w:hAnsi="宋体"/>
          <w:color w:val="000000"/>
          <w:sz w:val="24"/>
          <w:szCs w:val="24"/>
        </w:rPr>
        <w:t>附件五：廉政合同</w:t>
      </w:r>
    </w:p>
    <w:p>
      <w:pPr>
        <w:spacing w:line="300" w:lineRule="auto"/>
        <w:ind w:left="840" w:leftChars="400"/>
        <w:rPr>
          <w:rFonts w:ascii="宋体" w:hAnsi="宋体"/>
          <w:color w:val="000000"/>
          <w:sz w:val="24"/>
          <w:szCs w:val="24"/>
        </w:rPr>
      </w:pPr>
      <w:r>
        <w:rPr>
          <w:rFonts w:hint="eastAsia" w:ascii="宋体" w:hAnsi="宋体"/>
          <w:color w:val="000000"/>
          <w:sz w:val="24"/>
          <w:szCs w:val="24"/>
        </w:rPr>
        <w:t>附件六：工程勘察安全承诺书</w:t>
      </w:r>
    </w:p>
    <w:p>
      <w:pPr>
        <w:spacing w:line="300" w:lineRule="auto"/>
        <w:ind w:left="840" w:leftChars="400"/>
        <w:rPr>
          <w:rFonts w:ascii="宋体" w:hAnsi="宋体"/>
          <w:color w:val="000000"/>
          <w:sz w:val="24"/>
          <w:szCs w:val="24"/>
        </w:rPr>
      </w:pPr>
      <w:r>
        <w:rPr>
          <w:rFonts w:hint="eastAsia" w:ascii="宋体" w:hAnsi="宋体"/>
          <w:color w:val="000000"/>
          <w:sz w:val="24"/>
          <w:szCs w:val="24"/>
        </w:rPr>
        <w:t>附件七：设计进度表</w:t>
      </w:r>
    </w:p>
    <w:p>
      <w:pPr>
        <w:spacing w:line="300" w:lineRule="auto"/>
        <w:ind w:left="840" w:leftChars="400"/>
        <w:rPr>
          <w:rFonts w:ascii="宋体" w:hAnsi="宋体"/>
          <w:color w:val="000000"/>
          <w:sz w:val="24"/>
          <w:szCs w:val="24"/>
        </w:rPr>
      </w:pPr>
      <w:r>
        <w:rPr>
          <w:rFonts w:hint="eastAsia" w:ascii="宋体" w:hAnsi="宋体"/>
          <w:color w:val="000000"/>
          <w:sz w:val="24"/>
          <w:szCs w:val="24"/>
        </w:rPr>
        <w:t>附件八：</w:t>
      </w:r>
      <w:r>
        <w:rPr>
          <w:rFonts w:hint="eastAsia" w:ascii="宋体" w:hAnsi="宋体"/>
          <w:color w:val="000000"/>
          <w:sz w:val="24"/>
          <w:szCs w:val="24"/>
          <w:lang w:eastAsia="zh-CN"/>
        </w:rPr>
        <w:t>甲方</w:t>
      </w:r>
      <w:r>
        <w:rPr>
          <w:rFonts w:hint="eastAsia" w:ascii="宋体" w:hAnsi="宋体"/>
          <w:color w:val="000000"/>
          <w:sz w:val="24"/>
          <w:szCs w:val="24"/>
        </w:rPr>
        <w:t>应提交的设计基础文件</w:t>
      </w:r>
    </w:p>
    <w:p>
      <w:pPr>
        <w:spacing w:line="300" w:lineRule="auto"/>
        <w:ind w:left="840" w:leftChars="400"/>
        <w:rPr>
          <w:rFonts w:ascii="宋体" w:hAnsi="宋体"/>
          <w:color w:val="000000"/>
          <w:sz w:val="24"/>
          <w:szCs w:val="24"/>
        </w:rPr>
      </w:pPr>
      <w:r>
        <w:rPr>
          <w:rFonts w:hint="eastAsia" w:ascii="宋体" w:hAnsi="宋体"/>
          <w:color w:val="000000"/>
          <w:sz w:val="24"/>
          <w:szCs w:val="24"/>
        </w:rPr>
        <w:t>附件九：安健环管理协议</w:t>
      </w:r>
    </w:p>
    <w:p>
      <w:pPr>
        <w:spacing w:line="300" w:lineRule="auto"/>
        <w:ind w:left="840" w:leftChars="400"/>
        <w:rPr>
          <w:rFonts w:ascii="宋体" w:hAnsi="宋体"/>
          <w:color w:val="000000"/>
          <w:sz w:val="24"/>
          <w:szCs w:val="24"/>
        </w:rPr>
      </w:pPr>
      <w:r>
        <w:rPr>
          <w:rFonts w:hint="eastAsia" w:ascii="宋体" w:hAnsi="宋体"/>
          <w:color w:val="000000"/>
          <w:sz w:val="24"/>
          <w:szCs w:val="24"/>
        </w:rPr>
        <w:t>附件十：安全文明施工管理</w:t>
      </w:r>
    </w:p>
    <w:p>
      <w:pPr>
        <w:spacing w:line="300" w:lineRule="auto"/>
        <w:ind w:left="840" w:leftChars="400"/>
        <w:rPr>
          <w:rFonts w:ascii="宋体" w:hAnsi="宋体"/>
          <w:color w:val="000000"/>
          <w:sz w:val="24"/>
          <w:szCs w:val="24"/>
        </w:rPr>
      </w:pPr>
      <w:r>
        <w:rPr>
          <w:rFonts w:hint="eastAsia" w:ascii="宋体" w:hAnsi="宋体"/>
          <w:color w:val="000000"/>
          <w:sz w:val="24"/>
          <w:szCs w:val="24"/>
        </w:rPr>
        <w:t>附件十一：综合治理</w:t>
      </w:r>
    </w:p>
    <w:p>
      <w:pPr>
        <w:spacing w:line="300" w:lineRule="auto"/>
        <w:ind w:firstLine="720" w:firstLineChars="300"/>
        <w:rPr>
          <w:rFonts w:ascii="宋体" w:hAnsi="宋体"/>
          <w:color w:val="000000"/>
          <w:sz w:val="24"/>
          <w:szCs w:val="24"/>
        </w:rPr>
      </w:pPr>
      <w:r>
        <w:rPr>
          <w:rFonts w:hint="eastAsia" w:ascii="宋体" w:hAnsi="宋体"/>
          <w:color w:val="000000"/>
          <w:sz w:val="24"/>
          <w:szCs w:val="24"/>
        </w:rPr>
        <w:t>附件十二：中标通知书</w:t>
      </w:r>
    </w:p>
    <w:p>
      <w:pPr>
        <w:spacing w:line="300" w:lineRule="auto"/>
        <w:ind w:left="840" w:leftChars="400"/>
        <w:rPr>
          <w:rFonts w:ascii="宋体" w:hAnsi="宋体"/>
          <w:color w:val="000000"/>
          <w:sz w:val="24"/>
          <w:szCs w:val="24"/>
        </w:rPr>
      </w:pPr>
    </w:p>
    <w:p>
      <w:pPr>
        <w:spacing w:before="120" w:beforeLines="50" w:line="300" w:lineRule="auto"/>
        <w:ind w:firstLine="420"/>
        <w:rPr>
          <w:rFonts w:ascii="宋体" w:hAnsi="宋体"/>
          <w:color w:val="000000"/>
          <w:sz w:val="24"/>
          <w:szCs w:val="24"/>
        </w:rPr>
      </w:pPr>
      <w:r>
        <w:rPr>
          <w:rFonts w:hint="eastAsia" w:ascii="宋体" w:hAnsi="宋体"/>
          <w:color w:val="000000"/>
          <w:sz w:val="24"/>
          <w:szCs w:val="24"/>
        </w:rPr>
        <w:t>3、在合同履行过程中形成的与合同有关的文件均构成合同文件组成部分。</w:t>
      </w:r>
    </w:p>
    <w:p>
      <w:pPr>
        <w:spacing w:before="120" w:beforeLines="50" w:line="300" w:lineRule="auto"/>
        <w:ind w:firstLine="420"/>
        <w:rPr>
          <w:rFonts w:ascii="宋体" w:hAnsi="宋体"/>
          <w:color w:val="000000"/>
          <w:sz w:val="24"/>
          <w:szCs w:val="24"/>
        </w:rPr>
      </w:pPr>
      <w:r>
        <w:rPr>
          <w:rFonts w:hint="eastAsia" w:ascii="宋体" w:hAnsi="宋体"/>
          <w:color w:val="000000"/>
          <w:sz w:val="24"/>
          <w:szCs w:val="24"/>
        </w:rPr>
        <w:t>4、上述各项合同文件包括合同当事人就该项合同文件所作出的补充和修改，属于同一类内容的文件，应以最新签署的为准。</w:t>
      </w:r>
    </w:p>
    <w:p>
      <w:pPr>
        <w:spacing w:before="120" w:beforeLines="50" w:line="300" w:lineRule="auto"/>
        <w:ind w:firstLine="420"/>
        <w:rPr>
          <w:rFonts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甲方</w:t>
      </w:r>
      <w:r>
        <w:rPr>
          <w:rFonts w:hint="eastAsia" w:ascii="宋体" w:hAnsi="宋体"/>
          <w:color w:val="000000"/>
          <w:sz w:val="24"/>
          <w:szCs w:val="24"/>
        </w:rPr>
        <w:t>承诺按照法律规定履行项目审批手续，按照合同约定提供设计依据，并按合同约定的期限和方式，向勘察人、设计人支付根据本合同规定应支付的款项，以此作为履行服务的报酬。</w:t>
      </w:r>
    </w:p>
    <w:p>
      <w:pPr>
        <w:spacing w:before="120" w:beforeLines="50" w:line="300" w:lineRule="auto"/>
        <w:ind w:firstLine="420"/>
        <w:rPr>
          <w:rFonts w:ascii="宋体" w:hAnsi="宋体"/>
          <w:color w:val="000000"/>
          <w:sz w:val="24"/>
          <w:szCs w:val="24"/>
        </w:rPr>
      </w:pPr>
      <w:r>
        <w:rPr>
          <w:rFonts w:hint="eastAsia" w:ascii="宋体" w:hAnsi="宋体"/>
          <w:color w:val="000000"/>
          <w:sz w:val="24"/>
          <w:szCs w:val="24"/>
        </w:rPr>
        <w:t>6、勘察人、设计人承诺按照法律和技术标准规定及本合同约定条款履行服务。</w:t>
      </w:r>
    </w:p>
    <w:p>
      <w:pPr>
        <w:spacing w:before="120" w:beforeLines="50" w:after="120" w:afterLines="50" w:line="300" w:lineRule="auto"/>
        <w:ind w:firstLine="420"/>
        <w:rPr>
          <w:rFonts w:ascii="宋体" w:hAnsi="宋体"/>
          <w:color w:val="000000"/>
          <w:sz w:val="24"/>
          <w:szCs w:val="24"/>
        </w:rPr>
      </w:pPr>
      <w:r>
        <w:rPr>
          <w:rFonts w:hint="eastAsia" w:ascii="宋体" w:hAnsi="宋体"/>
          <w:color w:val="000000"/>
          <w:sz w:val="24"/>
          <w:szCs w:val="24"/>
        </w:rPr>
        <w:t>7、合同未尽事宜，合同当事人另行签订补充协议，补充协议是合同的组成部分。</w:t>
      </w:r>
    </w:p>
    <w:p>
      <w:pPr>
        <w:spacing w:before="120" w:beforeLines="50" w:after="120" w:afterLines="50" w:line="300" w:lineRule="auto"/>
        <w:ind w:firstLine="420"/>
        <w:rPr>
          <w:rFonts w:ascii="宋体" w:hAnsi="宋体"/>
          <w:color w:val="000000"/>
          <w:sz w:val="24"/>
          <w:szCs w:val="24"/>
        </w:rPr>
      </w:pPr>
      <w:r>
        <w:rPr>
          <w:rFonts w:hint="eastAsia" w:ascii="宋体" w:hAnsi="宋体"/>
          <w:color w:val="000000"/>
          <w:sz w:val="24"/>
          <w:szCs w:val="24"/>
        </w:rPr>
        <w:t>8、本合同自各方法定代表人或授权代表签字并盖章后生效并开始执行，生效日期为最后一方签字的日期。</w:t>
      </w:r>
    </w:p>
    <w:p>
      <w:pPr>
        <w:spacing w:before="120" w:beforeLines="50" w:after="120" w:afterLines="50" w:line="300" w:lineRule="auto"/>
        <w:ind w:firstLine="420"/>
        <w:rPr>
          <w:rFonts w:ascii="宋体" w:hAnsi="宋体"/>
          <w:color w:val="000000"/>
          <w:sz w:val="24"/>
          <w:szCs w:val="24"/>
        </w:rPr>
      </w:pPr>
      <w:r>
        <w:rPr>
          <w:rFonts w:hint="eastAsia" w:ascii="宋体" w:hAnsi="宋体"/>
          <w:color w:val="000000"/>
          <w:sz w:val="24"/>
          <w:szCs w:val="24"/>
        </w:rPr>
        <w:t>9、本合同正本一式3份、副本一式8份，均具有同等法律效力，</w:t>
      </w:r>
      <w:r>
        <w:rPr>
          <w:rFonts w:hint="eastAsia" w:ascii="宋体" w:hAnsi="宋体"/>
          <w:color w:val="000000"/>
          <w:sz w:val="24"/>
          <w:szCs w:val="24"/>
          <w:lang w:eastAsia="zh-CN"/>
        </w:rPr>
        <w:t>甲方</w:t>
      </w:r>
      <w:r>
        <w:rPr>
          <w:rFonts w:hint="eastAsia" w:ascii="宋体" w:hAnsi="宋体"/>
          <w:color w:val="000000"/>
          <w:sz w:val="24"/>
          <w:szCs w:val="24"/>
        </w:rPr>
        <w:t>执正本1份、副本4份，设计人和勘察人各执正本1份、副本2份。</w:t>
      </w:r>
      <w:bookmarkStart w:id="14" w:name="_Toc351203481"/>
    </w:p>
    <w:bookmarkEnd w:id="14"/>
    <w:p>
      <w:pPr>
        <w:spacing w:line="360" w:lineRule="exact"/>
        <w:ind w:left="6096" w:hanging="6096" w:hangingChars="2540"/>
        <w:rPr>
          <w:rFonts w:ascii="宋体" w:hAnsi="宋体"/>
          <w:color w:val="000000"/>
          <w:sz w:val="24"/>
          <w:szCs w:val="24"/>
        </w:rPr>
      </w:pPr>
    </w:p>
    <w:p>
      <w:pPr>
        <w:spacing w:line="480" w:lineRule="exact"/>
        <w:ind w:left="6096" w:hanging="6096" w:hangingChars="2540"/>
        <w:rPr>
          <w:rFonts w:ascii="宋体" w:hAnsi="宋体"/>
          <w:color w:val="000000"/>
          <w:sz w:val="24"/>
          <w:szCs w:val="24"/>
        </w:rPr>
      </w:pPr>
      <w:r>
        <w:rPr>
          <w:rFonts w:hint="eastAsia" w:ascii="宋体" w:hAnsi="宋体"/>
          <w:color w:val="000000"/>
          <w:sz w:val="24"/>
          <w:szCs w:val="24"/>
        </w:rPr>
        <w:t>甲方：广州环投恒创科技有限公司（盖章）   乙方：（盖章）</w:t>
      </w:r>
    </w:p>
    <w:p>
      <w:pPr>
        <w:spacing w:line="480" w:lineRule="exact"/>
        <w:ind w:firstLine="2160" w:firstLineChars="900"/>
        <w:rPr>
          <w:rFonts w:ascii="宋体" w:hAnsi="宋体"/>
          <w:color w:val="000000"/>
          <w:sz w:val="24"/>
          <w:szCs w:val="24"/>
        </w:rPr>
      </w:pPr>
    </w:p>
    <w:p>
      <w:pPr>
        <w:spacing w:line="480" w:lineRule="exact"/>
        <w:rPr>
          <w:rFonts w:ascii="宋体" w:hAnsi="宋体"/>
          <w:color w:val="000000"/>
          <w:sz w:val="24"/>
          <w:szCs w:val="24"/>
        </w:rPr>
      </w:pPr>
      <w:r>
        <w:rPr>
          <w:rFonts w:hint="eastAsia" w:ascii="宋体" w:hAnsi="宋体"/>
          <w:color w:val="000000"/>
          <w:sz w:val="24"/>
          <w:szCs w:val="24"/>
        </w:rPr>
        <w:t>法定代表人：                           法定代表人：</w:t>
      </w:r>
    </w:p>
    <w:p>
      <w:pPr>
        <w:spacing w:line="480" w:lineRule="exact"/>
        <w:rPr>
          <w:rFonts w:ascii="宋体" w:hAnsi="宋体"/>
          <w:color w:val="000000"/>
          <w:sz w:val="24"/>
          <w:szCs w:val="24"/>
        </w:rPr>
      </w:pPr>
      <w:r>
        <w:rPr>
          <w:rFonts w:hint="eastAsia" w:ascii="宋体" w:hAnsi="宋体"/>
          <w:color w:val="000000"/>
          <w:sz w:val="24"/>
          <w:szCs w:val="24"/>
        </w:rPr>
        <w:t>或委托代理人：                         或委托代理人：</w:t>
      </w:r>
    </w:p>
    <w:p>
      <w:pPr>
        <w:spacing w:line="480" w:lineRule="exact"/>
        <w:rPr>
          <w:rFonts w:ascii="宋体" w:hAnsi="宋体"/>
          <w:color w:val="000000"/>
          <w:sz w:val="24"/>
          <w:szCs w:val="24"/>
        </w:rPr>
      </w:pPr>
      <w:r>
        <w:rPr>
          <w:rFonts w:hint="eastAsia" w:ascii="宋体" w:hAnsi="宋体"/>
          <w:color w:val="000000"/>
          <w:sz w:val="24"/>
          <w:szCs w:val="24"/>
        </w:rPr>
        <w:t>地  址：</w:t>
      </w:r>
      <w:r>
        <w:rPr>
          <w:rFonts w:hint="eastAsia" w:ascii="宋体" w:hAnsi="宋体"/>
          <w:color w:val="000000"/>
          <w:spacing w:val="-12"/>
          <w:sz w:val="24"/>
          <w:szCs w:val="24"/>
        </w:rPr>
        <w:t xml:space="preserve">                                       </w:t>
      </w:r>
      <w:r>
        <w:rPr>
          <w:rFonts w:hint="eastAsia" w:ascii="宋体" w:hAnsi="宋体"/>
          <w:color w:val="000000"/>
          <w:sz w:val="24"/>
          <w:szCs w:val="24"/>
        </w:rPr>
        <w:t>地  址：</w:t>
      </w:r>
    </w:p>
    <w:p>
      <w:pPr>
        <w:spacing w:line="480" w:lineRule="exact"/>
        <w:ind w:firstLine="864" w:firstLineChars="400"/>
        <w:rPr>
          <w:rFonts w:ascii="宋体" w:hAnsi="宋体"/>
          <w:color w:val="000000"/>
          <w:spacing w:val="-12"/>
          <w:sz w:val="24"/>
          <w:szCs w:val="24"/>
        </w:rPr>
      </w:pPr>
    </w:p>
    <w:p>
      <w:pPr>
        <w:spacing w:line="480" w:lineRule="exact"/>
        <w:rPr>
          <w:rFonts w:ascii="宋体" w:hAnsi="宋体"/>
          <w:color w:val="000000"/>
          <w:sz w:val="24"/>
          <w:szCs w:val="24"/>
        </w:rPr>
      </w:pPr>
      <w:r>
        <w:rPr>
          <w:rFonts w:hint="eastAsia" w:ascii="宋体" w:hAnsi="宋体"/>
          <w:color w:val="000000"/>
          <w:sz w:val="24"/>
          <w:szCs w:val="24"/>
        </w:rPr>
        <w:t xml:space="preserve">电　话：                               电　话： </w:t>
      </w:r>
    </w:p>
    <w:p>
      <w:pPr>
        <w:spacing w:line="480" w:lineRule="exact"/>
        <w:rPr>
          <w:rFonts w:ascii="宋体" w:hAnsi="宋体"/>
          <w:color w:val="000000"/>
          <w:sz w:val="24"/>
          <w:szCs w:val="24"/>
        </w:rPr>
      </w:pPr>
      <w:r>
        <w:rPr>
          <w:rFonts w:hint="eastAsia" w:ascii="宋体" w:hAnsi="宋体"/>
          <w:color w:val="000000"/>
          <w:sz w:val="24"/>
          <w:szCs w:val="24"/>
        </w:rPr>
        <w:t xml:space="preserve">传  真：                               传  真：  </w:t>
      </w:r>
    </w:p>
    <w:p>
      <w:pPr>
        <w:spacing w:line="480" w:lineRule="exact"/>
        <w:ind w:left="6000" w:hanging="6000" w:hangingChars="2500"/>
        <w:rPr>
          <w:rFonts w:ascii="宋体" w:hAnsi="宋体"/>
          <w:color w:val="000000"/>
          <w:sz w:val="24"/>
          <w:szCs w:val="24"/>
        </w:rPr>
      </w:pPr>
      <w:r>
        <w:rPr>
          <w:rFonts w:hint="eastAsia" w:ascii="宋体" w:hAnsi="宋体"/>
          <w:color w:val="000000"/>
          <w:sz w:val="24"/>
          <w:szCs w:val="24"/>
        </w:rPr>
        <w:t>开户银行：                            开户银行：</w:t>
      </w:r>
    </w:p>
    <w:p>
      <w:pPr>
        <w:spacing w:line="480" w:lineRule="exact"/>
        <w:rPr>
          <w:rFonts w:ascii="宋体" w:hAnsi="宋体"/>
          <w:color w:val="000000"/>
          <w:sz w:val="24"/>
          <w:szCs w:val="24"/>
        </w:rPr>
      </w:pPr>
      <w:r>
        <w:rPr>
          <w:rFonts w:hint="eastAsia" w:ascii="宋体" w:hAnsi="宋体"/>
          <w:color w:val="000000"/>
          <w:sz w:val="24"/>
          <w:szCs w:val="24"/>
        </w:rPr>
        <w:t>银行帐号：                            银行帐号：</w:t>
      </w:r>
    </w:p>
    <w:p>
      <w:pPr>
        <w:spacing w:line="480" w:lineRule="exact"/>
        <w:rPr>
          <w:rFonts w:ascii="宋体" w:hAnsi="宋体"/>
          <w:color w:val="000000"/>
          <w:sz w:val="24"/>
          <w:szCs w:val="24"/>
        </w:rPr>
      </w:pPr>
      <w:r>
        <w:rPr>
          <w:rFonts w:hint="eastAsia" w:ascii="宋体" w:hAnsi="宋体"/>
          <w:color w:val="000000"/>
          <w:sz w:val="24"/>
          <w:szCs w:val="24"/>
        </w:rPr>
        <w:t>日　期：2023年   月   日              日　期：2023年   月   日</w:t>
      </w:r>
    </w:p>
    <w:p>
      <w:pPr>
        <w:spacing w:line="480" w:lineRule="exact"/>
        <w:ind w:left="6096" w:hanging="6096" w:hangingChars="2540"/>
        <w:rPr>
          <w:rFonts w:ascii="宋体" w:hAnsi="宋体"/>
          <w:color w:val="000000"/>
          <w:sz w:val="24"/>
          <w:szCs w:val="24"/>
        </w:rPr>
      </w:pPr>
    </w:p>
    <w:p>
      <w:pPr>
        <w:pStyle w:val="41"/>
      </w:pPr>
    </w:p>
    <w:p>
      <w:pPr>
        <w:spacing w:line="360" w:lineRule="exact"/>
        <w:rPr>
          <w:rFonts w:ascii="宋体" w:hAnsi="宋体"/>
          <w:color w:val="000000"/>
          <w:sz w:val="24"/>
          <w:szCs w:val="24"/>
        </w:rPr>
      </w:pPr>
    </w:p>
    <w:p>
      <w:pPr>
        <w:spacing w:line="360" w:lineRule="exact"/>
        <w:rPr>
          <w:rFonts w:ascii="宋体" w:hAnsi="宋体"/>
          <w:color w:val="000000"/>
          <w:sz w:val="24"/>
          <w:szCs w:val="24"/>
        </w:rPr>
      </w:pPr>
    </w:p>
    <w:p>
      <w:pPr>
        <w:rPr>
          <w:rFonts w:ascii="宋体" w:hAnsi="宋体"/>
        </w:rPr>
        <w:sectPr>
          <w:headerReference r:id="rId9" w:type="first"/>
          <w:footerReference r:id="rId10" w:type="first"/>
          <w:headerReference r:id="rId7" w:type="default"/>
          <w:headerReference r:id="rId8" w:type="even"/>
          <w:type w:val="nextColumn"/>
          <w:pgSz w:w="11906" w:h="16838"/>
          <w:pgMar w:top="1247" w:right="1247" w:bottom="1247" w:left="1474" w:header="851" w:footer="624" w:gutter="0"/>
          <w:pgNumType w:fmt="decimal"/>
          <w:cols w:space="720" w:num="1"/>
          <w:titlePg/>
          <w:docGrid w:linePitch="312" w:charSpace="0"/>
        </w:sectPr>
      </w:pPr>
    </w:p>
    <w:p>
      <w:pPr>
        <w:pStyle w:val="3"/>
      </w:pPr>
      <w:bookmarkStart w:id="15" w:name="_Toc1736129"/>
      <w:r>
        <w:rPr>
          <w:rFonts w:hint="eastAsia"/>
        </w:rPr>
        <w:t>第二部分 合同条款</w:t>
      </w:r>
      <w:bookmarkEnd w:id="15"/>
    </w:p>
    <w:p>
      <w:pPr>
        <w:pStyle w:val="4"/>
        <w:rPr>
          <w:rFonts w:ascii="宋体" w:hAnsi="宋体"/>
        </w:rPr>
      </w:pPr>
      <w:bookmarkStart w:id="16" w:name="_Toc1736130"/>
      <w:r>
        <w:rPr>
          <w:rFonts w:hint="eastAsia" w:ascii="宋体" w:hAnsi="宋体"/>
        </w:rPr>
        <w:t>一、定义</w:t>
      </w:r>
      <w:bookmarkEnd w:id="16"/>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1、下列定义适用于本合同：</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项目：指甲方在本合同范围内约定的勘察设计项目总和，并由乙方承揽本项目工程的勘察及设计并交付成果。如为联合体，则各联合体单位共同承担合同规定的义务责任，同时按照各自职责的划分，承担自身所负的责任和风险，在法律上承担连带责任。联合体的牵头单位，负责本项目工程勘察设计工作实施阶段的主办、组织和协调工作。</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1.2 工程：</w:t>
      </w:r>
      <w:r>
        <w:rPr>
          <w:rFonts w:hint="eastAsia"/>
          <w:bCs/>
          <w:kern w:val="44"/>
          <w:sz w:val="24"/>
          <w:szCs w:val="24"/>
        </w:rPr>
        <w:t>动力电池梯次利用项目</w:t>
      </w:r>
      <w:r>
        <w:rPr>
          <w:rFonts w:hint="eastAsia" w:ascii="宋体" w:hAnsi="宋体"/>
          <w:color w:val="000000"/>
          <w:sz w:val="24"/>
          <w:szCs w:val="24"/>
        </w:rPr>
        <w:t>。</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1.3 合同：指合同协议书、中标通知书、招标文件、本合同条件、甲方要求、乙方投标文件，以及在合同协议书中列出的其他进一步的文件（如果有）。</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1.4 甲方：指在本合同中约定，具有工程勘察设计发包主体资格和支付工程勘察设计合同价款能力的当事人以及取得该当事人资格的合法继承人。</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1.5 乙方：指被委托并与甲方签订合同的勘察设计单位。</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1.5.1勘察人：指在合同协议书中约定，被</w:t>
      </w:r>
      <w:r>
        <w:rPr>
          <w:rFonts w:hint="eastAsia" w:ascii="宋体" w:hAnsi="宋体"/>
          <w:color w:val="000000"/>
          <w:sz w:val="24"/>
          <w:szCs w:val="24"/>
          <w:lang w:eastAsia="zh-CN"/>
        </w:rPr>
        <w:t>甲方</w:t>
      </w:r>
      <w:r>
        <w:rPr>
          <w:rFonts w:hint="eastAsia" w:ascii="宋体" w:hAnsi="宋体"/>
          <w:color w:val="000000"/>
          <w:sz w:val="24"/>
          <w:szCs w:val="24"/>
        </w:rPr>
        <w:t>接受的具有工程勘察资质的当事人以及取得该当事人资格的合法继承人。</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1.5.2设计人：是指与</w:t>
      </w:r>
      <w:r>
        <w:rPr>
          <w:rFonts w:hint="eastAsia" w:ascii="宋体" w:hAnsi="宋体"/>
          <w:color w:val="000000"/>
          <w:sz w:val="24"/>
          <w:szCs w:val="24"/>
          <w:lang w:eastAsia="zh-CN"/>
        </w:rPr>
        <w:t>甲方</w:t>
      </w:r>
      <w:r>
        <w:rPr>
          <w:rFonts w:hint="eastAsia" w:ascii="宋体" w:hAnsi="宋体"/>
          <w:color w:val="000000"/>
          <w:sz w:val="24"/>
          <w:szCs w:val="24"/>
        </w:rPr>
        <w:t>签订合同协议书的，具有相应工程设计资质的当事人及取得该当事人资格的合法继承人。</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1.5.3专项分包方：指被甲方、乙方接受的具有专项工程设计承包主体资格的当事人以及取得该当事人资格的合法继承人。</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1.5.4设计负责人：指乙方在提供的本项目设计人员架构中指定的负责设计管理和合同履行的代表。</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1.5.5 勘察负责人：指乙方在提供的本项目勘察人员架构中指定的主持勘察工作，负责勘察管理和合同履行的代表。</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1.6甲方驻场代表：指甲方委派的履行本合同的驻场代表，其具体身份和职权由甲方在另文中约定。</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1.7 乙方驻场代表：指乙方委派的履行本合同的驻场代表，其具体身份和职权由乙方在另文中约定。</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1.8 甲方要求：指合同中列明工程的目的、范围、设计标准和其他技术标准，以及对此类文件的任何补充和修改。</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1.9 勘察设计：指甲方、乙方在本合同中约定的承包范围内的工程勘察设计和服务。</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1.10 设计周期：指甲方、乙方在本合同中约定，按总日历天数（包括法定节假日）计算的提交设计成果文件的天数。</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1.11 设计文件：指由乙方提交的，经甲方及政府相关部门批准的，满足投资与质量控制要求的，能作为下阶段设计输入依据的或能指导施工实施的各阶段设计图纸及说明书（含设计变更），效果图，存有AutoCAD 2010 或以上中文版软件生成的dwf格式文件的光盘，工程估算、概算、修正概算、配合编制工程预算等设计数据及设计文件（具体以</w:t>
      </w:r>
      <w:r>
        <w:rPr>
          <w:rFonts w:hint="eastAsia" w:ascii="宋体" w:hAnsi="宋体"/>
          <w:color w:val="000000"/>
          <w:sz w:val="24"/>
          <w:szCs w:val="24"/>
          <w:lang w:val="en-US" w:eastAsia="zh-CN"/>
        </w:rPr>
        <w:t>勘察</w:t>
      </w:r>
      <w:r>
        <w:rPr>
          <w:rFonts w:hint="eastAsia" w:ascii="宋体" w:hAnsi="宋体"/>
          <w:color w:val="000000"/>
          <w:sz w:val="24"/>
          <w:szCs w:val="24"/>
        </w:rPr>
        <w:t>设计任务书为准）。</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1.12 设计服务：指乙方完成本项目工程勘察、</w:t>
      </w:r>
      <w:r>
        <w:rPr>
          <w:rFonts w:hint="eastAsia"/>
          <w:bCs/>
          <w:kern w:val="44"/>
          <w:sz w:val="24"/>
          <w:szCs w:val="24"/>
        </w:rPr>
        <w:t>设计（含项目申请报告第一阶段所涉及全部实施内容的职业病、安全设施设计专篇、消防专篇、环保专篇、节能专篇编制等内容）</w:t>
      </w:r>
      <w:r>
        <w:rPr>
          <w:rFonts w:hint="eastAsia" w:ascii="宋体" w:hAnsi="宋体"/>
          <w:color w:val="000000"/>
          <w:sz w:val="24"/>
          <w:szCs w:val="24"/>
        </w:rPr>
        <w:t>、初步设计概算编制（按广州市最新的概算编制指引编制）、技术规格书编制、施工图设计及配套工程设计、编制和设计（工程）变更预算、配合编制施工图预算、竣工图编制及审核、配合合同范围以外的市政设计（包括给排水、供气、供热、供电、进厂道路等）、现场指导与监督、相关报建配合服务、施工及设备招标配合服务、结算配合服务和保修配合服务等。</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1.13设计变更：指在甲方发出设计变更说明后，经与乙方协商后双方签字确认，乙方提交设计文件并经甲方评审同意后，对设计文件进行的更改。</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1.14 违约责任：指合同一方不履行合同义务或履行合同义务不符合约定所应承担的责任。</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1.15 不可抗力：指（1）不能预见、不能避免并不能克服的客观情况；（2）政府关于本工程建设的政策重大调整。</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1.16 索赔：指在合同履行过程中，合同双方对于并非自己的过错，而是应由他方承担责任的情况造成的实际损失，向他方提出经济补偿。</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1.17 书面材料：指合同书、信件和传真等可以有形地表现所载内容的文件。</w:t>
      </w:r>
    </w:p>
    <w:p>
      <w:pPr>
        <w:spacing w:before="156" w:beforeLines="50" w:line="300" w:lineRule="auto"/>
        <w:ind w:firstLine="420"/>
        <w:rPr>
          <w:rFonts w:ascii="宋体" w:hAnsi="宋体"/>
          <w:color w:val="000000"/>
          <w:sz w:val="24"/>
          <w:szCs w:val="24"/>
        </w:rPr>
      </w:pPr>
      <w:r>
        <w:rPr>
          <w:rFonts w:hint="eastAsia" w:ascii="宋体" w:hAnsi="宋体"/>
          <w:color w:val="000000"/>
          <w:sz w:val="24"/>
          <w:szCs w:val="24"/>
        </w:rPr>
        <w:t>1.18 天或月：规定按天计算时间的，指日历天，开始当天不计入，从次日开始计算。时限的最后一天是休息日或者其它法定节假日的，以节假日次日为时限的最后一天。时限的最后一天的截止时间为当日24时。月指日历月。</w:t>
      </w:r>
    </w:p>
    <w:p>
      <w:pPr>
        <w:autoSpaceDE w:val="0"/>
        <w:autoSpaceDN w:val="0"/>
        <w:adjustRightInd w:val="0"/>
        <w:spacing w:before="50" w:line="300" w:lineRule="auto"/>
        <w:ind w:firstLine="480" w:firstLineChars="200"/>
        <w:jc w:val="left"/>
        <w:rPr>
          <w:rFonts w:ascii="宋体" w:hAnsi="宋体"/>
          <w:color w:val="000000"/>
          <w:sz w:val="24"/>
          <w:szCs w:val="24"/>
        </w:rPr>
      </w:pPr>
      <w:r>
        <w:rPr>
          <w:rFonts w:hint="eastAsia" w:ascii="宋体" w:hAnsi="宋体"/>
          <w:color w:val="000000"/>
          <w:sz w:val="24"/>
          <w:szCs w:val="24"/>
        </w:rPr>
        <w:t>1.19 国内：指中华人民共和国境内（不含香港、澳门及台湾地区）。下列定义适用于本合同：</w:t>
      </w:r>
    </w:p>
    <w:p>
      <w:pPr>
        <w:autoSpaceDE w:val="0"/>
        <w:autoSpaceDN w:val="0"/>
        <w:adjustRightInd w:val="0"/>
        <w:spacing w:before="50" w:line="300" w:lineRule="auto"/>
        <w:ind w:firstLine="480" w:firstLineChars="200"/>
        <w:jc w:val="left"/>
        <w:rPr>
          <w:rFonts w:ascii="宋体" w:hAnsi="宋体"/>
          <w:color w:val="000000"/>
          <w:sz w:val="24"/>
          <w:szCs w:val="24"/>
        </w:rPr>
      </w:pPr>
      <w:r>
        <w:rPr>
          <w:rFonts w:hint="eastAsia" w:ascii="宋体" w:hAnsi="宋体"/>
          <w:color w:val="000000"/>
          <w:sz w:val="24"/>
          <w:szCs w:val="24"/>
        </w:rPr>
        <w:t>1.20 联合体：是指两个以上设计人联合，以一个设计人身份为</w:t>
      </w:r>
      <w:r>
        <w:rPr>
          <w:rFonts w:hint="eastAsia" w:ascii="宋体" w:hAnsi="宋体"/>
          <w:color w:val="000000"/>
          <w:sz w:val="24"/>
          <w:szCs w:val="24"/>
          <w:lang w:eastAsia="zh-CN"/>
        </w:rPr>
        <w:t>甲方</w:t>
      </w:r>
      <w:r>
        <w:rPr>
          <w:rFonts w:hint="eastAsia" w:ascii="宋体" w:hAnsi="宋体"/>
          <w:color w:val="000000"/>
          <w:sz w:val="24"/>
          <w:szCs w:val="24"/>
        </w:rPr>
        <w:t>提供工程设计服务的临时性组织。</w:t>
      </w:r>
    </w:p>
    <w:p>
      <w:pPr>
        <w:autoSpaceDE w:val="0"/>
        <w:autoSpaceDN w:val="0"/>
        <w:adjustRightInd w:val="0"/>
        <w:spacing w:before="156" w:beforeLines="50"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1.21 </w:t>
      </w:r>
      <w:r>
        <w:rPr>
          <w:rFonts w:ascii="宋体" w:hAnsi="宋体"/>
          <w:color w:val="000000"/>
          <w:sz w:val="24"/>
          <w:szCs w:val="24"/>
        </w:rPr>
        <w:t>工程</w:t>
      </w:r>
      <w:r>
        <w:rPr>
          <w:rFonts w:hint="eastAsia" w:ascii="宋体" w:hAnsi="宋体"/>
          <w:color w:val="000000"/>
          <w:sz w:val="24"/>
          <w:szCs w:val="24"/>
        </w:rPr>
        <w:t>设计服务、资料与文件</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1.21.1 工程设计服务：是指设计人按照合同约定履行的服务，包括工程设计基本服务、工程设计其他服务。</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1.21.</w:t>
      </w:r>
      <w:r>
        <w:rPr>
          <w:rFonts w:hint="eastAsia" w:ascii="宋体" w:hAnsi="宋体"/>
          <w:color w:val="000000"/>
          <w:sz w:val="24"/>
          <w:szCs w:val="24"/>
        </w:rPr>
        <w:t>2</w:t>
      </w:r>
      <w:r>
        <w:rPr>
          <w:rFonts w:ascii="宋体" w:hAnsi="宋体"/>
          <w:color w:val="000000"/>
          <w:sz w:val="24"/>
          <w:szCs w:val="24"/>
        </w:rPr>
        <w:t xml:space="preserve"> 工程</w:t>
      </w:r>
      <w:r>
        <w:rPr>
          <w:rFonts w:hint="eastAsia" w:ascii="宋体" w:hAnsi="宋体"/>
          <w:color w:val="000000"/>
          <w:sz w:val="24"/>
          <w:szCs w:val="24"/>
        </w:rPr>
        <w:t>设计基本服务</w:t>
      </w:r>
      <w:r>
        <w:rPr>
          <w:rFonts w:ascii="宋体" w:hAnsi="宋体"/>
          <w:color w:val="000000"/>
          <w:sz w:val="24"/>
          <w:szCs w:val="24"/>
        </w:rPr>
        <w:t>：是指</w:t>
      </w:r>
      <w:r>
        <w:rPr>
          <w:rFonts w:hint="eastAsia" w:ascii="宋体" w:hAnsi="宋体"/>
          <w:color w:val="000000"/>
          <w:sz w:val="24"/>
          <w:szCs w:val="24"/>
        </w:rPr>
        <w:t>设计人根据</w:t>
      </w:r>
      <w:r>
        <w:rPr>
          <w:rFonts w:hint="eastAsia" w:ascii="宋体" w:hAnsi="宋体"/>
          <w:color w:val="000000"/>
          <w:sz w:val="24"/>
          <w:szCs w:val="24"/>
          <w:lang w:eastAsia="zh-CN"/>
        </w:rPr>
        <w:t>甲方</w:t>
      </w:r>
      <w:r>
        <w:rPr>
          <w:rFonts w:hint="eastAsia" w:ascii="宋体" w:hAnsi="宋体"/>
          <w:color w:val="000000"/>
          <w:sz w:val="24"/>
          <w:szCs w:val="24"/>
        </w:rPr>
        <w:t>的委托，提供编制专业建设工程初步设计文件（含初步设计概算）、施工图设计文件服务，并相应提供设计技术交底、解决施工中的设计技术问题、参加试车（试运行）考核和竣工验收等服务。基本服务费用包含在设计费中。</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1.21.3 工程设计其他服务：是指</w:t>
      </w:r>
      <w:r>
        <w:rPr>
          <w:rFonts w:hint="eastAsia" w:ascii="宋体" w:hAnsi="宋体"/>
          <w:color w:val="000000"/>
          <w:sz w:val="24"/>
          <w:szCs w:val="24"/>
          <w:lang w:eastAsia="zh-CN"/>
        </w:rPr>
        <w:t>甲方</w:t>
      </w:r>
      <w:r>
        <w:rPr>
          <w:rFonts w:hint="eastAsia" w:ascii="宋体" w:hAnsi="宋体"/>
          <w:color w:val="000000"/>
          <w:sz w:val="24"/>
          <w:szCs w:val="24"/>
        </w:rPr>
        <w:t>根据工程设计实际需要，要求设计人另行提供且</w:t>
      </w:r>
      <w:r>
        <w:rPr>
          <w:rFonts w:hint="eastAsia" w:ascii="宋体" w:hAnsi="宋体"/>
          <w:color w:val="000000"/>
          <w:sz w:val="24"/>
          <w:szCs w:val="24"/>
          <w:lang w:eastAsia="zh-CN"/>
        </w:rPr>
        <w:t>甲方</w:t>
      </w:r>
      <w:r>
        <w:rPr>
          <w:rFonts w:hint="eastAsia" w:ascii="宋体" w:hAnsi="宋体"/>
          <w:color w:val="000000"/>
          <w:sz w:val="24"/>
          <w:szCs w:val="24"/>
        </w:rPr>
        <w:t>应当单独支付费用的服务，包括总体设计服务、主体设计协调服务、采用标准设计和复用设计服务、非标准设备设计文件编制服务、施工图预算（含设计（工程变更）预算）编制服务、竣工图编制及审核服务等。</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1.21.4 暂停设计：是指发生设计人不能按照合同约定履行全部或部分义务情形而暂时中断工程设计服务的行为。</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1.21.5 工程设计资料：是指根据合同约定，</w:t>
      </w:r>
      <w:r>
        <w:rPr>
          <w:rFonts w:hint="eastAsia" w:ascii="宋体" w:hAnsi="宋体"/>
          <w:color w:val="000000"/>
          <w:sz w:val="24"/>
          <w:szCs w:val="24"/>
          <w:lang w:eastAsia="zh-CN"/>
        </w:rPr>
        <w:t>甲方</w:t>
      </w:r>
      <w:r>
        <w:rPr>
          <w:rFonts w:hint="eastAsia" w:ascii="宋体" w:hAnsi="宋体"/>
          <w:color w:val="000000"/>
          <w:sz w:val="24"/>
          <w:szCs w:val="24"/>
        </w:rPr>
        <w:t>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1.21.6 工程设计文件：指按照合同约定和技术要求，由设计人向</w:t>
      </w:r>
      <w:r>
        <w:rPr>
          <w:rFonts w:hint="eastAsia" w:ascii="宋体" w:hAnsi="宋体"/>
          <w:color w:val="000000"/>
          <w:sz w:val="24"/>
          <w:szCs w:val="24"/>
          <w:lang w:eastAsia="zh-CN"/>
        </w:rPr>
        <w:t>甲方</w:t>
      </w:r>
      <w:r>
        <w:rPr>
          <w:rFonts w:hint="eastAsia" w:ascii="宋体" w:hAnsi="宋体"/>
          <w:color w:val="000000"/>
          <w:sz w:val="24"/>
          <w:szCs w:val="24"/>
        </w:rPr>
        <w:t>提供的阶段性成果、最终工作成果等，且应当采用合同中双方约定的载体。</w:t>
      </w:r>
    </w:p>
    <w:p>
      <w:pPr>
        <w:autoSpaceDE w:val="0"/>
        <w:autoSpaceDN w:val="0"/>
        <w:adjustRightInd w:val="0"/>
        <w:spacing w:after="156" w:afterLines="50" w:line="300" w:lineRule="auto"/>
        <w:ind w:firstLine="480" w:firstLineChars="200"/>
        <w:jc w:val="left"/>
        <w:rPr>
          <w:rFonts w:ascii="宋体" w:hAnsi="宋体"/>
          <w:color w:val="000000"/>
          <w:sz w:val="24"/>
          <w:szCs w:val="24"/>
        </w:rPr>
      </w:pPr>
      <w:bookmarkStart w:id="17" w:name="_Toc351203499"/>
      <w:r>
        <w:rPr>
          <w:rFonts w:ascii="宋体" w:hAnsi="宋体"/>
          <w:color w:val="000000"/>
          <w:sz w:val="24"/>
          <w:szCs w:val="24"/>
        </w:rPr>
        <w:t>1.</w:t>
      </w:r>
      <w:r>
        <w:rPr>
          <w:rFonts w:hint="eastAsia" w:ascii="宋体" w:hAnsi="宋体"/>
          <w:color w:val="000000"/>
          <w:sz w:val="24"/>
          <w:szCs w:val="24"/>
        </w:rPr>
        <w:t>22 技术</w:t>
      </w:r>
      <w:r>
        <w:rPr>
          <w:rFonts w:ascii="宋体" w:hAnsi="宋体"/>
          <w:color w:val="000000"/>
          <w:sz w:val="24"/>
          <w:szCs w:val="24"/>
        </w:rPr>
        <w:t>标准</w:t>
      </w:r>
      <w:bookmarkEnd w:id="17"/>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22</w:t>
      </w:r>
      <w:r>
        <w:rPr>
          <w:rFonts w:ascii="宋体" w:hAnsi="宋体"/>
          <w:color w:val="000000"/>
          <w:sz w:val="24"/>
          <w:szCs w:val="24"/>
        </w:rPr>
        <w:t>.1 适用于工程的</w:t>
      </w:r>
      <w:r>
        <w:rPr>
          <w:rFonts w:hint="eastAsia" w:ascii="宋体" w:hAnsi="宋体"/>
          <w:color w:val="000000"/>
          <w:sz w:val="24"/>
          <w:szCs w:val="24"/>
        </w:rPr>
        <w:t>现行有效的</w:t>
      </w:r>
      <w:r>
        <w:rPr>
          <w:rFonts w:ascii="宋体" w:hAnsi="宋体"/>
          <w:color w:val="000000"/>
          <w:sz w:val="24"/>
          <w:szCs w:val="24"/>
        </w:rPr>
        <w:t>国家标准、行业标准、工程所在地的地方性标准，以及相应的规范、规程等，合同当事人有特别要求的，应在专用合同条款中约定。</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22</w:t>
      </w:r>
      <w:r>
        <w:rPr>
          <w:rFonts w:ascii="宋体" w:hAnsi="宋体"/>
          <w:color w:val="000000"/>
          <w:sz w:val="24"/>
          <w:szCs w:val="24"/>
        </w:rPr>
        <w:t xml:space="preserve">.2 </w:t>
      </w:r>
      <w:r>
        <w:rPr>
          <w:rFonts w:hint="eastAsia" w:ascii="宋体" w:hAnsi="宋体"/>
          <w:color w:val="000000"/>
          <w:sz w:val="24"/>
          <w:szCs w:val="24"/>
          <w:lang w:eastAsia="zh-CN"/>
        </w:rPr>
        <w:t>甲方</w:t>
      </w:r>
      <w:r>
        <w:rPr>
          <w:rFonts w:ascii="宋体" w:hAnsi="宋体"/>
          <w:color w:val="000000"/>
          <w:sz w:val="24"/>
          <w:szCs w:val="24"/>
        </w:rPr>
        <w:t>要求使用国外</w:t>
      </w:r>
      <w:r>
        <w:rPr>
          <w:rFonts w:hint="eastAsia" w:ascii="宋体" w:hAnsi="宋体"/>
          <w:color w:val="000000"/>
          <w:sz w:val="24"/>
          <w:szCs w:val="24"/>
        </w:rPr>
        <w:t>技术</w:t>
      </w:r>
      <w:r>
        <w:rPr>
          <w:rFonts w:ascii="宋体" w:hAnsi="宋体"/>
          <w:color w:val="000000"/>
          <w:sz w:val="24"/>
          <w:szCs w:val="24"/>
        </w:rPr>
        <w:t>标准的，</w:t>
      </w:r>
      <w:r>
        <w:rPr>
          <w:rFonts w:hint="eastAsia" w:ascii="宋体" w:hAnsi="宋体"/>
          <w:color w:val="000000"/>
          <w:sz w:val="24"/>
          <w:szCs w:val="24"/>
          <w:lang w:eastAsia="zh-CN"/>
        </w:rPr>
        <w:t>甲方</w:t>
      </w:r>
      <w:r>
        <w:rPr>
          <w:rFonts w:hint="eastAsia" w:ascii="宋体" w:hAnsi="宋体"/>
          <w:color w:val="000000"/>
          <w:sz w:val="24"/>
          <w:szCs w:val="24"/>
        </w:rPr>
        <w:t>与设计人</w:t>
      </w:r>
      <w:r>
        <w:rPr>
          <w:rFonts w:ascii="宋体" w:hAnsi="宋体"/>
          <w:color w:val="000000"/>
          <w:sz w:val="24"/>
          <w:szCs w:val="24"/>
        </w:rPr>
        <w:t>在专用合同条款中约定原文版本和中文译本</w:t>
      </w:r>
      <w:r>
        <w:rPr>
          <w:rFonts w:hint="eastAsia" w:ascii="宋体" w:hAnsi="宋体"/>
          <w:color w:val="000000"/>
          <w:sz w:val="24"/>
          <w:szCs w:val="24"/>
        </w:rPr>
        <w:t>提供方及</w:t>
      </w:r>
      <w:r>
        <w:rPr>
          <w:rFonts w:ascii="宋体" w:hAnsi="宋体"/>
          <w:color w:val="000000"/>
          <w:sz w:val="24"/>
          <w:szCs w:val="24"/>
        </w:rPr>
        <w:t>提供标准的名称、份数</w:t>
      </w:r>
      <w:r>
        <w:rPr>
          <w:rFonts w:hint="eastAsia" w:ascii="宋体" w:hAnsi="宋体"/>
          <w:color w:val="000000"/>
          <w:sz w:val="24"/>
          <w:szCs w:val="24"/>
        </w:rPr>
        <w:t>、</w:t>
      </w:r>
      <w:r>
        <w:rPr>
          <w:rFonts w:ascii="宋体" w:hAnsi="宋体"/>
          <w:color w:val="000000"/>
          <w:sz w:val="24"/>
          <w:szCs w:val="24"/>
        </w:rPr>
        <w:t>时间</w:t>
      </w:r>
      <w:r>
        <w:rPr>
          <w:rFonts w:hint="eastAsia" w:ascii="宋体" w:hAnsi="宋体"/>
          <w:color w:val="000000"/>
          <w:sz w:val="24"/>
          <w:szCs w:val="24"/>
        </w:rPr>
        <w:t>及费用承担等事项</w:t>
      </w:r>
      <w:r>
        <w:rPr>
          <w:rFonts w:ascii="宋体" w:hAnsi="宋体"/>
          <w:color w:val="000000"/>
          <w:sz w:val="24"/>
          <w:szCs w:val="24"/>
        </w:rPr>
        <w:t>。</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22</w:t>
      </w:r>
      <w:r>
        <w:rPr>
          <w:rFonts w:ascii="宋体" w:hAnsi="宋体"/>
          <w:color w:val="000000"/>
          <w:sz w:val="24"/>
          <w:szCs w:val="24"/>
        </w:rPr>
        <w:t xml:space="preserve">.3 </w:t>
      </w:r>
      <w:r>
        <w:rPr>
          <w:rFonts w:hint="eastAsia" w:ascii="宋体" w:hAnsi="宋体"/>
          <w:color w:val="000000"/>
          <w:sz w:val="24"/>
          <w:szCs w:val="24"/>
          <w:lang w:eastAsia="zh-CN"/>
        </w:rPr>
        <w:t>甲方</w:t>
      </w:r>
      <w:r>
        <w:rPr>
          <w:rFonts w:ascii="宋体" w:hAnsi="宋体"/>
          <w:color w:val="000000"/>
          <w:sz w:val="24"/>
          <w:szCs w:val="24"/>
        </w:rPr>
        <w:t>对工程的技术标准、功能要求高于或严于现行国家、行业或地方标准的，应当在专用合同条款中予以明确。除专用合同条款另有约定外，应视为</w:t>
      </w:r>
      <w:r>
        <w:rPr>
          <w:rFonts w:hint="eastAsia" w:ascii="宋体" w:hAnsi="宋体"/>
          <w:color w:val="000000"/>
          <w:sz w:val="24"/>
          <w:szCs w:val="24"/>
        </w:rPr>
        <w:t>设计人</w:t>
      </w:r>
      <w:r>
        <w:rPr>
          <w:rFonts w:ascii="宋体" w:hAnsi="宋体"/>
          <w:color w:val="000000"/>
          <w:sz w:val="24"/>
          <w:szCs w:val="24"/>
        </w:rPr>
        <w:t>在签订合同前已充分预见前述技术标准和功能要求的复杂程度，签约合同价中已包含由此产生的</w:t>
      </w:r>
      <w:r>
        <w:rPr>
          <w:rFonts w:hint="eastAsia" w:ascii="宋体" w:hAnsi="宋体"/>
          <w:color w:val="000000"/>
          <w:sz w:val="24"/>
          <w:szCs w:val="24"/>
        </w:rPr>
        <w:t>设计</w:t>
      </w:r>
      <w:r>
        <w:rPr>
          <w:rFonts w:ascii="宋体" w:hAnsi="宋体"/>
          <w:color w:val="000000"/>
          <w:sz w:val="24"/>
          <w:szCs w:val="24"/>
        </w:rPr>
        <w:t>费用。</w:t>
      </w:r>
    </w:p>
    <w:p>
      <w:pPr>
        <w:autoSpaceDE w:val="0"/>
        <w:autoSpaceDN w:val="0"/>
        <w:adjustRightInd w:val="0"/>
        <w:spacing w:after="156" w:afterLines="50" w:line="300" w:lineRule="auto"/>
        <w:ind w:firstLine="480" w:firstLineChars="200"/>
        <w:jc w:val="left"/>
        <w:rPr>
          <w:rFonts w:ascii="宋体" w:hAnsi="宋体"/>
          <w:color w:val="000000"/>
          <w:sz w:val="24"/>
          <w:szCs w:val="24"/>
        </w:rPr>
      </w:pPr>
      <w:bookmarkStart w:id="18" w:name="_Toc351203502"/>
      <w:r>
        <w:rPr>
          <w:rFonts w:ascii="宋体" w:hAnsi="宋体"/>
          <w:color w:val="000000"/>
          <w:sz w:val="24"/>
          <w:szCs w:val="24"/>
        </w:rPr>
        <w:t>1</w:t>
      </w:r>
      <w:bookmarkStart w:id="19" w:name="_Toc296346534"/>
      <w:bookmarkStart w:id="20" w:name="_Toc337558733"/>
      <w:bookmarkStart w:id="21" w:name="_Toc296503033"/>
      <w:r>
        <w:rPr>
          <w:rFonts w:ascii="宋体" w:hAnsi="宋体"/>
          <w:color w:val="000000"/>
          <w:sz w:val="24"/>
          <w:szCs w:val="24"/>
        </w:rPr>
        <w:t>.</w:t>
      </w:r>
      <w:r>
        <w:rPr>
          <w:rFonts w:hint="eastAsia" w:ascii="宋体" w:hAnsi="宋体"/>
          <w:color w:val="000000"/>
          <w:sz w:val="24"/>
          <w:szCs w:val="24"/>
        </w:rPr>
        <w:t xml:space="preserve">23 </w:t>
      </w:r>
      <w:r>
        <w:rPr>
          <w:rFonts w:ascii="宋体" w:hAnsi="宋体"/>
          <w:color w:val="000000"/>
          <w:sz w:val="24"/>
          <w:szCs w:val="24"/>
        </w:rPr>
        <w:t>联络</w:t>
      </w:r>
      <w:bookmarkEnd w:id="18"/>
    </w:p>
    <w:bookmarkEnd w:id="19"/>
    <w:bookmarkEnd w:id="20"/>
    <w:bookmarkEnd w:id="21"/>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23</w:t>
      </w:r>
      <w:r>
        <w:rPr>
          <w:rFonts w:ascii="宋体" w:hAnsi="宋体"/>
          <w:color w:val="000000"/>
          <w:sz w:val="24"/>
          <w:szCs w:val="24"/>
        </w:rPr>
        <w:t>.1 与合同有关的通知、批准、证明、证书、指示、指令、要求、请求、同意、确定和决定等，均应采用书面形式，并应在合同约定的期限内送达接收人和送达地点。</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23</w:t>
      </w:r>
      <w:r>
        <w:rPr>
          <w:rFonts w:ascii="宋体" w:hAnsi="宋体"/>
          <w:color w:val="000000"/>
          <w:sz w:val="24"/>
          <w:szCs w:val="24"/>
        </w:rPr>
        <w:t xml:space="preserve">.2 </w:t>
      </w:r>
      <w:r>
        <w:rPr>
          <w:rFonts w:hint="eastAsia" w:ascii="宋体" w:hAnsi="宋体"/>
          <w:color w:val="000000"/>
          <w:sz w:val="24"/>
          <w:szCs w:val="24"/>
          <w:lang w:eastAsia="zh-CN"/>
        </w:rPr>
        <w:t>甲方</w:t>
      </w:r>
      <w:r>
        <w:rPr>
          <w:rFonts w:ascii="宋体" w:hAnsi="宋体"/>
          <w:color w:val="000000"/>
          <w:sz w:val="24"/>
          <w:szCs w:val="24"/>
        </w:rPr>
        <w:t>和</w:t>
      </w:r>
      <w:r>
        <w:rPr>
          <w:rFonts w:hint="eastAsia" w:ascii="宋体" w:hAnsi="宋体"/>
          <w:color w:val="000000"/>
          <w:sz w:val="24"/>
          <w:szCs w:val="24"/>
        </w:rPr>
        <w:t>设计</w:t>
      </w:r>
      <w:r>
        <w:rPr>
          <w:rFonts w:ascii="宋体" w:hAnsi="宋体"/>
          <w:color w:val="000000"/>
          <w:sz w:val="24"/>
          <w:szCs w:val="24"/>
        </w:rPr>
        <w:t>人应在专用合同条款中约定各自的送达接收人</w:t>
      </w:r>
      <w:r>
        <w:rPr>
          <w:rFonts w:hint="eastAsia" w:ascii="宋体" w:hAnsi="宋体"/>
          <w:color w:val="000000"/>
          <w:sz w:val="24"/>
          <w:szCs w:val="24"/>
        </w:rPr>
        <w:t>、</w:t>
      </w:r>
      <w:r>
        <w:rPr>
          <w:rFonts w:ascii="宋体" w:hAnsi="宋体"/>
          <w:color w:val="000000"/>
          <w:sz w:val="24"/>
          <w:szCs w:val="24"/>
        </w:rPr>
        <w:t>送达地点</w:t>
      </w:r>
      <w:r>
        <w:rPr>
          <w:rFonts w:hint="eastAsia" w:ascii="宋体" w:hAnsi="宋体"/>
          <w:color w:val="000000"/>
          <w:sz w:val="24"/>
          <w:szCs w:val="24"/>
        </w:rPr>
        <w:t>、电子邮箱</w:t>
      </w:r>
      <w:r>
        <w:rPr>
          <w:rFonts w:ascii="宋体" w:hAnsi="宋体"/>
          <w:color w:val="000000"/>
          <w:sz w:val="24"/>
          <w:szCs w:val="24"/>
        </w:rPr>
        <w:t>。任何一方合同当事人指定的接收人或送达地点</w:t>
      </w:r>
      <w:r>
        <w:rPr>
          <w:rFonts w:hint="eastAsia" w:ascii="宋体" w:hAnsi="宋体"/>
          <w:color w:val="000000"/>
          <w:sz w:val="24"/>
          <w:szCs w:val="24"/>
        </w:rPr>
        <w:t>或电子邮箱</w:t>
      </w:r>
      <w:r>
        <w:rPr>
          <w:rFonts w:ascii="宋体" w:hAnsi="宋体"/>
          <w:color w:val="000000"/>
          <w:sz w:val="24"/>
          <w:szCs w:val="24"/>
        </w:rPr>
        <w:t>发生变动的，应提前3天以书面形式通知对方</w:t>
      </w:r>
      <w:r>
        <w:rPr>
          <w:rFonts w:hint="eastAsia" w:ascii="宋体" w:hAnsi="宋体"/>
          <w:color w:val="000000"/>
          <w:sz w:val="24"/>
          <w:szCs w:val="24"/>
        </w:rPr>
        <w:t>，否则视为未发生变动。</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23</w:t>
      </w:r>
      <w:r>
        <w:rPr>
          <w:rFonts w:ascii="宋体" w:hAnsi="宋体"/>
          <w:color w:val="000000"/>
          <w:sz w:val="24"/>
          <w:szCs w:val="24"/>
        </w:rPr>
        <w:t xml:space="preserve">.3 </w:t>
      </w:r>
      <w:r>
        <w:rPr>
          <w:rFonts w:hint="eastAsia" w:ascii="宋体" w:hAnsi="宋体"/>
          <w:color w:val="000000"/>
          <w:sz w:val="24"/>
          <w:szCs w:val="24"/>
          <w:lang w:eastAsia="zh-CN"/>
        </w:rPr>
        <w:t>甲方</w:t>
      </w:r>
      <w:r>
        <w:rPr>
          <w:rFonts w:ascii="宋体" w:hAnsi="宋体"/>
          <w:color w:val="000000"/>
          <w:sz w:val="24"/>
          <w:szCs w:val="24"/>
        </w:rPr>
        <w:t>和</w:t>
      </w:r>
      <w:r>
        <w:rPr>
          <w:rFonts w:hint="eastAsia" w:ascii="宋体" w:hAnsi="宋体"/>
          <w:color w:val="000000"/>
          <w:sz w:val="24"/>
          <w:szCs w:val="24"/>
        </w:rPr>
        <w:t>设计</w:t>
      </w:r>
      <w:r>
        <w:rPr>
          <w:rFonts w:ascii="宋体" w:hAnsi="宋体"/>
          <w:color w:val="000000"/>
          <w:sz w:val="24"/>
          <w:szCs w:val="24"/>
        </w:rPr>
        <w:t>人应当及时签收另一方送达至送达地点和指定接收人的来往信函</w:t>
      </w:r>
      <w:r>
        <w:rPr>
          <w:rFonts w:hint="eastAsia" w:ascii="宋体" w:hAnsi="宋体"/>
          <w:color w:val="000000"/>
          <w:sz w:val="24"/>
          <w:szCs w:val="24"/>
        </w:rPr>
        <w:t>，如确有充分证据证明一方无正当理由拒不签收的，视为拒绝签收一方认可往来信函的内容</w:t>
      </w:r>
      <w:r>
        <w:rPr>
          <w:rFonts w:ascii="宋体" w:hAnsi="宋体"/>
          <w:color w:val="000000"/>
          <w:sz w:val="24"/>
          <w:szCs w:val="24"/>
        </w:rPr>
        <w:t>。</w:t>
      </w:r>
    </w:p>
    <w:p>
      <w:pPr>
        <w:autoSpaceDE w:val="0"/>
        <w:autoSpaceDN w:val="0"/>
        <w:adjustRightInd w:val="0"/>
        <w:spacing w:after="156" w:afterLines="50" w:line="300" w:lineRule="auto"/>
        <w:ind w:firstLine="480" w:firstLineChars="200"/>
        <w:jc w:val="left"/>
        <w:rPr>
          <w:rFonts w:ascii="宋体" w:hAnsi="宋体"/>
          <w:color w:val="000000"/>
          <w:sz w:val="24"/>
          <w:szCs w:val="24"/>
        </w:rPr>
      </w:pPr>
      <w:bookmarkStart w:id="22" w:name="_Toc351203503"/>
      <w:r>
        <w:rPr>
          <w:rFonts w:ascii="宋体" w:hAnsi="宋体"/>
          <w:color w:val="000000"/>
          <w:sz w:val="24"/>
          <w:szCs w:val="24"/>
        </w:rPr>
        <w:t>1</w:t>
      </w:r>
      <w:bookmarkStart w:id="23" w:name="_Toc337558734"/>
      <w:bookmarkStart w:id="24" w:name="_Toc296503035"/>
      <w:bookmarkStart w:id="25" w:name="_Toc296346536"/>
      <w:r>
        <w:rPr>
          <w:rFonts w:ascii="宋体" w:hAnsi="宋体"/>
          <w:color w:val="000000"/>
          <w:sz w:val="24"/>
          <w:szCs w:val="24"/>
        </w:rPr>
        <w:t>.</w:t>
      </w:r>
      <w:r>
        <w:rPr>
          <w:rFonts w:hint="eastAsia" w:ascii="宋体" w:hAnsi="宋体"/>
          <w:color w:val="000000"/>
          <w:sz w:val="24"/>
          <w:szCs w:val="24"/>
        </w:rPr>
        <w:t xml:space="preserve">24 </w:t>
      </w:r>
      <w:r>
        <w:rPr>
          <w:rFonts w:ascii="宋体" w:hAnsi="宋体"/>
          <w:color w:val="000000"/>
          <w:sz w:val="24"/>
          <w:szCs w:val="24"/>
        </w:rPr>
        <w:t>严禁贿赂</w:t>
      </w:r>
      <w:bookmarkEnd w:id="22"/>
    </w:p>
    <w:bookmarkEnd w:id="23"/>
    <w:bookmarkEnd w:id="24"/>
    <w:bookmarkEnd w:id="25"/>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合同当事人不得以贿赂或变相贿赂的方式，谋取非法利益或损害对方权益。因一方合同当事人的贿赂造成对方损失的，应赔偿损失，</w:t>
      </w:r>
      <w:r>
        <w:rPr>
          <w:rFonts w:hint="eastAsia" w:ascii="宋体" w:hAnsi="宋体"/>
          <w:color w:val="000000"/>
          <w:sz w:val="24"/>
          <w:szCs w:val="24"/>
        </w:rPr>
        <w:t>并</w:t>
      </w:r>
      <w:r>
        <w:rPr>
          <w:rFonts w:ascii="宋体" w:hAnsi="宋体"/>
          <w:color w:val="000000"/>
          <w:sz w:val="24"/>
          <w:szCs w:val="24"/>
        </w:rPr>
        <w:t>承担相应的法律责任。</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1</w:t>
      </w:r>
      <w:bookmarkStart w:id="26" w:name="_Toc337558738"/>
      <w:r>
        <w:rPr>
          <w:rFonts w:ascii="宋体" w:hAnsi="宋体"/>
          <w:color w:val="000000"/>
          <w:sz w:val="24"/>
          <w:szCs w:val="24"/>
        </w:rPr>
        <w:t>.</w:t>
      </w:r>
      <w:r>
        <w:rPr>
          <w:rFonts w:hint="eastAsia" w:ascii="宋体" w:hAnsi="宋体"/>
          <w:color w:val="000000"/>
          <w:sz w:val="24"/>
          <w:szCs w:val="24"/>
        </w:rPr>
        <w:t xml:space="preserve">25 </w:t>
      </w:r>
      <w:r>
        <w:rPr>
          <w:rFonts w:ascii="宋体" w:hAnsi="宋体"/>
          <w:color w:val="000000"/>
          <w:sz w:val="24"/>
          <w:szCs w:val="24"/>
        </w:rPr>
        <w:t>保密</w:t>
      </w:r>
    </w:p>
    <w:bookmarkEnd w:id="26"/>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除法律规定或合同另有约定外，未经</w:t>
      </w:r>
      <w:r>
        <w:rPr>
          <w:rFonts w:hint="eastAsia" w:ascii="宋体" w:hAnsi="宋体"/>
          <w:color w:val="000000"/>
          <w:sz w:val="24"/>
          <w:szCs w:val="24"/>
          <w:lang w:eastAsia="zh-CN"/>
        </w:rPr>
        <w:t>甲方</w:t>
      </w:r>
      <w:r>
        <w:rPr>
          <w:rFonts w:ascii="宋体" w:hAnsi="宋体"/>
          <w:color w:val="000000"/>
          <w:sz w:val="24"/>
          <w:szCs w:val="24"/>
        </w:rPr>
        <w:t>同意，</w:t>
      </w:r>
      <w:r>
        <w:rPr>
          <w:rFonts w:hint="eastAsia" w:ascii="宋体" w:hAnsi="宋体"/>
          <w:color w:val="000000"/>
          <w:sz w:val="24"/>
          <w:szCs w:val="24"/>
        </w:rPr>
        <w:t>设计</w:t>
      </w:r>
      <w:r>
        <w:rPr>
          <w:rFonts w:ascii="宋体" w:hAnsi="宋体"/>
          <w:color w:val="000000"/>
          <w:sz w:val="24"/>
          <w:szCs w:val="24"/>
        </w:rPr>
        <w:t>人不得将</w:t>
      </w:r>
      <w:r>
        <w:rPr>
          <w:rFonts w:hint="eastAsia" w:ascii="宋体" w:hAnsi="宋体"/>
          <w:color w:val="000000"/>
          <w:sz w:val="24"/>
          <w:szCs w:val="24"/>
          <w:lang w:eastAsia="zh-CN"/>
        </w:rPr>
        <w:t>甲方</w:t>
      </w:r>
      <w:r>
        <w:rPr>
          <w:rFonts w:ascii="宋体" w:hAnsi="宋体"/>
          <w:color w:val="000000"/>
          <w:sz w:val="24"/>
          <w:szCs w:val="24"/>
        </w:rPr>
        <w:t>提供的图纸、文件以及声明需要保密的资料信息等商业秘密泄露给第三方。</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ascii="宋体" w:hAnsi="宋体"/>
          <w:color w:val="000000"/>
          <w:sz w:val="24"/>
          <w:szCs w:val="24"/>
        </w:rPr>
        <w:t>除法律规定或合同另有约定外，未经</w:t>
      </w:r>
      <w:r>
        <w:rPr>
          <w:rFonts w:hint="eastAsia" w:ascii="宋体" w:hAnsi="宋体"/>
          <w:color w:val="000000"/>
          <w:sz w:val="24"/>
          <w:szCs w:val="24"/>
        </w:rPr>
        <w:t>设计</w:t>
      </w:r>
      <w:r>
        <w:rPr>
          <w:rFonts w:ascii="宋体" w:hAnsi="宋体"/>
          <w:color w:val="000000"/>
          <w:sz w:val="24"/>
          <w:szCs w:val="24"/>
        </w:rPr>
        <w:t>人同意，</w:t>
      </w:r>
      <w:r>
        <w:rPr>
          <w:rFonts w:hint="eastAsia" w:ascii="宋体" w:hAnsi="宋体"/>
          <w:color w:val="000000"/>
          <w:sz w:val="24"/>
          <w:szCs w:val="24"/>
          <w:lang w:eastAsia="zh-CN"/>
        </w:rPr>
        <w:t>甲方</w:t>
      </w:r>
      <w:r>
        <w:rPr>
          <w:rFonts w:ascii="宋体" w:hAnsi="宋体"/>
          <w:color w:val="000000"/>
          <w:sz w:val="24"/>
          <w:szCs w:val="24"/>
        </w:rPr>
        <w:t>不得将</w:t>
      </w:r>
      <w:r>
        <w:rPr>
          <w:rFonts w:hint="eastAsia" w:ascii="宋体" w:hAnsi="宋体"/>
          <w:color w:val="000000"/>
          <w:sz w:val="24"/>
          <w:szCs w:val="24"/>
        </w:rPr>
        <w:t>设计</w:t>
      </w:r>
      <w:r>
        <w:rPr>
          <w:rFonts w:ascii="宋体" w:hAnsi="宋体"/>
          <w:color w:val="000000"/>
          <w:sz w:val="24"/>
          <w:szCs w:val="24"/>
        </w:rPr>
        <w:t>人提供的</w:t>
      </w:r>
      <w:r>
        <w:rPr>
          <w:rFonts w:hint="eastAsia" w:ascii="宋体" w:hAnsi="宋体"/>
          <w:color w:val="000000"/>
          <w:sz w:val="24"/>
          <w:szCs w:val="24"/>
        </w:rPr>
        <w:t>技术文件、技术成果、</w:t>
      </w:r>
      <w:r>
        <w:rPr>
          <w:rFonts w:ascii="宋体" w:hAnsi="宋体"/>
          <w:color w:val="000000"/>
          <w:sz w:val="24"/>
          <w:szCs w:val="24"/>
        </w:rPr>
        <w:t>技术秘密及声明需要保密的资料信息等商业秘密泄露给第三方。</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保密期限由</w:t>
      </w:r>
      <w:r>
        <w:rPr>
          <w:rFonts w:hint="eastAsia" w:ascii="宋体" w:hAnsi="宋体"/>
          <w:color w:val="000000"/>
          <w:sz w:val="24"/>
          <w:szCs w:val="24"/>
          <w:lang w:eastAsia="zh-CN"/>
        </w:rPr>
        <w:t>甲方</w:t>
      </w:r>
      <w:r>
        <w:rPr>
          <w:rFonts w:hint="eastAsia" w:ascii="宋体" w:hAnsi="宋体"/>
          <w:color w:val="000000"/>
          <w:sz w:val="24"/>
          <w:szCs w:val="24"/>
        </w:rPr>
        <w:t>与设计人在专用合同条款中约定。</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1.26 保险</w:t>
      </w:r>
    </w:p>
    <w:p>
      <w:pPr>
        <w:autoSpaceDE w:val="0"/>
        <w:autoSpaceDN w:val="0"/>
        <w:adjustRightInd w:val="0"/>
        <w:spacing w:after="156" w:afterLines="50" w:line="300" w:lineRule="auto"/>
        <w:ind w:firstLine="480" w:firstLineChars="200"/>
        <w:jc w:val="left"/>
        <w:rPr>
          <w:rFonts w:ascii="宋体" w:hAnsi="宋体"/>
          <w:color w:val="000000"/>
          <w:sz w:val="24"/>
          <w:szCs w:val="24"/>
        </w:rPr>
      </w:pPr>
      <w:r>
        <w:rPr>
          <w:rFonts w:hint="eastAsia" w:ascii="宋体" w:hAnsi="宋体"/>
          <w:color w:val="000000"/>
          <w:sz w:val="24"/>
          <w:szCs w:val="24"/>
        </w:rPr>
        <w:t>设计人需有</w:t>
      </w:r>
      <w:r>
        <w:rPr>
          <w:rFonts w:hint="eastAsia" w:ascii="宋体" w:hAnsi="宋体"/>
          <w:color w:val="000000"/>
          <w:sz w:val="24"/>
          <w:szCs w:val="24"/>
          <w:lang w:eastAsia="zh-CN"/>
        </w:rPr>
        <w:t>甲方</w:t>
      </w:r>
      <w:r>
        <w:rPr>
          <w:rFonts w:hint="eastAsia" w:ascii="宋体" w:hAnsi="宋体"/>
          <w:color w:val="000000"/>
          <w:sz w:val="24"/>
          <w:szCs w:val="24"/>
        </w:rPr>
        <w:t>认可的工程设计责任保险，勘察人需为作业人员办理额度100万元以上意外伤害保险。</w:t>
      </w:r>
    </w:p>
    <w:p>
      <w:pPr>
        <w:pStyle w:val="4"/>
        <w:spacing w:before="156"/>
      </w:pPr>
      <w:bookmarkStart w:id="27" w:name="_Toc1736131"/>
      <w:bookmarkStart w:id="28" w:name="_Toc351203632"/>
      <w:r>
        <w:rPr>
          <w:rFonts w:hint="eastAsia"/>
        </w:rPr>
        <w:t>二、勘察设计工作范围及服务内容</w:t>
      </w:r>
      <w:bookmarkEnd w:id="27"/>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（一）工程勘察任务（内容）与技术要求：</w:t>
      </w:r>
    </w:p>
    <w:p>
      <w:pPr>
        <w:spacing w:after="156" w:afterLines="50" w:line="300" w:lineRule="auto"/>
        <w:ind w:firstLine="470"/>
        <w:rPr>
          <w:rFonts w:ascii="宋体" w:hAnsi="宋体"/>
          <w:color w:val="000000"/>
          <w:sz w:val="24"/>
          <w:szCs w:val="24"/>
        </w:rPr>
      </w:pPr>
      <w:r>
        <w:rPr>
          <w:rFonts w:hint="eastAsia" w:ascii="宋体" w:hAnsi="宋体"/>
          <w:color w:val="000000"/>
          <w:sz w:val="24"/>
          <w:szCs w:val="24"/>
        </w:rPr>
        <w:t>1、本工程特点及勘察要求</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1.1对场外进场道路沿线、场内拟建</w:t>
      </w:r>
      <w:r>
        <w:rPr>
          <w:rFonts w:ascii="宋体" w:hAnsi="宋体"/>
          <w:bCs/>
          <w:kern w:val="44"/>
          <w:sz w:val="24"/>
          <w:szCs w:val="24"/>
        </w:rPr>
        <w:t>环场道路、挡坝、</w:t>
      </w:r>
      <w:r>
        <w:rPr>
          <w:rFonts w:hint="eastAsia" w:ascii="宋体" w:hAnsi="宋体"/>
          <w:bCs/>
          <w:kern w:val="44"/>
          <w:sz w:val="24"/>
          <w:szCs w:val="24"/>
        </w:rPr>
        <w:t>挡土墙及</w:t>
      </w:r>
      <w:r>
        <w:rPr>
          <w:rFonts w:ascii="宋体" w:hAnsi="宋体"/>
          <w:bCs/>
          <w:kern w:val="44"/>
          <w:sz w:val="24"/>
          <w:szCs w:val="24"/>
        </w:rPr>
        <w:t>边坡支护</w:t>
      </w:r>
      <w:r>
        <w:rPr>
          <w:rFonts w:hint="eastAsia" w:ascii="宋体" w:hAnsi="宋体"/>
          <w:bCs/>
          <w:kern w:val="44"/>
          <w:sz w:val="24"/>
          <w:szCs w:val="24"/>
        </w:rPr>
        <w:t>等相关设施进行勘察，勘察以钻探取样试验和原位测试为主，并结合地质调绘和物探为辅，资料相互验证和补充。</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1.2勘探点数量和钻孔深度应满足相关规范和设计要求，对地质条件变化较大或重点部位，宜适当加密。</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1.3取样和原位测试均应满足规范要求；取样勘探孔不少于总孔数的1/2，每孔均宜进行标贯试验。</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1.4查明拟建</w:t>
      </w:r>
      <w:r>
        <w:rPr>
          <w:rFonts w:hint="eastAsia" w:ascii="宋体" w:hAnsi="宋体"/>
          <w:sz w:val="24"/>
          <w:szCs w:val="24"/>
        </w:rPr>
        <w:t>建（构）筑物</w:t>
      </w:r>
      <w:r>
        <w:rPr>
          <w:rFonts w:hint="eastAsia" w:ascii="宋体" w:hAnsi="宋体"/>
          <w:bCs/>
          <w:kern w:val="44"/>
          <w:sz w:val="24"/>
          <w:szCs w:val="24"/>
        </w:rPr>
        <w:t>影响范围内岩土层的类型、深度、分布、工程特性和变化规律，分析和评价地基的稳定性和承载力。</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1.5查明有无可液化土层，并对有液化可能性时,应再作进一步判别，划分场地土的类型和建筑场地类别，提供抗震设计的有关参数。</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1.6查明不良地质作用的类型、成因、分布范围、发展趋势和危害程度，提出整治方案的建议。</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1.7查明埋藏的河道、沟滨、墓穴、防空洞、孤石等对工程不利的埋藏物。</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1.8查明地下水埋藏条件，提供地下水水位及其变化幅度；评价地下水的作用和影响；判定水和土对建筑材料的腐蚀性。</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1.9根据道路、挡坝和场地地质情况，对可供采用的地基基础设计方案进行论证分析，提出经济合理的基础设计方案建议，提供与设计要求相对应的地基承载力及变形计算参数，并对设计与施工应注意的问题提出建议。</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1.10根据拟建挡土墙、</w:t>
      </w:r>
      <w:r>
        <w:rPr>
          <w:rFonts w:ascii="宋体" w:hAnsi="宋体"/>
          <w:bCs/>
          <w:kern w:val="44"/>
          <w:sz w:val="24"/>
          <w:szCs w:val="24"/>
        </w:rPr>
        <w:t>边坡支护</w:t>
      </w:r>
      <w:r>
        <w:rPr>
          <w:rFonts w:hint="eastAsia" w:ascii="宋体" w:hAnsi="宋体"/>
          <w:bCs/>
          <w:kern w:val="44"/>
          <w:sz w:val="24"/>
          <w:szCs w:val="24"/>
        </w:rPr>
        <w:t>和场地地质情况，对可供采用的支护方案及地基基础设计方案进行论证分析，提出经济合理的支护方案及基础设计方案建议，提供与设计要求相对应的地基承载力及变形计算参数，并对设计与施工应注意的问题提出建议。</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1.11分析场地地质条件可能带来的工程风险。</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1.12勘察过程中如发现特殊的地质现象应及时知会设计单位，并商讨勘探点的增减。</w:t>
      </w:r>
    </w:p>
    <w:p>
      <w:pPr>
        <w:spacing w:after="156" w:afterLines="50" w:line="300" w:lineRule="auto"/>
        <w:ind w:firstLine="470"/>
        <w:rPr>
          <w:rFonts w:ascii="宋体" w:hAnsi="宋体"/>
          <w:color w:val="000000"/>
          <w:sz w:val="24"/>
          <w:szCs w:val="24"/>
        </w:rPr>
      </w:pPr>
      <w:r>
        <w:rPr>
          <w:rFonts w:hint="eastAsia" w:ascii="宋体" w:hAnsi="宋体"/>
          <w:color w:val="000000"/>
          <w:sz w:val="24"/>
          <w:szCs w:val="24"/>
        </w:rPr>
        <w:t>2、主要标准、规范及规程：</w:t>
      </w:r>
    </w:p>
    <w:p>
      <w:pPr>
        <w:spacing w:line="360" w:lineRule="auto"/>
        <w:ind w:firstLine="480" w:firstLineChars="200"/>
        <w:rPr>
          <w:rFonts w:ascii="宋体" w:hAnsi="宋体"/>
          <w:sz w:val="24"/>
          <w:szCs w:val="24"/>
        </w:rPr>
      </w:pPr>
      <w:r>
        <w:rPr>
          <w:rFonts w:hint="eastAsia" w:ascii="宋体" w:hAnsi="宋体"/>
          <w:bCs/>
          <w:kern w:val="44"/>
          <w:sz w:val="24"/>
          <w:szCs w:val="24"/>
        </w:rPr>
        <w:t>2.1勘察报告主要内容</w:t>
      </w:r>
      <w:r>
        <w:rPr>
          <w:rFonts w:hint="eastAsia" w:ascii="宋体" w:hAnsi="宋体"/>
          <w:sz w:val="24"/>
          <w:szCs w:val="24"/>
        </w:rPr>
        <w:t>应符合《房屋建筑与市政基础设施工程勘察文件编制深度规定》（2020年版）的要求。</w:t>
      </w:r>
    </w:p>
    <w:p>
      <w:pPr>
        <w:spacing w:line="360" w:lineRule="auto"/>
        <w:ind w:firstLine="480" w:firstLineChars="200"/>
        <w:rPr>
          <w:rFonts w:ascii="宋体" w:hAnsi="宋体"/>
          <w:bCs/>
          <w:kern w:val="44"/>
          <w:sz w:val="24"/>
          <w:szCs w:val="24"/>
        </w:rPr>
      </w:pPr>
      <w:r>
        <w:rPr>
          <w:rFonts w:hint="eastAsia" w:ascii="宋体" w:hAnsi="宋体"/>
          <w:bCs/>
          <w:kern w:val="44"/>
          <w:sz w:val="24"/>
          <w:szCs w:val="24"/>
        </w:rPr>
        <w:t>2.2未尽事宜按照《岩土工程勘察规范》（GB50021-2001）2009年版、《市政工程勘察规范》（JTJ56-2012）执行。</w:t>
      </w:r>
    </w:p>
    <w:p>
      <w:pPr>
        <w:pStyle w:val="94"/>
        <w:spacing w:line="300" w:lineRule="auto"/>
        <w:ind w:firstLineChars="0"/>
        <w:rPr>
          <w:rFonts w:ascii="宋体" w:hAnsi="宋体"/>
          <w:color w:val="000000"/>
          <w:sz w:val="24"/>
          <w:szCs w:val="24"/>
        </w:rPr>
      </w:pPr>
      <w:bookmarkStart w:id="29" w:name="_Toc472348838"/>
      <w:bookmarkStart w:id="30" w:name="_Toc479241771"/>
      <w:r>
        <w:rPr>
          <w:rFonts w:hint="eastAsia" w:ascii="宋体" w:hAnsi="宋体"/>
          <w:color w:val="000000"/>
          <w:sz w:val="24"/>
          <w:szCs w:val="24"/>
        </w:rPr>
        <w:t>2.3 国家、行业、广东省及广州市其它与工程勘察有关的现行标准、规范和规程。</w:t>
      </w:r>
    </w:p>
    <w:bookmarkEnd w:id="29"/>
    <w:bookmarkEnd w:id="30"/>
    <w:p>
      <w:pPr>
        <w:spacing w:line="300" w:lineRule="auto"/>
        <w:ind w:firstLine="420"/>
        <w:rPr>
          <w:rFonts w:ascii="宋体" w:hAnsi="宋体"/>
          <w:color w:val="000000"/>
          <w:sz w:val="24"/>
          <w:szCs w:val="24"/>
        </w:rPr>
      </w:pPr>
      <w:r>
        <w:rPr>
          <w:rFonts w:hint="eastAsia" w:ascii="宋体" w:hAnsi="宋体"/>
          <w:color w:val="000000"/>
          <w:sz w:val="24"/>
          <w:szCs w:val="24"/>
        </w:rPr>
        <w:t>（二）工程勘察范围及工作量：</w:t>
      </w:r>
    </w:p>
    <w:p>
      <w:pPr>
        <w:spacing w:line="300" w:lineRule="auto"/>
        <w:ind w:firstLine="420"/>
        <w:rPr>
          <w:rFonts w:ascii="宋体" w:hAnsi="宋体" w:cs="Calibri"/>
          <w:sz w:val="24"/>
          <w:szCs w:val="24"/>
        </w:rPr>
      </w:pPr>
      <w:r>
        <w:rPr>
          <w:rFonts w:hint="eastAsia" w:ascii="宋体" w:hAnsi="宋体" w:cs="Calibri"/>
          <w:sz w:val="24"/>
          <w:szCs w:val="24"/>
        </w:rPr>
        <w:t>1、</w:t>
      </w:r>
      <w:r>
        <w:rPr>
          <w:rFonts w:hint="eastAsia" w:ascii="宋体" w:hAnsi="宋体"/>
          <w:bCs/>
          <w:color w:val="000000"/>
          <w:sz w:val="24"/>
          <w:szCs w:val="24"/>
          <w:u w:val="single"/>
        </w:rPr>
        <w:t>动力电池梯次利用项目</w:t>
      </w:r>
      <w:r>
        <w:rPr>
          <w:rFonts w:hint="eastAsia" w:ascii="宋体" w:hAnsi="宋体" w:cs="Calibri"/>
          <w:sz w:val="24"/>
          <w:szCs w:val="24"/>
        </w:rPr>
        <w:t>现场勘察范围</w:t>
      </w:r>
      <w:bookmarkStart w:id="31" w:name="_Toc479241661"/>
      <w:r>
        <w:rPr>
          <w:rFonts w:hint="eastAsia" w:ascii="宋体" w:hAnsi="宋体" w:cs="Calibri"/>
          <w:sz w:val="24"/>
          <w:szCs w:val="24"/>
        </w:rPr>
        <w:t>包括并不限于以下内容（</w:t>
      </w:r>
      <w:r>
        <w:rPr>
          <w:rFonts w:hint="eastAsia" w:ascii="宋体" w:hAnsi="宋体" w:cs="Calibri"/>
          <w:b/>
          <w:sz w:val="24"/>
          <w:szCs w:val="24"/>
        </w:rPr>
        <w:t>具体以招标文件、合同附件二：</w:t>
      </w:r>
      <w:r>
        <w:rPr>
          <w:rFonts w:hint="eastAsia" w:ascii="宋体" w:hAnsi="宋体"/>
          <w:bCs/>
          <w:color w:val="000000"/>
          <w:sz w:val="24"/>
          <w:szCs w:val="24"/>
          <w:u w:val="single"/>
        </w:rPr>
        <w:t>动力电池梯次利用项目</w:t>
      </w:r>
      <w:r>
        <w:rPr>
          <w:rFonts w:ascii="宋体" w:hAnsi="宋体"/>
          <w:bCs/>
          <w:color w:val="000000"/>
          <w:sz w:val="24"/>
          <w:szCs w:val="24"/>
          <w:lang w:val="zh-CN"/>
        </w:rPr>
        <w:t>勘察设计</w:t>
      </w:r>
      <w:r>
        <w:rPr>
          <w:rFonts w:ascii="宋体" w:hAnsi="宋体" w:cs="Calibri"/>
          <w:b/>
          <w:sz w:val="24"/>
          <w:szCs w:val="24"/>
        </w:rPr>
        <w:t>任务书</w:t>
      </w:r>
      <w:r>
        <w:rPr>
          <w:rFonts w:hint="eastAsia" w:ascii="宋体" w:hAnsi="宋体" w:cs="Calibri"/>
          <w:b/>
          <w:sz w:val="24"/>
          <w:szCs w:val="24"/>
        </w:rPr>
        <w:t>、设计图纸及现场实物工作量为准</w:t>
      </w:r>
      <w:r>
        <w:rPr>
          <w:rFonts w:hint="eastAsia" w:ascii="宋体" w:hAnsi="宋体" w:cs="Calibri"/>
          <w:sz w:val="24"/>
          <w:szCs w:val="24"/>
        </w:rPr>
        <w:t>）：</w:t>
      </w:r>
      <w:bookmarkEnd w:id="31"/>
    </w:p>
    <w:p>
      <w:pPr>
        <w:pStyle w:val="94"/>
        <w:numPr>
          <w:ilvl w:val="0"/>
          <w:numId w:val="1"/>
        </w:numPr>
        <w:spacing w:line="300" w:lineRule="auto"/>
        <w:ind w:firstLineChars="0"/>
        <w:rPr>
          <w:rFonts w:ascii="宋体" w:hAnsi="宋体" w:cs="Calibri"/>
          <w:sz w:val="24"/>
          <w:szCs w:val="24"/>
        </w:rPr>
      </w:pPr>
      <w:bookmarkStart w:id="32" w:name="_Toc479241662"/>
      <w:r>
        <w:rPr>
          <w:rFonts w:hint="eastAsia" w:ascii="宋体" w:hAnsi="宋体" w:cs="Calibri"/>
          <w:sz w:val="24"/>
          <w:szCs w:val="24"/>
        </w:rPr>
        <w:t>岩土工程勘察（包括并不限于岩土工程勘探、取样与原位测试）；</w:t>
      </w:r>
      <w:bookmarkEnd w:id="32"/>
    </w:p>
    <w:p>
      <w:pPr>
        <w:pStyle w:val="94"/>
        <w:numPr>
          <w:ilvl w:val="0"/>
          <w:numId w:val="1"/>
        </w:numPr>
        <w:spacing w:line="300" w:lineRule="auto"/>
        <w:ind w:firstLineChars="0"/>
        <w:rPr>
          <w:rFonts w:ascii="宋体" w:hAnsi="宋体" w:cs="Calibri"/>
          <w:sz w:val="24"/>
          <w:szCs w:val="24"/>
        </w:rPr>
      </w:pPr>
      <w:bookmarkStart w:id="33" w:name="_Toc479241665"/>
      <w:r>
        <w:rPr>
          <w:rFonts w:hint="eastAsia" w:ascii="宋体" w:hAnsi="宋体" w:cs="Calibri"/>
          <w:sz w:val="24"/>
          <w:szCs w:val="24"/>
        </w:rPr>
        <w:t>室内试验（包括并不限于土工试验、水质分析、岩石试验及必要的现场室内试验）；</w:t>
      </w:r>
      <w:bookmarkEnd w:id="33"/>
    </w:p>
    <w:p>
      <w:pPr>
        <w:pStyle w:val="94"/>
        <w:numPr>
          <w:ilvl w:val="0"/>
          <w:numId w:val="1"/>
        </w:numPr>
        <w:spacing w:line="300" w:lineRule="auto"/>
        <w:ind w:firstLineChars="0"/>
        <w:rPr>
          <w:rFonts w:ascii="宋体" w:hAnsi="宋体" w:cs="Calibri"/>
          <w:sz w:val="24"/>
          <w:szCs w:val="24"/>
        </w:rPr>
      </w:pPr>
      <w:bookmarkStart w:id="34" w:name="_Toc479241666"/>
      <w:r>
        <w:rPr>
          <w:rFonts w:hint="eastAsia" w:ascii="宋体" w:hAnsi="宋体" w:cs="Calibri"/>
          <w:sz w:val="24"/>
          <w:szCs w:val="24"/>
        </w:rPr>
        <w:t>工程测量（包括并不限于必要的勘探点定点测量等）。</w:t>
      </w:r>
      <w:bookmarkEnd w:id="34"/>
    </w:p>
    <w:p>
      <w:pPr>
        <w:pStyle w:val="94"/>
        <w:numPr>
          <w:ilvl w:val="0"/>
          <w:numId w:val="1"/>
        </w:numPr>
        <w:spacing w:line="300" w:lineRule="auto"/>
        <w:ind w:firstLineChars="0"/>
        <w:rPr>
          <w:rFonts w:ascii="宋体" w:hAnsi="宋体" w:cs="Calibri"/>
          <w:sz w:val="24"/>
          <w:szCs w:val="24"/>
        </w:rPr>
      </w:pPr>
      <w:r>
        <w:rPr>
          <w:rFonts w:hint="eastAsia" w:ascii="宋体" w:hAnsi="宋体" w:cs="Calibri"/>
          <w:sz w:val="24"/>
          <w:szCs w:val="24"/>
        </w:rPr>
        <w:t>场地清表、青苗补偿、维稳、大型机械进出场、临时道路、临建措施、安全文明措施和其他措施、风险、管理等</w:t>
      </w:r>
    </w:p>
    <w:p>
      <w:pPr>
        <w:pStyle w:val="94"/>
        <w:numPr>
          <w:ilvl w:val="0"/>
          <w:numId w:val="1"/>
        </w:numPr>
        <w:spacing w:line="300" w:lineRule="auto"/>
        <w:ind w:firstLineChars="0"/>
        <w:rPr>
          <w:rFonts w:ascii="宋体" w:hAnsi="宋体" w:cs="Calibri"/>
          <w:sz w:val="24"/>
          <w:szCs w:val="24"/>
        </w:rPr>
      </w:pPr>
      <w:r>
        <w:rPr>
          <w:rFonts w:hint="eastAsia" w:ascii="宋体" w:hAnsi="宋体" w:cs="Calibri"/>
          <w:sz w:val="24"/>
          <w:szCs w:val="24"/>
        </w:rPr>
        <w:t>包质量、包安全、包进度、包各项服务等</w:t>
      </w:r>
    </w:p>
    <w:p>
      <w:pPr>
        <w:pStyle w:val="94"/>
        <w:numPr>
          <w:ilvl w:val="0"/>
          <w:numId w:val="1"/>
        </w:numPr>
        <w:spacing w:line="300" w:lineRule="auto"/>
        <w:ind w:firstLineChars="0"/>
        <w:rPr>
          <w:rFonts w:ascii="宋体" w:hAnsi="宋体" w:cs="Calibri"/>
          <w:sz w:val="24"/>
          <w:szCs w:val="24"/>
        </w:rPr>
      </w:pPr>
      <w:r>
        <w:rPr>
          <w:rFonts w:hint="eastAsia" w:ascii="宋体" w:hAnsi="宋体"/>
          <w:bCs/>
          <w:color w:val="000000"/>
          <w:sz w:val="24"/>
          <w:szCs w:val="24"/>
        </w:rPr>
        <w:t>岩土工程设计（含本工程全部基坑工程及基坑支护设计、地基处理设计、挡土墙设计、场区边坡支护设计等）</w:t>
      </w:r>
    </w:p>
    <w:p>
      <w:pPr>
        <w:pStyle w:val="94"/>
        <w:numPr>
          <w:ilvl w:val="0"/>
          <w:numId w:val="1"/>
        </w:numPr>
        <w:spacing w:line="300" w:lineRule="auto"/>
        <w:ind w:firstLineChars="0"/>
        <w:rPr>
          <w:rFonts w:ascii="宋体" w:hAnsi="宋体" w:cs="Calibri"/>
          <w:sz w:val="24"/>
          <w:szCs w:val="24"/>
        </w:rPr>
      </w:pPr>
      <w:r>
        <w:rPr>
          <w:rFonts w:hint="eastAsia" w:ascii="宋体" w:hAnsi="宋体" w:cs="Calibri"/>
          <w:sz w:val="24"/>
          <w:szCs w:val="24"/>
        </w:rPr>
        <w:t>勘察工程量，如下表。</w:t>
      </w:r>
    </w:p>
    <w:tbl>
      <w:tblPr>
        <w:tblStyle w:val="42"/>
        <w:tblW w:w="9505" w:type="dxa"/>
        <w:tblInd w:w="-430" w:type="dxa"/>
        <w:tblLayout w:type="fixed"/>
        <w:tblCellMar>
          <w:top w:w="0" w:type="dxa"/>
          <w:left w:w="108" w:type="dxa"/>
          <w:bottom w:w="0" w:type="dxa"/>
          <w:right w:w="108" w:type="dxa"/>
        </w:tblCellMar>
      </w:tblPr>
      <w:tblGrid>
        <w:gridCol w:w="1021"/>
        <w:gridCol w:w="2831"/>
        <w:gridCol w:w="2887"/>
        <w:gridCol w:w="2766"/>
      </w:tblGrid>
      <w:tr>
        <w:tblPrEx>
          <w:tblLayout w:type="fixed"/>
          <w:tblCellMar>
            <w:top w:w="0" w:type="dxa"/>
            <w:left w:w="108" w:type="dxa"/>
            <w:bottom w:w="0" w:type="dxa"/>
            <w:right w:w="108" w:type="dxa"/>
          </w:tblCellMar>
        </w:tblPrEx>
        <w:trPr>
          <w:trHeight w:val="761"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sz w:val="24"/>
                <w:szCs w:val="24"/>
              </w:rPr>
            </w:pPr>
            <w:bookmarkStart w:id="35" w:name="_Toc479241667"/>
            <w:r>
              <w:rPr>
                <w:rFonts w:hint="eastAsia" w:ascii="宋体" w:hAnsi="宋体" w:cs="Calibri"/>
                <w:sz w:val="24"/>
                <w:szCs w:val="24"/>
              </w:rPr>
              <w:t>序号</w:t>
            </w:r>
          </w:p>
        </w:tc>
        <w:tc>
          <w:tcPr>
            <w:tcW w:w="28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Calibri"/>
                <w:sz w:val="24"/>
                <w:szCs w:val="24"/>
              </w:rPr>
            </w:pPr>
            <w:r>
              <w:rPr>
                <w:rFonts w:hint="eastAsia" w:ascii="宋体" w:hAnsi="宋体" w:cs="Calibri"/>
                <w:sz w:val="24"/>
                <w:szCs w:val="24"/>
              </w:rPr>
              <w:t>工作项目</w:t>
            </w:r>
          </w:p>
        </w:tc>
        <w:tc>
          <w:tcPr>
            <w:tcW w:w="2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sz w:val="24"/>
                <w:szCs w:val="24"/>
              </w:rPr>
            </w:pPr>
            <w:r>
              <w:rPr>
                <w:rFonts w:hint="eastAsia" w:ascii="宋体" w:hAnsi="宋体" w:cs="Calibri"/>
                <w:sz w:val="24"/>
                <w:szCs w:val="24"/>
              </w:rPr>
              <w:t>钻探总进尺深度（米）</w:t>
            </w:r>
          </w:p>
        </w:tc>
        <w:tc>
          <w:tcPr>
            <w:tcW w:w="2766"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sz w:val="24"/>
                <w:szCs w:val="24"/>
              </w:rPr>
            </w:pPr>
            <w:r>
              <w:rPr>
                <w:rFonts w:hint="eastAsia" w:ascii="宋体" w:hAnsi="宋体" w:cs="Calibri"/>
                <w:sz w:val="24"/>
                <w:szCs w:val="24"/>
              </w:rPr>
              <w:t>备注</w:t>
            </w:r>
          </w:p>
        </w:tc>
      </w:tr>
      <w:tr>
        <w:tblPrEx>
          <w:tblLayout w:type="fixed"/>
          <w:tblCellMar>
            <w:top w:w="0" w:type="dxa"/>
            <w:left w:w="108" w:type="dxa"/>
            <w:bottom w:w="0" w:type="dxa"/>
            <w:right w:w="108" w:type="dxa"/>
          </w:tblCellMar>
        </w:tblPrEx>
        <w:trPr>
          <w:trHeight w:val="1121" w:hRule="atLeast"/>
        </w:trPr>
        <w:tc>
          <w:tcPr>
            <w:tcW w:w="1021" w:type="dxa"/>
            <w:tcBorders>
              <w:top w:val="single" w:color="auto" w:sz="4" w:space="0"/>
              <w:left w:val="single" w:color="auto" w:sz="4" w:space="0"/>
              <w:right w:val="single" w:color="auto" w:sz="4" w:space="0"/>
            </w:tcBorders>
            <w:shd w:val="clear" w:color="auto" w:fill="auto"/>
            <w:vAlign w:val="center"/>
          </w:tcPr>
          <w:p>
            <w:pPr>
              <w:jc w:val="center"/>
              <w:rPr>
                <w:rFonts w:ascii="宋体" w:hAnsi="宋体" w:cs="Calibri"/>
                <w:sz w:val="24"/>
                <w:szCs w:val="24"/>
              </w:rPr>
            </w:pPr>
            <w:r>
              <w:rPr>
                <w:rFonts w:hint="eastAsia" w:ascii="宋体" w:hAnsi="宋体" w:cs="Calibri"/>
                <w:sz w:val="24"/>
                <w:szCs w:val="24"/>
              </w:rPr>
              <w:t>一</w:t>
            </w:r>
          </w:p>
        </w:tc>
        <w:tc>
          <w:tcPr>
            <w:tcW w:w="2831" w:type="dxa"/>
            <w:tcBorders>
              <w:top w:val="single" w:color="auto" w:sz="4" w:space="0"/>
              <w:left w:val="nil"/>
              <w:right w:val="single" w:color="auto" w:sz="4" w:space="0"/>
            </w:tcBorders>
            <w:shd w:val="clear" w:color="auto" w:fill="auto"/>
            <w:vAlign w:val="center"/>
          </w:tcPr>
          <w:p>
            <w:pPr>
              <w:jc w:val="center"/>
              <w:rPr>
                <w:rFonts w:ascii="宋体" w:hAnsi="宋体" w:cs="Calibri"/>
                <w:sz w:val="24"/>
                <w:szCs w:val="24"/>
              </w:rPr>
            </w:pPr>
            <w:r>
              <w:rPr>
                <w:rFonts w:hint="eastAsia" w:ascii="宋体" w:hAnsi="宋体" w:cs="Calibri"/>
                <w:sz w:val="24"/>
                <w:szCs w:val="24"/>
              </w:rPr>
              <w:t>工程勘察</w:t>
            </w:r>
          </w:p>
        </w:tc>
        <w:tc>
          <w:tcPr>
            <w:tcW w:w="2887" w:type="dxa"/>
            <w:tcBorders>
              <w:top w:val="single" w:color="auto" w:sz="4" w:space="0"/>
              <w:left w:val="single" w:color="auto" w:sz="4" w:space="0"/>
              <w:right w:val="single" w:color="auto" w:sz="4" w:space="0"/>
            </w:tcBorders>
            <w:vAlign w:val="center"/>
          </w:tcPr>
          <w:p>
            <w:pPr>
              <w:jc w:val="center"/>
              <w:rPr>
                <w:rFonts w:ascii="宋体" w:hAnsi="宋体" w:cs="Calibri"/>
                <w:sz w:val="24"/>
                <w:szCs w:val="24"/>
              </w:rPr>
            </w:pPr>
            <w:r>
              <w:rPr>
                <w:rFonts w:hint="eastAsia" w:ascii="宋体" w:hAnsi="宋体" w:cs="Calibri"/>
                <w:sz w:val="24"/>
                <w:szCs w:val="24"/>
              </w:rPr>
              <w:t xml:space="preserve">2300  </w:t>
            </w:r>
          </w:p>
        </w:tc>
        <w:tc>
          <w:tcPr>
            <w:tcW w:w="2766" w:type="dxa"/>
            <w:tcBorders>
              <w:top w:val="single" w:color="auto" w:sz="4" w:space="0"/>
              <w:left w:val="nil"/>
              <w:right w:val="single" w:color="auto" w:sz="4" w:space="0"/>
            </w:tcBorders>
            <w:vAlign w:val="center"/>
          </w:tcPr>
          <w:p>
            <w:pPr>
              <w:widowControl/>
              <w:rPr>
                <w:rFonts w:ascii="宋体" w:hAnsi="宋体" w:cs="Calibri"/>
                <w:sz w:val="24"/>
                <w:szCs w:val="24"/>
              </w:rPr>
            </w:pPr>
          </w:p>
          <w:p>
            <w:pPr>
              <w:widowControl/>
              <w:rPr>
                <w:rFonts w:ascii="宋体" w:hAnsi="宋体" w:cs="Calibri"/>
                <w:sz w:val="24"/>
                <w:szCs w:val="24"/>
              </w:rPr>
            </w:pPr>
            <w:r>
              <w:rPr>
                <w:rFonts w:hint="eastAsia" w:ascii="宋体" w:hAnsi="宋体" w:cs="Calibri"/>
                <w:sz w:val="24"/>
                <w:szCs w:val="24"/>
              </w:rPr>
              <w:t>暂定工作量，综合单价固定含税包干</w:t>
            </w:r>
          </w:p>
          <w:p>
            <w:pPr>
              <w:rPr>
                <w:rFonts w:ascii="宋体" w:hAnsi="宋体" w:cs="Calibri"/>
                <w:sz w:val="24"/>
                <w:szCs w:val="24"/>
              </w:rPr>
            </w:pPr>
          </w:p>
        </w:tc>
      </w:tr>
      <w:tr>
        <w:tblPrEx>
          <w:tblLayout w:type="fixed"/>
          <w:tblCellMar>
            <w:top w:w="0" w:type="dxa"/>
            <w:left w:w="108" w:type="dxa"/>
            <w:bottom w:w="0" w:type="dxa"/>
            <w:right w:w="108" w:type="dxa"/>
          </w:tblCellMar>
        </w:tblPrEx>
        <w:trPr>
          <w:trHeight w:val="90" w:hRule="atLeast"/>
        </w:trPr>
        <w:tc>
          <w:tcPr>
            <w:tcW w:w="9505" w:type="dxa"/>
            <w:gridSpan w:val="4"/>
            <w:tcBorders>
              <w:top w:val="single" w:color="auto" w:sz="4" w:space="0"/>
              <w:left w:val="single" w:color="auto" w:sz="4" w:space="0"/>
              <w:right w:val="single" w:color="auto" w:sz="4" w:space="0"/>
            </w:tcBorders>
          </w:tcPr>
          <w:p>
            <w:pPr>
              <w:widowControl/>
              <w:spacing w:line="300" w:lineRule="exact"/>
              <w:jc w:val="left"/>
              <w:rPr>
                <w:rFonts w:ascii="宋体" w:hAnsi="宋体" w:cs="Calibri"/>
                <w:sz w:val="24"/>
                <w:szCs w:val="24"/>
              </w:rPr>
            </w:pPr>
            <w:r>
              <w:rPr>
                <w:rFonts w:hint="eastAsia" w:ascii="宋体" w:hAnsi="宋体" w:cs="Calibri"/>
                <w:sz w:val="24"/>
                <w:szCs w:val="24"/>
              </w:rPr>
              <w:t>备注：</w:t>
            </w:r>
            <w:r>
              <w:rPr>
                <w:rFonts w:hint="eastAsia" w:ascii="宋体" w:hAnsi="宋体" w:cs="Calibri"/>
                <w:sz w:val="24"/>
                <w:szCs w:val="24"/>
              </w:rPr>
              <w:br w:type="textWrapping"/>
            </w:r>
            <w:r>
              <w:rPr>
                <w:rFonts w:hint="eastAsia" w:ascii="宋体" w:hAnsi="宋体" w:cs="Calibri"/>
                <w:sz w:val="24"/>
                <w:szCs w:val="24"/>
              </w:rPr>
              <w:t>1、工作内容包括但不限于</w:t>
            </w:r>
            <w:r>
              <w:rPr>
                <w:rFonts w:hint="eastAsia"/>
                <w:sz w:val="24"/>
                <w:szCs w:val="24"/>
              </w:rPr>
              <w:t>岩土工程勘察（通过钻探、取样试验、原位测试等方式，查明场地岩土工程地质、水文工程地质条件，编制初勘及详勘报告，为本工程设计和施工提供工程地质资料）、</w:t>
            </w:r>
            <w:r>
              <w:rPr>
                <w:rFonts w:hint="eastAsia" w:ascii="宋体" w:hAnsi="宋体" w:cs="Calibri"/>
                <w:sz w:val="24"/>
                <w:szCs w:val="24"/>
              </w:rPr>
              <w:t>工程测量，工程勘察，工程物探，全站仪测放钻孔孔位、坐标、孔口高程，勘探钻孔施工，现场原位测试（标准贯入试验等），取土、水、石试样和地下水样，土工试验，安全围护，机械设备进出场，跟管钻进，泥浆护壁等及甲方根据项目实际需要委托的其他工作等所有工作；</w:t>
            </w:r>
          </w:p>
        </w:tc>
      </w:tr>
      <w:tr>
        <w:tblPrEx>
          <w:tblLayout w:type="fixed"/>
          <w:tblCellMar>
            <w:top w:w="0" w:type="dxa"/>
            <w:left w:w="108" w:type="dxa"/>
            <w:bottom w:w="0" w:type="dxa"/>
            <w:right w:w="108" w:type="dxa"/>
          </w:tblCellMar>
        </w:tblPrEx>
        <w:trPr>
          <w:trHeight w:val="281" w:hRule="atLeast"/>
        </w:trPr>
        <w:tc>
          <w:tcPr>
            <w:tcW w:w="9505" w:type="dxa"/>
            <w:gridSpan w:val="4"/>
            <w:tcBorders>
              <w:left w:val="single" w:color="auto" w:sz="4" w:space="0"/>
              <w:bottom w:val="single" w:color="auto" w:sz="4" w:space="0"/>
              <w:right w:val="single" w:color="auto" w:sz="4" w:space="0"/>
            </w:tcBorders>
          </w:tcPr>
          <w:p>
            <w:pPr>
              <w:widowControl/>
              <w:spacing w:line="300" w:lineRule="exact"/>
              <w:jc w:val="left"/>
              <w:rPr>
                <w:rFonts w:ascii="宋体" w:hAnsi="宋体" w:cs="Calibri"/>
                <w:sz w:val="24"/>
                <w:szCs w:val="24"/>
              </w:rPr>
            </w:pPr>
            <w:r>
              <w:rPr>
                <w:rFonts w:hint="eastAsia" w:ascii="宋体" w:hAnsi="宋体" w:cs="Calibri"/>
                <w:sz w:val="24"/>
                <w:szCs w:val="24"/>
              </w:rPr>
              <w:t>2、乙方所报工程勘察综合单价含税固定包干，乙方报价已包括但不限于招标文件勘察技术要求的全部内容诸如所有实物工作收费、技术工作收费、野外钻探费用、试验费用、文件资料费用、人工费、食宿费用、水电费、清表费用、青苗补偿费、维稳费、管理费用、大型机械进出场费、临时道路、临建措施、安全文明措施和其他措施费、风险费用、包质量、包安全、包进度、各项服务费以及税金等全部费用；</w:t>
            </w:r>
          </w:p>
          <w:p>
            <w:pPr>
              <w:widowControl/>
              <w:spacing w:line="300" w:lineRule="exact"/>
              <w:jc w:val="left"/>
              <w:rPr>
                <w:rFonts w:ascii="宋体" w:hAnsi="宋体" w:cs="Calibri"/>
                <w:sz w:val="24"/>
                <w:szCs w:val="24"/>
              </w:rPr>
            </w:pPr>
            <w:r>
              <w:rPr>
                <w:rFonts w:hint="eastAsia" w:ascii="宋体" w:hAnsi="宋体" w:cs="Calibri"/>
                <w:sz w:val="24"/>
                <w:szCs w:val="24"/>
              </w:rPr>
              <w:t>3、此表格内如有漏项请乙方自行补充,勘测工程量不低于勘察规范（GB50021-2001）2009要求，乙方已综合考虑本项目地质状况及风险，并根据实际情况进行报价包干。</w:t>
            </w:r>
          </w:p>
          <w:p>
            <w:pPr>
              <w:widowControl/>
              <w:spacing w:line="300" w:lineRule="exact"/>
              <w:jc w:val="left"/>
              <w:rPr>
                <w:rFonts w:ascii="宋体" w:hAnsi="宋体" w:cs="Calibri"/>
                <w:sz w:val="24"/>
                <w:szCs w:val="24"/>
              </w:rPr>
            </w:pPr>
            <w:r>
              <w:rPr>
                <w:rFonts w:hint="eastAsia" w:ascii="宋体" w:hAnsi="宋体" w:cs="Calibri"/>
                <w:b/>
                <w:sz w:val="24"/>
                <w:szCs w:val="24"/>
              </w:rPr>
              <w:t>4、上表中钻探总进尺深度工作量为暂定工作量，乙方</w:t>
            </w:r>
            <w:r>
              <w:rPr>
                <w:rFonts w:ascii="宋体" w:hAnsi="宋体" w:cs="Calibri"/>
                <w:b/>
                <w:sz w:val="24"/>
                <w:szCs w:val="24"/>
              </w:rPr>
              <w:t>在结算时须提交工程勘察报告及工作量清单，且经甲方书面确认工作量后，未超出上表中暂定工作量部分，按上表中综合单价乘以工作量结算；超出上表中工作量部分，按上表中综合单价</w:t>
            </w:r>
            <w:r>
              <w:rPr>
                <w:rFonts w:hint="eastAsia" w:ascii="宋体" w:hAnsi="宋体" w:cs="Calibri"/>
                <w:b/>
                <w:sz w:val="24"/>
                <w:szCs w:val="24"/>
              </w:rPr>
              <w:t>的85%</w:t>
            </w:r>
            <w:r>
              <w:rPr>
                <w:rFonts w:ascii="宋体" w:hAnsi="宋体" w:cs="Calibri"/>
                <w:b/>
                <w:sz w:val="24"/>
                <w:szCs w:val="24"/>
              </w:rPr>
              <w:t>乘以工作量</w:t>
            </w:r>
            <w:r>
              <w:rPr>
                <w:rFonts w:hint="eastAsia" w:ascii="宋体" w:hAnsi="宋体" w:cs="Calibri"/>
                <w:b/>
                <w:sz w:val="24"/>
                <w:szCs w:val="24"/>
              </w:rPr>
              <w:t>进行</w:t>
            </w:r>
            <w:r>
              <w:rPr>
                <w:rFonts w:ascii="宋体" w:hAnsi="宋体" w:cs="Calibri"/>
                <w:b/>
                <w:sz w:val="24"/>
                <w:szCs w:val="24"/>
              </w:rPr>
              <w:t>结算。</w:t>
            </w:r>
            <w:r>
              <w:rPr>
                <w:rFonts w:hint="eastAsia" w:ascii="宋体" w:hAnsi="宋体" w:cs="Calibri"/>
                <w:b/>
                <w:sz w:val="24"/>
                <w:szCs w:val="24"/>
              </w:rPr>
              <w:t xml:space="preserve">   </w:t>
            </w:r>
          </w:p>
        </w:tc>
      </w:tr>
    </w:tbl>
    <w:p>
      <w:pPr>
        <w:spacing w:before="312" w:beforeLines="100" w:after="156" w:afterLines="50" w:line="360" w:lineRule="auto"/>
        <w:ind w:firstLine="480" w:firstLineChars="200"/>
        <w:rPr>
          <w:rFonts w:ascii="宋体" w:hAnsi="宋体" w:cs="Calibri"/>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cs="宋体"/>
          <w:sz w:val="24"/>
          <w:szCs w:val="24"/>
        </w:rPr>
        <w:t>提供现状测量</w:t>
      </w:r>
      <w:r>
        <w:rPr>
          <w:rFonts w:hint="eastAsia" w:ascii="宋体" w:hAnsi="宋体" w:cs="宋体"/>
          <w:bCs/>
          <w:kern w:val="44"/>
          <w:sz w:val="24"/>
          <w:szCs w:val="24"/>
        </w:rPr>
        <w:t>地</w:t>
      </w:r>
      <w:r>
        <w:rPr>
          <w:rFonts w:hint="eastAsia" w:ascii="宋体" w:hAnsi="宋体" w:cs="宋体"/>
          <w:sz w:val="24"/>
          <w:szCs w:val="24"/>
        </w:rPr>
        <w:t>形图、</w:t>
      </w:r>
      <w:r>
        <w:rPr>
          <w:rFonts w:hint="eastAsia" w:ascii="宋体" w:hAnsi="宋体" w:cs="Calibri"/>
          <w:sz w:val="24"/>
          <w:szCs w:val="24"/>
        </w:rPr>
        <w:t>建筑总平面图及地勘探点平面布置图</w:t>
      </w:r>
      <w:bookmarkEnd w:id="35"/>
      <w:bookmarkStart w:id="36" w:name="_Toc479241668"/>
      <w:r>
        <w:rPr>
          <w:rFonts w:hint="eastAsia" w:ascii="宋体" w:hAnsi="宋体" w:cs="Calibri"/>
          <w:sz w:val="24"/>
          <w:szCs w:val="24"/>
        </w:rPr>
        <w:t>（详见设计单位出具的</w:t>
      </w:r>
      <w:r>
        <w:rPr>
          <w:rFonts w:hint="eastAsia" w:ascii="宋体" w:hAnsi="宋体"/>
          <w:bCs/>
          <w:color w:val="000000"/>
          <w:sz w:val="24"/>
          <w:szCs w:val="24"/>
          <w:u w:val="single"/>
        </w:rPr>
        <w:t>动力电池梯次利用项目</w:t>
      </w:r>
      <w:r>
        <w:rPr>
          <w:rFonts w:hint="eastAsia" w:ascii="宋体" w:hAnsi="宋体" w:cs="Calibri"/>
          <w:sz w:val="24"/>
          <w:szCs w:val="24"/>
        </w:rPr>
        <w:t>建筑总平面图、地勘探点平面布置图及相关要求）</w:t>
      </w:r>
    </w:p>
    <w:p>
      <w:pPr>
        <w:spacing w:after="156" w:afterLines="50" w:line="360" w:lineRule="auto"/>
        <w:ind w:firstLine="420"/>
        <w:rPr>
          <w:rFonts w:ascii="宋体" w:hAnsi="宋体" w:cs="Calibri"/>
          <w:sz w:val="24"/>
          <w:szCs w:val="24"/>
        </w:rPr>
      </w:pPr>
      <w:r>
        <w:rPr>
          <w:rFonts w:ascii="宋体" w:hAnsi="宋体" w:cs="Calibri"/>
          <w:sz w:val="24"/>
          <w:szCs w:val="24"/>
        </w:rPr>
        <w:t>3</w:t>
      </w:r>
      <w:r>
        <w:rPr>
          <w:rFonts w:hint="eastAsia" w:ascii="宋体" w:hAnsi="宋体" w:cs="Calibri"/>
          <w:sz w:val="24"/>
          <w:szCs w:val="24"/>
        </w:rPr>
        <w:t>、整个拟建详细详勘工作需与最终建筑总平面图为准，如与现总平面图不符时需要做适当调整。</w:t>
      </w:r>
      <w:bookmarkEnd w:id="36"/>
    </w:p>
    <w:p>
      <w:pPr>
        <w:spacing w:after="156" w:afterLines="50" w:line="360" w:lineRule="auto"/>
        <w:ind w:firstLine="420"/>
        <w:rPr>
          <w:rFonts w:ascii="宋体" w:hAnsi="宋体"/>
          <w:bCs/>
          <w:color w:val="000000"/>
          <w:sz w:val="24"/>
          <w:szCs w:val="24"/>
        </w:rPr>
      </w:pPr>
      <w:bookmarkStart w:id="37" w:name="_Toc472348710"/>
      <w:r>
        <w:rPr>
          <w:rFonts w:ascii="宋体" w:hAnsi="宋体"/>
          <w:color w:val="000000"/>
          <w:sz w:val="24"/>
          <w:szCs w:val="24"/>
        </w:rPr>
        <w:t>4</w:t>
      </w:r>
      <w:r>
        <w:rPr>
          <w:rFonts w:hint="eastAsia" w:ascii="宋体" w:hAnsi="宋体"/>
          <w:color w:val="000000"/>
          <w:sz w:val="24"/>
          <w:szCs w:val="24"/>
        </w:rPr>
        <w:t>、</w:t>
      </w:r>
      <w:r>
        <w:rPr>
          <w:rFonts w:hint="eastAsia" w:ascii="宋体" w:hAnsi="宋体"/>
          <w:bCs/>
          <w:color w:val="000000"/>
          <w:sz w:val="24"/>
          <w:szCs w:val="24"/>
        </w:rPr>
        <w:t>具体</w:t>
      </w:r>
      <w:r>
        <w:rPr>
          <w:rFonts w:hint="eastAsia" w:ascii="宋体" w:hAnsi="宋体"/>
          <w:color w:val="000000"/>
          <w:sz w:val="24"/>
          <w:szCs w:val="24"/>
        </w:rPr>
        <w:t>工程勘察范围及工作量详见</w:t>
      </w:r>
      <w:r>
        <w:rPr>
          <w:rFonts w:hint="eastAsia" w:ascii="宋体" w:hAnsi="宋体"/>
          <w:bCs/>
          <w:color w:val="000000"/>
          <w:sz w:val="24"/>
          <w:szCs w:val="24"/>
        </w:rPr>
        <w:t>合同附件二：</w:t>
      </w:r>
      <w:r>
        <w:rPr>
          <w:rFonts w:hint="eastAsia" w:ascii="宋体" w:hAnsi="宋体"/>
          <w:bCs/>
          <w:color w:val="000000"/>
          <w:sz w:val="24"/>
          <w:szCs w:val="24"/>
          <w:u w:val="single"/>
        </w:rPr>
        <w:t>动力电池梯次利用</w:t>
      </w:r>
      <w:r>
        <w:rPr>
          <w:rFonts w:hint="eastAsia" w:ascii="Times New Roman" w:hAnsi="Times New Roman"/>
          <w:sz w:val="24"/>
        </w:rPr>
        <w:t>项目</w:t>
      </w:r>
      <w:r>
        <w:rPr>
          <w:rFonts w:hint="eastAsia" w:ascii="Times New Roman" w:hAnsi="Times New Roman"/>
          <w:sz w:val="24"/>
          <w:lang w:val="en-US" w:eastAsia="zh-CN"/>
        </w:rPr>
        <w:t>勘察</w:t>
      </w:r>
      <w:r>
        <w:rPr>
          <w:rFonts w:hint="eastAsia" w:ascii="宋体" w:hAnsi="宋体"/>
          <w:bCs/>
          <w:color w:val="000000"/>
          <w:sz w:val="24"/>
          <w:szCs w:val="24"/>
        </w:rPr>
        <w:t>设计任务书，详细勘察应按照工程勘察建筑总平面图及地勘探点平面布置图</w:t>
      </w:r>
      <w:bookmarkEnd w:id="37"/>
      <w:r>
        <w:rPr>
          <w:rFonts w:hint="eastAsia" w:ascii="宋体" w:hAnsi="宋体"/>
          <w:bCs/>
          <w:color w:val="000000"/>
          <w:sz w:val="24"/>
          <w:szCs w:val="24"/>
        </w:rPr>
        <w:t>并结合项目现场实际需要进行施工。</w:t>
      </w:r>
      <w:bookmarkStart w:id="38" w:name="_Toc472348712"/>
      <w:r>
        <w:rPr>
          <w:rFonts w:hint="eastAsia" w:ascii="宋体" w:hAnsi="宋体"/>
          <w:bCs/>
          <w:color w:val="000000"/>
          <w:sz w:val="24"/>
          <w:szCs w:val="24"/>
        </w:rPr>
        <w:t>勘察工作须以最终建筑总平面图及项目实际需求为准，如与现总平面图和项目实际需求不符时可做适当调整，但须保证安全经济，并经甲方审核通过且书面确认。</w:t>
      </w:r>
      <w:bookmarkEnd w:id="38"/>
    </w:p>
    <w:p>
      <w:pPr>
        <w:spacing w:after="156" w:afterLines="50" w:line="360" w:lineRule="auto"/>
        <w:ind w:firstLine="420"/>
        <w:rPr>
          <w:rFonts w:ascii="宋体" w:hAnsi="宋体"/>
          <w:color w:val="000000"/>
          <w:sz w:val="24"/>
          <w:szCs w:val="24"/>
        </w:rPr>
      </w:pPr>
      <w:r>
        <w:rPr>
          <w:rFonts w:hint="eastAsia" w:ascii="宋体" w:hAnsi="宋体"/>
          <w:color w:val="000000"/>
          <w:sz w:val="24"/>
          <w:szCs w:val="24"/>
        </w:rPr>
        <w:t>（三）设计工作范围</w:t>
      </w:r>
    </w:p>
    <w:p>
      <w:pPr>
        <w:spacing w:line="600" w:lineRule="exact"/>
        <w:ind w:firstLine="480" w:firstLineChars="200"/>
        <w:rPr>
          <w:color w:val="000000"/>
          <w:sz w:val="24"/>
        </w:rPr>
      </w:pPr>
      <w:r>
        <w:rPr>
          <w:rFonts w:hint="eastAsia"/>
          <w:sz w:val="24"/>
          <w:szCs w:val="24"/>
        </w:rPr>
        <w:t>本项目的设计范围为</w:t>
      </w:r>
      <w:r>
        <w:rPr>
          <w:rFonts w:hint="eastAsia"/>
          <w:color w:val="000000"/>
          <w:sz w:val="24"/>
        </w:rPr>
        <w:t>本项目的招标范围为从签订合同开始到项目竣工验收合格，包括缺陷责任期的整个过程中的所有勘察设计工作及配合服务工作。设计深度严格按照国家有关规范及行业设计规范要求进行，乙方应按规划及功能要求、配套设施要求进行设计，同时尊重并充分考虑甲方提出的具体需求。包括（但不限于）方案设计与修改、初步设计、施工图设计、现场服务、初步设计概算编制、修建性详细规划、施工图预算和编制竣工图，以及其他配合工作，包括（但不限于）相关报建、建规设计方案审查、规划放线、单体建筑审查、施工及设备招标配合、施工图审查、结算和保修服务，负责规划设计方案及调整规划设计方案（若有）审批、规划许可和规划验收等工作顺利完成。</w:t>
      </w:r>
    </w:p>
    <w:p>
      <w:pPr>
        <w:spacing w:after="156" w:afterLines="50" w:line="360" w:lineRule="auto"/>
        <w:ind w:firstLine="470" w:firstLineChars="196"/>
        <w:rPr>
          <w:rFonts w:ascii="宋体" w:hAnsi="宋体"/>
          <w:color w:val="000000"/>
          <w:sz w:val="24"/>
          <w:szCs w:val="24"/>
          <w:u w:val="single"/>
        </w:rPr>
      </w:pPr>
      <w:r>
        <w:rPr>
          <w:rFonts w:hint="eastAsia" w:ascii="宋体" w:hAnsi="宋体"/>
          <w:bCs/>
          <w:color w:val="000000"/>
          <w:sz w:val="24"/>
          <w:szCs w:val="24"/>
        </w:rPr>
        <w:t>1、</w:t>
      </w:r>
      <w:r>
        <w:rPr>
          <w:rFonts w:ascii="宋体" w:hAnsi="宋体"/>
          <w:bCs/>
          <w:color w:val="000000"/>
          <w:sz w:val="24"/>
          <w:szCs w:val="24"/>
        </w:rPr>
        <w:t>工程</w:t>
      </w:r>
      <w:r>
        <w:rPr>
          <w:rFonts w:hint="eastAsia" w:ascii="宋体" w:hAnsi="宋体"/>
          <w:bCs/>
          <w:color w:val="000000"/>
          <w:sz w:val="24"/>
          <w:szCs w:val="24"/>
        </w:rPr>
        <w:t>设计主要范围及配合服务内容（具体详见</w:t>
      </w:r>
      <w:r>
        <w:rPr>
          <w:rFonts w:hint="eastAsia" w:ascii="宋体" w:hAnsi="宋体"/>
          <w:bCs/>
          <w:color w:val="000000"/>
          <w:sz w:val="24"/>
          <w:szCs w:val="24"/>
          <w:lang w:val="en-US" w:eastAsia="zh-CN"/>
        </w:rPr>
        <w:t>勘察</w:t>
      </w:r>
      <w:r>
        <w:rPr>
          <w:rFonts w:hint="eastAsia" w:ascii="宋体" w:hAnsi="宋体"/>
          <w:bCs/>
          <w:color w:val="000000"/>
          <w:sz w:val="24"/>
          <w:szCs w:val="24"/>
        </w:rPr>
        <w:t>设计任务书）</w:t>
      </w:r>
      <w:r>
        <w:rPr>
          <w:rFonts w:ascii="宋体" w:hAnsi="宋体"/>
          <w:bCs/>
          <w:color w:val="000000"/>
          <w:sz w:val="24"/>
          <w:szCs w:val="24"/>
        </w:rPr>
        <w:t>：</w:t>
      </w:r>
    </w:p>
    <w:p>
      <w:pPr>
        <w:pStyle w:val="119"/>
        <w:adjustRightInd w:val="0"/>
        <w:snapToGrid w:val="0"/>
        <w:spacing w:line="600" w:lineRule="exact"/>
        <w:ind w:firstLine="480" w:firstLineChars="200"/>
        <w:rPr>
          <w:sz w:val="24"/>
        </w:rPr>
      </w:pPr>
      <w:r>
        <w:rPr>
          <w:rFonts w:hint="eastAsia" w:ascii="宋体" w:hAnsi="宋体"/>
          <w:color w:val="000000"/>
          <w:sz w:val="24"/>
          <w:szCs w:val="24"/>
        </w:rPr>
        <w:t xml:space="preserve">1.1 </w:t>
      </w:r>
      <w:r>
        <w:rPr>
          <w:sz w:val="24"/>
          <w:szCs w:val="24"/>
        </w:rPr>
        <w:t>负责整个</w:t>
      </w:r>
      <w:r>
        <w:rPr>
          <w:rFonts w:hint="eastAsia"/>
          <w:sz w:val="24"/>
          <w:szCs w:val="24"/>
        </w:rPr>
        <w:t>项目</w:t>
      </w:r>
      <w:r>
        <w:rPr>
          <w:sz w:val="24"/>
          <w:szCs w:val="24"/>
        </w:rPr>
        <w:t>的所有工程设计，</w:t>
      </w:r>
      <w:r>
        <w:rPr>
          <w:rFonts w:hint="eastAsia"/>
          <w:color w:val="000000"/>
          <w:sz w:val="24"/>
          <w:szCs w:val="24"/>
        </w:rPr>
        <w:t>主要包括并不限于厂区内、外</w:t>
      </w:r>
      <w:r>
        <w:rPr>
          <w:color w:val="000000"/>
          <w:sz w:val="24"/>
          <w:szCs w:val="24"/>
        </w:rPr>
        <w:t>（包括给排水、供气、供电、电气、照明、通讯、进厂道路等，含接驳设计）、</w:t>
      </w:r>
      <w:r>
        <w:rPr>
          <w:rFonts w:hint="eastAsia"/>
          <w:color w:val="000000"/>
          <w:sz w:val="24"/>
          <w:szCs w:val="24"/>
        </w:rPr>
        <w:t>地质勘察（初勘、详勘）、</w:t>
      </w:r>
      <w:r>
        <w:rPr>
          <w:color w:val="000000"/>
          <w:sz w:val="24"/>
          <w:szCs w:val="24"/>
        </w:rPr>
        <w:t>主厂房及辅助建（构）筑物、辅助设施、全厂工艺系统、厂区景观绿化、参观通道等的方案设计、工程初步设计、初步设计概算、</w:t>
      </w:r>
      <w:r>
        <w:rPr>
          <w:rFonts w:hint="eastAsia"/>
          <w:color w:val="000000"/>
          <w:sz w:val="24"/>
          <w:szCs w:val="24"/>
        </w:rPr>
        <w:t>招标图纸、</w:t>
      </w:r>
      <w:r>
        <w:rPr>
          <w:color w:val="000000"/>
          <w:sz w:val="24"/>
          <w:szCs w:val="24"/>
        </w:rPr>
        <w:t>技术规格书、</w:t>
      </w:r>
      <w:r>
        <w:rPr>
          <w:rFonts w:hint="eastAsia"/>
          <w:color w:val="000000"/>
          <w:sz w:val="24"/>
          <w:szCs w:val="24"/>
        </w:rPr>
        <w:t>工程量清单和预算、施工图设计、施工图预算、设计变更预算、</w:t>
      </w:r>
      <w:r>
        <w:rPr>
          <w:rFonts w:hint="eastAsia" w:ascii="宋体" w:hAnsi="宋体"/>
          <w:color w:val="000000"/>
          <w:sz w:val="24"/>
          <w:szCs w:val="24"/>
        </w:rPr>
        <w:t>竣工图的编（绘）制和修正</w:t>
      </w:r>
      <w:r>
        <w:rPr>
          <w:color w:val="000000"/>
          <w:sz w:val="24"/>
          <w:szCs w:val="24"/>
        </w:rPr>
        <w:t>等工作，以及全厂建（构）筑物装饰装修设计（重点区域：如办公区域、入口门厅、参观及展示区域和相关通道、配套设施器具等，须按照</w:t>
      </w:r>
      <w:r>
        <w:rPr>
          <w:rFonts w:hint="eastAsia"/>
          <w:color w:val="000000"/>
          <w:sz w:val="24"/>
          <w:szCs w:val="24"/>
          <w:lang w:eastAsia="zh-CN"/>
        </w:rPr>
        <w:t>甲方</w:t>
      </w:r>
      <w:r>
        <w:rPr>
          <w:color w:val="000000"/>
          <w:sz w:val="24"/>
          <w:szCs w:val="24"/>
        </w:rPr>
        <w:t>的要求进行精装修设计）</w:t>
      </w:r>
      <w:r>
        <w:rPr>
          <w:rFonts w:hint="eastAsia"/>
          <w:color w:val="000000"/>
          <w:sz w:val="24"/>
          <w:szCs w:val="24"/>
        </w:rPr>
        <w:t>，</w:t>
      </w:r>
      <w:r>
        <w:rPr>
          <w:rFonts w:hint="eastAsia" w:ascii="Times New Roman" w:hAnsi="Times New Roman"/>
          <w:color w:val="000000"/>
          <w:sz w:val="24"/>
          <w:szCs w:val="24"/>
          <w:lang w:eastAsia="zh-CN"/>
        </w:rPr>
        <w:t>负责构建</w:t>
      </w:r>
      <w:r>
        <w:rPr>
          <w:rFonts w:hint="eastAsia" w:ascii="Times New Roman" w:hAnsi="Times New Roman"/>
          <w:color w:val="000000"/>
          <w:sz w:val="24"/>
          <w:szCs w:val="24"/>
          <w:lang w:val="en-US" w:eastAsia="zh-CN"/>
        </w:rPr>
        <w:t>设计BIM</w:t>
      </w:r>
      <w:r>
        <w:rPr>
          <w:rFonts w:hint="eastAsia" w:ascii="Times New Roman" w:hAnsi="Times New Roman"/>
          <w:color w:val="000000"/>
          <w:sz w:val="24"/>
          <w:szCs w:val="24"/>
          <w:lang w:eastAsia="zh-CN"/>
        </w:rPr>
        <w:t>模型及</w:t>
      </w:r>
      <w:r>
        <w:rPr>
          <w:rFonts w:hint="eastAsia" w:ascii="Times New Roman" w:hAnsi="Times New Roman"/>
          <w:color w:val="000000"/>
          <w:sz w:val="24"/>
          <w:szCs w:val="24"/>
          <w:lang w:val="en-US" w:eastAsia="zh-CN"/>
        </w:rPr>
        <w:t>在设计各阶段的应用</w:t>
      </w:r>
      <w:r>
        <w:rPr>
          <w:rFonts w:hint="eastAsia" w:ascii="Times New Roman" w:hAnsi="Times New Roman"/>
          <w:color w:val="000000"/>
          <w:sz w:val="24"/>
          <w:szCs w:val="24"/>
          <w:lang w:eastAsia="zh-CN"/>
        </w:rPr>
        <w:t>，</w:t>
      </w:r>
      <w:r>
        <w:rPr>
          <w:rFonts w:hint="eastAsia" w:ascii="宋体" w:hAnsi="宋体" w:eastAsia="宋体"/>
          <w:color w:val="000000"/>
          <w:sz w:val="24"/>
          <w:szCs w:val="24"/>
          <w:highlight w:val="none"/>
        </w:rPr>
        <w:t>并</w:t>
      </w:r>
      <w:r>
        <w:rPr>
          <w:rFonts w:hint="eastAsia" w:ascii="宋体" w:hAnsi="宋体" w:eastAsia="宋体"/>
          <w:color w:val="000000"/>
          <w:sz w:val="24"/>
          <w:szCs w:val="24"/>
          <w:highlight w:val="none"/>
          <w:lang w:val="en-US" w:eastAsia="zh-CN"/>
        </w:rPr>
        <w:t>根据</w:t>
      </w:r>
      <w:r>
        <w:rPr>
          <w:rFonts w:hint="eastAsia" w:ascii="宋体" w:hAnsi="宋体"/>
          <w:color w:val="000000"/>
          <w:sz w:val="24"/>
          <w:szCs w:val="24"/>
          <w:highlight w:val="none"/>
          <w:lang w:eastAsia="zh-CN"/>
        </w:rPr>
        <w:t>甲方</w:t>
      </w:r>
      <w:r>
        <w:rPr>
          <w:rFonts w:hint="eastAsia" w:ascii="宋体" w:hAnsi="宋体" w:eastAsia="宋体"/>
          <w:color w:val="000000"/>
          <w:sz w:val="24"/>
          <w:szCs w:val="24"/>
          <w:highlight w:val="none"/>
          <w:lang w:val="en-US" w:eastAsia="zh-CN"/>
        </w:rPr>
        <w:t>需求</w:t>
      </w:r>
      <w:r>
        <w:rPr>
          <w:rFonts w:hint="eastAsia" w:ascii="宋体" w:hAnsi="宋体" w:eastAsia="宋体"/>
          <w:color w:val="000000"/>
          <w:sz w:val="24"/>
          <w:szCs w:val="24"/>
          <w:highlight w:val="none"/>
        </w:rPr>
        <w:t>，提交</w:t>
      </w:r>
      <w:r>
        <w:rPr>
          <w:rFonts w:hint="default" w:ascii="宋体" w:hAnsi="宋体" w:eastAsia="宋体"/>
          <w:color w:val="000000"/>
          <w:sz w:val="24"/>
          <w:szCs w:val="24"/>
          <w:highlight w:val="none"/>
          <w:lang w:val="en-US"/>
        </w:rPr>
        <w:t>三维</w:t>
      </w:r>
      <w:r>
        <w:rPr>
          <w:rFonts w:hint="eastAsia" w:ascii="宋体" w:hAnsi="宋体" w:eastAsia="宋体"/>
          <w:color w:val="000000"/>
          <w:sz w:val="24"/>
          <w:szCs w:val="24"/>
          <w:highlight w:val="none"/>
          <w:lang w:val="en-US" w:eastAsia="zh-CN"/>
        </w:rPr>
        <w:t>BIM</w:t>
      </w:r>
      <w:r>
        <w:rPr>
          <w:rFonts w:hint="eastAsia" w:ascii="宋体" w:hAnsi="宋体" w:eastAsia="宋体"/>
          <w:color w:val="000000"/>
          <w:sz w:val="24"/>
          <w:szCs w:val="24"/>
          <w:highlight w:val="none"/>
        </w:rPr>
        <w:t>设计成果展示</w:t>
      </w:r>
      <w:r>
        <w:rPr>
          <w:rFonts w:hint="eastAsia" w:ascii="宋体" w:hAnsi="宋体" w:eastAsia="宋体"/>
          <w:color w:val="000000"/>
          <w:sz w:val="24"/>
          <w:szCs w:val="24"/>
          <w:highlight w:val="none"/>
          <w:lang w:eastAsia="zh-CN"/>
        </w:rPr>
        <w:t>；</w:t>
      </w:r>
      <w:r>
        <w:rPr>
          <w:color w:val="000000"/>
          <w:sz w:val="24"/>
          <w:szCs w:val="24"/>
          <w:highlight w:val="none"/>
        </w:rPr>
        <w:t>另</w:t>
      </w:r>
      <w:r>
        <w:rPr>
          <w:color w:val="000000"/>
          <w:sz w:val="24"/>
          <w:szCs w:val="24"/>
        </w:rPr>
        <w:t>外，根据工程建设需要，</w:t>
      </w:r>
      <w:r>
        <w:rPr>
          <w:rFonts w:hint="eastAsia"/>
          <w:color w:val="000000"/>
          <w:sz w:val="24"/>
          <w:szCs w:val="24"/>
        </w:rPr>
        <w:t>乙方</w:t>
      </w:r>
      <w:r>
        <w:rPr>
          <w:color w:val="000000"/>
          <w:sz w:val="24"/>
          <w:szCs w:val="24"/>
        </w:rPr>
        <w:t>还应负责完成</w:t>
      </w:r>
      <w:r>
        <w:rPr>
          <w:rFonts w:hint="eastAsia"/>
          <w:color w:val="000000"/>
          <w:sz w:val="24"/>
          <w:szCs w:val="24"/>
        </w:rPr>
        <w:t>甲方</w:t>
      </w:r>
      <w:r>
        <w:rPr>
          <w:color w:val="000000"/>
          <w:sz w:val="24"/>
          <w:szCs w:val="24"/>
        </w:rPr>
        <w:t>指令或委托的其它设计项目</w:t>
      </w:r>
      <w:r>
        <w:rPr>
          <w:color w:val="000000"/>
          <w:sz w:val="24"/>
        </w:rPr>
        <w:t>（</w:t>
      </w:r>
      <w:r>
        <w:rPr>
          <w:rFonts w:hint="eastAsia" w:ascii="宋体" w:hAnsi="宋体"/>
          <w:color w:val="000000"/>
          <w:sz w:val="24"/>
        </w:rPr>
        <w:t>包括构建数字化系统）和设计咨询服务等</w:t>
      </w:r>
      <w:r>
        <w:rPr>
          <w:color w:val="000000"/>
          <w:sz w:val="24"/>
        </w:rPr>
        <w:t>。</w:t>
      </w:r>
    </w:p>
    <w:p>
      <w:pPr>
        <w:pStyle w:val="119"/>
        <w:adjustRightInd w:val="0"/>
        <w:snapToGrid w:val="0"/>
        <w:spacing w:line="360" w:lineRule="auto"/>
        <w:ind w:firstLine="480" w:firstLineChars="200"/>
        <w:rPr>
          <w:sz w:val="24"/>
        </w:rPr>
      </w:pPr>
      <w:r>
        <w:rPr>
          <w:rFonts w:hint="eastAsia"/>
          <w:sz w:val="24"/>
          <w:szCs w:val="24"/>
        </w:rPr>
        <w:t>1.2乙方</w:t>
      </w:r>
      <w:r>
        <w:rPr>
          <w:sz w:val="24"/>
          <w:szCs w:val="24"/>
        </w:rPr>
        <w:t>负责</w:t>
      </w:r>
      <w:r>
        <w:rPr>
          <w:sz w:val="24"/>
        </w:rPr>
        <w:t>钢结构设计，设计深度达到施工图标准。</w:t>
      </w:r>
    </w:p>
    <w:p>
      <w:pPr>
        <w:pStyle w:val="119"/>
        <w:adjustRightInd w:val="0"/>
        <w:snapToGrid w:val="0"/>
        <w:spacing w:line="360" w:lineRule="auto"/>
        <w:ind w:firstLine="480" w:firstLineChars="200"/>
        <w:rPr>
          <w:sz w:val="24"/>
        </w:rPr>
      </w:pPr>
      <w:r>
        <w:rPr>
          <w:rFonts w:hint="eastAsia"/>
          <w:sz w:val="24"/>
        </w:rPr>
        <w:t>乙方负责桩基础、地基基础、基坑支护等的设计。</w:t>
      </w:r>
    </w:p>
    <w:p>
      <w:pPr>
        <w:pStyle w:val="119"/>
        <w:adjustRightInd w:val="0"/>
        <w:snapToGrid w:val="0"/>
        <w:spacing w:line="360" w:lineRule="auto"/>
        <w:ind w:firstLine="480" w:firstLineChars="200"/>
        <w:rPr>
          <w:sz w:val="24"/>
        </w:rPr>
      </w:pPr>
      <w:r>
        <w:rPr>
          <w:rFonts w:hint="eastAsia"/>
          <w:sz w:val="24"/>
          <w:szCs w:val="24"/>
        </w:rPr>
        <w:t>乙方</w:t>
      </w:r>
      <w:r>
        <w:rPr>
          <w:sz w:val="24"/>
          <w:szCs w:val="24"/>
        </w:rPr>
        <w:t>负责</w:t>
      </w:r>
      <w:r>
        <w:rPr>
          <w:sz w:val="24"/>
        </w:rPr>
        <w:t>地质勘察、地形测量，满足项目初步设计和施工图设计的需要，包括但不限于：负责整体厂区的岩土工程勘察工作，含岩土工程勘察、取样与原位测试、室内试验、工程测量等。</w:t>
      </w:r>
    </w:p>
    <w:p>
      <w:pPr>
        <w:pStyle w:val="119"/>
        <w:adjustRightInd w:val="0"/>
        <w:snapToGrid w:val="0"/>
        <w:spacing w:line="360" w:lineRule="auto"/>
        <w:ind w:firstLine="480" w:firstLineChars="200"/>
        <w:rPr>
          <w:sz w:val="24"/>
        </w:rPr>
      </w:pPr>
      <w:r>
        <w:rPr>
          <w:rFonts w:hint="eastAsia"/>
          <w:sz w:val="24"/>
          <w:szCs w:val="24"/>
        </w:rPr>
        <w:t>乙方</w:t>
      </w:r>
      <w:r>
        <w:rPr>
          <w:sz w:val="24"/>
          <w:szCs w:val="24"/>
        </w:rPr>
        <w:t>负责</w:t>
      </w:r>
      <w:r>
        <w:rPr>
          <w:sz w:val="24"/>
        </w:rPr>
        <w:t>所有设计、专项方案等专家评审，</w:t>
      </w:r>
      <w:r>
        <w:rPr>
          <w:rFonts w:hint="eastAsia"/>
          <w:sz w:val="24"/>
        </w:rPr>
        <w:t>甲</w:t>
      </w:r>
      <w:r>
        <w:rPr>
          <w:sz w:val="24"/>
        </w:rPr>
        <w:t>方需要时配合。</w:t>
      </w:r>
    </w:p>
    <w:p>
      <w:pPr>
        <w:pStyle w:val="119"/>
        <w:adjustRightInd w:val="0"/>
        <w:snapToGrid w:val="0"/>
        <w:spacing w:line="360" w:lineRule="auto"/>
        <w:ind w:firstLine="480" w:firstLineChars="200"/>
        <w:rPr>
          <w:sz w:val="24"/>
        </w:rPr>
      </w:pPr>
      <w:r>
        <w:rPr>
          <w:rFonts w:hint="eastAsia"/>
          <w:sz w:val="24"/>
        </w:rPr>
        <w:t>乙方</w:t>
      </w:r>
      <w:r>
        <w:rPr>
          <w:sz w:val="24"/>
        </w:rPr>
        <w:t>负责关键、重大、重要的设计方案，含总平、主要工艺、景观、外立面、建筑风格等均需提供</w:t>
      </w:r>
      <w:r>
        <w:rPr>
          <w:rFonts w:hint="eastAsia"/>
          <w:sz w:val="24"/>
        </w:rPr>
        <w:t>3</w:t>
      </w:r>
      <w:r>
        <w:rPr>
          <w:sz w:val="24"/>
        </w:rPr>
        <w:t>个及以上方案设计，并提交</w:t>
      </w:r>
      <w:r>
        <w:rPr>
          <w:rFonts w:hint="eastAsia"/>
          <w:sz w:val="24"/>
        </w:rPr>
        <w:t>甲</w:t>
      </w:r>
      <w:r>
        <w:rPr>
          <w:sz w:val="24"/>
        </w:rPr>
        <w:t>方确认、讨论及最终确定。</w:t>
      </w:r>
      <w:r>
        <w:rPr>
          <w:rFonts w:hint="eastAsia"/>
          <w:sz w:val="24"/>
        </w:rPr>
        <w:t>甲</w:t>
      </w:r>
      <w:r>
        <w:rPr>
          <w:sz w:val="24"/>
        </w:rPr>
        <w:t>方在各阶段提出多种设计方案的要求，</w:t>
      </w:r>
      <w:r>
        <w:rPr>
          <w:rFonts w:hint="eastAsia"/>
          <w:sz w:val="24"/>
        </w:rPr>
        <w:t>乙</w:t>
      </w:r>
      <w:r>
        <w:rPr>
          <w:sz w:val="24"/>
        </w:rPr>
        <w:t>方必须执行，并提交</w:t>
      </w:r>
      <w:r>
        <w:rPr>
          <w:rFonts w:hint="eastAsia"/>
          <w:sz w:val="24"/>
        </w:rPr>
        <w:t>甲</w:t>
      </w:r>
      <w:r>
        <w:rPr>
          <w:sz w:val="24"/>
        </w:rPr>
        <w:t>方确认、讨论及最终确定。</w:t>
      </w:r>
    </w:p>
    <w:p>
      <w:pPr>
        <w:pStyle w:val="119"/>
        <w:adjustRightInd w:val="0"/>
        <w:snapToGrid w:val="0"/>
        <w:spacing w:line="600" w:lineRule="exact"/>
        <w:ind w:firstLine="480" w:firstLineChars="200"/>
        <w:rPr>
          <w:rFonts w:hint="eastAsia" w:ascii="宋体" w:hAnsi="宋体"/>
          <w:color w:val="000000"/>
          <w:sz w:val="24"/>
          <w:szCs w:val="24"/>
        </w:rPr>
      </w:pPr>
      <w:r>
        <w:rPr>
          <w:rFonts w:hint="eastAsia" w:ascii="宋体" w:hAnsi="宋体"/>
          <w:color w:val="000000"/>
          <w:sz w:val="24"/>
          <w:szCs w:val="24"/>
        </w:rPr>
        <w:t>1.3</w:t>
      </w:r>
      <w:r>
        <w:rPr>
          <w:color w:val="000000"/>
          <w:sz w:val="24"/>
          <w:szCs w:val="24"/>
        </w:rPr>
        <w:t>配合项目建设的各项报建（含电子报建通、验收通等）和各项验收（</w:t>
      </w:r>
      <w:r>
        <w:rPr>
          <w:color w:val="000000"/>
          <w:sz w:val="24"/>
        </w:rPr>
        <w:t>消防备案和竣工验收、规划许可和规划验收、环保备案和竣工验收等工程整体验收</w:t>
      </w:r>
      <w:r>
        <w:rPr>
          <w:color w:val="000000"/>
          <w:sz w:val="24"/>
          <w:szCs w:val="24"/>
        </w:rPr>
        <w:t>）工作，</w:t>
      </w:r>
      <w:r>
        <w:rPr>
          <w:rFonts w:ascii="Times New Roman" w:hAnsi="Times New Roman"/>
          <w:color w:val="000000"/>
          <w:sz w:val="24"/>
          <w:szCs w:val="24"/>
          <w:highlight w:val="none"/>
        </w:rPr>
        <w:t>配合</w:t>
      </w:r>
      <w:r>
        <w:rPr>
          <w:rFonts w:ascii="Times New Roman" w:hAnsi="Times New Roman"/>
          <w:color w:val="000000"/>
          <w:sz w:val="24"/>
          <w:szCs w:val="24"/>
        </w:rPr>
        <w:t>施工图审查，</w:t>
      </w:r>
      <w:r>
        <w:rPr>
          <w:rFonts w:hint="eastAsia" w:ascii="宋体" w:hAnsi="宋体" w:eastAsia="宋体"/>
          <w:color w:val="000000"/>
          <w:sz w:val="24"/>
          <w:szCs w:val="24"/>
        </w:rPr>
        <w:t>编制设计变更工程量清单及预算、</w:t>
      </w:r>
      <w:r>
        <w:rPr>
          <w:rFonts w:ascii="Times New Roman" w:hAnsi="Times New Roman"/>
          <w:color w:val="000000"/>
          <w:sz w:val="24"/>
          <w:szCs w:val="24"/>
        </w:rPr>
        <w:t>提供本项目所有设计成果给设计咨询单位进行审核优化，配合项目施工、设备</w:t>
      </w:r>
      <w:r>
        <w:rPr>
          <w:rFonts w:hint="eastAsia" w:ascii="Times New Roman" w:hAnsi="Times New Roman"/>
          <w:color w:val="000000"/>
          <w:sz w:val="24"/>
          <w:szCs w:val="24"/>
          <w:lang w:eastAsia="zh-CN"/>
        </w:rPr>
        <w:t>、</w:t>
      </w:r>
      <w:r>
        <w:rPr>
          <w:rFonts w:hint="eastAsia" w:ascii="Times New Roman" w:hAnsi="Times New Roman"/>
          <w:color w:val="000000"/>
          <w:sz w:val="24"/>
          <w:szCs w:val="24"/>
          <w:lang w:val="en-US" w:eastAsia="zh-CN"/>
        </w:rPr>
        <w:t>材料</w:t>
      </w:r>
      <w:r>
        <w:rPr>
          <w:rFonts w:ascii="Times New Roman" w:hAnsi="Times New Roman"/>
          <w:color w:val="000000"/>
          <w:sz w:val="24"/>
          <w:szCs w:val="24"/>
        </w:rPr>
        <w:t>和服务类等招标工作，</w:t>
      </w:r>
      <w:r>
        <w:rPr>
          <w:rFonts w:hint="eastAsia" w:ascii="宋体" w:hAnsi="宋体" w:eastAsia="宋体"/>
          <w:color w:val="000000"/>
          <w:sz w:val="24"/>
          <w:szCs w:val="24"/>
        </w:rPr>
        <w:t>技术规范书、配合招标工程量清单和控制价的评审工作，</w:t>
      </w:r>
      <w:r>
        <w:rPr>
          <w:rFonts w:ascii="Times New Roman" w:hAnsi="Times New Roman"/>
          <w:color w:val="000000"/>
          <w:sz w:val="24"/>
          <w:szCs w:val="24"/>
        </w:rPr>
        <w:t>配合竣工结算和保修期服务，配合项目决算及评审工作，配合</w:t>
      </w:r>
      <w:r>
        <w:rPr>
          <w:rFonts w:hint="eastAsia"/>
          <w:color w:val="000000"/>
          <w:sz w:val="24"/>
          <w:szCs w:val="24"/>
          <w:lang w:eastAsia="zh-CN"/>
        </w:rPr>
        <w:t>甲方</w:t>
      </w:r>
      <w:r>
        <w:rPr>
          <w:rFonts w:ascii="Times New Roman" w:hAnsi="Times New Roman"/>
          <w:color w:val="000000"/>
          <w:sz w:val="24"/>
          <w:szCs w:val="24"/>
        </w:rPr>
        <w:t>其他要求配合的工作</w:t>
      </w:r>
      <w:r>
        <w:rPr>
          <w:rFonts w:hint="eastAsia" w:ascii="Times New Roman" w:hAnsi="Times New Roman"/>
          <w:color w:val="000000"/>
          <w:sz w:val="24"/>
          <w:szCs w:val="24"/>
          <w:lang w:eastAsia="zh-CN"/>
        </w:rPr>
        <w:t>。</w:t>
      </w:r>
      <w:r>
        <w:rPr>
          <w:rFonts w:ascii="Times New Roman" w:hAnsi="Times New Roman"/>
          <w:color w:val="000000"/>
          <w:sz w:val="24"/>
          <w:szCs w:val="24"/>
        </w:rPr>
        <w:t>并</w:t>
      </w:r>
      <w:r>
        <w:rPr>
          <w:rFonts w:hint="eastAsia" w:ascii="Times New Roman" w:hAnsi="Times New Roman"/>
          <w:color w:val="000000"/>
          <w:sz w:val="24"/>
          <w:szCs w:val="24"/>
          <w:lang w:val="en-US" w:eastAsia="zh-CN"/>
        </w:rPr>
        <w:t>负责</w:t>
      </w:r>
      <w:r>
        <w:rPr>
          <w:rFonts w:ascii="Times New Roman" w:hAnsi="Times New Roman"/>
          <w:color w:val="000000"/>
          <w:sz w:val="24"/>
          <w:szCs w:val="24"/>
        </w:rPr>
        <w:t>竣工图编制、修正，提供电子CAD图纸。</w:t>
      </w:r>
    </w:p>
    <w:p>
      <w:pPr>
        <w:pStyle w:val="119"/>
        <w:adjustRightInd w:val="0"/>
        <w:snapToGrid w:val="0"/>
        <w:spacing w:line="600" w:lineRule="exact"/>
        <w:ind w:firstLine="480" w:firstLineChars="200"/>
        <w:rPr>
          <w:rFonts w:ascii="宋体" w:hAnsi="宋体"/>
          <w:color w:val="000000"/>
          <w:sz w:val="24"/>
          <w:szCs w:val="24"/>
        </w:rPr>
      </w:pPr>
      <w:r>
        <w:rPr>
          <w:rFonts w:hint="eastAsia" w:ascii="宋体" w:hAnsi="宋体"/>
          <w:color w:val="000000"/>
          <w:sz w:val="24"/>
          <w:szCs w:val="24"/>
        </w:rPr>
        <w:t>1.4设计应涵盖整个项目地质勘察、厂区规划、总平布置、园林绿化、建筑、结构、工艺流程、热力系统、高低压电气系统、控制系统、环境保护、给排水、钢结构、防雷接地系统、通风空调、消防、劳动保护、节能、修建性详细规划编制、修详通及报建通编制等。</w:t>
      </w:r>
    </w:p>
    <w:p>
      <w:pPr>
        <w:spacing w:after="156" w:afterLines="50" w:line="360" w:lineRule="auto"/>
        <w:ind w:firstLine="470"/>
        <w:rPr>
          <w:rFonts w:ascii="宋体" w:hAnsi="宋体"/>
          <w:color w:val="000000"/>
          <w:sz w:val="24"/>
          <w:szCs w:val="24"/>
        </w:rPr>
      </w:pPr>
      <w:r>
        <w:rPr>
          <w:rFonts w:hint="eastAsia" w:ascii="宋体" w:hAnsi="宋体"/>
          <w:color w:val="000000"/>
          <w:sz w:val="24"/>
          <w:szCs w:val="24"/>
        </w:rPr>
        <w:t>1.5具体设计工作范围及内容详见合同附件二：《</w:t>
      </w:r>
      <w:r>
        <w:rPr>
          <w:rFonts w:hint="eastAsia" w:ascii="宋体" w:hAnsi="宋体"/>
          <w:bCs/>
          <w:color w:val="000000"/>
          <w:sz w:val="24"/>
          <w:szCs w:val="24"/>
          <w:u w:val="single"/>
        </w:rPr>
        <w:t>动力电池梯次利用</w:t>
      </w:r>
      <w:r>
        <w:rPr>
          <w:rFonts w:hint="eastAsia" w:ascii="宋体" w:hAnsi="宋体"/>
          <w:color w:val="000000"/>
          <w:sz w:val="24"/>
          <w:szCs w:val="24"/>
        </w:rPr>
        <w:t>项目</w:t>
      </w:r>
      <w:r>
        <w:rPr>
          <w:rFonts w:hint="eastAsia" w:ascii="宋体" w:hAnsi="宋体"/>
          <w:color w:val="000000"/>
          <w:sz w:val="24"/>
          <w:szCs w:val="24"/>
          <w:lang w:val="en-US" w:eastAsia="zh-CN"/>
        </w:rPr>
        <w:t>勘察</w:t>
      </w:r>
      <w:r>
        <w:rPr>
          <w:rFonts w:ascii="宋体" w:hAnsi="宋体"/>
          <w:color w:val="000000"/>
          <w:sz w:val="24"/>
          <w:szCs w:val="24"/>
        </w:rPr>
        <w:t>设计任务书</w:t>
      </w:r>
      <w:r>
        <w:rPr>
          <w:rFonts w:hint="eastAsia" w:ascii="宋体" w:hAnsi="宋体"/>
          <w:color w:val="000000"/>
          <w:sz w:val="24"/>
          <w:szCs w:val="24"/>
        </w:rPr>
        <w:t>》。</w:t>
      </w:r>
    </w:p>
    <w:p>
      <w:pPr>
        <w:spacing w:after="156" w:afterLines="50" w:line="360" w:lineRule="auto"/>
        <w:ind w:firstLine="470"/>
        <w:rPr>
          <w:rFonts w:ascii="宋体" w:hAnsi="宋体"/>
          <w:color w:val="000000"/>
          <w:sz w:val="24"/>
          <w:szCs w:val="24"/>
        </w:rPr>
      </w:pPr>
      <w:r>
        <w:rPr>
          <w:rFonts w:hint="eastAsia" w:ascii="宋体" w:hAnsi="宋体"/>
          <w:color w:val="000000"/>
          <w:sz w:val="24"/>
          <w:szCs w:val="24"/>
        </w:rPr>
        <w:t>2、 乙方须对本工程的勘察、设计服务及成果文件承担责任。如为联合体，联合体各方对任一方的服务质量考核和违约情况承担连带责任。</w:t>
      </w:r>
    </w:p>
    <w:p>
      <w:pPr>
        <w:spacing w:after="156" w:afterLines="50" w:line="360" w:lineRule="auto"/>
        <w:ind w:firstLine="420"/>
        <w:rPr>
          <w:rFonts w:ascii="宋体" w:hAnsi="宋体"/>
          <w:color w:val="000000"/>
          <w:sz w:val="24"/>
          <w:szCs w:val="24"/>
        </w:rPr>
      </w:pPr>
      <w:r>
        <w:rPr>
          <w:rFonts w:hint="eastAsia" w:ascii="宋体" w:hAnsi="宋体"/>
          <w:color w:val="000000"/>
          <w:sz w:val="24"/>
          <w:szCs w:val="24"/>
        </w:rPr>
        <w:t>（四）设计依据</w:t>
      </w:r>
    </w:p>
    <w:p>
      <w:pPr>
        <w:spacing w:after="156" w:afterLines="50" w:line="36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甲方给乙方的委托书</w:t>
      </w:r>
      <w:r>
        <w:rPr>
          <w:rFonts w:hint="eastAsia" w:ascii="宋体" w:hAnsi="宋体"/>
          <w:color w:val="000000"/>
          <w:sz w:val="24"/>
          <w:szCs w:val="24"/>
        </w:rPr>
        <w:t>、</w:t>
      </w:r>
      <w:r>
        <w:rPr>
          <w:rFonts w:hint="eastAsia" w:ascii="宋体" w:hAnsi="宋体"/>
          <w:color w:val="000000"/>
          <w:sz w:val="24"/>
          <w:szCs w:val="24"/>
          <w:lang w:val="en-US" w:eastAsia="zh-CN"/>
        </w:rPr>
        <w:t>勘察设计</w:t>
      </w:r>
      <w:r>
        <w:rPr>
          <w:rFonts w:hint="eastAsia" w:ascii="宋体" w:hAnsi="宋体"/>
          <w:color w:val="000000"/>
          <w:sz w:val="24"/>
          <w:szCs w:val="24"/>
        </w:rPr>
        <w:t>任务书</w:t>
      </w:r>
      <w:r>
        <w:rPr>
          <w:rFonts w:ascii="宋体" w:hAnsi="宋体"/>
          <w:color w:val="000000"/>
          <w:sz w:val="24"/>
          <w:szCs w:val="24"/>
        </w:rPr>
        <w:t>或设计中标文件</w:t>
      </w:r>
      <w:r>
        <w:rPr>
          <w:rFonts w:hint="eastAsia" w:ascii="宋体" w:hAnsi="宋体"/>
          <w:color w:val="000000"/>
          <w:sz w:val="24"/>
          <w:szCs w:val="24"/>
        </w:rPr>
        <w:t>。</w:t>
      </w:r>
    </w:p>
    <w:p>
      <w:pPr>
        <w:spacing w:after="156" w:afterLines="50" w:line="36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甲方提</w:t>
      </w:r>
      <w:r>
        <w:rPr>
          <w:rFonts w:hint="eastAsia" w:ascii="宋体" w:hAnsi="宋体"/>
          <w:color w:val="000000"/>
          <w:sz w:val="24"/>
          <w:szCs w:val="24"/>
        </w:rPr>
        <w:t>供</w:t>
      </w:r>
      <w:r>
        <w:rPr>
          <w:rFonts w:ascii="宋体" w:hAnsi="宋体"/>
          <w:color w:val="000000"/>
          <w:sz w:val="24"/>
          <w:szCs w:val="24"/>
        </w:rPr>
        <w:t>的基础资料</w:t>
      </w:r>
      <w:r>
        <w:rPr>
          <w:rFonts w:hint="eastAsia" w:ascii="宋体" w:hAnsi="宋体"/>
          <w:color w:val="000000"/>
          <w:sz w:val="24"/>
          <w:szCs w:val="24"/>
        </w:rPr>
        <w:t>。</w:t>
      </w:r>
    </w:p>
    <w:p>
      <w:pPr>
        <w:spacing w:after="156" w:afterLines="50" w:line="360" w:lineRule="auto"/>
        <w:ind w:firstLine="420"/>
        <w:rPr>
          <w:rFonts w:ascii="宋体" w:hAnsi="宋体"/>
          <w:color w:val="000000"/>
          <w:sz w:val="24"/>
          <w:szCs w:val="24"/>
        </w:rPr>
      </w:pPr>
      <w:r>
        <w:rPr>
          <w:rFonts w:hint="eastAsia" w:ascii="宋体" w:hAnsi="宋体"/>
          <w:color w:val="000000"/>
          <w:sz w:val="24"/>
          <w:szCs w:val="24"/>
        </w:rPr>
        <w:t>3、乙方</w:t>
      </w:r>
      <w:r>
        <w:rPr>
          <w:rFonts w:ascii="宋体" w:hAnsi="宋体"/>
          <w:color w:val="000000"/>
          <w:sz w:val="24"/>
          <w:szCs w:val="24"/>
        </w:rPr>
        <w:t>采用的主要技术标准是国家、行业颁布现行的标准、规范和规定。</w:t>
      </w:r>
    </w:p>
    <w:p>
      <w:pPr>
        <w:spacing w:after="156" w:afterLines="50" w:line="360" w:lineRule="auto"/>
        <w:ind w:firstLine="420"/>
        <w:rPr>
          <w:rFonts w:ascii="宋体" w:hAnsi="宋体"/>
          <w:color w:val="000000"/>
          <w:sz w:val="24"/>
          <w:szCs w:val="24"/>
        </w:rPr>
      </w:pPr>
      <w:r>
        <w:rPr>
          <w:rFonts w:hint="eastAsia" w:ascii="宋体" w:hAnsi="宋体"/>
          <w:color w:val="000000"/>
          <w:sz w:val="24"/>
          <w:szCs w:val="24"/>
        </w:rPr>
        <w:t>4、设计和建设过程中的政府审批意见，政府或发包商委托或组织的评审机构（会议）提出的及甲方发出的阶段性书面意见，双方来往的各类书面文件、会议纪要等。</w:t>
      </w:r>
    </w:p>
    <w:p>
      <w:pPr>
        <w:pStyle w:val="4"/>
      </w:pPr>
      <w:bookmarkStart w:id="39" w:name="_Toc1736132"/>
      <w:r>
        <w:rPr>
          <w:rFonts w:hint="eastAsia"/>
        </w:rPr>
        <w:t>三、勘察设计管理</w:t>
      </w:r>
      <w:bookmarkEnd w:id="39"/>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乙方必须在委托协作场地派驻满足甲方要求，且满足现场需求的技术管理人员，做好组织协调管理工作，督促相关单位按合同约定投入足够的技术管理人员和仪器设备，严格按照合同约定的时间和质量完成勘察设计任务，并对相关单位提交的勘察设计成果数据进行审核，经确认无误后签字提交甲方。乙方对本合同所约定的全部设计项目总协调、总负责。</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2、乙方必须严格按照本合同进行勘察设计工作，甲方有权按照本合同对乙方进行管理。</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乙方承诺向甲方提供乙方组织机构数据，提供承担本项目设计的项目组织架构和人员数据，承诺参与本项目设计的人员，均为在册的正式员工。除甲方同意的专项分包内容外，不得以任何形式将工程分解分包。</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4、本项目设计负责人须</w:t>
      </w:r>
      <w:r>
        <w:rPr>
          <w:rFonts w:ascii="宋体" w:hAnsi="宋体"/>
          <w:color w:val="000000"/>
          <w:sz w:val="24"/>
          <w:szCs w:val="24"/>
        </w:rPr>
        <w:t>由</w:t>
      </w:r>
      <w:r>
        <w:rPr>
          <w:rFonts w:hint="eastAsia" w:ascii="宋体" w:hAnsi="宋体"/>
          <w:color w:val="000000"/>
          <w:sz w:val="24"/>
          <w:szCs w:val="24"/>
        </w:rPr>
        <w:t>乙方在职人员</w:t>
      </w:r>
      <w:r>
        <w:rPr>
          <w:rFonts w:ascii="宋体" w:hAnsi="宋体"/>
          <w:color w:val="000000"/>
          <w:sz w:val="24"/>
          <w:szCs w:val="24"/>
        </w:rPr>
        <w:t>担任</w:t>
      </w:r>
      <w:r>
        <w:rPr>
          <w:rFonts w:hint="eastAsia" w:ascii="宋体" w:hAnsi="宋体"/>
          <w:color w:val="000000"/>
          <w:sz w:val="24"/>
          <w:szCs w:val="24"/>
        </w:rPr>
        <w:t>，且须具备</w:t>
      </w:r>
      <w:r>
        <w:rPr>
          <w:rFonts w:hint="eastAsia" w:ascii="宋体" w:hAnsi="宋体"/>
          <w:color w:val="000000"/>
          <w:sz w:val="24"/>
          <w:szCs w:val="24"/>
          <w:u w:val="single"/>
          <w:lang w:val="en-US" w:eastAsia="zh-CN"/>
        </w:rPr>
        <w:t>一级注册建筑师资格</w:t>
      </w:r>
      <w:r>
        <w:rPr>
          <w:rFonts w:hint="eastAsia" w:ascii="宋体" w:hAnsi="宋体"/>
          <w:sz w:val="24"/>
          <w:szCs w:val="24"/>
          <w:u w:val="single"/>
        </w:rPr>
        <w:t>的业务范围</w:t>
      </w:r>
      <w:r>
        <w:rPr>
          <w:rFonts w:hint="eastAsia" w:ascii="宋体" w:hAnsi="宋体"/>
          <w:color w:val="000000"/>
          <w:sz w:val="24"/>
          <w:szCs w:val="24"/>
        </w:rPr>
        <w:t>。本合同有效期内，乙方承诺本项目设计负责人为    （职称证书名称及编号：     ），</w:t>
      </w:r>
      <w:r>
        <w:rPr>
          <w:rFonts w:ascii="宋体" w:hAnsi="宋体"/>
          <w:color w:val="000000"/>
          <w:sz w:val="24"/>
          <w:szCs w:val="24"/>
        </w:rPr>
        <w:t>本项目</w:t>
      </w:r>
      <w:r>
        <w:rPr>
          <w:rFonts w:hint="eastAsia" w:ascii="宋体" w:hAnsi="宋体"/>
          <w:color w:val="000000"/>
          <w:sz w:val="24"/>
          <w:szCs w:val="24"/>
        </w:rPr>
        <w:t>勘察负责人为    （</w:t>
      </w:r>
      <w:r>
        <w:rPr>
          <w:rFonts w:ascii="宋体" w:hAnsi="宋体"/>
          <w:color w:val="000000"/>
          <w:sz w:val="24"/>
          <w:szCs w:val="24"/>
        </w:rPr>
        <w:t>职称证书号</w:t>
      </w:r>
      <w:r>
        <w:rPr>
          <w:rFonts w:hint="eastAsia" w:ascii="宋体" w:hAnsi="宋体"/>
          <w:color w:val="000000"/>
          <w:sz w:val="24"/>
          <w:szCs w:val="24"/>
        </w:rPr>
        <w:t>：    ），乙方设计负责人、勘察负责人应在接到甲方通知后</w:t>
      </w:r>
      <w:r>
        <w:rPr>
          <w:rFonts w:ascii="宋体" w:hAnsi="宋体"/>
          <w:color w:val="000000"/>
          <w:sz w:val="24"/>
          <w:szCs w:val="24"/>
        </w:rPr>
        <w:t>24小时内到达项目现场</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乙方</w:t>
      </w:r>
      <w:r>
        <w:rPr>
          <w:rFonts w:hint="eastAsia" w:ascii="宋体" w:hAnsi="宋体"/>
          <w:color w:val="000000"/>
          <w:sz w:val="24"/>
          <w:szCs w:val="24"/>
        </w:rPr>
        <w:t>应分阶段、有计划的派相关设计人员在现场配合与解决初步设计、施工图设计中出现的有关问题；工程施工阶段乙方应派遣相应专业的设计代表驻现场办公，设计代表应按时参加每周工程例会并根据工程需要进行现场服务。</w:t>
      </w:r>
      <w:r>
        <w:rPr>
          <w:rFonts w:ascii="宋体" w:hAnsi="宋体"/>
          <w:color w:val="000000"/>
          <w:sz w:val="24"/>
          <w:szCs w:val="24"/>
        </w:rPr>
        <w:t>乙方</w:t>
      </w:r>
      <w:r>
        <w:rPr>
          <w:rFonts w:hint="eastAsia" w:ascii="宋体" w:hAnsi="宋体"/>
          <w:color w:val="000000"/>
          <w:sz w:val="24"/>
          <w:szCs w:val="24"/>
        </w:rPr>
        <w:t>应分阶段、有计划的派相关勘察人员在现场配合与解决工程施工中出现的有关地质勘察方面的问题；本工程验槽、基础验收、主体验收、竣工验收，以及现场涉及地基问题的处理等，须派专业岩土工程师按甲方通知的时间到场。根据政府的有关规定，积极做好项目工程竣工前的各项验收配合工作。本项目建设过程中，若服务期限超出合同期限的，乙方承诺不调整合同费用，甲方有权不支付乙方合同外其他费用。</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7、乙方必须保证派驻本项目负责人员的长期稳定，</w:t>
      </w:r>
      <w:r>
        <w:rPr>
          <w:rFonts w:ascii="宋体" w:hAnsi="宋体"/>
          <w:color w:val="000000"/>
          <w:sz w:val="24"/>
          <w:szCs w:val="24"/>
        </w:rPr>
        <w:t>不</w:t>
      </w:r>
      <w:r>
        <w:rPr>
          <w:rFonts w:hint="eastAsia" w:ascii="宋体" w:hAnsi="宋体"/>
          <w:color w:val="000000"/>
          <w:sz w:val="24"/>
          <w:szCs w:val="24"/>
        </w:rPr>
        <w:t>得</w:t>
      </w:r>
      <w:r>
        <w:rPr>
          <w:rFonts w:ascii="宋体" w:hAnsi="宋体"/>
          <w:color w:val="000000"/>
          <w:sz w:val="24"/>
          <w:szCs w:val="24"/>
        </w:rPr>
        <w:t>轻易变更</w:t>
      </w:r>
      <w:r>
        <w:rPr>
          <w:rFonts w:hint="eastAsia" w:ascii="宋体" w:hAnsi="宋体"/>
          <w:color w:val="000000"/>
          <w:sz w:val="24"/>
          <w:szCs w:val="24"/>
        </w:rPr>
        <w:t>，若需变更人员须以正当理由且经甲方书面同意才可。如非甲方书面同意，乙方不得随意更换项目设计负责人、各专业设计负责人，乙方每更换一次项目设计负责人、各专业设计负责人的，甲方有权对乙方处以10万元/人次罚款；更换两次以上（含两次）的，甲方有权终止本合同并对乙方处以3</w:t>
      </w:r>
      <w:r>
        <w:rPr>
          <w:rFonts w:ascii="宋体" w:hAnsi="宋体"/>
          <w:color w:val="000000"/>
          <w:sz w:val="24"/>
          <w:szCs w:val="24"/>
        </w:rPr>
        <w:t>0万元罚款</w:t>
      </w:r>
      <w:r>
        <w:rPr>
          <w:rFonts w:hint="eastAsia" w:ascii="宋体" w:hAnsi="宋体"/>
          <w:color w:val="000000"/>
          <w:sz w:val="24"/>
          <w:szCs w:val="24"/>
        </w:rPr>
        <w:t>/人次，且乙方应赔偿甲方由此造成的一切损失；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8、</w:t>
      </w:r>
      <w:r>
        <w:rPr>
          <w:rFonts w:ascii="Times New Roman" w:hAnsi="Times New Roman"/>
          <w:sz w:val="24"/>
          <w:szCs w:val="24"/>
        </w:rPr>
        <w:t>乙方项目设计组成员变换须以正当理由且经</w:t>
      </w:r>
      <w:r>
        <w:rPr>
          <w:rFonts w:hint="eastAsia" w:ascii="Times New Roman" w:hAnsi="Times New Roman"/>
          <w:sz w:val="24"/>
          <w:szCs w:val="24"/>
        </w:rPr>
        <w:t>甲方</w:t>
      </w:r>
      <w:r>
        <w:rPr>
          <w:rFonts w:ascii="Times New Roman" w:hAnsi="Times New Roman"/>
          <w:sz w:val="24"/>
          <w:szCs w:val="24"/>
        </w:rPr>
        <w:t>书面同意才可，接替人员需与被更换人员同等资历或以上且经</w:t>
      </w:r>
      <w:r>
        <w:rPr>
          <w:rFonts w:hint="eastAsia" w:ascii="Times New Roman" w:hAnsi="Times New Roman"/>
          <w:sz w:val="24"/>
          <w:szCs w:val="24"/>
        </w:rPr>
        <w:t>甲方</w:t>
      </w:r>
      <w:r>
        <w:rPr>
          <w:rFonts w:ascii="Times New Roman" w:hAnsi="Times New Roman"/>
          <w:sz w:val="24"/>
          <w:szCs w:val="24"/>
        </w:rPr>
        <w:t>书面认可，从第二次变更开始</w:t>
      </w:r>
      <w:r>
        <w:rPr>
          <w:rFonts w:hint="eastAsia" w:ascii="Times New Roman" w:hAnsi="Times New Roman"/>
          <w:sz w:val="24"/>
          <w:szCs w:val="24"/>
        </w:rPr>
        <w:t>甲方</w:t>
      </w:r>
      <w:r>
        <w:rPr>
          <w:rFonts w:ascii="Times New Roman" w:hAnsi="Times New Roman"/>
          <w:sz w:val="24"/>
          <w:szCs w:val="24"/>
        </w:rPr>
        <w:t>有权</w:t>
      </w:r>
      <w:r>
        <w:rPr>
          <w:rFonts w:hint="eastAsia" w:ascii="Times New Roman" w:hAnsi="Times New Roman"/>
          <w:sz w:val="24"/>
          <w:szCs w:val="24"/>
        </w:rPr>
        <w:t>在</w:t>
      </w:r>
      <w:r>
        <w:rPr>
          <w:rFonts w:ascii="Times New Roman" w:hAnsi="Times New Roman"/>
          <w:sz w:val="24"/>
          <w:szCs w:val="24"/>
        </w:rPr>
        <w:t>乙方</w:t>
      </w:r>
      <w:r>
        <w:rPr>
          <w:rFonts w:hint="eastAsia" w:ascii="Times New Roman" w:hAnsi="Times New Roman"/>
          <w:sz w:val="24"/>
          <w:szCs w:val="24"/>
        </w:rPr>
        <w:t>设计费中扣除</w:t>
      </w:r>
      <w:r>
        <w:rPr>
          <w:rFonts w:ascii="Times New Roman" w:hAnsi="Times New Roman"/>
          <w:sz w:val="24"/>
          <w:szCs w:val="24"/>
        </w:rPr>
        <w:t>每人次1-5万元罚款；乙方如需更换项目负责人、各专业设计负责人、驻场设计代表，应提前7天以书面形式通知</w:t>
      </w:r>
      <w:r>
        <w:rPr>
          <w:rFonts w:hint="eastAsia" w:ascii="Times New Roman" w:hAnsi="Times New Roman"/>
          <w:sz w:val="24"/>
          <w:szCs w:val="24"/>
        </w:rPr>
        <w:t>甲方</w:t>
      </w:r>
      <w:r>
        <w:rPr>
          <w:rFonts w:ascii="Times New Roman" w:hAnsi="Times New Roman"/>
          <w:sz w:val="24"/>
          <w:szCs w:val="24"/>
        </w:rPr>
        <w:t>并征得</w:t>
      </w:r>
      <w:r>
        <w:rPr>
          <w:rFonts w:hint="eastAsia" w:ascii="Times New Roman" w:hAnsi="Times New Roman"/>
          <w:sz w:val="24"/>
          <w:szCs w:val="24"/>
        </w:rPr>
        <w:t>甲方</w:t>
      </w:r>
      <w:r>
        <w:rPr>
          <w:rFonts w:ascii="Times New Roman" w:hAnsi="Times New Roman"/>
          <w:sz w:val="24"/>
          <w:szCs w:val="24"/>
        </w:rPr>
        <w:t>同意后方可撤换。</w:t>
      </w:r>
      <w:r>
        <w:rPr>
          <w:rFonts w:hint="eastAsia" w:ascii="宋体" w:hAnsi="宋体"/>
          <w:color w:val="000000"/>
          <w:sz w:val="24"/>
          <w:szCs w:val="24"/>
        </w:rPr>
        <w:t>乙方如需更换项目负责人、各专业设计负责人、驻场设计代表的，应提前</w:t>
      </w:r>
      <w:r>
        <w:rPr>
          <w:rFonts w:ascii="宋体" w:hAnsi="宋体"/>
          <w:color w:val="000000"/>
          <w:sz w:val="24"/>
          <w:szCs w:val="24"/>
        </w:rPr>
        <w:t>7天以书面形式通知甲方并征得甲方同意后方可撤换。</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9、甲方有权要求乙方更换不称职人员，乙方应当在收到甲方的书面通知后</w:t>
      </w:r>
      <w:r>
        <w:rPr>
          <w:rFonts w:ascii="宋体" w:hAnsi="宋体"/>
          <w:color w:val="000000"/>
          <w:sz w:val="24"/>
          <w:szCs w:val="24"/>
        </w:rPr>
        <w:t>5天内更换，更换人员的资历不得低于本合同相应条款对各类乙方</w:t>
      </w:r>
      <w:r>
        <w:rPr>
          <w:rFonts w:hint="eastAsia" w:ascii="宋体" w:hAnsi="宋体"/>
          <w:color w:val="000000"/>
          <w:sz w:val="24"/>
          <w:szCs w:val="24"/>
        </w:rPr>
        <w:t>人员资历规定的要求，且更换人员须先经过甲方书面确认。若乙方对甲方要求更换人员有异议时，可进行申请复议一次，若申请复议后甲方仍然要求更换，则乙方应无条件进行更换，否则视乙方违约。</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10、乙方经甲方书面确认后更换人员时，需做好工作交接，被撤换人员不得擅自离岗，否则视为乙方违约，甲方有权按其擅自离岗时间处以1</w:t>
      </w:r>
      <w:r>
        <w:rPr>
          <w:rFonts w:ascii="宋体" w:hAnsi="宋体"/>
          <w:color w:val="000000"/>
          <w:sz w:val="24"/>
          <w:szCs w:val="24"/>
        </w:rPr>
        <w:t>万元/天</w:t>
      </w:r>
      <w:r>
        <w:rPr>
          <w:rFonts w:hint="eastAsia" w:ascii="宋体" w:hAnsi="宋体"/>
          <w:color w:val="000000"/>
          <w:sz w:val="24"/>
          <w:szCs w:val="24"/>
        </w:rPr>
        <w:t>/人</w:t>
      </w:r>
      <w:r>
        <w:rPr>
          <w:rFonts w:ascii="宋体" w:hAnsi="宋体"/>
          <w:color w:val="000000"/>
          <w:sz w:val="24"/>
          <w:szCs w:val="24"/>
        </w:rPr>
        <w:t>的罚款，同时乙方</w:t>
      </w:r>
      <w:r>
        <w:rPr>
          <w:rFonts w:hint="eastAsia" w:ascii="宋体" w:hAnsi="宋体"/>
          <w:color w:val="000000"/>
          <w:sz w:val="24"/>
          <w:szCs w:val="24"/>
        </w:rPr>
        <w:t>应承担由此对甲方造成的一切损失</w:t>
      </w:r>
      <w:r>
        <w:rPr>
          <w:rFonts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11、乙方应任命依照投标文件所载明的人选任命乙方工作的设计总负责人（以下简称“设总”）、专业设计代表等相关驻场人员，经甲方确认，乙方未按投标承诺投入相关技术管理人员或经过更换后的技术管理人员仍不能满足本项目勘察设计要求的，乙方应无条件按甲方的要求更换，另外甲方有权按照“</w:t>
      </w:r>
      <w:r>
        <w:rPr>
          <w:rFonts w:hint="eastAsia" w:ascii="Arial" w:hAnsi="Arial"/>
          <w:color w:val="000000"/>
          <w:sz w:val="24"/>
          <w:szCs w:val="24"/>
        </w:rPr>
        <w:t>“十四、违约及索赔”</w:t>
      </w:r>
      <w:r>
        <w:rPr>
          <w:rFonts w:hint="eastAsia" w:ascii="宋体" w:hAnsi="宋体"/>
          <w:color w:val="000000"/>
          <w:sz w:val="24"/>
          <w:szCs w:val="24"/>
        </w:rPr>
        <w:t>约定对乙方进行违约处罚。</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12、本项目若需经特种设备检验检测政府主管部门进行检测验收，要求设计单位具备中华人民共和国特种设备设计许可证（压力管道）资质（获准从事压力管道设计的类别和级别须符合本项目实际需求），乙方若不具备上述资质时，应将特种设备设计工作专业分包，乙方专业分包时应向甲方提交拟分包设计单位的资质和相关压力管道设计业绩，经甲方审核确认后方可分包。</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13、批准、证明、同意、确定不得无故被扣押或拖延。</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14、乙方负责保存和照管每份乙方文件，直到被甲方接收为止。</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15、甲方负责保存和照管每份甲方文件，直到被乙方接收为止。</w:t>
      </w:r>
    </w:p>
    <w:p>
      <w:pPr>
        <w:pStyle w:val="4"/>
      </w:pPr>
      <w:bookmarkStart w:id="40" w:name="_Toc1736133"/>
      <w:r>
        <w:rPr>
          <w:rFonts w:hint="eastAsia"/>
        </w:rPr>
        <w:t>四、</w:t>
      </w:r>
      <w:r>
        <w:t>通信交流</w:t>
      </w:r>
      <w:bookmarkEnd w:id="40"/>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无论在任何场合给予或颁发批准、证明、同意、确定、通知和请求时，这些通信信息都应采用书面形式，并交付、传送或传输到合同中注明的收件人地址；如果收件人通知了另外地址时，随后通信信息应按新址发送。</w:t>
      </w:r>
      <w:r>
        <w:rPr>
          <w:rFonts w:ascii="宋体" w:hAnsi="宋体"/>
          <w:color w:val="000000"/>
          <w:sz w:val="24"/>
          <w:szCs w:val="24"/>
        </w:rPr>
        <w:t>无论在任何场合给予或办法批准、证明、同意、确定和请求时，这些通信信息都应采用书面形式，并交付、传送或传输到以下地址或由指定的本项目联系负责人签收</w:t>
      </w:r>
      <w:r>
        <w:rPr>
          <w:rFonts w:hint="eastAsia" w:ascii="宋体" w:hAnsi="宋体"/>
          <w:color w:val="000000"/>
          <w:sz w:val="24"/>
          <w:szCs w:val="24"/>
        </w:rPr>
        <w:t>。</w:t>
      </w:r>
      <w:r>
        <w:rPr>
          <w:rFonts w:ascii="宋体" w:hAnsi="宋体"/>
          <w:color w:val="000000"/>
          <w:sz w:val="24"/>
          <w:szCs w:val="24"/>
        </w:rPr>
        <w:t>若实际情况不便于采用书面形式的，可使用电子邮件方式交付，一方电子邮件发出之日视为另一方收到该信息之日。</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2、甲方</w:t>
      </w:r>
      <w:r>
        <w:rPr>
          <w:rFonts w:ascii="宋体" w:hAnsi="宋体"/>
          <w:b/>
          <w:color w:val="000000"/>
          <w:sz w:val="24"/>
          <w:szCs w:val="24"/>
        </w:rPr>
        <w:t>指定</w:t>
      </w:r>
      <w:r>
        <w:rPr>
          <w:rFonts w:hint="eastAsia" w:ascii="宋体" w:hAnsi="宋体"/>
          <w:b/>
          <w:color w:val="000000"/>
          <w:sz w:val="24"/>
          <w:szCs w:val="24"/>
        </w:rPr>
        <w:t xml:space="preserve"> </w:t>
      </w:r>
      <w:r>
        <w:rPr>
          <w:rFonts w:hint="eastAsia" w:ascii="宋体" w:hAnsi="宋体"/>
          <w:b/>
          <w:color w:val="000000"/>
          <w:sz w:val="24"/>
          <w:szCs w:val="24"/>
          <w:u w:val="single"/>
        </w:rPr>
        <w:t xml:space="preserve">      </w:t>
      </w:r>
      <w:r>
        <w:rPr>
          <w:rFonts w:ascii="宋体" w:hAnsi="宋体"/>
          <w:b/>
          <w:color w:val="000000"/>
          <w:sz w:val="24"/>
          <w:szCs w:val="24"/>
        </w:rPr>
        <w:t>为本项目联系负责人（联系方式：），指定邮箱</w:t>
      </w:r>
      <w:r>
        <w:rPr>
          <w:rFonts w:hint="eastAsia" w:ascii="宋体" w:hAnsi="宋体"/>
          <w:b/>
          <w:color w:val="000000"/>
          <w:sz w:val="24"/>
          <w:szCs w:val="24"/>
          <w:u w:val="single"/>
        </w:rPr>
        <w:t xml:space="preserve">        </w:t>
      </w:r>
      <w:r>
        <w:rPr>
          <w:rFonts w:ascii="宋体" w:hAnsi="宋体"/>
          <w:b/>
          <w:color w:val="000000"/>
          <w:sz w:val="24"/>
          <w:szCs w:val="24"/>
        </w:rPr>
        <w:t>为本项目联系邮箱，指定</w:t>
      </w:r>
      <w:r>
        <w:rPr>
          <w:rFonts w:hint="eastAsia" w:ascii="宋体" w:hAnsi="宋体"/>
          <w:b/>
          <w:color w:val="000000"/>
          <w:sz w:val="24"/>
          <w:szCs w:val="24"/>
          <w:u w:val="single"/>
        </w:rPr>
        <w:t xml:space="preserve">     </w:t>
      </w:r>
      <w:r>
        <w:rPr>
          <w:rFonts w:ascii="宋体" w:hAnsi="宋体"/>
          <w:b/>
          <w:color w:val="000000"/>
          <w:sz w:val="24"/>
          <w:szCs w:val="24"/>
        </w:rPr>
        <w:t>为本项目书面资料接收地址。</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3、乙方</w:t>
      </w:r>
      <w:r>
        <w:rPr>
          <w:rFonts w:ascii="宋体" w:hAnsi="宋体"/>
          <w:b/>
          <w:color w:val="000000"/>
          <w:sz w:val="24"/>
          <w:szCs w:val="24"/>
        </w:rPr>
        <w:t>指定</w:t>
      </w:r>
      <w:r>
        <w:rPr>
          <w:rFonts w:hint="eastAsia" w:ascii="宋体" w:hAnsi="宋体"/>
          <w:b/>
          <w:color w:val="000000"/>
          <w:sz w:val="24"/>
          <w:szCs w:val="24"/>
          <w:u w:val="single"/>
        </w:rPr>
        <w:t xml:space="preserve">      </w:t>
      </w:r>
      <w:r>
        <w:rPr>
          <w:rFonts w:ascii="宋体" w:hAnsi="宋体"/>
          <w:b/>
          <w:color w:val="000000"/>
          <w:sz w:val="24"/>
          <w:szCs w:val="24"/>
        </w:rPr>
        <w:t>本项目联系负责人（联系方式：</w:t>
      </w:r>
      <w:r>
        <w:rPr>
          <w:rFonts w:hint="eastAsia" w:ascii="宋体" w:hAnsi="宋体"/>
          <w:b/>
          <w:color w:val="000000"/>
          <w:sz w:val="24"/>
          <w:szCs w:val="24"/>
        </w:rPr>
        <w:t xml:space="preserve"> </w:t>
      </w:r>
      <w:r>
        <w:rPr>
          <w:rFonts w:ascii="宋体" w:hAnsi="宋体"/>
          <w:b/>
          <w:color w:val="000000"/>
          <w:sz w:val="24"/>
          <w:szCs w:val="24"/>
        </w:rPr>
        <w:t>），指定邮箱</w:t>
      </w:r>
      <w:r>
        <w:rPr>
          <w:rFonts w:hint="eastAsia" w:ascii="宋体" w:hAnsi="宋体"/>
          <w:b/>
          <w:color w:val="000000"/>
          <w:sz w:val="24"/>
          <w:szCs w:val="24"/>
          <w:u w:val="single"/>
        </w:rPr>
        <w:t xml:space="preserve">       </w:t>
      </w:r>
      <w:r>
        <w:rPr>
          <w:rFonts w:ascii="宋体" w:hAnsi="宋体"/>
          <w:b/>
          <w:color w:val="000000"/>
          <w:sz w:val="24"/>
          <w:szCs w:val="24"/>
        </w:rPr>
        <w:t>为本项目联系邮箱，指定</w:t>
      </w:r>
      <w:r>
        <w:rPr>
          <w:rFonts w:hint="eastAsia" w:ascii="宋体" w:hAnsi="宋体"/>
          <w:b/>
          <w:color w:val="000000"/>
          <w:sz w:val="24"/>
          <w:szCs w:val="24"/>
        </w:rPr>
        <w:t xml:space="preserve">      </w:t>
      </w:r>
      <w:r>
        <w:rPr>
          <w:rFonts w:ascii="宋体" w:hAnsi="宋体"/>
          <w:b/>
          <w:color w:val="000000"/>
          <w:sz w:val="24"/>
          <w:szCs w:val="24"/>
        </w:rPr>
        <w:t>为本项目书面资料接收地址</w:t>
      </w:r>
      <w:r>
        <w:rPr>
          <w:rFonts w:hint="eastAsia" w:ascii="宋体" w:hAnsi="宋体"/>
          <w:b/>
          <w:color w:val="000000"/>
          <w:sz w:val="24"/>
          <w:szCs w:val="24"/>
        </w:rPr>
        <w:t>；</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4、</w:t>
      </w:r>
      <w:r>
        <w:rPr>
          <w:rFonts w:ascii="宋体" w:hAnsi="宋体"/>
          <w:b/>
          <w:color w:val="000000"/>
          <w:sz w:val="24"/>
          <w:szCs w:val="24"/>
        </w:rPr>
        <w:t>任一方变更任何联系信息的，应书面告知另一方。</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5、批准、证明、同意、确定不得无故被扣押或拖延。</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6、乙方负责保存和照管每份</w:t>
      </w:r>
      <w:r>
        <w:rPr>
          <w:rFonts w:hint="eastAsia" w:ascii="宋体" w:hAnsi="宋体"/>
          <w:b/>
          <w:color w:val="000000"/>
          <w:sz w:val="24"/>
          <w:szCs w:val="24"/>
          <w:lang w:eastAsia="zh-CN"/>
        </w:rPr>
        <w:t>乙方</w:t>
      </w:r>
      <w:r>
        <w:rPr>
          <w:rFonts w:hint="eastAsia" w:ascii="宋体" w:hAnsi="宋体"/>
          <w:b/>
          <w:color w:val="000000"/>
          <w:sz w:val="24"/>
          <w:szCs w:val="24"/>
        </w:rPr>
        <w:t>文件，直到被甲方接收为止。</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7、甲方负责保存和照管每份</w:t>
      </w:r>
      <w:r>
        <w:rPr>
          <w:rFonts w:hint="eastAsia" w:ascii="宋体" w:hAnsi="宋体"/>
          <w:b/>
          <w:color w:val="000000"/>
          <w:sz w:val="24"/>
          <w:szCs w:val="24"/>
          <w:lang w:eastAsia="zh-CN"/>
        </w:rPr>
        <w:t>甲方</w:t>
      </w:r>
      <w:r>
        <w:rPr>
          <w:rFonts w:hint="eastAsia" w:ascii="宋体" w:hAnsi="宋体"/>
          <w:b/>
          <w:color w:val="000000"/>
          <w:sz w:val="24"/>
          <w:szCs w:val="24"/>
        </w:rPr>
        <w:t>文件，直到被乙方接收为止。</w:t>
      </w:r>
    </w:p>
    <w:p>
      <w:pPr>
        <w:pStyle w:val="2"/>
        <w:ind w:left="63" w:right="63"/>
        <w:jc w:val="both"/>
      </w:pPr>
    </w:p>
    <w:p>
      <w:pPr>
        <w:pStyle w:val="4"/>
      </w:pPr>
      <w:bookmarkStart w:id="41" w:name="_Toc1736134"/>
      <w:r>
        <w:rPr>
          <w:rFonts w:hint="eastAsia"/>
        </w:rPr>
        <w:t>五、双方权利及义务</w:t>
      </w:r>
      <w:bookmarkEnd w:id="41"/>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甲方的权利</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1.1 </w:t>
      </w:r>
      <w:r>
        <w:rPr>
          <w:rFonts w:ascii="宋体" w:hAnsi="宋体"/>
          <w:color w:val="000000"/>
          <w:sz w:val="24"/>
          <w:szCs w:val="24"/>
        </w:rPr>
        <w:t>甲方具有向乙方提出各项功能需求和相关的建设标准的权利。</w:t>
      </w:r>
    </w:p>
    <w:p>
      <w:pPr>
        <w:spacing w:after="156" w:afterLines="50" w:line="300" w:lineRule="auto"/>
        <w:ind w:firstLine="420"/>
        <w:rPr>
          <w:rFonts w:ascii="宋体" w:hAnsi="宋体"/>
          <w:color w:val="000000"/>
          <w:sz w:val="24"/>
          <w:szCs w:val="24"/>
        </w:rPr>
      </w:pPr>
      <w:r>
        <w:rPr>
          <w:rFonts w:ascii="宋体" w:hAnsi="宋体"/>
          <w:color w:val="000000"/>
          <w:sz w:val="24"/>
          <w:szCs w:val="24"/>
        </w:rPr>
        <w:t>1.2甲方具有参与各项技术、设计审核的权利。</w:t>
      </w:r>
    </w:p>
    <w:p>
      <w:pPr>
        <w:spacing w:after="156" w:afterLines="50" w:line="300" w:lineRule="auto"/>
        <w:ind w:firstLine="420"/>
        <w:rPr>
          <w:rFonts w:ascii="宋体" w:hAnsi="宋体"/>
          <w:color w:val="000000"/>
          <w:sz w:val="24"/>
          <w:szCs w:val="24"/>
        </w:rPr>
      </w:pPr>
      <w:r>
        <w:rPr>
          <w:rFonts w:ascii="宋体" w:hAnsi="宋体"/>
          <w:color w:val="000000"/>
          <w:sz w:val="24"/>
          <w:szCs w:val="24"/>
        </w:rPr>
        <w:t>1.3乙方在设计进度、设计质量、指派人员、提供服务、协作等方面义务的履行不符合合同约定时，甲方有</w:t>
      </w:r>
      <w:r>
        <w:rPr>
          <w:rFonts w:hint="eastAsia" w:ascii="宋体" w:hAnsi="宋体"/>
          <w:color w:val="000000"/>
          <w:sz w:val="24"/>
          <w:szCs w:val="24"/>
        </w:rPr>
        <w:t>解除</w:t>
      </w:r>
      <w:r>
        <w:rPr>
          <w:rFonts w:ascii="宋体" w:hAnsi="宋体"/>
          <w:color w:val="000000"/>
          <w:sz w:val="24"/>
          <w:szCs w:val="24"/>
        </w:rPr>
        <w:t>合同、追究违约责任、要求赔偿损失等权利。</w:t>
      </w:r>
    </w:p>
    <w:p>
      <w:pPr>
        <w:spacing w:after="156" w:afterLines="50" w:line="300" w:lineRule="auto"/>
        <w:ind w:firstLine="420"/>
        <w:rPr>
          <w:rFonts w:ascii="宋体" w:hAnsi="宋体"/>
          <w:color w:val="000000"/>
          <w:sz w:val="24"/>
          <w:szCs w:val="24"/>
        </w:rPr>
      </w:pPr>
      <w:r>
        <w:rPr>
          <w:rFonts w:ascii="宋体" w:hAnsi="宋体"/>
          <w:color w:val="000000"/>
          <w:sz w:val="24"/>
          <w:szCs w:val="24"/>
        </w:rPr>
        <w:t>1.4甲方有权聘请设计咨询（监理）单位为本项目进行设计咨询（监理），乙方应接受设计咨询（监理）单位按照相关法规和甲方赋予的权利所进行的咨询（监理），设计咨询（监理）单位不得滥用此权利，不得恶意阻挠乙方正常勘察设计工作。</w:t>
      </w:r>
    </w:p>
    <w:p>
      <w:pPr>
        <w:spacing w:after="156" w:afterLines="50" w:line="300" w:lineRule="auto"/>
        <w:ind w:firstLine="420"/>
        <w:rPr>
          <w:rFonts w:ascii="宋体" w:hAnsi="宋体"/>
          <w:color w:val="000000"/>
          <w:sz w:val="24"/>
          <w:szCs w:val="24"/>
        </w:rPr>
      </w:pPr>
      <w:r>
        <w:rPr>
          <w:rFonts w:ascii="宋体" w:hAnsi="宋体"/>
          <w:color w:val="000000"/>
          <w:sz w:val="24"/>
          <w:szCs w:val="24"/>
        </w:rPr>
        <w:t>1.5除甲方已批准的设计文件组成清单内容外，甲方在工程概算批复的范围内有权要求乙方补充完成满足深度和质量要求的相关设计图纸，具体时间根据项目工期计划由甲乙双方另行协商确定。</w:t>
      </w:r>
    </w:p>
    <w:p>
      <w:pPr>
        <w:spacing w:after="156" w:afterLines="50" w:line="300" w:lineRule="auto"/>
        <w:ind w:firstLine="420"/>
        <w:rPr>
          <w:rFonts w:ascii="宋体" w:hAnsi="宋体"/>
          <w:color w:val="000000"/>
          <w:sz w:val="24"/>
          <w:szCs w:val="24"/>
        </w:rPr>
      </w:pPr>
      <w:r>
        <w:rPr>
          <w:rFonts w:ascii="宋体" w:hAnsi="宋体"/>
          <w:color w:val="000000"/>
          <w:sz w:val="24"/>
          <w:szCs w:val="24"/>
        </w:rPr>
        <w:t>1.6甲方有设计</w:t>
      </w:r>
      <w:r>
        <w:rPr>
          <w:rFonts w:hint="eastAsia" w:ascii="宋体" w:hAnsi="宋体"/>
          <w:color w:val="000000"/>
          <w:sz w:val="24"/>
          <w:szCs w:val="24"/>
        </w:rPr>
        <w:t>（工程）</w:t>
      </w:r>
      <w:r>
        <w:rPr>
          <w:rFonts w:ascii="宋体" w:hAnsi="宋体"/>
          <w:color w:val="000000"/>
          <w:sz w:val="24"/>
          <w:szCs w:val="24"/>
        </w:rPr>
        <w:t>变更的审批权，设计进度的监督权和考核处罚权。</w:t>
      </w:r>
    </w:p>
    <w:p>
      <w:pPr>
        <w:spacing w:after="156" w:afterLines="50" w:line="300" w:lineRule="auto"/>
        <w:ind w:firstLine="420"/>
        <w:rPr>
          <w:rFonts w:ascii="宋体" w:hAnsi="宋体"/>
          <w:color w:val="000000"/>
          <w:sz w:val="24"/>
          <w:szCs w:val="24"/>
        </w:rPr>
      </w:pPr>
      <w:r>
        <w:rPr>
          <w:rFonts w:ascii="宋体" w:hAnsi="宋体"/>
          <w:color w:val="000000"/>
          <w:sz w:val="24"/>
          <w:szCs w:val="24"/>
        </w:rPr>
        <w:t>1.7甲方有权要求乙方提交工作周报、月报及专项报告。周报和月报内容包括各专业的设计进度、内容及需协调问题、遗留问题等。专项报告指甲方要求乙方编制的设计专题、分析报告、总结等。</w:t>
      </w:r>
    </w:p>
    <w:p>
      <w:pPr>
        <w:spacing w:after="156" w:afterLines="50" w:line="300" w:lineRule="auto"/>
        <w:ind w:firstLine="420"/>
        <w:rPr>
          <w:rFonts w:ascii="宋体" w:hAnsi="宋体"/>
          <w:color w:val="000000"/>
          <w:sz w:val="24"/>
          <w:szCs w:val="24"/>
        </w:rPr>
      </w:pPr>
      <w:r>
        <w:rPr>
          <w:rFonts w:ascii="宋体" w:hAnsi="宋体"/>
          <w:color w:val="000000"/>
          <w:sz w:val="24"/>
          <w:szCs w:val="24"/>
        </w:rPr>
        <w:t>1.8甲方有权要求乙方更换不称职的项目负责人、设计人员和专项分包方，但必须是合理、合法、合规的。</w:t>
      </w:r>
    </w:p>
    <w:p>
      <w:pPr>
        <w:spacing w:after="156" w:afterLines="50" w:line="300" w:lineRule="auto"/>
        <w:ind w:firstLine="420"/>
        <w:rPr>
          <w:rFonts w:ascii="宋体" w:hAnsi="宋体"/>
          <w:color w:val="000000"/>
          <w:sz w:val="24"/>
          <w:szCs w:val="24"/>
        </w:rPr>
      </w:pPr>
      <w:r>
        <w:rPr>
          <w:rFonts w:ascii="宋体" w:hAnsi="宋体"/>
          <w:color w:val="000000"/>
          <w:sz w:val="24"/>
          <w:szCs w:val="24"/>
        </w:rPr>
        <w:t>1.9除另有规定外，甲方可以在合同期内，以书面形式指示乙方就合同所述的服务或合同期限作出更改、修订、省略、增添或其他修改，乙方必须依照指示作出修改且不</w:t>
      </w:r>
      <w:r>
        <w:rPr>
          <w:rFonts w:hint="eastAsia" w:ascii="宋体" w:hAnsi="宋体"/>
          <w:color w:val="000000"/>
          <w:sz w:val="24"/>
          <w:szCs w:val="24"/>
        </w:rPr>
        <w:t>得</w:t>
      </w:r>
      <w:r>
        <w:rPr>
          <w:rFonts w:ascii="宋体" w:hAnsi="宋体"/>
          <w:color w:val="000000"/>
          <w:sz w:val="24"/>
          <w:szCs w:val="24"/>
        </w:rPr>
        <w:t>要求增加合同费用。</w:t>
      </w:r>
    </w:p>
    <w:p>
      <w:pPr>
        <w:spacing w:after="156" w:afterLines="50" w:line="300" w:lineRule="auto"/>
        <w:ind w:firstLine="420"/>
        <w:rPr>
          <w:rFonts w:ascii="宋体" w:hAnsi="宋体"/>
          <w:color w:val="000000"/>
          <w:sz w:val="24"/>
          <w:szCs w:val="24"/>
        </w:rPr>
      </w:pPr>
      <w:r>
        <w:rPr>
          <w:rFonts w:ascii="宋体" w:hAnsi="宋体"/>
          <w:color w:val="000000"/>
          <w:sz w:val="24"/>
          <w:szCs w:val="24"/>
        </w:rPr>
        <w:t>1.10甲方可以拒绝接受任何没有遵守本合同规定而提供的服务（或其中任何部分），拒绝接纳服务不损及甲方的任何法定权利。</w:t>
      </w:r>
    </w:p>
    <w:p>
      <w:pPr>
        <w:spacing w:after="156" w:afterLines="50" w:line="300" w:lineRule="auto"/>
        <w:ind w:firstLine="420"/>
        <w:rPr>
          <w:rFonts w:ascii="宋体" w:hAnsi="宋体"/>
          <w:color w:val="000000"/>
          <w:sz w:val="24"/>
          <w:szCs w:val="24"/>
        </w:rPr>
      </w:pPr>
      <w:r>
        <w:rPr>
          <w:rFonts w:ascii="宋体" w:hAnsi="宋体"/>
          <w:color w:val="000000"/>
          <w:sz w:val="24"/>
          <w:szCs w:val="24"/>
        </w:rPr>
        <w:t>1.11 甲方有权在</w:t>
      </w:r>
      <w:r>
        <w:rPr>
          <w:rFonts w:hint="eastAsia" w:ascii="宋体" w:hAnsi="宋体"/>
          <w:color w:val="000000"/>
          <w:sz w:val="24"/>
          <w:szCs w:val="24"/>
        </w:rPr>
        <w:t>项目基础资料不完善、基础数据不明确时，</w:t>
      </w:r>
      <w:r>
        <w:rPr>
          <w:rFonts w:ascii="宋体" w:hAnsi="宋体"/>
          <w:color w:val="000000"/>
          <w:sz w:val="24"/>
          <w:szCs w:val="24"/>
        </w:rPr>
        <w:t>根据项目建设实际情况</w:t>
      </w:r>
      <w:r>
        <w:rPr>
          <w:rFonts w:hint="eastAsia" w:ascii="宋体" w:hAnsi="宋体"/>
          <w:color w:val="000000"/>
          <w:sz w:val="24"/>
          <w:szCs w:val="24"/>
        </w:rPr>
        <w:t>要求与乙方协商对该项目进行初步设计、施工图设计等设计工作，以满足该项目施工需求。待该项目基础资料或数据明确时，乙方须按最新基础资料将该项目设计修订完善或返工设计，并及时提交甲方审核确认。</w:t>
      </w:r>
    </w:p>
    <w:p>
      <w:pPr>
        <w:spacing w:after="156" w:afterLines="50" w:line="300" w:lineRule="auto"/>
        <w:ind w:firstLine="420"/>
        <w:rPr>
          <w:rFonts w:ascii="宋体" w:hAnsi="宋体"/>
          <w:color w:val="000000"/>
          <w:sz w:val="24"/>
          <w:szCs w:val="24"/>
        </w:rPr>
      </w:pPr>
      <w:r>
        <w:rPr>
          <w:rFonts w:ascii="宋体" w:hAnsi="宋体"/>
          <w:color w:val="000000"/>
          <w:sz w:val="24"/>
          <w:szCs w:val="24"/>
        </w:rPr>
        <w:t>1.1</w:t>
      </w:r>
      <w:r>
        <w:rPr>
          <w:rFonts w:hint="eastAsia" w:ascii="宋体" w:hAnsi="宋体"/>
          <w:color w:val="000000"/>
          <w:sz w:val="24"/>
          <w:szCs w:val="24"/>
        </w:rPr>
        <w:t xml:space="preserve">2 </w:t>
      </w:r>
      <w:r>
        <w:rPr>
          <w:rFonts w:ascii="宋体" w:hAnsi="宋体"/>
          <w:color w:val="000000"/>
          <w:sz w:val="24"/>
          <w:szCs w:val="24"/>
        </w:rPr>
        <w:t>甲方有权对乙方</w:t>
      </w:r>
      <w:r>
        <w:rPr>
          <w:rFonts w:hint="eastAsia" w:ascii="宋体" w:hAnsi="宋体"/>
          <w:color w:val="000000"/>
          <w:sz w:val="24"/>
          <w:szCs w:val="24"/>
        </w:rPr>
        <w:t>精装修、园林绿化等专业设计能力予以评估，若经甲方评估乙方无法满足本项目精装修、园林绿化、等专业设计要求，则甲方有权要求乙方进行专业分包，乙方应当及时将该部分内容予以专业设计分包给具备相应资质和相关优良设计业绩的设计单位，乙方应与专业分包设计单位共同承担合同义务及考核责任。</w:t>
      </w:r>
    </w:p>
    <w:p>
      <w:pPr>
        <w:spacing w:after="156" w:afterLines="50" w:line="300" w:lineRule="auto"/>
        <w:ind w:firstLine="420"/>
        <w:rPr>
          <w:rFonts w:ascii="宋体" w:hAnsi="宋体"/>
          <w:color w:val="000000"/>
          <w:sz w:val="24"/>
          <w:szCs w:val="24"/>
        </w:rPr>
      </w:pPr>
      <w:r>
        <w:rPr>
          <w:rFonts w:ascii="宋体" w:hAnsi="宋体"/>
          <w:color w:val="000000"/>
          <w:sz w:val="24"/>
          <w:szCs w:val="24"/>
        </w:rPr>
        <w:t>1.1</w:t>
      </w:r>
      <w:r>
        <w:rPr>
          <w:rFonts w:hint="eastAsia" w:ascii="宋体" w:hAnsi="宋体"/>
          <w:color w:val="000000"/>
          <w:sz w:val="24"/>
          <w:szCs w:val="24"/>
        </w:rPr>
        <w:t>3</w:t>
      </w:r>
      <w:r>
        <w:rPr>
          <w:rFonts w:ascii="宋体" w:hAnsi="宋体"/>
          <w:color w:val="000000"/>
          <w:sz w:val="24"/>
          <w:szCs w:val="24"/>
        </w:rPr>
        <w:t xml:space="preserve"> 其它依据合同</w:t>
      </w:r>
      <w:r>
        <w:rPr>
          <w:rFonts w:hint="eastAsia" w:ascii="宋体" w:hAnsi="宋体"/>
          <w:color w:val="000000"/>
          <w:sz w:val="24"/>
          <w:szCs w:val="24"/>
        </w:rPr>
        <w:t>（含</w:t>
      </w:r>
      <w:r>
        <w:rPr>
          <w:rFonts w:hint="eastAsia" w:ascii="宋体" w:hAnsi="宋体"/>
          <w:color w:val="000000"/>
          <w:sz w:val="24"/>
          <w:szCs w:val="24"/>
          <w:lang w:val="en-US" w:eastAsia="zh-CN"/>
        </w:rPr>
        <w:t>勘察</w:t>
      </w:r>
      <w:r>
        <w:rPr>
          <w:rFonts w:hint="eastAsia" w:ascii="宋体" w:hAnsi="宋体"/>
          <w:color w:val="000000"/>
          <w:sz w:val="24"/>
          <w:szCs w:val="24"/>
        </w:rPr>
        <w:t>设计任务书）</w:t>
      </w:r>
      <w:r>
        <w:rPr>
          <w:rFonts w:ascii="宋体" w:hAnsi="宋体"/>
          <w:color w:val="000000"/>
          <w:sz w:val="24"/>
          <w:szCs w:val="24"/>
        </w:rPr>
        <w:t>和法律规定属于甲方的权利。</w:t>
      </w:r>
    </w:p>
    <w:p>
      <w:pPr>
        <w:spacing w:after="156" w:afterLines="50" w:line="300" w:lineRule="auto"/>
        <w:ind w:firstLine="42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w:t>
      </w:r>
      <w:r>
        <w:rPr>
          <w:rFonts w:ascii="宋体" w:hAnsi="宋体"/>
          <w:color w:val="000000"/>
          <w:sz w:val="24"/>
          <w:szCs w:val="24"/>
        </w:rPr>
        <w:t>甲方的义务</w:t>
      </w:r>
    </w:p>
    <w:p>
      <w:pPr>
        <w:spacing w:after="156" w:afterLines="50" w:line="300" w:lineRule="auto"/>
        <w:ind w:firstLine="420"/>
        <w:rPr>
          <w:rFonts w:ascii="宋体" w:hAnsi="宋体"/>
          <w:color w:val="000000"/>
          <w:sz w:val="24"/>
          <w:szCs w:val="24"/>
        </w:rPr>
      </w:pPr>
      <w:r>
        <w:rPr>
          <w:rFonts w:ascii="宋体" w:hAnsi="宋体"/>
          <w:color w:val="000000"/>
          <w:sz w:val="24"/>
          <w:szCs w:val="24"/>
        </w:rPr>
        <w:t>2.1甲方按本合同约定的内容，在签订合同后15日历天内向乙方提交设计所需文件与数据，并对其完整性、有效性、及时性负责，甲方不得要求乙方违反国家有关标准进行勘察设计。</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2</w:t>
      </w:r>
      <w:r>
        <w:rPr>
          <w:rFonts w:ascii="宋体" w:hAnsi="宋体"/>
          <w:color w:val="000000"/>
          <w:sz w:val="24"/>
          <w:szCs w:val="24"/>
        </w:rPr>
        <w:t>甲方在向乙方下达开工通知之前，应</w:t>
      </w:r>
      <w:r>
        <w:rPr>
          <w:rFonts w:hint="eastAsia" w:ascii="宋体" w:hAnsi="宋体"/>
          <w:color w:val="000000"/>
          <w:sz w:val="24"/>
          <w:szCs w:val="24"/>
        </w:rPr>
        <w:t>具备</w:t>
      </w:r>
      <w:r>
        <w:rPr>
          <w:rFonts w:ascii="宋体" w:hAnsi="宋体"/>
          <w:color w:val="000000"/>
          <w:sz w:val="24"/>
          <w:szCs w:val="24"/>
        </w:rPr>
        <w:t>相关开工条件，并配合乙方提供现场勘察作业所需的施工条件。</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3</w:t>
      </w:r>
      <w:r>
        <w:rPr>
          <w:rFonts w:ascii="宋体" w:hAnsi="宋体"/>
          <w:color w:val="000000"/>
          <w:sz w:val="24"/>
          <w:szCs w:val="24"/>
        </w:rPr>
        <w:t>勘察过程中的任何变更，经办理正式变更手续后，甲方应按实际发生的工作量支付勘察费。</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4</w:t>
      </w:r>
      <w:r>
        <w:rPr>
          <w:rFonts w:ascii="宋体" w:hAnsi="宋体"/>
          <w:color w:val="000000"/>
          <w:sz w:val="24"/>
          <w:szCs w:val="24"/>
        </w:rPr>
        <w:t>甲方对乙方提出的付款申请和有关单据复核无误后进行支付，乙方在甲方付款前应向甲方递交请款函和等额增值税专用发票</w:t>
      </w:r>
      <w:r>
        <w:rPr>
          <w:rFonts w:hint="eastAsia" w:ascii="宋体" w:hAnsi="宋体"/>
          <w:color w:val="000000"/>
          <w:sz w:val="24"/>
          <w:szCs w:val="24"/>
        </w:rPr>
        <w:t>，</w:t>
      </w:r>
      <w:r>
        <w:rPr>
          <w:rFonts w:ascii="宋体" w:hAnsi="宋体"/>
          <w:color w:val="000000"/>
          <w:sz w:val="24"/>
          <w:szCs w:val="24"/>
        </w:rPr>
        <w:t>并按</w:t>
      </w:r>
      <w:r>
        <w:rPr>
          <w:rFonts w:hint="eastAsia" w:ascii="宋体" w:hAnsi="宋体"/>
          <w:color w:val="000000"/>
          <w:sz w:val="24"/>
          <w:szCs w:val="24"/>
        </w:rPr>
        <w:t>甲方</w:t>
      </w:r>
      <w:r>
        <w:rPr>
          <w:rFonts w:ascii="宋体" w:hAnsi="宋体"/>
          <w:color w:val="000000"/>
          <w:sz w:val="24"/>
          <w:szCs w:val="24"/>
        </w:rPr>
        <w:t>相关支付程序予以办理。</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5</w:t>
      </w:r>
      <w:r>
        <w:rPr>
          <w:rFonts w:ascii="宋体" w:hAnsi="宋体"/>
          <w:color w:val="000000"/>
          <w:sz w:val="24"/>
          <w:szCs w:val="24"/>
        </w:rPr>
        <w:t>甲方负责组织国家建设程序规定的外部评审及确认活动，并负责完成设计文件报建、报批手续。</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6</w:t>
      </w:r>
      <w:r>
        <w:rPr>
          <w:rFonts w:ascii="宋体" w:hAnsi="宋体"/>
          <w:color w:val="000000"/>
          <w:sz w:val="24"/>
          <w:szCs w:val="24"/>
        </w:rPr>
        <w:t xml:space="preserve"> </w:t>
      </w:r>
      <w:r>
        <w:rPr>
          <w:rFonts w:hint="eastAsia" w:ascii="宋体" w:hAnsi="宋体"/>
          <w:color w:val="000000"/>
          <w:sz w:val="24"/>
          <w:szCs w:val="24"/>
        </w:rPr>
        <w:t>甲方负责组织乙方、监理单位、施工单位进行施工前的工程设计技术交底（应由监理单位负责组织的活动除外）。</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7</w:t>
      </w:r>
      <w:r>
        <w:rPr>
          <w:rFonts w:ascii="宋体" w:hAnsi="宋体"/>
          <w:color w:val="000000"/>
          <w:sz w:val="24"/>
          <w:szCs w:val="24"/>
        </w:rPr>
        <w:t>甲方驻场代表在甲方授权范围内向乙方发出的任何书面形式的函件，与甲方发出的函件具有同等效力。甲方驻场代表的指令、通知应由其本人签字并经甲方单位确认后，以书面形式交给乙方勘察、设计负责人或乙方驻场代表，乙方勘察、设计负责人或乙方驻场代表应立即在回执上签署姓名和收到时间，指令、通知同时生效。</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8</w:t>
      </w:r>
      <w:r>
        <w:rPr>
          <w:rFonts w:ascii="宋体" w:hAnsi="宋体"/>
          <w:color w:val="000000"/>
          <w:sz w:val="24"/>
          <w:szCs w:val="24"/>
        </w:rPr>
        <w:t>甲方驻场代表是甲方的履约代表，乙方发出的任何书面形式的文件经甲方驻场代表签收后即视为已送达甲方。</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9</w:t>
      </w:r>
      <w:r>
        <w:rPr>
          <w:rFonts w:ascii="宋体" w:hAnsi="宋体"/>
          <w:color w:val="000000"/>
          <w:sz w:val="24"/>
          <w:szCs w:val="24"/>
        </w:rPr>
        <w:t>甲方参与乙方要求进行的设计协调会议，协助解决设计中出现的商务与技术问题。</w:t>
      </w:r>
    </w:p>
    <w:p>
      <w:pPr>
        <w:spacing w:after="156" w:afterLines="50" w:line="300" w:lineRule="auto"/>
        <w:rPr>
          <w:rFonts w:ascii="宋体" w:hAnsi="宋体"/>
          <w:color w:val="000000"/>
          <w:sz w:val="24"/>
          <w:szCs w:val="24"/>
        </w:rPr>
      </w:pPr>
      <w:r>
        <w:rPr>
          <w:rFonts w:ascii="宋体" w:hAnsi="宋体"/>
          <w:color w:val="000000"/>
          <w:sz w:val="24"/>
          <w:szCs w:val="24"/>
        </w:rPr>
        <w:t xml:space="preserve">    2.</w:t>
      </w:r>
      <w:r>
        <w:rPr>
          <w:rFonts w:hint="eastAsia" w:ascii="宋体" w:hAnsi="宋体"/>
          <w:color w:val="000000"/>
          <w:sz w:val="24"/>
          <w:szCs w:val="24"/>
        </w:rPr>
        <w:t>10</w:t>
      </w:r>
      <w:r>
        <w:rPr>
          <w:rFonts w:ascii="宋体" w:hAnsi="宋体"/>
          <w:color w:val="000000"/>
          <w:sz w:val="24"/>
          <w:szCs w:val="24"/>
        </w:rPr>
        <w:t>甲方委托设计配合引进设备的设计任务，从询价、对外谈判、国内外技术考察直至建成投产的各个阶段，考虑吸收承担有关设计任务的乙方人员参加，产生的费用由甲方承担。</w:t>
      </w:r>
    </w:p>
    <w:p>
      <w:pPr>
        <w:spacing w:after="156" w:afterLines="50" w:line="300" w:lineRule="auto"/>
        <w:rPr>
          <w:rFonts w:ascii="宋体" w:hAnsi="宋体"/>
          <w:color w:val="000000"/>
          <w:sz w:val="24"/>
          <w:szCs w:val="24"/>
        </w:rPr>
      </w:pPr>
      <w:r>
        <w:rPr>
          <w:rFonts w:ascii="宋体" w:hAnsi="宋体"/>
          <w:color w:val="000000"/>
          <w:sz w:val="24"/>
          <w:szCs w:val="24"/>
        </w:rPr>
        <w:t xml:space="preserve">    2.1</w:t>
      </w:r>
      <w:r>
        <w:rPr>
          <w:rFonts w:hint="eastAsia" w:ascii="宋体" w:hAnsi="宋体"/>
          <w:color w:val="000000"/>
          <w:sz w:val="24"/>
          <w:szCs w:val="24"/>
        </w:rPr>
        <w:t>1甲方有义务向乙方提供设计审查会议的批准文件和纪要。乙方有义务按照相关设计审查会议批准的文件和纪要，并依据合同约定及相关技术标准，对工程设计文件进行修改、补充和完善。</w:t>
      </w:r>
    </w:p>
    <w:p>
      <w:pPr>
        <w:spacing w:after="156" w:afterLines="50" w:line="300" w:lineRule="auto"/>
        <w:rPr>
          <w:rFonts w:ascii="宋体" w:hAnsi="宋体"/>
          <w:color w:val="000000"/>
          <w:sz w:val="24"/>
          <w:szCs w:val="24"/>
        </w:rPr>
      </w:pPr>
      <w:r>
        <w:rPr>
          <w:rFonts w:ascii="宋体" w:hAnsi="宋体"/>
          <w:color w:val="000000"/>
          <w:sz w:val="24"/>
          <w:szCs w:val="24"/>
        </w:rPr>
        <w:t xml:space="preserve">    2.1</w:t>
      </w:r>
      <w:r>
        <w:rPr>
          <w:rFonts w:hint="eastAsia" w:ascii="宋体" w:hAnsi="宋体"/>
          <w:color w:val="000000"/>
          <w:sz w:val="24"/>
          <w:szCs w:val="24"/>
        </w:rPr>
        <w:t>2</w:t>
      </w:r>
      <w:r>
        <w:rPr>
          <w:rFonts w:ascii="宋体" w:hAnsi="宋体"/>
          <w:color w:val="000000"/>
          <w:sz w:val="24"/>
          <w:szCs w:val="24"/>
        </w:rPr>
        <w:t>甲方及设计咨询（监理）单位在收到乙方有关设计问题及确认问题的函件后，应在5个工作日内给予书面答复。</w:t>
      </w:r>
    </w:p>
    <w:p>
      <w:pPr>
        <w:spacing w:after="156" w:afterLines="50" w:line="300" w:lineRule="auto"/>
        <w:rPr>
          <w:rFonts w:ascii="宋体" w:hAnsi="宋体"/>
          <w:color w:val="000000"/>
          <w:sz w:val="24"/>
          <w:szCs w:val="24"/>
        </w:rPr>
      </w:pPr>
      <w:r>
        <w:rPr>
          <w:rFonts w:ascii="宋体" w:hAnsi="宋体"/>
          <w:color w:val="000000"/>
          <w:sz w:val="24"/>
          <w:szCs w:val="24"/>
        </w:rPr>
        <w:t xml:space="preserve">    2.1</w:t>
      </w:r>
      <w:r>
        <w:rPr>
          <w:rFonts w:hint="eastAsia" w:ascii="宋体" w:hAnsi="宋体"/>
          <w:color w:val="000000"/>
          <w:sz w:val="24"/>
          <w:szCs w:val="24"/>
        </w:rPr>
        <w:t>3</w:t>
      </w:r>
      <w:r>
        <w:rPr>
          <w:rFonts w:ascii="宋体" w:hAnsi="宋体"/>
          <w:color w:val="000000"/>
          <w:sz w:val="24"/>
          <w:szCs w:val="24"/>
        </w:rPr>
        <w:t>甲方保证未经乙方允许时不向第三方透露乙方的技术材料、技术方案、设计图纸等应用于本项目的材料，不得允许第三方使用乙方本项目的所有材料，并要求所有能接触到乙方本项目材料的人员进行保密。如因甲方原因造成对乙方侵权的，甲方赔偿乙方损失</w:t>
      </w:r>
      <w:r>
        <w:rPr>
          <w:rFonts w:hint="eastAsia" w:ascii="宋体" w:hAnsi="宋体"/>
          <w:color w:val="000000"/>
          <w:sz w:val="24"/>
          <w:szCs w:val="24"/>
        </w:rPr>
        <w:t>。</w:t>
      </w:r>
    </w:p>
    <w:p>
      <w:pPr>
        <w:spacing w:after="156" w:afterLines="50" w:line="300" w:lineRule="auto"/>
        <w:rPr>
          <w:rFonts w:ascii="宋体" w:hAnsi="宋体"/>
          <w:color w:val="000000"/>
          <w:sz w:val="24"/>
          <w:szCs w:val="24"/>
        </w:rPr>
      </w:pPr>
      <w:r>
        <w:rPr>
          <w:rFonts w:ascii="宋体" w:hAnsi="宋体"/>
          <w:color w:val="000000"/>
          <w:sz w:val="24"/>
          <w:szCs w:val="24"/>
        </w:rPr>
        <w:t xml:space="preserve">    2.1</w:t>
      </w:r>
      <w:r>
        <w:rPr>
          <w:rFonts w:hint="eastAsia" w:ascii="宋体" w:hAnsi="宋体"/>
          <w:color w:val="000000"/>
          <w:sz w:val="24"/>
          <w:szCs w:val="24"/>
        </w:rPr>
        <w:t>4</w:t>
      </w:r>
      <w:r>
        <w:rPr>
          <w:rFonts w:ascii="宋体" w:hAnsi="宋体"/>
          <w:color w:val="000000"/>
          <w:sz w:val="24"/>
          <w:szCs w:val="24"/>
        </w:rPr>
        <w:t>如因相关政府的行政决策或审批流程滞后导致本合同项目</w:t>
      </w:r>
      <w:r>
        <w:rPr>
          <w:rFonts w:hint="eastAsia" w:ascii="宋体" w:hAnsi="宋体"/>
          <w:color w:val="000000"/>
          <w:sz w:val="24"/>
          <w:szCs w:val="24"/>
        </w:rPr>
        <w:t>取消、停滞或</w:t>
      </w:r>
      <w:r>
        <w:rPr>
          <w:rFonts w:ascii="宋体" w:hAnsi="宋体"/>
          <w:color w:val="000000"/>
          <w:sz w:val="24"/>
          <w:szCs w:val="24"/>
        </w:rPr>
        <w:t>缓建，</w:t>
      </w:r>
      <w:r>
        <w:rPr>
          <w:rFonts w:hint="eastAsia" w:ascii="宋体" w:hAnsi="宋体"/>
          <w:color w:val="000000"/>
          <w:sz w:val="24"/>
          <w:szCs w:val="24"/>
        </w:rPr>
        <w:t>甲方</w:t>
      </w:r>
      <w:r>
        <w:rPr>
          <w:rFonts w:ascii="宋体" w:hAnsi="宋体"/>
          <w:color w:val="000000"/>
          <w:sz w:val="24"/>
          <w:szCs w:val="24"/>
        </w:rPr>
        <w:t>应</w:t>
      </w:r>
      <w:r>
        <w:rPr>
          <w:rFonts w:hint="eastAsia" w:ascii="宋体" w:hAnsi="宋体"/>
          <w:color w:val="000000"/>
          <w:sz w:val="24"/>
          <w:szCs w:val="24"/>
        </w:rPr>
        <w:t>根据乙方实际工作量支付勘察设计</w:t>
      </w:r>
      <w:r>
        <w:rPr>
          <w:rFonts w:ascii="宋体" w:hAnsi="宋体"/>
          <w:color w:val="000000"/>
          <w:sz w:val="24"/>
          <w:szCs w:val="24"/>
        </w:rPr>
        <w:t>费用</w:t>
      </w:r>
      <w:r>
        <w:rPr>
          <w:rFonts w:hint="eastAsia" w:ascii="宋体" w:hAnsi="宋体"/>
          <w:color w:val="000000"/>
          <w:sz w:val="24"/>
          <w:szCs w:val="24"/>
        </w:rPr>
        <w:t>，甲乙双方须按乙方实际完成勘察设计工作量对勘察设计费用协商一致，甲方在乙方整理提交已完成工作的勘查成果文件和设计文件并经甲方书面审核确认后支付实际设计费用；如属乙方原因的，乙方应对勘察设计文件进行调整直至设计文件通过审批</w:t>
      </w:r>
      <w:r>
        <w:rPr>
          <w:rFonts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乙方的权利</w:t>
      </w:r>
    </w:p>
    <w:p>
      <w:pPr>
        <w:spacing w:after="156" w:afterLines="50" w:line="300" w:lineRule="auto"/>
        <w:rPr>
          <w:rFonts w:ascii="宋体" w:hAnsi="宋体"/>
          <w:color w:val="000000"/>
          <w:sz w:val="24"/>
          <w:szCs w:val="24"/>
        </w:rPr>
      </w:pPr>
      <w:r>
        <w:rPr>
          <w:rFonts w:ascii="宋体" w:hAnsi="宋体"/>
          <w:color w:val="000000"/>
          <w:sz w:val="24"/>
          <w:szCs w:val="24"/>
        </w:rPr>
        <w:t xml:space="preserve">    3.1在设计方案、图纸未审批之前和不影响工期的情况下，有权提出修改方案、图纸的建议。</w:t>
      </w:r>
    </w:p>
    <w:p>
      <w:pPr>
        <w:spacing w:after="156" w:afterLines="50" w:line="300" w:lineRule="auto"/>
        <w:rPr>
          <w:rFonts w:ascii="宋体" w:hAnsi="宋体"/>
          <w:color w:val="000000"/>
          <w:sz w:val="24"/>
          <w:szCs w:val="24"/>
        </w:rPr>
      </w:pPr>
      <w:r>
        <w:rPr>
          <w:rFonts w:ascii="宋体" w:hAnsi="宋体"/>
          <w:color w:val="000000"/>
          <w:sz w:val="24"/>
          <w:szCs w:val="24"/>
        </w:rPr>
        <w:t xml:space="preserve">    3.2组织各阶段设计乙方与专项分包人的技术协调和交底工作。</w:t>
      </w:r>
    </w:p>
    <w:p>
      <w:pPr>
        <w:spacing w:after="156" w:afterLines="50" w:line="300" w:lineRule="auto"/>
        <w:rPr>
          <w:rFonts w:ascii="宋体" w:hAnsi="宋体"/>
          <w:color w:val="000000"/>
          <w:sz w:val="24"/>
          <w:szCs w:val="24"/>
        </w:rPr>
      </w:pPr>
      <w:r>
        <w:rPr>
          <w:rFonts w:ascii="宋体" w:hAnsi="宋体"/>
          <w:color w:val="000000"/>
          <w:sz w:val="24"/>
          <w:szCs w:val="24"/>
        </w:rPr>
        <w:t xml:space="preserve">    3.3对设计的进度、质量和投资进行管理。</w:t>
      </w:r>
    </w:p>
    <w:p>
      <w:pPr>
        <w:spacing w:after="156" w:afterLines="50" w:line="300" w:lineRule="auto"/>
        <w:rPr>
          <w:rFonts w:ascii="宋体" w:hAnsi="宋体"/>
          <w:color w:val="000000"/>
          <w:sz w:val="24"/>
          <w:szCs w:val="24"/>
        </w:rPr>
      </w:pPr>
      <w:r>
        <w:rPr>
          <w:rFonts w:ascii="宋体" w:hAnsi="宋体"/>
          <w:color w:val="000000"/>
          <w:sz w:val="24"/>
          <w:szCs w:val="24"/>
        </w:rPr>
        <w:t xml:space="preserve">    3.4对参与专项设计的单位具有直接管理权。</w:t>
      </w:r>
    </w:p>
    <w:p>
      <w:pPr>
        <w:spacing w:after="156" w:afterLines="50" w:line="300" w:lineRule="auto"/>
        <w:rPr>
          <w:rFonts w:ascii="宋体" w:hAnsi="宋体"/>
          <w:color w:val="000000"/>
          <w:sz w:val="24"/>
          <w:szCs w:val="24"/>
        </w:rPr>
      </w:pPr>
      <w:r>
        <w:rPr>
          <w:rFonts w:ascii="宋体" w:hAnsi="宋体"/>
          <w:color w:val="000000"/>
          <w:sz w:val="24"/>
          <w:szCs w:val="24"/>
        </w:rPr>
        <w:t xml:space="preserve">    3.5按规定及合同向专项分包人支付设计费。</w:t>
      </w:r>
    </w:p>
    <w:p>
      <w:pPr>
        <w:spacing w:after="156" w:afterLines="50" w:line="300" w:lineRule="auto"/>
        <w:rPr>
          <w:rFonts w:ascii="宋体" w:hAnsi="宋体"/>
          <w:color w:val="000000"/>
          <w:sz w:val="24"/>
          <w:szCs w:val="24"/>
        </w:rPr>
      </w:pPr>
      <w:r>
        <w:rPr>
          <w:rFonts w:ascii="宋体" w:hAnsi="宋体"/>
          <w:color w:val="000000"/>
          <w:sz w:val="24"/>
          <w:szCs w:val="24"/>
        </w:rPr>
        <w:t xml:space="preserve">    3.6按合同规定向甲方请款。</w:t>
      </w:r>
    </w:p>
    <w:p>
      <w:pPr>
        <w:spacing w:after="156" w:afterLines="50" w:line="300" w:lineRule="auto"/>
        <w:rPr>
          <w:rFonts w:ascii="宋体" w:hAnsi="宋体"/>
          <w:color w:val="000000"/>
          <w:sz w:val="24"/>
          <w:szCs w:val="24"/>
        </w:rPr>
      </w:pPr>
      <w:r>
        <w:rPr>
          <w:rFonts w:ascii="宋体" w:hAnsi="宋体"/>
          <w:color w:val="000000"/>
          <w:sz w:val="24"/>
          <w:szCs w:val="24"/>
        </w:rPr>
        <w:t xml:space="preserve">    3.7对甲方现场代表、甲方、第三方监理的对工程主体结构形式、主要工艺流程可能会造成风险的要求，乙方应及时向甲方提出，并向甲方提交能达成一致的解决方案。</w:t>
      </w:r>
    </w:p>
    <w:p>
      <w:pPr>
        <w:spacing w:after="156" w:afterLines="50" w:line="300" w:lineRule="auto"/>
        <w:rPr>
          <w:rFonts w:ascii="宋体" w:hAnsi="宋体"/>
          <w:color w:val="000000"/>
          <w:sz w:val="24"/>
          <w:szCs w:val="24"/>
        </w:rPr>
      </w:pPr>
      <w:r>
        <w:rPr>
          <w:rFonts w:ascii="宋体" w:hAnsi="宋体"/>
          <w:color w:val="000000"/>
          <w:sz w:val="24"/>
          <w:szCs w:val="24"/>
        </w:rPr>
        <w:t xml:space="preserve">    3.8非因乙方原因引起的工期延误，乙方实际完工日期应当合理顺延，无需向甲方支付赔偿金或违约金</w:t>
      </w:r>
      <w:r>
        <w:rPr>
          <w:rFonts w:hint="eastAsia" w:ascii="宋体" w:hAnsi="宋体"/>
          <w:color w:val="000000"/>
          <w:sz w:val="24"/>
          <w:szCs w:val="24"/>
        </w:rPr>
        <w:t>，</w:t>
      </w:r>
      <w:r>
        <w:rPr>
          <w:rFonts w:ascii="宋体" w:hAnsi="宋体"/>
          <w:color w:val="000000"/>
          <w:sz w:val="24"/>
          <w:szCs w:val="24"/>
        </w:rPr>
        <w:t>甲方也无需另外支付乙方费用。</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乙方的义务</w:t>
      </w:r>
    </w:p>
    <w:p>
      <w:pPr>
        <w:spacing w:after="156" w:afterLines="50" w:line="300" w:lineRule="auto"/>
        <w:ind w:firstLine="480" w:firstLineChars="200"/>
        <w:rPr>
          <w:rFonts w:ascii="宋体" w:hAnsi="宋体"/>
          <w:color w:val="000000"/>
          <w:sz w:val="24"/>
          <w:szCs w:val="24"/>
        </w:rPr>
      </w:pPr>
      <w:r>
        <w:rPr>
          <w:rFonts w:ascii="宋体" w:hAnsi="宋体"/>
          <w:color w:val="000000"/>
          <w:sz w:val="24"/>
          <w:szCs w:val="24"/>
        </w:rPr>
        <w:t>4.1乙方</w:t>
      </w:r>
      <w:r>
        <w:rPr>
          <w:rFonts w:hint="eastAsia" w:ascii="宋体" w:hAnsi="宋体"/>
          <w:color w:val="000000"/>
          <w:sz w:val="24"/>
          <w:szCs w:val="24"/>
        </w:rPr>
        <w:t>应按国家有关法律行政法规和相关的工程设计技术规范、标准、规程及甲方提出的设计要求，进行工程设计，按合同规定的进度要求提交质量合格的设计数据，并对其负责。</w:t>
      </w:r>
    </w:p>
    <w:p>
      <w:pPr>
        <w:pStyle w:val="41"/>
        <w:ind w:left="0" w:leftChars="0" w:firstLine="480"/>
      </w:pPr>
      <w:r>
        <w:rPr>
          <w:rFonts w:hint="eastAsia" w:hAnsi="宋体"/>
          <w:color w:val="000000"/>
          <w:sz w:val="24"/>
          <w:szCs w:val="24"/>
        </w:rPr>
        <w:t>4</w:t>
      </w:r>
      <w:r>
        <w:rPr>
          <w:rFonts w:hAnsi="宋体"/>
          <w:color w:val="000000"/>
          <w:sz w:val="24"/>
          <w:szCs w:val="24"/>
        </w:rPr>
        <w:t>.2 设计文件中选用的国家标准图、部标准图及地方标准图</w:t>
      </w:r>
      <w:r>
        <w:rPr>
          <w:rFonts w:hint="eastAsia" w:hAnsi="宋体"/>
          <w:color w:val="000000"/>
          <w:sz w:val="24"/>
          <w:szCs w:val="24"/>
        </w:rPr>
        <w:t>，如需购买标准图集，由双方另行协商约定明细清单，并由乙方购买并自付相关费用。</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3</w:t>
      </w:r>
      <w:r>
        <w:rPr>
          <w:rFonts w:ascii="宋体" w:hAnsi="宋体"/>
          <w:color w:val="000000"/>
          <w:sz w:val="24"/>
          <w:szCs w:val="24"/>
        </w:rPr>
        <w:t>乙方应按国家技术规范、标准、规程和甲方的任务委托书及技术要求进行工程勘察，按本合同规定的时间提交质量合格的勘察成果资料，并对其负责。</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4</w:t>
      </w:r>
      <w:r>
        <w:rPr>
          <w:rFonts w:ascii="宋体" w:hAnsi="宋体"/>
          <w:color w:val="000000"/>
          <w:sz w:val="24"/>
          <w:szCs w:val="24"/>
        </w:rPr>
        <w:t xml:space="preserve"> </w:t>
      </w:r>
      <w:r>
        <w:rPr>
          <w:rFonts w:hint="eastAsia" w:ascii="宋体" w:hAnsi="宋体"/>
          <w:color w:val="000000"/>
          <w:sz w:val="24"/>
          <w:szCs w:val="24"/>
        </w:rPr>
        <w:t>若乙方提供的勘察成果资料不合格，乙方应负责无偿给予补充完善使其达到质量合格；若乙方无力补充完善，甲方有权另外委托其他单位完成该工作并停止支付乙方任何费用，乙方须承担第三方的全部勘察费用及甲方的一切损失；或因乙方勘察质量问题造成甲方重大经济损失或工程事故时，乙方应承担相关法律责任，同时，乙方应免收直接受损失部分的勘察费，并赔偿甲方的全部损失。</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乙方在工程勘察前，提出勘察纲要或勘察组织设计，派人与甲方的人员一起验收甲方提供的材料。</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6</w:t>
      </w:r>
      <w:r>
        <w:rPr>
          <w:rFonts w:ascii="宋体" w:hAnsi="宋体"/>
          <w:color w:val="000000"/>
          <w:sz w:val="24"/>
          <w:szCs w:val="24"/>
        </w:rPr>
        <w:t>乙方</w:t>
      </w:r>
      <w:r>
        <w:rPr>
          <w:rFonts w:hint="eastAsia" w:ascii="宋体" w:hAnsi="宋体"/>
          <w:color w:val="000000"/>
          <w:sz w:val="24"/>
          <w:szCs w:val="24"/>
        </w:rPr>
        <w:t>在勘察过程中，根据工程的岩土工程条件（或工作现场地形地貌、地质和水文地质条件）及技术规范要求，向甲方提出增减工作量或修改勘察工作的意见，并办理正式变更手续。</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7</w:t>
      </w:r>
      <w:r>
        <w:rPr>
          <w:rFonts w:ascii="宋体" w:hAnsi="宋体"/>
          <w:color w:val="000000"/>
          <w:sz w:val="24"/>
          <w:szCs w:val="24"/>
        </w:rPr>
        <w:t>乙方</w:t>
      </w:r>
      <w:r>
        <w:rPr>
          <w:rFonts w:hint="eastAsia" w:ascii="宋体" w:hAnsi="宋体"/>
          <w:color w:val="000000"/>
          <w:sz w:val="24"/>
          <w:szCs w:val="24"/>
        </w:rPr>
        <w:t>在现场工作的人员，应遵守甲方的安全保卫及其它有关的规章制度，承担其有关资料保密义务。</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8</w:t>
      </w:r>
      <w:r>
        <w:rPr>
          <w:rFonts w:ascii="宋体" w:hAnsi="宋体"/>
          <w:color w:val="000000"/>
          <w:sz w:val="24"/>
          <w:szCs w:val="24"/>
        </w:rPr>
        <w:t>乙方</w:t>
      </w:r>
      <w:r>
        <w:rPr>
          <w:rFonts w:hint="eastAsia" w:ascii="宋体" w:hAnsi="宋体"/>
          <w:color w:val="000000"/>
          <w:sz w:val="24"/>
          <w:szCs w:val="24"/>
        </w:rPr>
        <w:t>应保护勘察方案、报告书、文件、资料图纸、数据、特殊工艺（方法）、专利技术和合理化建议，未经甲方同意，乙方不得复制、不得泄露、不得擅自修改、传送或向第三人转让、披露或用于本合同外的项目；如发生上述情况，乙方应承担法律责任，甲方有权索赔一切损失。</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9</w:t>
      </w:r>
      <w:r>
        <w:rPr>
          <w:rFonts w:ascii="宋体" w:hAnsi="宋体"/>
          <w:color w:val="000000"/>
          <w:sz w:val="24"/>
          <w:szCs w:val="24"/>
        </w:rPr>
        <w:t>由于乙方未履约而导致甲方利益受损时，甲方有权要求乙方赔偿因此而给甲方造成的一切损失。</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10</w:t>
      </w:r>
      <w:r>
        <w:rPr>
          <w:rFonts w:ascii="宋体" w:hAnsi="宋体"/>
          <w:color w:val="000000"/>
          <w:sz w:val="24"/>
          <w:szCs w:val="24"/>
        </w:rPr>
        <w:t>乙方应在各阶段施工开始前，参与组织工程设计图纸技术交底活动，答复有关技术问题。</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11</w:t>
      </w:r>
      <w:r>
        <w:rPr>
          <w:rFonts w:ascii="宋体" w:hAnsi="宋体"/>
          <w:color w:val="000000"/>
          <w:sz w:val="24"/>
          <w:szCs w:val="24"/>
        </w:rPr>
        <w:t>乙方应配合甲方组织的各阶段相关专业（课题）的专家研讨论证，并在每次论证前，按双方商定时间提交当次论证会所需资料；配合甲方开展施工招标和设备、材料采购预询价、技术谈判及招标等工作。</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12</w:t>
      </w:r>
      <w:r>
        <w:rPr>
          <w:rFonts w:ascii="宋体" w:hAnsi="宋体"/>
          <w:color w:val="000000"/>
          <w:sz w:val="24"/>
          <w:szCs w:val="24"/>
        </w:rPr>
        <w:t>乙方</w:t>
      </w:r>
      <w:r>
        <w:rPr>
          <w:rFonts w:hint="eastAsia" w:ascii="宋体" w:hAnsi="宋体"/>
          <w:color w:val="000000"/>
          <w:sz w:val="24"/>
          <w:szCs w:val="24"/>
        </w:rPr>
        <w:t>交付设计文件后，按规定参加有关的设计审查，并根据审查结论，负责作必要的调整补充。</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13</w:t>
      </w:r>
      <w:r>
        <w:rPr>
          <w:rFonts w:ascii="宋体" w:hAnsi="宋体"/>
          <w:color w:val="000000"/>
          <w:sz w:val="24"/>
          <w:szCs w:val="24"/>
        </w:rPr>
        <w:t>在明确乙方责任的基础上，在本合同有效期内，乙方承诺派甲方认可的、满足现场需求的技术人员驻工地现场服务，具体要求见相关条款。</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14</w:t>
      </w:r>
      <w:r>
        <w:rPr>
          <w:rFonts w:ascii="宋体" w:hAnsi="宋体"/>
          <w:color w:val="000000"/>
          <w:sz w:val="24"/>
          <w:szCs w:val="24"/>
        </w:rPr>
        <w:t>乙方承诺根据工程建设进展情况和需求或应甲方的要求派各专业的设计负责人到现场解决工程建设中涉及到的设计问题。</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15</w:t>
      </w:r>
      <w:r>
        <w:rPr>
          <w:rFonts w:ascii="宋体" w:hAnsi="宋体"/>
          <w:color w:val="000000"/>
          <w:sz w:val="24"/>
          <w:szCs w:val="24"/>
        </w:rPr>
        <w:t>配合施工中隐蔽工程验收、竣工验收等相关工作。</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16</w:t>
      </w:r>
      <w:r>
        <w:rPr>
          <w:rFonts w:ascii="宋体" w:hAnsi="宋体"/>
          <w:color w:val="000000"/>
          <w:sz w:val="24"/>
          <w:szCs w:val="24"/>
        </w:rPr>
        <w:t>按甲方的要求完成各项目的工程报批手续所需的设计文件</w:t>
      </w:r>
      <w:r>
        <w:rPr>
          <w:rFonts w:hint="eastAsia" w:ascii="宋体" w:hAnsi="宋体"/>
          <w:color w:val="000000"/>
          <w:sz w:val="24"/>
          <w:szCs w:val="24"/>
        </w:rPr>
        <w:t>，配合完成各项目的工程报批和政府评审等工作。</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17</w:t>
      </w:r>
      <w:r>
        <w:rPr>
          <w:rFonts w:ascii="宋体" w:hAnsi="宋体"/>
          <w:color w:val="000000"/>
          <w:sz w:val="24"/>
          <w:szCs w:val="24"/>
        </w:rPr>
        <w:t>乙方对于甲方提出的书面意见，应在双方约定的时间内给予书面答复。</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18</w:t>
      </w:r>
      <w:r>
        <w:rPr>
          <w:rFonts w:ascii="宋体" w:hAnsi="宋体"/>
          <w:color w:val="000000"/>
          <w:sz w:val="24"/>
          <w:szCs w:val="24"/>
        </w:rPr>
        <w:t>在设计各阶段，乙方应根据甲方或政府主管部门的意见，双方约定的时间内修改、完善设计，负责完成由于设计失误或缺漏等原因未获政府主管部门批准而出现的反复修改的工作。</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19</w:t>
      </w:r>
      <w:r>
        <w:rPr>
          <w:rFonts w:ascii="宋体" w:hAnsi="宋体"/>
          <w:color w:val="000000"/>
          <w:sz w:val="24"/>
          <w:szCs w:val="24"/>
        </w:rPr>
        <w:t>乙方应积极主动进行与项目有关的内、外协调工作，积极配合与规划、市政、交通等部门和单位的协调，保证设计文件通过主管部门的审查。</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20</w:t>
      </w:r>
      <w:r>
        <w:rPr>
          <w:rFonts w:ascii="宋体" w:hAnsi="宋体"/>
          <w:color w:val="000000"/>
          <w:sz w:val="24"/>
          <w:szCs w:val="24"/>
        </w:rPr>
        <w:t>乙方应接受甲方根据合同和进度计划进行的各种设计跟踪、工作检查和协调要求。</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21</w:t>
      </w:r>
      <w:r>
        <w:rPr>
          <w:rFonts w:ascii="宋体" w:hAnsi="宋体"/>
          <w:color w:val="000000"/>
          <w:sz w:val="24"/>
          <w:szCs w:val="24"/>
        </w:rPr>
        <w:t>乙方根据设计开展情况编制周、月工作汇报和下周、下月进度计划，提供有关设计信息，协助甲方掌握本工程设计工作的整体进展情况。甲方有权要求修改、调整进度计划并要求乙方执行。</w:t>
      </w:r>
    </w:p>
    <w:p>
      <w:pPr>
        <w:spacing w:after="156" w:afterLines="50" w:line="300" w:lineRule="auto"/>
        <w:ind w:firstLine="42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22</w:t>
      </w:r>
      <w:r>
        <w:rPr>
          <w:rFonts w:ascii="宋体" w:hAnsi="宋体"/>
          <w:color w:val="000000"/>
          <w:sz w:val="24"/>
          <w:szCs w:val="24"/>
        </w:rPr>
        <w:t>在勘察设计及施工过程中，乙方应充分尊重和理解甲方、代表甲方的设计咨询公司对设计提出的书面意见与要求，如无充分的否定理由应尽快予以处理和实施。对合同没有约定的部分和没有描述的部分，</w:t>
      </w:r>
      <w:r>
        <w:rPr>
          <w:rFonts w:hint="eastAsia" w:ascii="宋体" w:hAnsi="宋体"/>
          <w:color w:val="000000"/>
          <w:sz w:val="24"/>
          <w:szCs w:val="24"/>
        </w:rPr>
        <w:t>乙方</w:t>
      </w:r>
      <w:r>
        <w:rPr>
          <w:rFonts w:ascii="宋体" w:hAnsi="宋体"/>
          <w:color w:val="000000"/>
          <w:sz w:val="24"/>
          <w:szCs w:val="24"/>
        </w:rPr>
        <w:t>应按甲方要求完成相关勘察设计工作</w:t>
      </w:r>
      <w:r>
        <w:rPr>
          <w:rFonts w:hint="eastAsia" w:ascii="宋体" w:hAnsi="宋体"/>
          <w:color w:val="000000"/>
          <w:sz w:val="24"/>
          <w:szCs w:val="24"/>
        </w:rPr>
        <w:t>，</w:t>
      </w:r>
      <w:r>
        <w:rPr>
          <w:rFonts w:ascii="宋体" w:hAnsi="宋体"/>
          <w:color w:val="000000"/>
          <w:sz w:val="24"/>
          <w:szCs w:val="24"/>
        </w:rPr>
        <w:t>合同费用不变</w:t>
      </w:r>
      <w:r>
        <w:rPr>
          <w:rFonts w:hint="eastAsia" w:ascii="宋体" w:hAnsi="宋体"/>
          <w:color w:val="000000"/>
          <w:sz w:val="24"/>
          <w:szCs w:val="24"/>
        </w:rPr>
        <w:t>。</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23</w:t>
      </w:r>
      <w:r>
        <w:rPr>
          <w:rFonts w:ascii="宋体" w:hAnsi="宋体"/>
          <w:color w:val="000000"/>
          <w:sz w:val="24"/>
          <w:szCs w:val="24"/>
        </w:rPr>
        <w:t>乙方对所提供工程概算</w:t>
      </w:r>
      <w:r>
        <w:rPr>
          <w:rFonts w:hint="eastAsia" w:ascii="宋体" w:hAnsi="宋体"/>
          <w:color w:val="000000"/>
          <w:sz w:val="24"/>
          <w:szCs w:val="24"/>
        </w:rPr>
        <w:t>、</w:t>
      </w:r>
      <w:r>
        <w:rPr>
          <w:rFonts w:ascii="宋体" w:hAnsi="宋体"/>
          <w:color w:val="000000"/>
          <w:sz w:val="24"/>
          <w:szCs w:val="24"/>
        </w:rPr>
        <w:t>施工图等成果文件的完整性和准确性负责。</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24</w:t>
      </w:r>
      <w:r>
        <w:rPr>
          <w:rFonts w:ascii="宋体" w:hAnsi="宋体"/>
          <w:color w:val="000000"/>
          <w:sz w:val="24"/>
          <w:szCs w:val="24"/>
        </w:rPr>
        <w:t>乙方</w:t>
      </w:r>
      <w:r>
        <w:rPr>
          <w:rFonts w:hint="eastAsia" w:ascii="宋体" w:hAnsi="宋体"/>
          <w:color w:val="000000"/>
          <w:sz w:val="24"/>
          <w:szCs w:val="24"/>
        </w:rPr>
        <w:t>根据合同的规定对本项目的设计进度、设计质量、施工服务等工作的完整性、连贯性和可靠性负责。</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25 乙方对设计文件出现的遗漏或错误负责修改或补充。由于乙方设计错误或遗漏等原因造成工程质量事故损失、设计期限延长、施工工期延长或甲方成本费用增加的，乙方除负责采取补救措施外，应免收甲方受损失部分的设计服务费，乙方须赔偿甲方所有的损失并承担相关法律责任</w:t>
      </w:r>
      <w:r>
        <w:rPr>
          <w:rFonts w:ascii="宋体" w:hAnsi="宋体"/>
          <w:color w:val="000000"/>
          <w:sz w:val="24"/>
          <w:szCs w:val="24"/>
        </w:rPr>
        <w:t>，赔偿金数额按甲方损失金额在设计服务费中扣取，当甲方损失超过乙方设计服务费的30%时，甲方有权</w:t>
      </w:r>
      <w:r>
        <w:rPr>
          <w:rFonts w:hint="eastAsia" w:ascii="宋体" w:hAnsi="宋体"/>
          <w:color w:val="000000"/>
          <w:sz w:val="24"/>
          <w:szCs w:val="24"/>
        </w:rPr>
        <w:t>解除合同，乙方须赔偿甲方一切损失并承担相关法律责任</w:t>
      </w:r>
      <w:r>
        <w:rPr>
          <w:rFonts w:ascii="宋体" w:hAnsi="宋体"/>
          <w:color w:val="000000"/>
          <w:sz w:val="24"/>
          <w:szCs w:val="24"/>
        </w:rPr>
        <w:t>。</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26</w:t>
      </w:r>
      <w:r>
        <w:rPr>
          <w:rFonts w:ascii="宋体" w:hAnsi="宋体"/>
          <w:color w:val="000000"/>
          <w:sz w:val="24"/>
          <w:szCs w:val="24"/>
        </w:rPr>
        <w:t>乙方交付</w:t>
      </w:r>
      <w:r>
        <w:rPr>
          <w:rFonts w:hint="eastAsia" w:ascii="宋体" w:hAnsi="宋体"/>
          <w:color w:val="000000"/>
          <w:sz w:val="24"/>
          <w:szCs w:val="24"/>
        </w:rPr>
        <w:t>勘察</w:t>
      </w:r>
      <w:r>
        <w:rPr>
          <w:rFonts w:ascii="宋体" w:hAnsi="宋体"/>
          <w:color w:val="000000"/>
          <w:sz w:val="24"/>
          <w:szCs w:val="24"/>
        </w:rPr>
        <w:t>设计文件后，按规定参加有关上级的</w:t>
      </w:r>
      <w:r>
        <w:rPr>
          <w:rFonts w:hint="eastAsia" w:ascii="宋体" w:hAnsi="宋体"/>
          <w:color w:val="000000"/>
          <w:sz w:val="24"/>
          <w:szCs w:val="24"/>
        </w:rPr>
        <w:t>勘察</w:t>
      </w:r>
      <w:r>
        <w:rPr>
          <w:rFonts w:ascii="宋体" w:hAnsi="宋体"/>
          <w:color w:val="000000"/>
          <w:sz w:val="24"/>
          <w:szCs w:val="24"/>
        </w:rPr>
        <w:t>设计审查，并根据审查结论负责不超出</w:t>
      </w:r>
      <w:r>
        <w:rPr>
          <w:rFonts w:hint="eastAsia" w:ascii="宋体" w:hAnsi="宋体"/>
          <w:color w:val="000000"/>
          <w:sz w:val="24"/>
          <w:szCs w:val="24"/>
        </w:rPr>
        <w:t>合同</w:t>
      </w:r>
      <w:r>
        <w:rPr>
          <w:rFonts w:ascii="宋体" w:hAnsi="宋体"/>
          <w:color w:val="000000"/>
          <w:sz w:val="24"/>
          <w:szCs w:val="24"/>
        </w:rPr>
        <w:t>范围的内容做必要调整补充。</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27</w:t>
      </w:r>
      <w:r>
        <w:rPr>
          <w:rFonts w:ascii="宋体" w:hAnsi="宋体"/>
          <w:color w:val="000000"/>
          <w:sz w:val="24"/>
          <w:szCs w:val="24"/>
        </w:rPr>
        <w:t>乙方应对由于乙方原因造成的本项目勘察设计中的任何缺陷负责，甲方未对勘察设计文件提出异议不应被视为对本协议项下其权利的放弃，或以任何方式终止乙方在本合同项下的义务。</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28 乙方项目组必须配备</w:t>
      </w:r>
      <w:r>
        <w:rPr>
          <w:rFonts w:ascii="Times New Roman" w:hAnsi="Times New Roman"/>
          <w:sz w:val="24"/>
          <w:szCs w:val="24"/>
        </w:rPr>
        <w:t>建筑、结构、电气、暖通</w:t>
      </w:r>
      <w:r>
        <w:rPr>
          <w:rFonts w:hint="eastAsia" w:ascii="宋体" w:hAnsi="宋体"/>
          <w:color w:val="000000"/>
          <w:sz w:val="24"/>
          <w:szCs w:val="24"/>
        </w:rPr>
        <w:t>等专业人员一人，分阶段有计划的派相关设计人员在现场配合与解决初步设计、施工图设计中出现的有关问题。</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29</w:t>
      </w:r>
      <w:r>
        <w:rPr>
          <w:rFonts w:ascii="宋体" w:hAnsi="宋体"/>
          <w:color w:val="000000"/>
          <w:sz w:val="24"/>
          <w:szCs w:val="24"/>
        </w:rPr>
        <w:t>乙方根据合同获甲方发给的物品，乙方须负责妥善归还。乙方保管甲方的物品期间，甲方代表有权随时点算这些物品或物料，乙方须协助完成点算工作。</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30 对于桩基础设计</w:t>
      </w:r>
      <w:r>
        <w:rPr>
          <w:rFonts w:ascii="宋体" w:hAnsi="宋体"/>
          <w:color w:val="000000"/>
          <w:sz w:val="24"/>
          <w:szCs w:val="24"/>
        </w:rPr>
        <w:t>，完成本项目相关设计验算，组织专家对桩基设计进行会审论证，优化布桩，确保经济、安全、稳定；另外，乙方应对复杂地质处桩基的设计另行提供急备选处理方案，并提交相应的技术经济分析和投资对比分析成果。</w:t>
      </w:r>
    </w:p>
    <w:p>
      <w:pPr>
        <w:spacing w:after="156" w:afterLines="50" w:line="300" w:lineRule="auto"/>
        <w:rPr>
          <w:rFonts w:ascii="宋体" w:hAnsi="宋体"/>
          <w:color w:val="000000"/>
          <w:sz w:val="24"/>
          <w:szCs w:val="24"/>
        </w:rPr>
      </w:pPr>
      <w:r>
        <w:rPr>
          <w:rFonts w:ascii="宋体" w:hAnsi="宋体"/>
          <w:color w:val="000000"/>
          <w:sz w:val="24"/>
          <w:szCs w:val="24"/>
        </w:rPr>
        <w:t xml:space="preserve">    4.</w:t>
      </w:r>
      <w:r>
        <w:rPr>
          <w:rFonts w:hint="eastAsia" w:ascii="宋体" w:hAnsi="宋体"/>
          <w:color w:val="000000"/>
          <w:sz w:val="24"/>
          <w:szCs w:val="24"/>
        </w:rPr>
        <w:t>31</w:t>
      </w:r>
      <w:r>
        <w:rPr>
          <w:rFonts w:ascii="宋体" w:hAnsi="宋体"/>
          <w:color w:val="000000"/>
          <w:sz w:val="24"/>
          <w:szCs w:val="24"/>
        </w:rPr>
        <w:t>乙方须</w:t>
      </w:r>
      <w:r>
        <w:rPr>
          <w:rFonts w:hint="eastAsia" w:ascii="宋体" w:hAnsi="宋体"/>
          <w:color w:val="000000"/>
          <w:sz w:val="24"/>
          <w:szCs w:val="24"/>
        </w:rPr>
        <w:t>提供本项目所有设计文件和成果给设计咨询单位（如有）和甲方进行审核优化，乙方不得拖延、推诿和拒绝。</w:t>
      </w:r>
    </w:p>
    <w:p>
      <w:pPr>
        <w:spacing w:after="156" w:afterLines="50" w:line="300" w:lineRule="auto"/>
        <w:ind w:firstLine="42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32</w:t>
      </w:r>
      <w:r>
        <w:rPr>
          <w:rFonts w:ascii="宋体" w:hAnsi="宋体"/>
          <w:color w:val="000000"/>
          <w:sz w:val="24"/>
          <w:szCs w:val="24"/>
        </w:rPr>
        <w:t>乙方应负责承担本项目建设过程中与设计相关的各项必需的技术经济方案论证会议及重大设计变更会议等专家会议的全部会议费用（包括专家费用、接待费用、食宿费用、会议场地费用等）；有关与本项目建设过程中勘察工作的会议，由乙方承担会议费用。</w:t>
      </w:r>
    </w:p>
    <w:p>
      <w:pPr>
        <w:spacing w:after="156" w:afterLines="50" w:line="300" w:lineRule="auto"/>
        <w:ind w:firstLine="465"/>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33</w:t>
      </w:r>
      <w:r>
        <w:rPr>
          <w:rFonts w:ascii="宋体" w:hAnsi="宋体"/>
          <w:color w:val="000000"/>
          <w:sz w:val="24"/>
          <w:szCs w:val="24"/>
        </w:rPr>
        <w:t xml:space="preserve"> </w:t>
      </w:r>
      <w:r>
        <w:rPr>
          <w:rFonts w:hint="eastAsia" w:ascii="宋体" w:hAnsi="宋体"/>
          <w:color w:val="000000"/>
          <w:sz w:val="24"/>
          <w:szCs w:val="24"/>
        </w:rPr>
        <w:t>乙方的设计文件须在确保本工程质量和进度的前提下，尽可能控制投资成本。乙方在配合甲方及第三方设计咨询（如有）的同时，能够主动优化已出版的设计方案；乙方须按本合同限额设计要求对在确保本工程质量和工期的前提下优化设计、控制投资。乙方须严格按照甲方技术要求和功能需求进行设计，不得擅自以国产货物代替需采用进口货物的设计，不得擅自以低性能的产品代替高性能要求的设计，不得削减降维建构筑或机械设备的使用功能和技术参数。</w:t>
      </w:r>
    </w:p>
    <w:p>
      <w:pPr>
        <w:spacing w:after="120" w:line="360" w:lineRule="auto"/>
        <w:ind w:firstLine="424" w:firstLineChars="177"/>
        <w:rPr>
          <w:rFonts w:ascii="宋体" w:hAnsi="宋体"/>
          <w:color w:val="000000"/>
          <w:sz w:val="24"/>
          <w:szCs w:val="24"/>
        </w:rPr>
      </w:pPr>
      <w:r>
        <w:rPr>
          <w:rFonts w:hint="eastAsia" w:ascii="宋体" w:hAnsi="宋体"/>
          <w:color w:val="000000"/>
          <w:sz w:val="24"/>
          <w:szCs w:val="24"/>
        </w:rPr>
        <w:t>4.34 甲方有需要时，乙方须高效专业的为甲方其他项目设计咨询服务，甲方有权对乙方设计咨询服务按附件一 ：设计考核细则进行考核处理。</w:t>
      </w:r>
    </w:p>
    <w:p>
      <w:pPr>
        <w:spacing w:after="156" w:afterLines="50" w:line="300" w:lineRule="auto"/>
        <w:rPr>
          <w:rFonts w:ascii="宋体" w:hAnsi="宋体"/>
          <w:color w:val="000000"/>
          <w:sz w:val="24"/>
          <w:szCs w:val="24"/>
        </w:rPr>
      </w:pPr>
      <w:r>
        <w:rPr>
          <w:rStyle w:val="50"/>
          <w:rFonts w:hint="eastAsia"/>
        </w:rPr>
        <w:t xml:space="preserve">    </w:t>
      </w:r>
      <w:r>
        <w:rPr>
          <w:rFonts w:hint="eastAsia" w:ascii="宋体" w:hAnsi="宋体"/>
          <w:color w:val="000000"/>
          <w:sz w:val="24"/>
          <w:szCs w:val="24"/>
        </w:rPr>
        <w:t>4.35其它依据合同（含合同附件二）和法律规定应由乙方履行的义务。</w:t>
      </w:r>
    </w:p>
    <w:p>
      <w:pPr>
        <w:pStyle w:val="4"/>
      </w:pPr>
      <w:bookmarkStart w:id="42" w:name="_Toc1736135"/>
      <w:r>
        <w:rPr>
          <w:rFonts w:hint="eastAsia"/>
        </w:rPr>
        <w:t>六、勘察设计质量的要求</w:t>
      </w:r>
      <w:bookmarkEnd w:id="42"/>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对勘察设计与法律、法规、规章、规范、标准符合性的要求：</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1.1 </w:t>
      </w:r>
      <w:r>
        <w:rPr>
          <w:rFonts w:ascii="宋体" w:hAnsi="宋体"/>
          <w:color w:val="000000"/>
          <w:sz w:val="24"/>
          <w:szCs w:val="24"/>
        </w:rPr>
        <w:t>乙方</w:t>
      </w:r>
      <w:r>
        <w:rPr>
          <w:rFonts w:hint="eastAsia" w:ascii="宋体" w:hAnsi="宋体"/>
          <w:color w:val="000000"/>
          <w:sz w:val="24"/>
          <w:szCs w:val="24"/>
        </w:rPr>
        <w:t>交付的设计文件应符合中国有关法律、行政法规和相关的工程设计技术规范、规定及标准的要求，且必须执行中国国家规定的工程建设标准强制性条文要求。</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1.2 </w:t>
      </w:r>
      <w:r>
        <w:rPr>
          <w:rFonts w:ascii="宋体" w:hAnsi="宋体"/>
          <w:color w:val="000000"/>
          <w:sz w:val="24"/>
          <w:szCs w:val="24"/>
        </w:rPr>
        <w:t>乙方</w:t>
      </w:r>
      <w:r>
        <w:rPr>
          <w:rFonts w:hint="eastAsia" w:ascii="宋体" w:hAnsi="宋体"/>
          <w:color w:val="000000"/>
          <w:sz w:val="24"/>
          <w:szCs w:val="24"/>
        </w:rPr>
        <w:t>应在设计文件中列出设计所采用的主要技术规范、技术标准名称、编号与版本。</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1.3 </w:t>
      </w:r>
      <w:r>
        <w:rPr>
          <w:rFonts w:ascii="宋体" w:hAnsi="宋体"/>
          <w:color w:val="000000"/>
          <w:sz w:val="24"/>
          <w:szCs w:val="24"/>
        </w:rPr>
        <w:t>如果工程某部分设计中遇到国内地区无相应的工程设计技术规范、标准、依据的，乙方</w:t>
      </w:r>
      <w:r>
        <w:rPr>
          <w:rFonts w:hint="eastAsia" w:ascii="宋体" w:hAnsi="宋体"/>
          <w:color w:val="000000"/>
          <w:sz w:val="24"/>
          <w:szCs w:val="24"/>
        </w:rPr>
        <w:t>应与甲方协商，推荐国际成熟、先进的工程设计技术规范、标准给甲方，由甲方组织专家论证确定所采用的国际标准；若出现各国均没有明确规范、标准的设计分项，由乙方提请甲方，且协助甲方组织专家专题研讨，并按经甲方确认的专家评审书面意见作为设计指导标准。</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1.4 </w:t>
      </w:r>
      <w:r>
        <w:rPr>
          <w:rFonts w:ascii="宋体" w:hAnsi="宋体"/>
          <w:color w:val="000000"/>
          <w:sz w:val="24"/>
          <w:szCs w:val="24"/>
        </w:rPr>
        <w:t>由于工程设计的特殊需要对设计规范、规程中非强制性的条文</w:t>
      </w:r>
      <w:r>
        <w:rPr>
          <w:rFonts w:hint="eastAsia" w:ascii="宋体" w:hAnsi="宋体"/>
          <w:color w:val="000000"/>
          <w:sz w:val="24"/>
          <w:szCs w:val="24"/>
        </w:rPr>
        <w:t>，允许稍有选择和突破，但乙方必须提出充分的理由，提交充分的质量保证措施，并经甲方论证同意后以文件形式认可。</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1.5 乙方应按照《建筑工程设计文件编制深度规定》（2016版）要求出具勘察设计成果文件，</w:t>
      </w:r>
      <w:r>
        <w:rPr>
          <w:rFonts w:ascii="宋体" w:hAnsi="宋体"/>
          <w:color w:val="000000"/>
          <w:sz w:val="24"/>
          <w:szCs w:val="24"/>
        </w:rPr>
        <w:t>在乙方进行设计过程中，遇到国内设计规范、规定、标准等条款发生修订与变更而失效时，乙方要按新的（修订后的）规范、规定和标准执行，并进行必要的设计修改。</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2、对各阶段设计文件设计深度和概预算文件编制质量的要求</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2.1 设计文件的设计深度，应符合甲方提出的要求、中华人民共和国建设部颁发的现行《建筑工程设计文件编制深度规定（</w:t>
      </w:r>
      <w:r>
        <w:rPr>
          <w:rFonts w:ascii="宋体" w:hAnsi="宋体"/>
          <w:color w:val="000000"/>
          <w:sz w:val="24"/>
          <w:szCs w:val="24"/>
        </w:rPr>
        <w:t>2016年版）》、《市政公用工程设计文件编制深度规定》、《环境工程设计文件编制指南HJ2050-2015》等对各阶段、各专业设计文件编制深度的要求以及其他本项目涉及相关设施的国家、地方及行业所要求的设计深度等有关规定；如</w:t>
      </w:r>
      <w:r>
        <w:rPr>
          <w:rFonts w:hint="eastAsia" w:ascii="宋体" w:hAnsi="宋体"/>
          <w:color w:val="000000"/>
          <w:sz w:val="24"/>
          <w:szCs w:val="24"/>
        </w:rPr>
        <w:t>甲方要求以国外标准执行的，甲方应向乙方提供该标准切实可行的依据，涉及到以外国文字为编制语言的文件、规定或其他材料，甲方应向乙方提供经翻译成为中华人民共和国汉语简体字版本的材料，甲方对材料翻译的准确性负责，相关标准按照乙方对中文翻译版的理解执行。如果上述规定、规范、标准有更新的，乙方应当执行最新文本。</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2.3乙方编制和审定初步设计概算、设计（工程）变更预算文件时须遵照国家、行业、广东省和广州市颁布的最新的《广州市建设项目设计概算编审指引》、《建设工程工程量清单计价规范》、《广东省建设工程综合定额》等规范标准执行，并确保设计成果和现场服务工作满足施工和验收需要。</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2.4乙方编审的初步设计概算、设计（工程）变更预算文件应完整归档、装订成册后提交给甲方，每次提交时应做好文件目录和移交记录。初步设计概算、设计（工程）变更预算文件应包括概算书（预算书）、工程量计算书、材料清单、计价依据文件、市场询价单等文件；乙方须同步提交初步设计概算、设计（工程）变更预算文件的电子文档（含计价软件、图像算量软件、钢筋抽样软件及软件使用权限、WORD文档、EXCL文件、盖章后PDF高清扫描件等）。</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3、对勘察设计质量的要求</w:t>
      </w:r>
    </w:p>
    <w:p>
      <w:pPr>
        <w:spacing w:after="156" w:afterLines="50" w:line="300" w:lineRule="auto"/>
        <w:rPr>
          <w:rFonts w:ascii="宋体" w:hAnsi="宋体"/>
          <w:color w:val="000000"/>
          <w:sz w:val="24"/>
          <w:szCs w:val="24"/>
        </w:rPr>
      </w:pPr>
      <w:r>
        <w:rPr>
          <w:rFonts w:ascii="宋体" w:hAnsi="宋体"/>
          <w:color w:val="000000"/>
          <w:sz w:val="24"/>
          <w:szCs w:val="24"/>
        </w:rPr>
        <w:t xml:space="preserve">    3.1本项目的设计应符合国际通用的ISO－9001质量认证体系对于工程设计所规定的标准及质量。</w:t>
      </w:r>
    </w:p>
    <w:p>
      <w:pPr>
        <w:spacing w:after="156" w:afterLines="50" w:line="300" w:lineRule="auto"/>
        <w:rPr>
          <w:rFonts w:ascii="宋体" w:hAnsi="宋体"/>
          <w:color w:val="000000"/>
          <w:sz w:val="24"/>
          <w:szCs w:val="24"/>
        </w:rPr>
      </w:pPr>
      <w:r>
        <w:rPr>
          <w:rFonts w:ascii="宋体" w:hAnsi="宋体"/>
          <w:color w:val="000000"/>
          <w:sz w:val="24"/>
          <w:szCs w:val="24"/>
        </w:rPr>
        <w:t xml:space="preserve">    3.2设计应体现甲方的建设意图，满足本项目的功能需求，在控制投资的同时，做到美观、适用、安全、经济、环保，取得良好的社会效益。</w:t>
      </w:r>
    </w:p>
    <w:p>
      <w:pPr>
        <w:spacing w:after="156" w:afterLines="50" w:line="300" w:lineRule="auto"/>
        <w:rPr>
          <w:rFonts w:ascii="宋体" w:hAnsi="宋体"/>
          <w:color w:val="000000"/>
          <w:sz w:val="24"/>
          <w:szCs w:val="24"/>
        </w:rPr>
      </w:pPr>
      <w:r>
        <w:rPr>
          <w:rFonts w:ascii="宋体" w:hAnsi="宋体"/>
          <w:color w:val="000000"/>
          <w:sz w:val="24"/>
          <w:szCs w:val="24"/>
        </w:rPr>
        <w:t xml:space="preserve">    3.3乙方保证每次按合同规定的期限交付的勘察设计文件是完整的、正确的、清晰的。</w:t>
      </w:r>
    </w:p>
    <w:p>
      <w:pPr>
        <w:spacing w:after="156" w:afterLines="50" w:line="300" w:lineRule="auto"/>
        <w:rPr>
          <w:rFonts w:ascii="宋体" w:hAnsi="宋体"/>
          <w:color w:val="000000"/>
          <w:sz w:val="24"/>
          <w:szCs w:val="24"/>
        </w:rPr>
      </w:pPr>
      <w:r>
        <w:rPr>
          <w:rFonts w:ascii="宋体" w:hAnsi="宋体"/>
          <w:color w:val="000000"/>
          <w:sz w:val="24"/>
          <w:szCs w:val="24"/>
        </w:rPr>
        <w:t xml:space="preserve">    3.3.1 </w:t>
      </w:r>
      <w:r>
        <w:rPr>
          <w:rFonts w:hint="eastAsia" w:ascii="宋体" w:hAnsi="宋体"/>
          <w:color w:val="000000"/>
          <w:sz w:val="24"/>
          <w:szCs w:val="24"/>
        </w:rPr>
        <w:t>“完整”是指每次交付的设计文件是合同及附件中规定的全部设计文件。</w:t>
      </w:r>
    </w:p>
    <w:p>
      <w:pPr>
        <w:spacing w:after="156" w:afterLines="50" w:line="300" w:lineRule="auto"/>
        <w:rPr>
          <w:rFonts w:ascii="宋体" w:hAnsi="宋体"/>
          <w:color w:val="000000"/>
          <w:sz w:val="24"/>
          <w:szCs w:val="24"/>
        </w:rPr>
      </w:pPr>
      <w:r>
        <w:rPr>
          <w:rFonts w:ascii="宋体" w:hAnsi="宋体"/>
          <w:color w:val="000000"/>
          <w:sz w:val="24"/>
          <w:szCs w:val="24"/>
        </w:rPr>
        <w:t xml:space="preserve">    3.3.2 </w:t>
      </w:r>
      <w:r>
        <w:rPr>
          <w:rFonts w:hint="eastAsia" w:ascii="宋体" w:hAnsi="宋体"/>
          <w:color w:val="000000"/>
          <w:sz w:val="24"/>
          <w:szCs w:val="24"/>
        </w:rPr>
        <w:t>“正确”是指每次交付的勘察设计文件均符合前述</w:t>
      </w:r>
      <w:r>
        <w:rPr>
          <w:rFonts w:ascii="宋体" w:hAnsi="宋体"/>
          <w:color w:val="000000"/>
          <w:sz w:val="24"/>
          <w:szCs w:val="24"/>
        </w:rPr>
        <w:t>1条关于法律、法规、标准、规范的规定</w:t>
      </w:r>
      <w:r>
        <w:rPr>
          <w:rFonts w:hint="eastAsia" w:ascii="宋体" w:hAnsi="宋体"/>
          <w:color w:val="000000"/>
          <w:sz w:val="24"/>
          <w:szCs w:val="24"/>
        </w:rPr>
        <w:t>及</w:t>
      </w:r>
      <w:r>
        <w:rPr>
          <w:rFonts w:ascii="宋体" w:hAnsi="宋体"/>
          <w:color w:val="000000"/>
          <w:sz w:val="24"/>
          <w:szCs w:val="24"/>
        </w:rPr>
        <w:t>2条关于各阶段设计文件内容与设计深度的规定；同时保证设计输入的基础数据完整、正确，设计方法、计算方法与结果、技术参数的选用正确，构造合理，图面表达清楚、文字叙述准确，各专业设计协调统一。</w:t>
      </w:r>
    </w:p>
    <w:p>
      <w:pPr>
        <w:spacing w:after="156" w:afterLines="50" w:line="300" w:lineRule="auto"/>
        <w:rPr>
          <w:rFonts w:ascii="宋体" w:hAnsi="宋体"/>
          <w:color w:val="000000"/>
          <w:sz w:val="24"/>
          <w:szCs w:val="24"/>
        </w:rPr>
      </w:pPr>
      <w:r>
        <w:rPr>
          <w:rFonts w:ascii="宋体" w:hAnsi="宋体"/>
          <w:color w:val="000000"/>
          <w:sz w:val="24"/>
          <w:szCs w:val="24"/>
        </w:rPr>
        <w:t xml:space="preserve">    3.3.3“清晰”是指每次交付的设计文件中的图样、线条、术语、符号、尺寸标准、文字说明等清楚准确。</w:t>
      </w:r>
    </w:p>
    <w:p>
      <w:pPr>
        <w:spacing w:after="156" w:afterLines="50" w:line="300" w:lineRule="auto"/>
        <w:ind w:firstLine="480" w:firstLineChars="200"/>
        <w:rPr>
          <w:rFonts w:ascii="宋体" w:hAnsi="宋体"/>
          <w:color w:val="000000"/>
          <w:sz w:val="24"/>
          <w:szCs w:val="24"/>
        </w:rPr>
      </w:pPr>
      <w:r>
        <w:rPr>
          <w:rFonts w:hint="eastAsia" w:ascii="宋体" w:hAnsi="宋体"/>
          <w:color w:val="000000"/>
          <w:sz w:val="24"/>
          <w:szCs w:val="24"/>
        </w:rPr>
        <w:t xml:space="preserve">3.4 </w:t>
      </w:r>
      <w:r>
        <w:rPr>
          <w:rFonts w:ascii="宋体" w:hAnsi="宋体"/>
          <w:color w:val="000000"/>
          <w:sz w:val="24"/>
          <w:szCs w:val="24"/>
        </w:rPr>
        <w:t>乙方</w:t>
      </w:r>
      <w:r>
        <w:rPr>
          <w:rFonts w:hint="eastAsia" w:ascii="宋体" w:hAnsi="宋体"/>
          <w:color w:val="000000"/>
          <w:sz w:val="24"/>
          <w:szCs w:val="24"/>
        </w:rPr>
        <w:t>应根据政府主管部门及甲方对设计文件的审查意见，对设计进行必要的修改。</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3.5 </w:t>
      </w:r>
      <w:r>
        <w:rPr>
          <w:rFonts w:ascii="宋体" w:hAnsi="宋体"/>
          <w:color w:val="000000"/>
          <w:sz w:val="24"/>
          <w:szCs w:val="24"/>
        </w:rPr>
        <w:t>如果乙方交付的勘察设计文件或图纸不符合本合同的有关约定和要求，甲方有权拒收，乙方应在收到甲方通知后按照双方约定的时间内免费将所有符合规定的勘察设计文件交付给甲方，且文件交付时间仍应符合本合同要求，否则承担相关违约责任。</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3.6</w:t>
      </w:r>
      <w:r>
        <w:rPr>
          <w:rFonts w:ascii="宋体" w:hAnsi="宋体"/>
          <w:color w:val="000000"/>
          <w:sz w:val="24"/>
          <w:szCs w:val="24"/>
        </w:rPr>
        <w:t>本项目建设质量目标为符合国家质量标准，设计质量必须符合本工程质量目标要求。</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3.7</w:t>
      </w:r>
      <w:r>
        <w:rPr>
          <w:rFonts w:ascii="宋体" w:hAnsi="宋体"/>
          <w:color w:val="000000"/>
          <w:sz w:val="24"/>
          <w:szCs w:val="24"/>
        </w:rPr>
        <w:t>本项目工程设计使用年限为</w:t>
      </w:r>
      <w:r>
        <w:rPr>
          <w:rFonts w:hint="eastAsia" w:ascii="宋体" w:hAnsi="宋体"/>
          <w:color w:val="000000"/>
          <w:sz w:val="24"/>
          <w:szCs w:val="24"/>
        </w:rPr>
        <w:t>50</w:t>
      </w:r>
      <w:r>
        <w:rPr>
          <w:rFonts w:ascii="宋体" w:hAnsi="宋体"/>
          <w:color w:val="000000"/>
          <w:sz w:val="24"/>
          <w:szCs w:val="24"/>
        </w:rPr>
        <w:t>年。</w:t>
      </w:r>
    </w:p>
    <w:p>
      <w:pPr>
        <w:spacing w:after="156" w:afterLines="50" w:line="300" w:lineRule="auto"/>
        <w:rPr>
          <w:rFonts w:ascii="宋体" w:hAnsi="宋体"/>
          <w:color w:val="000000"/>
          <w:sz w:val="24"/>
          <w:szCs w:val="24"/>
        </w:rPr>
      </w:pPr>
      <w:r>
        <w:rPr>
          <w:rFonts w:ascii="宋体" w:hAnsi="宋体"/>
          <w:color w:val="000000"/>
          <w:sz w:val="24"/>
          <w:szCs w:val="24"/>
        </w:rPr>
        <w:t xml:space="preserve">    4其它 </w:t>
      </w:r>
    </w:p>
    <w:p>
      <w:pPr>
        <w:spacing w:after="156" w:afterLines="50" w:line="300" w:lineRule="auto"/>
        <w:rPr>
          <w:rFonts w:ascii="宋体" w:hAnsi="宋体"/>
          <w:color w:val="000000"/>
          <w:sz w:val="24"/>
          <w:szCs w:val="24"/>
        </w:rPr>
      </w:pPr>
      <w:r>
        <w:rPr>
          <w:rFonts w:ascii="宋体" w:hAnsi="宋体"/>
          <w:color w:val="000000"/>
          <w:sz w:val="24"/>
          <w:szCs w:val="24"/>
        </w:rPr>
        <w:t xml:space="preserve">    4.1设计必须体现政府和甲方的意图，针对本项目特点编制完善的设计管理体制，制订严谨可行的项目设计进度安排计划，保证按期、按质、按量完成双方商定的各项工作内容，并对设计质量负责。</w:t>
      </w:r>
    </w:p>
    <w:p>
      <w:pPr>
        <w:spacing w:after="156" w:afterLines="50" w:line="300" w:lineRule="auto"/>
        <w:rPr>
          <w:rFonts w:ascii="宋体" w:hAnsi="宋体"/>
          <w:color w:val="000000"/>
          <w:sz w:val="24"/>
          <w:szCs w:val="24"/>
        </w:rPr>
      </w:pPr>
      <w:r>
        <w:rPr>
          <w:rFonts w:ascii="宋体" w:hAnsi="宋体"/>
          <w:color w:val="000000"/>
          <w:sz w:val="24"/>
          <w:szCs w:val="24"/>
        </w:rPr>
        <w:t xml:space="preserve">    4.2乙方应对甲方提供的文件、数据进行认真研究，对本项目的特点和不确定因素进行认真考虑，并提出合理建议和评价，对影响设计质量的重大问题要进行多方案比较选择。</w:t>
      </w:r>
    </w:p>
    <w:p>
      <w:pPr>
        <w:spacing w:after="156" w:afterLines="50" w:line="300" w:lineRule="auto"/>
        <w:rPr>
          <w:rFonts w:ascii="宋体" w:hAnsi="宋体"/>
          <w:color w:val="000000"/>
          <w:sz w:val="24"/>
          <w:szCs w:val="24"/>
        </w:rPr>
      </w:pPr>
      <w:r>
        <w:rPr>
          <w:rFonts w:ascii="宋体" w:hAnsi="宋体"/>
          <w:color w:val="000000"/>
          <w:sz w:val="24"/>
          <w:szCs w:val="24"/>
        </w:rPr>
        <w:t xml:space="preserve">    4.3对涉及建筑安全或对投资影响重大的有关资料，在甲方提出要求时，乙方必须提供设计输入条件、基础数据、计算原理和方法以及计算成果，方便甲方在必要时用其它计算程序进行验算。乙方有解释的义务，不得以专利和知识产权等为借口拒绝配合。</w:t>
      </w:r>
    </w:p>
    <w:p>
      <w:pPr>
        <w:spacing w:after="156" w:afterLines="50" w:line="300" w:lineRule="auto"/>
        <w:rPr>
          <w:rFonts w:ascii="宋体" w:hAnsi="宋体"/>
          <w:color w:val="000000"/>
          <w:sz w:val="24"/>
          <w:szCs w:val="24"/>
        </w:rPr>
      </w:pPr>
      <w:r>
        <w:rPr>
          <w:rFonts w:ascii="宋体" w:hAnsi="宋体"/>
          <w:color w:val="000000"/>
          <w:sz w:val="24"/>
          <w:szCs w:val="24"/>
        </w:rPr>
        <w:t xml:space="preserve">    4.4本项目设计的计算机文件要求：设计文本文件采用Microsoft Word软件制作的doc格式文件，设计图形文件采用AutoCAD中文版软件制作的dwf格式文件。其它使用特殊软件编制的设计成果计算机文件（如建筑效果图、结构计算书和估算、概预算成果等），应用国内相关行业的通用软件，且提交时应注明软件名称、版本。所有电子文件均不能进行加密设置。</w:t>
      </w:r>
    </w:p>
    <w:p>
      <w:pPr>
        <w:spacing w:after="156" w:afterLines="50" w:line="300" w:lineRule="auto"/>
        <w:rPr>
          <w:rFonts w:ascii="宋体" w:hAnsi="宋体"/>
          <w:color w:val="000000"/>
          <w:sz w:val="24"/>
          <w:szCs w:val="24"/>
        </w:rPr>
      </w:pPr>
      <w:r>
        <w:rPr>
          <w:rFonts w:ascii="宋体" w:hAnsi="宋体"/>
          <w:color w:val="000000"/>
          <w:sz w:val="24"/>
          <w:szCs w:val="24"/>
        </w:rPr>
        <w:t xml:space="preserve">    4.5 </w:t>
      </w:r>
      <w:r>
        <w:rPr>
          <w:rFonts w:hint="eastAsia" w:ascii="宋体" w:hAnsi="宋体"/>
          <w:color w:val="000000"/>
          <w:sz w:val="24"/>
          <w:szCs w:val="24"/>
        </w:rPr>
        <w:t>乙方在合同生效后，应进行项目设计策划，建立质量目标，规定质量要求，编制质量计划，安排应开展的各项活动，并向甲方提交设计策划文件。保证不因各种因素使设计进度、质量与施工服务的完整性、连贯性和可靠性受到影响，因自然灾害、军事行动、政府行为等不可抗拒力原因造成的影响除外。</w:t>
      </w:r>
    </w:p>
    <w:p>
      <w:pPr>
        <w:spacing w:after="156" w:afterLines="50" w:line="300" w:lineRule="auto"/>
        <w:rPr>
          <w:rFonts w:ascii="宋体" w:hAnsi="宋体"/>
          <w:color w:val="000000"/>
          <w:sz w:val="24"/>
          <w:szCs w:val="24"/>
        </w:rPr>
      </w:pPr>
      <w:r>
        <w:rPr>
          <w:rFonts w:ascii="宋体" w:hAnsi="宋体"/>
          <w:color w:val="000000"/>
          <w:sz w:val="24"/>
          <w:szCs w:val="24"/>
        </w:rPr>
        <w:t xml:space="preserve">    4.6 </w:t>
      </w:r>
      <w:r>
        <w:rPr>
          <w:rFonts w:hint="eastAsia" w:ascii="宋体" w:hAnsi="宋体"/>
          <w:color w:val="000000"/>
          <w:sz w:val="24"/>
          <w:szCs w:val="24"/>
        </w:rPr>
        <w:t>设计质量必须符合本工程的设计原则，乙方应积极配合甲方申请各类奖项。如果因乙方原因构成申报奖项障碍，</w:t>
      </w:r>
      <w:r>
        <w:rPr>
          <w:rFonts w:hint="default" w:ascii="宋体" w:hAnsi="宋体"/>
          <w:color w:val="000000"/>
          <w:sz w:val="24"/>
          <w:szCs w:val="24"/>
          <w:lang w:val="en-US" w:eastAsia="zh-CN"/>
        </w:rPr>
        <w:t xml:space="preserve">造成甲方损失的，乙方应按照 </w:t>
      </w:r>
      <w:r>
        <w:rPr>
          <w:rFonts w:hint="default" w:ascii="宋体" w:hAnsi="宋体"/>
          <w:color w:val="000000"/>
          <w:sz w:val="24"/>
          <w:szCs w:val="24"/>
        </w:rPr>
        <w:t>十四、违约和索赔</w:t>
      </w:r>
      <w:r>
        <w:rPr>
          <w:rFonts w:hint="default" w:ascii="宋体" w:hAnsi="宋体"/>
          <w:color w:val="000000"/>
          <w:sz w:val="24"/>
          <w:szCs w:val="24"/>
          <w:lang w:val="en-US" w:eastAsia="zh-CN"/>
        </w:rPr>
        <w:t>第14点约定承担相应违约责任</w:t>
      </w:r>
      <w:r>
        <w:rPr>
          <w:rFonts w:hint="eastAsia" w:ascii="宋体" w:hAnsi="宋体"/>
          <w:color w:val="000000"/>
          <w:sz w:val="24"/>
          <w:szCs w:val="24"/>
        </w:rPr>
        <w:t>。</w:t>
      </w:r>
    </w:p>
    <w:p>
      <w:pPr>
        <w:spacing w:after="156" w:afterLines="50" w:line="300" w:lineRule="auto"/>
        <w:rPr>
          <w:rFonts w:ascii="宋体" w:hAnsi="宋体"/>
          <w:color w:val="000000"/>
          <w:sz w:val="24"/>
          <w:szCs w:val="24"/>
        </w:rPr>
      </w:pPr>
      <w:r>
        <w:rPr>
          <w:rFonts w:ascii="宋体" w:hAnsi="宋体"/>
          <w:color w:val="000000"/>
          <w:sz w:val="24"/>
          <w:szCs w:val="24"/>
        </w:rPr>
        <w:t xml:space="preserve">    4.7 </w:t>
      </w:r>
      <w:r>
        <w:rPr>
          <w:rFonts w:hint="eastAsia" w:ascii="宋体" w:hAnsi="宋体"/>
          <w:color w:val="000000"/>
          <w:sz w:val="24"/>
          <w:szCs w:val="24"/>
        </w:rPr>
        <w:t>乙方在设计过程中应考虑工程的可实施性，对方案的实施工序提出相应的技术要求，特别是关键工序，应明确提出工艺要求、质量控制要求。超越目前国内施工单位技术水平的设计方案、施工方法，乙方应提出合理理由和可行的实施方案，报甲方同意后方可采用，否则，甲方有权要求乙方修改设计。</w:t>
      </w:r>
    </w:p>
    <w:p>
      <w:pPr>
        <w:spacing w:after="156" w:afterLines="50" w:line="300" w:lineRule="auto"/>
        <w:rPr>
          <w:rFonts w:ascii="宋体" w:hAnsi="宋体"/>
          <w:color w:val="000000"/>
          <w:sz w:val="24"/>
          <w:szCs w:val="24"/>
        </w:rPr>
      </w:pPr>
      <w:r>
        <w:rPr>
          <w:rFonts w:ascii="宋体" w:hAnsi="宋体"/>
          <w:color w:val="000000"/>
          <w:sz w:val="24"/>
          <w:szCs w:val="24"/>
        </w:rPr>
        <w:t xml:space="preserve">    4.8 </w:t>
      </w:r>
      <w:r>
        <w:rPr>
          <w:rFonts w:hint="eastAsia" w:ascii="宋体" w:hAnsi="宋体"/>
          <w:color w:val="000000"/>
          <w:sz w:val="24"/>
          <w:szCs w:val="24"/>
        </w:rPr>
        <w:t>乙方应加强设计标准化工作，组织采用统一的模数、参数和标准构配件，推广标准设计的运用，针对本工程的特点提出标准化设计建议，如标准平面、标准断面、标准设备选用等，将乙方积累的经验加以总结，提高设计水平和工作效率。</w:t>
      </w:r>
    </w:p>
    <w:p>
      <w:pPr>
        <w:spacing w:after="156" w:afterLines="50" w:line="300" w:lineRule="auto"/>
        <w:rPr>
          <w:rFonts w:ascii="宋体" w:hAnsi="宋体"/>
          <w:color w:val="000000"/>
          <w:sz w:val="24"/>
          <w:szCs w:val="24"/>
        </w:rPr>
      </w:pPr>
      <w:r>
        <w:rPr>
          <w:rFonts w:ascii="宋体" w:hAnsi="宋体"/>
          <w:color w:val="000000"/>
          <w:sz w:val="24"/>
          <w:szCs w:val="24"/>
        </w:rPr>
        <w:t xml:space="preserve">    4.9 </w:t>
      </w:r>
      <w:r>
        <w:rPr>
          <w:rFonts w:hint="eastAsia" w:ascii="宋体" w:hAnsi="宋体"/>
          <w:color w:val="000000"/>
          <w:sz w:val="24"/>
          <w:szCs w:val="24"/>
        </w:rPr>
        <w:t>设计文件的计量单位均应采用国际标准计量单位。长度单位：总平面图标注尺寸以米（</w:t>
      </w:r>
      <w:r>
        <w:rPr>
          <w:rFonts w:ascii="宋体" w:hAnsi="宋体"/>
          <w:color w:val="000000"/>
          <w:sz w:val="24"/>
          <w:szCs w:val="24"/>
        </w:rPr>
        <w:t>m）为单位；其余设计图标注尺寸以毫米（mm）为单位，标高以米（m）为单位；面积均以平方米（m2</w:t>
      </w:r>
      <w:r>
        <w:rPr>
          <w:rFonts w:hint="eastAsia" w:ascii="宋体" w:hAnsi="宋体"/>
          <w:color w:val="000000"/>
          <w:sz w:val="24"/>
          <w:szCs w:val="24"/>
        </w:rPr>
        <w:t>）为单位；体积均以立方米（</w:t>
      </w:r>
      <w:r>
        <w:rPr>
          <w:rFonts w:ascii="宋体" w:hAnsi="宋体"/>
          <w:color w:val="000000"/>
          <w:sz w:val="24"/>
          <w:szCs w:val="24"/>
        </w:rPr>
        <w:t>m3</w:t>
      </w:r>
      <w:r>
        <w:rPr>
          <w:rFonts w:hint="eastAsia" w:ascii="宋体" w:hAnsi="宋体"/>
          <w:color w:val="000000"/>
          <w:sz w:val="24"/>
          <w:szCs w:val="24"/>
        </w:rPr>
        <w:t>）为单位。</w:t>
      </w:r>
    </w:p>
    <w:p>
      <w:pPr>
        <w:spacing w:after="156" w:afterLines="50" w:line="300" w:lineRule="auto"/>
        <w:ind w:firstLine="480"/>
        <w:rPr>
          <w:rFonts w:ascii="宋体" w:hAnsi="宋体"/>
          <w:color w:val="000000"/>
          <w:sz w:val="24"/>
          <w:szCs w:val="24"/>
        </w:rPr>
      </w:pPr>
      <w:r>
        <w:rPr>
          <w:rFonts w:ascii="宋体" w:hAnsi="宋体"/>
          <w:color w:val="000000"/>
          <w:sz w:val="24"/>
          <w:szCs w:val="24"/>
        </w:rPr>
        <w:t>4.10设计图纸必须依照工程图纸规格的规定绘制，保持同类图纸规格统一。具体的设计技术要求见《</w:t>
      </w:r>
      <w:r>
        <w:rPr>
          <w:rFonts w:hint="eastAsia" w:ascii="Times New Roman" w:hAnsi="Times New Roman"/>
          <w:sz w:val="24"/>
        </w:rPr>
        <w:t>动力电池梯次利用项目</w:t>
      </w:r>
      <w:r>
        <w:rPr>
          <w:rFonts w:hint="eastAsia" w:ascii="Times New Roman" w:hAnsi="Times New Roman"/>
          <w:sz w:val="24"/>
          <w:lang w:val="en-US" w:eastAsia="zh-CN"/>
        </w:rPr>
        <w:t>勘察</w:t>
      </w:r>
      <w:r>
        <w:rPr>
          <w:rFonts w:hint="eastAsia" w:ascii="宋体" w:hAnsi="宋体"/>
          <w:color w:val="000000"/>
          <w:sz w:val="24"/>
          <w:szCs w:val="24"/>
        </w:rPr>
        <w:t>设计任务书》。</w:t>
      </w:r>
    </w:p>
    <w:p>
      <w:pPr>
        <w:pStyle w:val="104"/>
        <w:adjustRightInd w:val="0"/>
        <w:snapToGrid w:val="0"/>
        <w:ind w:firstLineChars="0"/>
        <w:rPr>
          <w:rFonts w:ascii="Times New Roman" w:hAnsi="Times New Roman"/>
          <w:strike/>
          <w:szCs w:val="24"/>
        </w:rPr>
      </w:pPr>
      <w:r>
        <w:rPr>
          <w:rFonts w:hint="eastAsia" w:hAnsi="宋体"/>
          <w:color w:val="000000"/>
          <w:szCs w:val="24"/>
        </w:rPr>
        <w:t xml:space="preserve"> 4.11乙方</w:t>
      </w:r>
      <w:r>
        <w:rPr>
          <w:rFonts w:ascii="Times New Roman" w:hAnsi="Times New Roman"/>
          <w:szCs w:val="24"/>
        </w:rPr>
        <w:t>按照建设管理程序对消防、防雷、安全、</w:t>
      </w:r>
      <w:r>
        <w:rPr>
          <w:rFonts w:hint="eastAsia" w:ascii="Times New Roman" w:hAnsi="Times New Roman"/>
          <w:szCs w:val="24"/>
        </w:rPr>
        <w:t>节能、</w:t>
      </w:r>
      <w:r>
        <w:rPr>
          <w:rFonts w:ascii="Times New Roman" w:hAnsi="Times New Roman"/>
          <w:szCs w:val="24"/>
        </w:rPr>
        <w:t>职业病防护（外立面、绿化、精装修）、全厂采光设计、全厂通风系统设计、全厂除臭系统设计、全厂交通组织方案等进行详细论述。</w:t>
      </w:r>
    </w:p>
    <w:p>
      <w:pPr>
        <w:pStyle w:val="41"/>
        <w:ind w:left="0" w:leftChars="0" w:firstLine="0" w:firstLineChars="0"/>
      </w:pPr>
    </w:p>
    <w:p>
      <w:pPr>
        <w:pStyle w:val="4"/>
      </w:pPr>
      <w:bookmarkStart w:id="43" w:name="_Toc1736136"/>
      <w:r>
        <w:rPr>
          <w:rFonts w:hint="eastAsia"/>
        </w:rPr>
        <w:t>七、投资控制的要求</w:t>
      </w:r>
      <w:bookmarkEnd w:id="43"/>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限额设计</w:t>
      </w:r>
    </w:p>
    <w:p>
      <w:pPr>
        <w:spacing w:after="156" w:afterLines="50" w:line="300" w:lineRule="auto"/>
        <w:ind w:firstLine="420"/>
        <w:rPr>
          <w:rFonts w:ascii="宋体" w:hAnsi="宋体"/>
          <w:color w:val="000000"/>
          <w:sz w:val="24"/>
          <w:szCs w:val="24"/>
        </w:rPr>
      </w:pPr>
      <w:r>
        <w:rPr>
          <w:rFonts w:ascii="Times New Roman" w:hAnsi="Times New Roman"/>
          <w:sz w:val="24"/>
          <w:szCs w:val="24"/>
        </w:rPr>
        <w:t>在拟定的投标设计额度内对本项目进行设计</w:t>
      </w:r>
      <w:r>
        <w:rPr>
          <w:rFonts w:hint="eastAsia" w:ascii="宋体" w:hAnsi="宋体"/>
          <w:color w:val="000000"/>
          <w:sz w:val="24"/>
          <w:szCs w:val="24"/>
        </w:rPr>
        <w:t>，确保工程竣工验收结算后的最终总投资不突破该项目获得甲方批准或政府主管部门（若需要，根据政府主管部门最新颁布文件执行）批准的概算为准。</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设计优化和技术经济分析论证</w:t>
      </w:r>
    </w:p>
    <w:p>
      <w:pPr>
        <w:spacing w:after="156" w:afterLines="50" w:line="300" w:lineRule="auto"/>
        <w:rPr>
          <w:rFonts w:ascii="宋体" w:hAnsi="宋体"/>
          <w:color w:val="000000"/>
          <w:sz w:val="24"/>
          <w:szCs w:val="24"/>
        </w:rPr>
      </w:pPr>
      <w:r>
        <w:rPr>
          <w:rFonts w:ascii="宋体" w:hAnsi="宋体"/>
          <w:color w:val="000000"/>
          <w:sz w:val="24"/>
          <w:szCs w:val="24"/>
        </w:rPr>
        <w:t xml:space="preserve">    2.1设计方案必须进行技术经济分析。通过对设计方案、工艺、设备等进行全面的评价，在满足功能要求的前提下，采用技术经济优化、可以有效控制工程投资的方案。</w:t>
      </w:r>
    </w:p>
    <w:p>
      <w:pPr>
        <w:spacing w:after="156" w:afterLines="50" w:line="300" w:lineRule="auto"/>
        <w:rPr>
          <w:rFonts w:ascii="宋体" w:hAnsi="宋体"/>
          <w:color w:val="000000"/>
          <w:sz w:val="24"/>
          <w:szCs w:val="24"/>
        </w:rPr>
      </w:pPr>
      <w:r>
        <w:rPr>
          <w:rFonts w:ascii="宋体" w:hAnsi="宋体"/>
          <w:color w:val="000000"/>
          <w:sz w:val="24"/>
          <w:szCs w:val="24"/>
        </w:rPr>
        <w:t xml:space="preserve">    2.2在保证方案的可实施和可操作性前提下，设计中凡能进行定量分析的设计内容，应通过计算，用数据说明其技术经济的合理性。同时向甲方提供各阶段技术经济分析数据，以力求各阶段设计成果能充分体现设计优化的原则。</w:t>
      </w:r>
    </w:p>
    <w:p>
      <w:pPr>
        <w:spacing w:after="156" w:afterLines="50" w:line="300" w:lineRule="auto"/>
        <w:rPr>
          <w:rFonts w:ascii="宋体" w:hAnsi="宋体"/>
          <w:color w:val="000000"/>
          <w:sz w:val="24"/>
          <w:szCs w:val="24"/>
        </w:rPr>
      </w:pPr>
      <w:r>
        <w:rPr>
          <w:rFonts w:ascii="宋体" w:hAnsi="宋体"/>
          <w:color w:val="000000"/>
          <w:sz w:val="24"/>
          <w:szCs w:val="24"/>
        </w:rPr>
        <w:t xml:space="preserve">    2.3为确保设计优化和投资控制，乙方</w:t>
      </w:r>
      <w:r>
        <w:rPr>
          <w:rFonts w:hint="eastAsia" w:ascii="宋体" w:hAnsi="宋体"/>
          <w:color w:val="000000"/>
          <w:sz w:val="24"/>
          <w:szCs w:val="24"/>
        </w:rPr>
        <w:t>必须对整体设计方案、主要基础形式、主体结构选型、建筑装修方案、大宗建材（单项总投资额</w:t>
      </w:r>
      <w:r>
        <w:rPr>
          <w:rFonts w:ascii="宋体" w:hAnsi="宋体"/>
          <w:color w:val="000000"/>
          <w:sz w:val="24"/>
          <w:szCs w:val="24"/>
        </w:rPr>
        <w:t>100万元以上）使用、主要设备选型等对建成使用和建设投资有重大影响的因素进行经济技术多方案比选和性价比分析，在甲方有需要时交付正式的书面报告报设计咨询（监理）单位和甲方确认。</w:t>
      </w:r>
    </w:p>
    <w:p>
      <w:pPr>
        <w:spacing w:after="156" w:afterLines="50" w:line="300" w:lineRule="auto"/>
        <w:rPr>
          <w:rFonts w:ascii="宋体" w:hAnsi="宋体"/>
          <w:color w:val="000000"/>
          <w:sz w:val="24"/>
          <w:szCs w:val="24"/>
        </w:rPr>
      </w:pPr>
      <w:r>
        <w:rPr>
          <w:rFonts w:ascii="宋体" w:hAnsi="宋体"/>
          <w:color w:val="000000"/>
          <w:sz w:val="24"/>
          <w:szCs w:val="24"/>
        </w:rPr>
        <w:t xml:space="preserve">    2.4乙方</w:t>
      </w:r>
      <w:r>
        <w:rPr>
          <w:rFonts w:hint="eastAsia" w:ascii="宋体" w:hAnsi="宋体"/>
          <w:color w:val="000000"/>
          <w:sz w:val="24"/>
          <w:szCs w:val="24"/>
        </w:rPr>
        <w:t>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未经甲方审批，不得随意突破限额。</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估算及概算</w:t>
      </w:r>
    </w:p>
    <w:p>
      <w:pPr>
        <w:spacing w:after="156" w:afterLines="50" w:line="300" w:lineRule="auto"/>
        <w:rPr>
          <w:rFonts w:ascii="宋体" w:hAnsi="宋体"/>
          <w:color w:val="000000"/>
          <w:sz w:val="24"/>
          <w:szCs w:val="24"/>
        </w:rPr>
      </w:pPr>
      <w:r>
        <w:rPr>
          <w:rFonts w:ascii="宋体" w:hAnsi="宋体"/>
          <w:color w:val="000000"/>
          <w:sz w:val="24"/>
          <w:szCs w:val="24"/>
        </w:rPr>
        <w:t xml:space="preserve">    3.1乙方</w:t>
      </w:r>
      <w:r>
        <w:rPr>
          <w:rFonts w:hint="eastAsia" w:ascii="宋体" w:hAnsi="宋体"/>
          <w:color w:val="000000"/>
          <w:sz w:val="24"/>
          <w:szCs w:val="24"/>
        </w:rPr>
        <w:t>必须在方案设计审查、初步设计审查和施工图审查时提交相应深度的投资估算、概算，对投资限额目标作进一步的细化。</w:t>
      </w:r>
    </w:p>
    <w:p>
      <w:pPr>
        <w:spacing w:after="156" w:afterLines="50" w:line="300" w:lineRule="auto"/>
        <w:rPr>
          <w:rFonts w:ascii="宋体" w:hAnsi="宋体"/>
          <w:color w:val="000000"/>
          <w:sz w:val="24"/>
          <w:szCs w:val="24"/>
        </w:rPr>
      </w:pPr>
      <w:r>
        <w:rPr>
          <w:rFonts w:ascii="宋体" w:hAnsi="宋体"/>
          <w:color w:val="000000"/>
          <w:sz w:val="24"/>
          <w:szCs w:val="24"/>
        </w:rPr>
        <w:t xml:space="preserve">    3.2广州市或广东省建设项目设计概算编审规定编制概算。设计概算的计算指标分析应提供依据，计算资料应经有关部门或人员确认，确认后不得随意修改。没有定额的指标必须进行指标分析，针对本工程的特点合理确定，杜绝机械性地套用广州其它类似工程指标的做法。</w:t>
      </w:r>
    </w:p>
    <w:p>
      <w:pPr>
        <w:spacing w:after="156" w:afterLines="50" w:line="300" w:lineRule="auto"/>
        <w:rPr>
          <w:rFonts w:ascii="宋体" w:hAnsi="宋体"/>
          <w:color w:val="000000"/>
          <w:sz w:val="24"/>
          <w:szCs w:val="24"/>
        </w:rPr>
      </w:pPr>
      <w:r>
        <w:rPr>
          <w:rFonts w:ascii="宋体" w:hAnsi="宋体"/>
          <w:color w:val="000000"/>
          <w:sz w:val="24"/>
          <w:szCs w:val="24"/>
        </w:rPr>
        <w:t xml:space="preserve">    3.3乙方</w:t>
      </w:r>
      <w:r>
        <w:rPr>
          <w:rFonts w:hint="eastAsia" w:ascii="宋体" w:hAnsi="宋体"/>
          <w:color w:val="000000"/>
          <w:sz w:val="24"/>
          <w:szCs w:val="24"/>
        </w:rPr>
        <w:t>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spacing w:after="156" w:afterLines="50" w:line="300" w:lineRule="auto"/>
        <w:rPr>
          <w:rFonts w:ascii="宋体" w:hAnsi="宋体"/>
          <w:color w:val="000000"/>
          <w:sz w:val="24"/>
          <w:szCs w:val="24"/>
        </w:rPr>
      </w:pPr>
      <w:r>
        <w:rPr>
          <w:rFonts w:ascii="宋体" w:hAnsi="宋体"/>
          <w:color w:val="000000"/>
          <w:sz w:val="24"/>
          <w:szCs w:val="24"/>
        </w:rPr>
        <w:t xml:space="preserve">    3.4设计概算应结合工程招投标的需要编制，单项工程、单位工程、分部、分项工程的划分原则必须统一，编码必须一致，便于投资分析和验工计价时的检索。编制单元及章节划分应符合投资控制的需要，方便甲方根据工程招投标灵活组合。</w:t>
      </w:r>
    </w:p>
    <w:p>
      <w:pPr>
        <w:spacing w:after="156" w:afterLines="50" w:line="300" w:lineRule="auto"/>
        <w:rPr>
          <w:rFonts w:ascii="宋体" w:hAnsi="宋体"/>
          <w:color w:val="000000"/>
          <w:sz w:val="24"/>
          <w:szCs w:val="24"/>
        </w:rPr>
      </w:pPr>
      <w:r>
        <w:rPr>
          <w:rFonts w:ascii="宋体" w:hAnsi="宋体"/>
          <w:color w:val="000000"/>
          <w:sz w:val="24"/>
          <w:szCs w:val="24"/>
        </w:rPr>
        <w:t xml:space="preserve">    3.5如果工程概算超出限定的工程造价，乙方</w:t>
      </w:r>
      <w:r>
        <w:rPr>
          <w:rFonts w:hint="eastAsia" w:ascii="宋体" w:hAnsi="宋体"/>
          <w:color w:val="000000"/>
          <w:sz w:val="24"/>
          <w:szCs w:val="24"/>
        </w:rPr>
        <w:t>必须对设计进行修改，并承诺该修改不改变有关设计和规划的原则、内容与要求，不改变原方案设计的构思，不降低使用功能与设计质量标准，不增加设计费用。</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4、设计优化</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乙方应对本工程进行优化设计</w:t>
      </w:r>
      <w:r>
        <w:rPr>
          <w:rFonts w:ascii="宋体" w:hAnsi="宋体"/>
          <w:color w:val="000000"/>
          <w:sz w:val="24"/>
          <w:szCs w:val="24"/>
        </w:rPr>
        <w:t>,</w:t>
      </w:r>
      <w:r>
        <w:rPr>
          <w:rFonts w:hint="eastAsia" w:ascii="宋体" w:hAnsi="宋体"/>
          <w:color w:val="000000"/>
          <w:sz w:val="24"/>
          <w:szCs w:val="24"/>
        </w:rPr>
        <w:t>尽量使本工程的投资减少、降低本工程维护、运行费用，提高本工程竣工后的效率或运行的安全可靠性，或提供给</w:t>
      </w:r>
      <w:r>
        <w:rPr>
          <w:rFonts w:hint="eastAsia" w:ascii="宋体" w:hAnsi="宋体"/>
          <w:color w:val="000000"/>
          <w:sz w:val="24"/>
          <w:szCs w:val="24"/>
          <w:lang w:eastAsia="zh-CN"/>
        </w:rPr>
        <w:t>甲方</w:t>
      </w:r>
      <w:r>
        <w:rPr>
          <w:rFonts w:hint="eastAsia" w:ascii="宋体" w:hAnsi="宋体"/>
          <w:color w:val="000000"/>
          <w:sz w:val="24"/>
          <w:szCs w:val="24"/>
        </w:rPr>
        <w:t>带来其他利益的建议。</w:t>
      </w:r>
    </w:p>
    <w:p>
      <w:pPr>
        <w:pStyle w:val="4"/>
      </w:pPr>
      <w:bookmarkStart w:id="44" w:name="_Toc1736137"/>
      <w:r>
        <w:rPr>
          <w:rFonts w:hint="eastAsia"/>
        </w:rPr>
        <w:t>八、服务期限及勘察设计文件的交付</w:t>
      </w:r>
      <w:bookmarkEnd w:id="44"/>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服务期限及</w:t>
      </w:r>
      <w:r>
        <w:rPr>
          <w:rFonts w:hint="eastAsia" w:ascii="宋体" w:hAnsi="宋体"/>
          <w:color w:val="000000"/>
          <w:sz w:val="24"/>
          <w:szCs w:val="24"/>
        </w:rPr>
        <w:t>保修</w:t>
      </w:r>
      <w:r>
        <w:rPr>
          <w:rFonts w:ascii="宋体" w:hAnsi="宋体"/>
          <w:color w:val="000000"/>
          <w:sz w:val="24"/>
          <w:szCs w:val="24"/>
        </w:rPr>
        <w:t>期</w:t>
      </w:r>
    </w:p>
    <w:p>
      <w:pPr>
        <w:pStyle w:val="104"/>
        <w:adjustRightInd w:val="0"/>
        <w:snapToGrid w:val="0"/>
        <w:spacing w:line="360" w:lineRule="auto"/>
        <w:ind w:firstLine="480"/>
        <w:rPr>
          <w:rFonts w:ascii="Times New Roman" w:hAnsi="Times New Roman"/>
          <w:szCs w:val="24"/>
        </w:rPr>
      </w:pPr>
      <w:r>
        <w:rPr>
          <w:rFonts w:ascii="宋体" w:hAnsi="宋体"/>
          <w:color w:val="000000"/>
          <w:szCs w:val="24"/>
        </w:rPr>
        <w:t>1.1</w:t>
      </w:r>
      <w:r>
        <w:rPr>
          <w:rFonts w:ascii="Times New Roman" w:hAnsi="Times New Roman"/>
          <w:szCs w:val="24"/>
        </w:rPr>
        <w:t>本项目以生效之日起至工程竣工验收合格后</w:t>
      </w:r>
      <w:r>
        <w:rPr>
          <w:rFonts w:hint="eastAsia" w:ascii="Times New Roman" w:hAnsi="Times New Roman"/>
          <w:szCs w:val="24"/>
        </w:rPr>
        <w:t>缺陷责任</w:t>
      </w:r>
      <w:r>
        <w:rPr>
          <w:rFonts w:ascii="Times New Roman" w:hAnsi="Times New Roman"/>
          <w:szCs w:val="24"/>
        </w:rPr>
        <w:t>期满止为服务期限。工程投入使用后，若发现工程设计未能满足本合同的要求</w:t>
      </w:r>
      <w:r>
        <w:rPr>
          <w:rFonts w:hint="eastAsia" w:ascii="Times New Roman" w:hAnsi="Times New Roman"/>
          <w:szCs w:val="24"/>
        </w:rPr>
        <w:t>，或因政府及行业主管部门对工程设计审查原因导致增加工作</w:t>
      </w:r>
      <w:r>
        <w:rPr>
          <w:rFonts w:ascii="Times New Roman" w:hAnsi="Times New Roman"/>
          <w:szCs w:val="24"/>
        </w:rPr>
        <w:t>，乙方必须继续提供服务，直至满足要求为止，对此</w:t>
      </w:r>
      <w:r>
        <w:rPr>
          <w:rFonts w:hint="eastAsia" w:ascii="Times New Roman" w:hAnsi="Times New Roman"/>
          <w:szCs w:val="24"/>
        </w:rPr>
        <w:t>甲方</w:t>
      </w:r>
      <w:r>
        <w:rPr>
          <w:rFonts w:ascii="Times New Roman" w:hAnsi="Times New Roman"/>
          <w:szCs w:val="24"/>
        </w:rPr>
        <w:t>不额外支付费用。</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2 </w:t>
      </w:r>
      <w:r>
        <w:rPr>
          <w:rFonts w:hint="eastAsia" w:ascii="宋体" w:hAnsi="宋体"/>
          <w:color w:val="000000"/>
          <w:sz w:val="24"/>
          <w:szCs w:val="24"/>
        </w:rPr>
        <w:t>、设计进度</w:t>
      </w:r>
    </w:p>
    <w:p>
      <w:pPr>
        <w:spacing w:after="156" w:afterLines="50" w:line="300" w:lineRule="auto"/>
        <w:ind w:firstLine="480"/>
        <w:rPr>
          <w:rFonts w:ascii="宋体" w:hAnsi="宋体"/>
          <w:color w:val="000000"/>
          <w:sz w:val="24"/>
          <w:szCs w:val="24"/>
        </w:rPr>
      </w:pPr>
      <w:r>
        <w:rPr>
          <w:rFonts w:hint="eastAsia" w:ascii="宋体" w:hAnsi="宋体"/>
          <w:color w:val="000000"/>
          <w:sz w:val="24"/>
          <w:szCs w:val="24"/>
        </w:rPr>
        <w:t>2.1 设计进度和设计成果文件交付主要要求</w:t>
      </w:r>
    </w:p>
    <w:p>
      <w:pPr>
        <w:spacing w:after="156" w:afterLines="50" w:line="300" w:lineRule="auto"/>
        <w:ind w:firstLine="480"/>
        <w:rPr>
          <w:rFonts w:ascii="Times New Roman" w:hAnsi="Times New Roman"/>
          <w:sz w:val="24"/>
          <w:szCs w:val="24"/>
        </w:rPr>
      </w:pPr>
      <w:r>
        <w:rPr>
          <w:rFonts w:hint="eastAsia" w:ascii="宋体" w:hAnsi="宋体"/>
          <w:color w:val="000000"/>
          <w:sz w:val="24"/>
          <w:szCs w:val="24"/>
        </w:rPr>
        <w:t xml:space="preserve">2.1.1  </w:t>
      </w:r>
      <w:r>
        <w:rPr>
          <w:rFonts w:ascii="宋体" w:hAnsi="宋体"/>
          <w:color w:val="000000"/>
          <w:sz w:val="24"/>
          <w:szCs w:val="24"/>
        </w:rPr>
        <w:t>乙方</w:t>
      </w:r>
      <w:r>
        <w:rPr>
          <w:rFonts w:ascii="Times New Roman" w:hAnsi="Times New Roman"/>
          <w:sz w:val="24"/>
          <w:szCs w:val="24"/>
        </w:rPr>
        <w:t>必须严格按照以下表格所确定的完成时间提交设计文件（注：设计时间包含各阶段设计文件的审批、报建期限）：</w:t>
      </w:r>
    </w:p>
    <w:tbl>
      <w:tblPr>
        <w:tblStyle w:val="42"/>
        <w:tblW w:w="9356" w:type="dxa"/>
        <w:tblInd w:w="-29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8"/>
        <w:gridCol w:w="1094"/>
        <w:gridCol w:w="1984"/>
        <w:gridCol w:w="2410"/>
        <w:gridCol w:w="32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8" w:hRule="atLeast"/>
          <w:tblHeader/>
        </w:trPr>
        <w:tc>
          <w:tcPr>
            <w:tcW w:w="608" w:type="dxa"/>
            <w:vAlign w:val="center"/>
          </w:tcPr>
          <w:p>
            <w:pPr>
              <w:adjustRightInd w:val="0"/>
              <w:snapToGrid w:val="0"/>
              <w:jc w:val="center"/>
              <w:rPr>
                <w:b/>
                <w:color w:val="000000"/>
                <w:sz w:val="24"/>
              </w:rPr>
            </w:pPr>
            <w:r>
              <w:rPr>
                <w:b/>
                <w:color w:val="000000"/>
                <w:sz w:val="24"/>
              </w:rPr>
              <w:t>序号</w:t>
            </w:r>
          </w:p>
        </w:tc>
        <w:tc>
          <w:tcPr>
            <w:tcW w:w="1094" w:type="dxa"/>
            <w:vAlign w:val="center"/>
          </w:tcPr>
          <w:p>
            <w:pPr>
              <w:adjustRightInd w:val="0"/>
              <w:snapToGrid w:val="0"/>
              <w:jc w:val="center"/>
              <w:rPr>
                <w:b/>
                <w:color w:val="000000"/>
                <w:sz w:val="24"/>
              </w:rPr>
            </w:pPr>
            <w:r>
              <w:rPr>
                <w:b/>
                <w:color w:val="000000"/>
                <w:sz w:val="24"/>
              </w:rPr>
              <w:t>设计文件内容</w:t>
            </w:r>
          </w:p>
        </w:tc>
        <w:tc>
          <w:tcPr>
            <w:tcW w:w="1984" w:type="dxa"/>
            <w:vAlign w:val="center"/>
          </w:tcPr>
          <w:p>
            <w:pPr>
              <w:adjustRightInd w:val="0"/>
              <w:snapToGrid w:val="0"/>
              <w:jc w:val="center"/>
              <w:rPr>
                <w:b/>
                <w:color w:val="000000"/>
                <w:sz w:val="24"/>
              </w:rPr>
            </w:pPr>
            <w:r>
              <w:rPr>
                <w:b/>
                <w:color w:val="000000"/>
                <w:sz w:val="24"/>
              </w:rPr>
              <w:t>设计时间</w:t>
            </w:r>
          </w:p>
        </w:tc>
        <w:tc>
          <w:tcPr>
            <w:tcW w:w="2410" w:type="dxa"/>
            <w:vAlign w:val="center"/>
          </w:tcPr>
          <w:p>
            <w:pPr>
              <w:pStyle w:val="104"/>
              <w:adjustRightInd w:val="0"/>
              <w:snapToGrid w:val="0"/>
              <w:ind w:firstLine="0" w:firstLineChars="0"/>
              <w:jc w:val="center"/>
              <w:rPr>
                <w:rFonts w:ascii="Times New Roman" w:hAnsi="Times New Roman"/>
                <w:b/>
                <w:color w:val="000000"/>
                <w:szCs w:val="24"/>
              </w:rPr>
            </w:pPr>
            <w:r>
              <w:rPr>
                <w:rFonts w:ascii="Times New Roman" w:hAnsi="Times New Roman"/>
                <w:b/>
                <w:color w:val="000000"/>
                <w:szCs w:val="24"/>
              </w:rPr>
              <w:t>交付设计成果数量和规格</w:t>
            </w:r>
          </w:p>
        </w:tc>
        <w:tc>
          <w:tcPr>
            <w:tcW w:w="3260" w:type="dxa"/>
            <w:vAlign w:val="center"/>
          </w:tcPr>
          <w:p>
            <w:pPr>
              <w:pStyle w:val="104"/>
              <w:adjustRightInd w:val="0"/>
              <w:snapToGrid w:val="0"/>
              <w:ind w:firstLine="0" w:firstLineChars="0"/>
              <w:jc w:val="center"/>
              <w:rPr>
                <w:rFonts w:ascii="Times New Roman" w:hAnsi="Times New Roman"/>
                <w:b/>
                <w:color w:val="000000"/>
                <w:szCs w:val="24"/>
              </w:rPr>
            </w:pPr>
            <w:r>
              <w:rPr>
                <w:rFonts w:ascii="Times New Roman" w:hAnsi="Times New Roman"/>
                <w:b/>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b/>
                <w:bCs/>
                <w:color w:val="000000"/>
                <w:sz w:val="24"/>
              </w:rPr>
              <w:t>1</w:t>
            </w:r>
          </w:p>
        </w:tc>
        <w:tc>
          <w:tcPr>
            <w:tcW w:w="1094" w:type="dxa"/>
            <w:vAlign w:val="center"/>
          </w:tcPr>
          <w:p>
            <w:pPr>
              <w:adjustRightInd w:val="0"/>
              <w:snapToGrid w:val="0"/>
              <w:jc w:val="left"/>
              <w:rPr>
                <w:color w:val="000000"/>
                <w:sz w:val="24"/>
              </w:rPr>
            </w:pPr>
            <w:r>
              <w:rPr>
                <w:color w:val="000000"/>
                <w:sz w:val="24"/>
              </w:rPr>
              <w:t>勘察设计文件</w:t>
            </w:r>
          </w:p>
        </w:tc>
        <w:tc>
          <w:tcPr>
            <w:tcW w:w="1984" w:type="dxa"/>
            <w:vAlign w:val="center"/>
          </w:tcPr>
          <w:p>
            <w:pPr>
              <w:adjustRightInd w:val="0"/>
              <w:snapToGrid w:val="0"/>
              <w:jc w:val="left"/>
              <w:rPr>
                <w:color w:val="000000"/>
                <w:sz w:val="24"/>
              </w:rPr>
            </w:pPr>
            <w:r>
              <w:rPr>
                <w:color w:val="000000"/>
                <w:sz w:val="24"/>
              </w:rPr>
              <w:t>中标通知书发出之日起30个日历日内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hint="eastAsia" w:ascii="Times New Roman" w:hAnsi="Times New Roman"/>
                <w:color w:val="000000"/>
                <w:szCs w:val="24"/>
              </w:rPr>
              <w:t>勘察</w:t>
            </w:r>
            <w:r>
              <w:rPr>
                <w:rFonts w:ascii="Times New Roman" w:hAnsi="Times New Roman"/>
                <w:color w:val="000000"/>
                <w:szCs w:val="24"/>
              </w:rPr>
              <w:t>设计成果20份和电子文件4套（电子文件须包含word、dwg和pdf文件）</w:t>
            </w:r>
          </w:p>
        </w:tc>
        <w:tc>
          <w:tcPr>
            <w:tcW w:w="326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rPr>
              <w:t>勘察设计文件</w:t>
            </w:r>
            <w:r>
              <w:rPr>
                <w:rFonts w:ascii="Times New Roman" w:hAnsi="Times New Roman"/>
                <w:color w:val="000000"/>
                <w:szCs w:val="24"/>
              </w:rPr>
              <w:t>的纸质版和电子版要求装订成册，同时数量不少于20份，能满足施工需要及相关要求。其中，勘察技术需求书纸质版3份和电子文件1套（电子文件须包含dwg和pdf文件）。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b/>
                <w:bCs/>
                <w:color w:val="000000"/>
                <w:sz w:val="24"/>
              </w:rPr>
              <w:t>2</w:t>
            </w:r>
          </w:p>
        </w:tc>
        <w:tc>
          <w:tcPr>
            <w:tcW w:w="1094" w:type="dxa"/>
            <w:vAlign w:val="center"/>
          </w:tcPr>
          <w:p>
            <w:pPr>
              <w:adjustRightInd w:val="0"/>
              <w:snapToGrid w:val="0"/>
              <w:jc w:val="left"/>
              <w:rPr>
                <w:color w:val="000000"/>
                <w:sz w:val="24"/>
              </w:rPr>
            </w:pPr>
            <w:r>
              <w:rPr>
                <w:color w:val="000000"/>
                <w:sz w:val="24"/>
              </w:rPr>
              <w:t>初步设计图纸</w:t>
            </w:r>
            <w:r>
              <w:rPr>
                <w:rFonts w:hint="eastAsia" w:cs="宋体"/>
                <w:color w:val="000000"/>
                <w:sz w:val="24"/>
              </w:rPr>
              <w:t>及初步设计说明文件</w:t>
            </w:r>
            <w:r>
              <w:rPr>
                <w:color w:val="000000"/>
                <w:sz w:val="24"/>
              </w:rPr>
              <w:t>（全套）</w:t>
            </w:r>
          </w:p>
        </w:tc>
        <w:tc>
          <w:tcPr>
            <w:tcW w:w="1984" w:type="dxa"/>
            <w:vAlign w:val="center"/>
          </w:tcPr>
          <w:p>
            <w:pPr>
              <w:adjustRightInd w:val="0"/>
              <w:snapToGrid w:val="0"/>
              <w:jc w:val="left"/>
              <w:rPr>
                <w:color w:val="000000"/>
                <w:sz w:val="24"/>
              </w:rPr>
            </w:pPr>
            <w:r>
              <w:rPr>
                <w:color w:val="000000"/>
                <w:sz w:val="24"/>
              </w:rPr>
              <w:t>中标通知书发出之日起30个日历日内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设计成果20份和电子文件4套（电子文件须包含word、dwg和pdf文件）</w:t>
            </w:r>
          </w:p>
        </w:tc>
        <w:tc>
          <w:tcPr>
            <w:tcW w:w="3260" w:type="dxa"/>
            <w:vMerge w:val="restart"/>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初步设计及概算文件的纸质版和电子版要求装订成册，同时数量不少于20份，能满足</w:t>
            </w:r>
            <w:r>
              <w:rPr>
                <w:rFonts w:hint="eastAsia" w:ascii="Times New Roman" w:hAnsi="Times New Roman"/>
                <w:color w:val="000000"/>
                <w:szCs w:val="24"/>
                <w:lang w:eastAsia="zh-CN"/>
              </w:rPr>
              <w:t>甲方</w:t>
            </w:r>
            <w:r>
              <w:rPr>
                <w:rFonts w:ascii="Times New Roman" w:hAnsi="Times New Roman"/>
                <w:color w:val="000000"/>
                <w:szCs w:val="24"/>
              </w:rPr>
              <w:t>及相关部门审核的需要。概算的编制要求用相关专业计价软件编制。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b/>
                <w:bCs/>
                <w:color w:val="000000"/>
                <w:sz w:val="24"/>
              </w:rPr>
              <w:t>3</w:t>
            </w:r>
          </w:p>
        </w:tc>
        <w:tc>
          <w:tcPr>
            <w:tcW w:w="1094" w:type="dxa"/>
            <w:vAlign w:val="center"/>
          </w:tcPr>
          <w:p>
            <w:pPr>
              <w:adjustRightInd w:val="0"/>
              <w:snapToGrid w:val="0"/>
              <w:jc w:val="left"/>
              <w:rPr>
                <w:color w:val="000000"/>
                <w:sz w:val="24"/>
              </w:rPr>
            </w:pPr>
            <w:r>
              <w:rPr>
                <w:color w:val="000000"/>
                <w:sz w:val="24"/>
              </w:rPr>
              <w:t>初步设计概算</w:t>
            </w:r>
          </w:p>
        </w:tc>
        <w:tc>
          <w:tcPr>
            <w:tcW w:w="1984" w:type="dxa"/>
            <w:vAlign w:val="center"/>
          </w:tcPr>
          <w:p>
            <w:pPr>
              <w:adjustRightInd w:val="0"/>
              <w:snapToGrid w:val="0"/>
              <w:jc w:val="left"/>
              <w:rPr>
                <w:color w:val="000000"/>
                <w:sz w:val="24"/>
              </w:rPr>
            </w:pPr>
            <w:r>
              <w:rPr>
                <w:color w:val="000000"/>
                <w:sz w:val="24"/>
              </w:rPr>
              <w:t>中标通知书发出之日起30个日历日内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设计成果20份和电子文件4套（电子文件须包含word、dwg和pdf文件）</w:t>
            </w:r>
          </w:p>
        </w:tc>
        <w:tc>
          <w:tcPr>
            <w:tcW w:w="3260" w:type="dxa"/>
            <w:vMerge w:val="continue"/>
            <w:vAlign w:val="center"/>
          </w:tcPr>
          <w:p>
            <w:pPr>
              <w:pStyle w:val="104"/>
              <w:adjustRightInd w:val="0"/>
              <w:snapToGrid w:val="0"/>
              <w:ind w:firstLine="0" w:firstLineChars="0"/>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b/>
                <w:bCs/>
                <w:color w:val="000000"/>
                <w:sz w:val="24"/>
              </w:rPr>
              <w:t>4</w:t>
            </w:r>
          </w:p>
        </w:tc>
        <w:tc>
          <w:tcPr>
            <w:tcW w:w="1094" w:type="dxa"/>
            <w:vAlign w:val="center"/>
          </w:tcPr>
          <w:p>
            <w:pPr>
              <w:adjustRightInd w:val="0"/>
              <w:snapToGrid w:val="0"/>
              <w:jc w:val="left"/>
              <w:rPr>
                <w:color w:val="000000"/>
                <w:sz w:val="24"/>
              </w:rPr>
            </w:pPr>
            <w:r>
              <w:rPr>
                <w:color w:val="000000"/>
                <w:sz w:val="24"/>
              </w:rPr>
              <w:t>设备技术规格书</w:t>
            </w:r>
          </w:p>
        </w:tc>
        <w:tc>
          <w:tcPr>
            <w:tcW w:w="1984" w:type="dxa"/>
            <w:vAlign w:val="center"/>
          </w:tcPr>
          <w:p>
            <w:pPr>
              <w:adjustRightInd w:val="0"/>
              <w:snapToGrid w:val="0"/>
              <w:jc w:val="left"/>
              <w:rPr>
                <w:color w:val="000000"/>
                <w:sz w:val="24"/>
              </w:rPr>
            </w:pPr>
            <w:r>
              <w:rPr>
                <w:color w:val="000000"/>
                <w:sz w:val="24"/>
              </w:rPr>
              <w:t>中标通知书发出之日起</w:t>
            </w:r>
            <w:r>
              <w:rPr>
                <w:rFonts w:hint="eastAsia"/>
                <w:color w:val="000000"/>
                <w:sz w:val="24"/>
              </w:rPr>
              <w:t>2</w:t>
            </w:r>
            <w:r>
              <w:rPr>
                <w:color w:val="000000"/>
                <w:sz w:val="24"/>
              </w:rPr>
              <w:t>0个日历日内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设计成果3份和电子文件1套（电子文件须包含word、dwg和pdf文件）</w:t>
            </w:r>
          </w:p>
        </w:tc>
        <w:tc>
          <w:tcPr>
            <w:tcW w:w="326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主要包括设备技术规格书。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b/>
                <w:bCs/>
                <w:color w:val="000000"/>
                <w:sz w:val="24"/>
              </w:rPr>
              <w:t>5</w:t>
            </w:r>
          </w:p>
        </w:tc>
        <w:tc>
          <w:tcPr>
            <w:tcW w:w="1094" w:type="dxa"/>
            <w:vAlign w:val="center"/>
          </w:tcPr>
          <w:p>
            <w:pPr>
              <w:adjustRightInd w:val="0"/>
              <w:snapToGrid w:val="0"/>
              <w:jc w:val="left"/>
              <w:rPr>
                <w:color w:val="000000"/>
                <w:sz w:val="24"/>
              </w:rPr>
            </w:pPr>
            <w:r>
              <w:rPr>
                <w:rFonts w:hint="eastAsia"/>
                <w:color w:val="000000"/>
                <w:sz w:val="24"/>
              </w:rPr>
              <w:t>基坑支护及</w:t>
            </w:r>
            <w:r>
              <w:rPr>
                <w:color w:val="000000"/>
                <w:sz w:val="24"/>
              </w:rPr>
              <w:t>桩基础施工图</w:t>
            </w:r>
          </w:p>
        </w:tc>
        <w:tc>
          <w:tcPr>
            <w:tcW w:w="1984" w:type="dxa"/>
            <w:vAlign w:val="center"/>
          </w:tcPr>
          <w:p>
            <w:pPr>
              <w:adjustRightInd w:val="0"/>
              <w:snapToGrid w:val="0"/>
              <w:jc w:val="left"/>
              <w:rPr>
                <w:color w:val="000000"/>
                <w:sz w:val="24"/>
              </w:rPr>
            </w:pPr>
            <w:r>
              <w:rPr>
                <w:color w:val="000000"/>
                <w:sz w:val="24"/>
              </w:rPr>
              <w:t>中标通知书发出之日起</w:t>
            </w:r>
            <w:r>
              <w:rPr>
                <w:rFonts w:hint="eastAsia"/>
                <w:color w:val="000000"/>
                <w:sz w:val="24"/>
              </w:rPr>
              <w:t>6</w:t>
            </w:r>
            <w:r>
              <w:rPr>
                <w:color w:val="000000"/>
                <w:sz w:val="24"/>
              </w:rPr>
              <w:t>0个日历日内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设计成果16份和电子文件4套（电子文件须包含dwg和pdf文件）</w:t>
            </w:r>
          </w:p>
        </w:tc>
        <w:tc>
          <w:tcPr>
            <w:tcW w:w="326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设备依</w:t>
            </w:r>
            <w:r>
              <w:rPr>
                <w:rFonts w:hint="eastAsia" w:ascii="Times New Roman" w:hAnsi="Times New Roman"/>
                <w:color w:val="000000"/>
                <w:szCs w:val="24"/>
                <w:lang w:eastAsia="zh-CN"/>
              </w:rPr>
              <w:t>乙方</w:t>
            </w:r>
            <w:r>
              <w:rPr>
                <w:rFonts w:ascii="Times New Roman" w:hAnsi="Times New Roman"/>
                <w:color w:val="000000"/>
                <w:szCs w:val="24"/>
              </w:rPr>
              <w:t>自身设计经验。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b/>
                <w:bCs/>
                <w:color w:val="000000"/>
                <w:sz w:val="24"/>
              </w:rPr>
              <w:t>6</w:t>
            </w:r>
          </w:p>
        </w:tc>
        <w:tc>
          <w:tcPr>
            <w:tcW w:w="1094" w:type="dxa"/>
            <w:vAlign w:val="center"/>
          </w:tcPr>
          <w:p>
            <w:pPr>
              <w:adjustRightInd w:val="0"/>
              <w:snapToGrid w:val="0"/>
              <w:jc w:val="left"/>
              <w:rPr>
                <w:color w:val="000000"/>
                <w:sz w:val="24"/>
              </w:rPr>
            </w:pPr>
            <w:r>
              <w:rPr>
                <w:color w:val="000000"/>
                <w:sz w:val="24"/>
              </w:rPr>
              <w:t>土建施工图</w:t>
            </w:r>
          </w:p>
        </w:tc>
        <w:tc>
          <w:tcPr>
            <w:tcW w:w="1984" w:type="dxa"/>
            <w:vMerge w:val="restart"/>
            <w:vAlign w:val="center"/>
          </w:tcPr>
          <w:p>
            <w:pPr>
              <w:adjustRightInd w:val="0"/>
              <w:snapToGrid w:val="0"/>
              <w:jc w:val="left"/>
              <w:rPr>
                <w:color w:val="000000"/>
                <w:sz w:val="24"/>
              </w:rPr>
            </w:pPr>
            <w:r>
              <w:rPr>
                <w:color w:val="000000"/>
                <w:sz w:val="24"/>
              </w:rPr>
              <w:t>中标通知书发出之日起</w:t>
            </w:r>
            <w:r>
              <w:rPr>
                <w:rFonts w:hint="eastAsia"/>
                <w:color w:val="000000"/>
                <w:sz w:val="24"/>
              </w:rPr>
              <w:t>6</w:t>
            </w:r>
            <w:r>
              <w:rPr>
                <w:color w:val="000000"/>
                <w:sz w:val="24"/>
              </w:rPr>
              <w:t>0个日历日内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设计成果16份和电子文件4套（电子文件须包含dwg和pdf文件）；包括但不限于建筑（含精装修）、结构、给排水消防、暖通新风、电气照明、防雷接地等。</w:t>
            </w:r>
          </w:p>
        </w:tc>
        <w:tc>
          <w:tcPr>
            <w:tcW w:w="3260" w:type="dxa"/>
            <w:vMerge w:val="restart"/>
            <w:vAlign w:val="center"/>
          </w:tcPr>
          <w:p>
            <w:pPr>
              <w:pStyle w:val="104"/>
              <w:adjustRightInd w:val="0"/>
              <w:snapToGrid w:val="0"/>
              <w:ind w:firstLine="0" w:firstLineChars="0"/>
              <w:rPr>
                <w:rFonts w:ascii="Times New Roman" w:hAnsi="Times New Roman"/>
                <w:color w:val="000000"/>
                <w:szCs w:val="24"/>
              </w:rPr>
            </w:pPr>
          </w:p>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施工图设计及预算文件的纸质版和电子版要求装订成册，同时数量不少于16份，能满足</w:t>
            </w:r>
            <w:r>
              <w:rPr>
                <w:rFonts w:hint="eastAsia" w:ascii="Times New Roman" w:hAnsi="Times New Roman"/>
                <w:color w:val="000000"/>
                <w:szCs w:val="24"/>
                <w:lang w:eastAsia="zh-CN"/>
              </w:rPr>
              <w:t>甲方</w:t>
            </w:r>
            <w:r>
              <w:rPr>
                <w:rFonts w:ascii="Times New Roman" w:hAnsi="Times New Roman"/>
                <w:color w:val="000000"/>
                <w:szCs w:val="24"/>
              </w:rPr>
              <w:t>及相关部门审核的需要。预算的编制要求用相关专业计价软件编制。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b/>
                <w:bCs/>
                <w:color w:val="000000"/>
                <w:sz w:val="24"/>
              </w:rPr>
              <w:t>7</w:t>
            </w:r>
          </w:p>
        </w:tc>
        <w:tc>
          <w:tcPr>
            <w:tcW w:w="1094" w:type="dxa"/>
            <w:vAlign w:val="center"/>
          </w:tcPr>
          <w:p>
            <w:pPr>
              <w:adjustRightInd w:val="0"/>
              <w:snapToGrid w:val="0"/>
              <w:jc w:val="left"/>
              <w:rPr>
                <w:color w:val="000000"/>
                <w:sz w:val="24"/>
              </w:rPr>
            </w:pPr>
            <w:r>
              <w:rPr>
                <w:color w:val="000000"/>
                <w:sz w:val="24"/>
              </w:rPr>
              <w:t>工艺施工图</w:t>
            </w:r>
          </w:p>
        </w:tc>
        <w:tc>
          <w:tcPr>
            <w:tcW w:w="1984" w:type="dxa"/>
            <w:vMerge w:val="continue"/>
            <w:vAlign w:val="center"/>
          </w:tcPr>
          <w:p>
            <w:pPr>
              <w:adjustRightInd w:val="0"/>
              <w:snapToGrid w:val="0"/>
              <w:jc w:val="left"/>
              <w:rPr>
                <w:color w:val="000000"/>
                <w:sz w:val="24"/>
              </w:rPr>
            </w:pP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设计成果16份和电子文件4套（电子文件须包含dwg和pdf文件）</w:t>
            </w:r>
          </w:p>
        </w:tc>
        <w:tc>
          <w:tcPr>
            <w:tcW w:w="3260" w:type="dxa"/>
            <w:vMerge w:val="continue"/>
            <w:vAlign w:val="center"/>
          </w:tcPr>
          <w:p>
            <w:pPr>
              <w:pStyle w:val="104"/>
              <w:adjustRightInd w:val="0"/>
              <w:snapToGrid w:val="0"/>
              <w:ind w:firstLine="0" w:firstLineChars="0"/>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rFonts w:hint="eastAsia"/>
                <w:b/>
                <w:bCs/>
                <w:color w:val="000000"/>
                <w:sz w:val="24"/>
              </w:rPr>
              <w:t>8</w:t>
            </w:r>
          </w:p>
        </w:tc>
        <w:tc>
          <w:tcPr>
            <w:tcW w:w="1094" w:type="dxa"/>
            <w:vAlign w:val="center"/>
          </w:tcPr>
          <w:p>
            <w:pPr>
              <w:adjustRightInd w:val="0"/>
              <w:snapToGrid w:val="0"/>
              <w:jc w:val="left"/>
              <w:rPr>
                <w:color w:val="000000"/>
                <w:sz w:val="24"/>
              </w:rPr>
            </w:pPr>
            <w:r>
              <w:rPr>
                <w:rFonts w:hint="eastAsia"/>
                <w:color w:val="000000"/>
                <w:sz w:val="24"/>
              </w:rPr>
              <w:t>三维设计</w:t>
            </w:r>
          </w:p>
        </w:tc>
        <w:tc>
          <w:tcPr>
            <w:tcW w:w="1984" w:type="dxa"/>
            <w:vAlign w:val="center"/>
          </w:tcPr>
          <w:p>
            <w:pPr>
              <w:adjustRightInd w:val="0"/>
              <w:snapToGrid w:val="0"/>
              <w:jc w:val="left"/>
              <w:rPr>
                <w:color w:val="000000"/>
                <w:sz w:val="24"/>
              </w:rPr>
            </w:pPr>
            <w:r>
              <w:rPr>
                <w:rFonts w:hint="eastAsia" w:ascii="宋体" w:hAnsi="宋体"/>
                <w:color w:val="000000"/>
                <w:sz w:val="24"/>
              </w:rPr>
              <w:t>与施工图纸同步提供</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根据招标人需求</w:t>
            </w:r>
            <w:r>
              <w:rPr>
                <w:rFonts w:hint="eastAsia" w:ascii="宋体" w:hAnsi="宋体" w:eastAsia="宋体"/>
                <w:color w:val="000000"/>
                <w:sz w:val="24"/>
                <w:highlight w:val="none"/>
                <w:lang w:eastAsia="zh-CN"/>
              </w:rPr>
              <w:t>）</w:t>
            </w:r>
            <w:r>
              <w:rPr>
                <w:rFonts w:hint="eastAsia" w:ascii="宋体" w:hAnsi="宋体"/>
                <w:color w:val="000000"/>
                <w:sz w:val="24"/>
              </w:rPr>
              <w:t>。</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设计成果16份和电子文件4套（电子文件须包含dwg和pdf文件）</w:t>
            </w:r>
          </w:p>
        </w:tc>
        <w:tc>
          <w:tcPr>
            <w:tcW w:w="3260" w:type="dxa"/>
            <w:vAlign w:val="center"/>
          </w:tcPr>
          <w:p>
            <w:pPr>
              <w:pStyle w:val="104"/>
              <w:adjustRightInd w:val="0"/>
              <w:snapToGrid w:val="0"/>
              <w:ind w:firstLine="0" w:firstLineChars="0"/>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rFonts w:hint="eastAsia"/>
                <w:b/>
                <w:bCs/>
                <w:color w:val="000000"/>
                <w:sz w:val="24"/>
              </w:rPr>
              <w:t>9</w:t>
            </w:r>
          </w:p>
        </w:tc>
        <w:tc>
          <w:tcPr>
            <w:tcW w:w="1094" w:type="dxa"/>
            <w:vAlign w:val="center"/>
          </w:tcPr>
          <w:p>
            <w:pPr>
              <w:adjustRightInd w:val="0"/>
              <w:snapToGrid w:val="0"/>
              <w:jc w:val="left"/>
              <w:rPr>
                <w:color w:val="000000"/>
                <w:sz w:val="24"/>
              </w:rPr>
            </w:pPr>
            <w:r>
              <w:rPr>
                <w:color w:val="000000"/>
                <w:sz w:val="24"/>
              </w:rPr>
              <w:t>园林绿化、厂区道路设计图</w:t>
            </w:r>
          </w:p>
        </w:tc>
        <w:tc>
          <w:tcPr>
            <w:tcW w:w="1984" w:type="dxa"/>
            <w:vAlign w:val="center"/>
          </w:tcPr>
          <w:p>
            <w:pPr>
              <w:adjustRightInd w:val="0"/>
              <w:snapToGrid w:val="0"/>
              <w:jc w:val="left"/>
              <w:rPr>
                <w:color w:val="000000"/>
                <w:sz w:val="24"/>
              </w:rPr>
            </w:pPr>
            <w:r>
              <w:rPr>
                <w:color w:val="000000"/>
                <w:sz w:val="24"/>
              </w:rPr>
              <w:t>中标通知书发出之日起</w:t>
            </w:r>
            <w:r>
              <w:rPr>
                <w:rFonts w:hint="eastAsia"/>
                <w:color w:val="000000"/>
                <w:sz w:val="24"/>
              </w:rPr>
              <w:t>6</w:t>
            </w:r>
            <w:r>
              <w:rPr>
                <w:color w:val="000000"/>
                <w:sz w:val="24"/>
              </w:rPr>
              <w:t>0个日历日内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设计成果16份和电子文件4套（电子文件须包含dwg和pdf文件）</w:t>
            </w:r>
          </w:p>
        </w:tc>
        <w:tc>
          <w:tcPr>
            <w:tcW w:w="3260" w:type="dxa"/>
            <w:vAlign w:val="center"/>
          </w:tcPr>
          <w:p>
            <w:pPr>
              <w:pStyle w:val="104"/>
              <w:adjustRightInd w:val="0"/>
              <w:snapToGrid w:val="0"/>
              <w:ind w:firstLine="480"/>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rFonts w:hint="eastAsia"/>
                <w:b/>
                <w:bCs/>
                <w:color w:val="000000"/>
                <w:sz w:val="24"/>
              </w:rPr>
              <w:t>10</w:t>
            </w:r>
          </w:p>
        </w:tc>
        <w:tc>
          <w:tcPr>
            <w:tcW w:w="1094" w:type="dxa"/>
            <w:vAlign w:val="center"/>
          </w:tcPr>
          <w:p>
            <w:pPr>
              <w:adjustRightInd w:val="0"/>
              <w:snapToGrid w:val="0"/>
              <w:jc w:val="left"/>
              <w:rPr>
                <w:color w:val="000000"/>
                <w:sz w:val="24"/>
              </w:rPr>
            </w:pPr>
            <w:r>
              <w:rPr>
                <w:rFonts w:hint="eastAsia"/>
                <w:color w:val="000000"/>
                <w:sz w:val="24"/>
              </w:rPr>
              <w:t>竣工图</w:t>
            </w:r>
          </w:p>
        </w:tc>
        <w:tc>
          <w:tcPr>
            <w:tcW w:w="1984" w:type="dxa"/>
            <w:vAlign w:val="center"/>
          </w:tcPr>
          <w:p>
            <w:pPr>
              <w:adjustRightInd w:val="0"/>
              <w:snapToGrid w:val="0"/>
              <w:jc w:val="left"/>
              <w:rPr>
                <w:color w:val="000000"/>
                <w:sz w:val="24"/>
              </w:rPr>
            </w:pPr>
            <w:r>
              <w:rPr>
                <w:color w:val="000000"/>
                <w:sz w:val="24"/>
              </w:rPr>
              <w:t>各单体或系统完工后15个日历日内</w:t>
            </w:r>
          </w:p>
        </w:tc>
        <w:tc>
          <w:tcPr>
            <w:tcW w:w="2410" w:type="dxa"/>
            <w:vAlign w:val="center"/>
          </w:tcPr>
          <w:p>
            <w:pPr>
              <w:pStyle w:val="104"/>
              <w:adjustRightInd w:val="0"/>
              <w:snapToGrid w:val="0"/>
              <w:ind w:firstLine="0" w:firstLineChars="0"/>
              <w:rPr>
                <w:rFonts w:ascii="Times New Roman" w:hAnsi="Times New Roman"/>
                <w:color w:val="000000"/>
                <w:szCs w:val="24"/>
              </w:rPr>
            </w:pPr>
            <w:r>
              <w:rPr>
                <w:rFonts w:hint="eastAsia" w:ascii="Times New Roman" w:hAnsi="Times New Roman" w:cs="宋体"/>
                <w:color w:val="000000"/>
                <w:szCs w:val="24"/>
              </w:rPr>
              <w:t>竣工资料16份和电子文件4套（电子文件须包含dwg和pdf文件）</w:t>
            </w:r>
          </w:p>
        </w:tc>
        <w:tc>
          <w:tcPr>
            <w:tcW w:w="3260" w:type="dxa"/>
            <w:vAlign w:val="center"/>
          </w:tcPr>
          <w:p>
            <w:pPr>
              <w:pStyle w:val="104"/>
              <w:adjustRightInd w:val="0"/>
              <w:snapToGrid w:val="0"/>
              <w:ind w:firstLine="0" w:firstLineChars="0"/>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rFonts w:hint="eastAsia"/>
                <w:b/>
                <w:bCs/>
                <w:color w:val="000000"/>
                <w:sz w:val="24"/>
              </w:rPr>
              <w:t>11</w:t>
            </w:r>
          </w:p>
        </w:tc>
        <w:tc>
          <w:tcPr>
            <w:tcW w:w="1094" w:type="dxa"/>
            <w:vAlign w:val="center"/>
          </w:tcPr>
          <w:p>
            <w:pPr>
              <w:adjustRightInd w:val="0"/>
              <w:snapToGrid w:val="0"/>
              <w:jc w:val="left"/>
              <w:rPr>
                <w:color w:val="000000"/>
                <w:sz w:val="24"/>
              </w:rPr>
            </w:pPr>
            <w:r>
              <w:rPr>
                <w:color w:val="000000"/>
                <w:sz w:val="24"/>
              </w:rPr>
              <w:t>其它需配合的工作</w:t>
            </w:r>
          </w:p>
        </w:tc>
        <w:tc>
          <w:tcPr>
            <w:tcW w:w="1984" w:type="dxa"/>
            <w:vAlign w:val="center"/>
          </w:tcPr>
          <w:p>
            <w:pPr>
              <w:adjustRightInd w:val="0"/>
              <w:snapToGrid w:val="0"/>
              <w:jc w:val="left"/>
              <w:rPr>
                <w:color w:val="000000"/>
                <w:sz w:val="24"/>
              </w:rPr>
            </w:pPr>
            <w:r>
              <w:rPr>
                <w:color w:val="000000"/>
                <w:sz w:val="24"/>
              </w:rPr>
              <w:t>依项目整体进度，招投标双方协商</w:t>
            </w:r>
          </w:p>
        </w:tc>
        <w:tc>
          <w:tcPr>
            <w:tcW w:w="2410" w:type="dxa"/>
            <w:vAlign w:val="center"/>
          </w:tcPr>
          <w:p>
            <w:pPr>
              <w:pStyle w:val="104"/>
              <w:adjustRightInd w:val="0"/>
              <w:snapToGrid w:val="0"/>
              <w:ind w:firstLine="0" w:firstLineChars="0"/>
              <w:rPr>
                <w:rFonts w:ascii="Times New Roman" w:hAnsi="Times New Roman"/>
                <w:color w:val="000000"/>
                <w:szCs w:val="24"/>
              </w:rPr>
            </w:pPr>
          </w:p>
        </w:tc>
        <w:tc>
          <w:tcPr>
            <w:tcW w:w="3260" w:type="dxa"/>
            <w:vAlign w:val="center"/>
          </w:tcPr>
          <w:p>
            <w:pPr>
              <w:pStyle w:val="104"/>
              <w:adjustRightInd w:val="0"/>
              <w:snapToGrid w:val="0"/>
              <w:ind w:firstLine="0" w:firstLineChars="0"/>
              <w:rPr>
                <w:rFonts w:ascii="Times New Roman" w:hAnsi="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vAlign w:val="center"/>
          </w:tcPr>
          <w:p>
            <w:pPr>
              <w:adjustRightInd w:val="0"/>
              <w:snapToGrid w:val="0"/>
              <w:jc w:val="center"/>
              <w:rPr>
                <w:b/>
                <w:bCs/>
                <w:color w:val="000000"/>
                <w:sz w:val="24"/>
              </w:rPr>
            </w:pPr>
            <w:r>
              <w:rPr>
                <w:color w:val="000000"/>
                <w:sz w:val="24"/>
              </w:rPr>
              <w:t>注：</w:t>
            </w:r>
          </w:p>
        </w:tc>
        <w:tc>
          <w:tcPr>
            <w:tcW w:w="8748" w:type="dxa"/>
            <w:gridSpan w:val="4"/>
            <w:vAlign w:val="center"/>
          </w:tcPr>
          <w:p>
            <w:pPr>
              <w:pStyle w:val="104"/>
              <w:adjustRightInd w:val="0"/>
              <w:snapToGrid w:val="0"/>
              <w:ind w:firstLine="0" w:firstLineChars="0"/>
              <w:rPr>
                <w:rFonts w:ascii="Times New Roman" w:hAnsi="Times New Roman"/>
                <w:color w:val="000000"/>
                <w:szCs w:val="24"/>
              </w:rPr>
            </w:pPr>
            <w:r>
              <w:rPr>
                <w:rFonts w:ascii="Times New Roman" w:hAnsi="Times New Roman"/>
                <w:color w:val="000000"/>
                <w:szCs w:val="24"/>
              </w:rPr>
              <w:t>1、</w:t>
            </w:r>
            <w:r>
              <w:rPr>
                <w:rFonts w:hint="eastAsia" w:ascii="Times New Roman" w:hAnsi="Times New Roman"/>
                <w:color w:val="000000"/>
                <w:szCs w:val="24"/>
              </w:rPr>
              <w:t>乙方</w:t>
            </w:r>
            <w:r>
              <w:rPr>
                <w:rFonts w:ascii="Times New Roman" w:hAnsi="Times New Roman"/>
                <w:color w:val="000000"/>
                <w:szCs w:val="24"/>
              </w:rPr>
              <w:t>必须按双方约定的时间完成所要求的设计内容，合同以完成时间界定违约；</w:t>
            </w:r>
            <w:r>
              <w:rPr>
                <w:rFonts w:hint="eastAsia" w:ascii="Times New Roman" w:hAnsi="Times New Roman"/>
                <w:color w:val="000000"/>
                <w:szCs w:val="24"/>
              </w:rPr>
              <w:t>甲方</w:t>
            </w:r>
            <w:r>
              <w:rPr>
                <w:rFonts w:ascii="Times New Roman" w:hAnsi="Times New Roman"/>
                <w:color w:val="000000"/>
                <w:szCs w:val="24"/>
              </w:rPr>
              <w:t>保留对设计工期进行调整的权力。</w:t>
            </w:r>
          </w:p>
        </w:tc>
      </w:tr>
    </w:tbl>
    <w:p>
      <w:pPr>
        <w:spacing w:after="156" w:afterLines="50" w:line="300" w:lineRule="auto"/>
        <w:ind w:firstLine="480"/>
        <w:rPr>
          <w:rFonts w:ascii="宋体" w:hAnsi="宋体"/>
          <w:color w:val="000000"/>
          <w:sz w:val="24"/>
          <w:szCs w:val="24"/>
        </w:rPr>
      </w:pPr>
    </w:p>
    <w:p>
      <w:pPr>
        <w:spacing w:before="312" w:beforeLines="100" w:after="156" w:afterLines="50" w:line="300" w:lineRule="auto"/>
        <w:ind w:firstLine="420"/>
        <w:rPr>
          <w:rFonts w:ascii="宋体" w:hAnsi="宋体"/>
          <w:color w:val="000000"/>
          <w:sz w:val="24"/>
          <w:szCs w:val="24"/>
        </w:rPr>
      </w:pPr>
      <w:r>
        <w:rPr>
          <w:rFonts w:hint="eastAsia" w:ascii="宋体" w:hAnsi="宋体"/>
          <w:color w:val="000000"/>
          <w:sz w:val="24"/>
          <w:szCs w:val="24"/>
        </w:rPr>
        <w:t>2.2、</w:t>
      </w:r>
      <w:r>
        <w:rPr>
          <w:rFonts w:hint="eastAsia" w:ascii="Times New Roman" w:hAnsi="Times New Roman"/>
          <w:sz w:val="24"/>
          <w:szCs w:val="24"/>
        </w:rPr>
        <w:t>乙方</w:t>
      </w:r>
      <w:r>
        <w:rPr>
          <w:rFonts w:ascii="Times New Roman" w:hAnsi="Times New Roman"/>
          <w:sz w:val="24"/>
          <w:szCs w:val="24"/>
        </w:rPr>
        <w:t>应按上表的设计期限要求，在开展各阶段设计工作前7日将该阶段（含后续相关阶段）的设计详细进度计划（一式四份）提交</w:t>
      </w:r>
      <w:r>
        <w:rPr>
          <w:rFonts w:hint="eastAsia" w:ascii="Times New Roman" w:hAnsi="Times New Roman"/>
          <w:sz w:val="24"/>
          <w:szCs w:val="24"/>
        </w:rPr>
        <w:t>甲方</w:t>
      </w:r>
      <w:r>
        <w:rPr>
          <w:rFonts w:ascii="Times New Roman" w:hAnsi="Times New Roman"/>
          <w:sz w:val="24"/>
          <w:szCs w:val="24"/>
        </w:rPr>
        <w:t>并抄送监理单位，并在7日内确认，逾期不确认也不提出书面意见的，视为同意。</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2.3</w:t>
      </w:r>
      <w:r>
        <w:rPr>
          <w:rFonts w:ascii="Times New Roman" w:hAnsi="Times New Roman"/>
          <w:sz w:val="24"/>
          <w:szCs w:val="24"/>
        </w:rPr>
        <w:t>设计进度计划应确定其中的关键点，有工作流程、进度控制措施、组织措施、技术措施等内容，必须考虑工程招标、设备采购、物料准备等因素，提供满足上述工作所需要的有关设计文件。</w:t>
      </w:r>
      <w:r>
        <w:rPr>
          <w:rFonts w:ascii="宋体" w:hAnsi="宋体"/>
          <w:color w:val="000000"/>
          <w:sz w:val="24"/>
          <w:szCs w:val="24"/>
        </w:rPr>
        <w:t xml:space="preserve"> </w:t>
      </w:r>
    </w:p>
    <w:p>
      <w:pPr>
        <w:spacing w:after="156" w:afterLines="50" w:line="300" w:lineRule="auto"/>
        <w:ind w:firstLine="42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4</w:t>
      </w:r>
      <w:r>
        <w:rPr>
          <w:rFonts w:hint="eastAsia" w:ascii="Times New Roman" w:hAnsi="Times New Roman"/>
          <w:sz w:val="24"/>
          <w:szCs w:val="24"/>
        </w:rPr>
        <w:t>甲方</w:t>
      </w:r>
      <w:r>
        <w:rPr>
          <w:rFonts w:ascii="Times New Roman" w:hAnsi="Times New Roman"/>
          <w:sz w:val="24"/>
          <w:szCs w:val="24"/>
        </w:rPr>
        <w:t>对关键点设计进度的关注或根据项目实施进度的需要而提出的要求，</w:t>
      </w:r>
      <w:r>
        <w:rPr>
          <w:rFonts w:hint="eastAsia" w:ascii="Times New Roman" w:hAnsi="Times New Roman"/>
          <w:sz w:val="24"/>
          <w:szCs w:val="24"/>
        </w:rPr>
        <w:t>乙方</w:t>
      </w:r>
      <w:r>
        <w:rPr>
          <w:rFonts w:ascii="Times New Roman" w:hAnsi="Times New Roman"/>
          <w:sz w:val="24"/>
          <w:szCs w:val="24"/>
        </w:rPr>
        <w:t>必须采取相应的组织措施、技术措施予以执行，并接受</w:t>
      </w:r>
      <w:r>
        <w:rPr>
          <w:rFonts w:hint="eastAsia" w:ascii="Times New Roman" w:hAnsi="Times New Roman"/>
          <w:sz w:val="24"/>
          <w:szCs w:val="24"/>
        </w:rPr>
        <w:t>甲方</w:t>
      </w:r>
      <w:r>
        <w:rPr>
          <w:rFonts w:ascii="Times New Roman" w:hAnsi="Times New Roman"/>
          <w:sz w:val="24"/>
          <w:szCs w:val="24"/>
        </w:rPr>
        <w:t>的检查。若实际进度与经确认的进度计划不符时，</w:t>
      </w:r>
      <w:r>
        <w:rPr>
          <w:rFonts w:hint="eastAsia" w:ascii="Times New Roman" w:hAnsi="Times New Roman"/>
          <w:sz w:val="24"/>
          <w:szCs w:val="24"/>
        </w:rPr>
        <w:t>乙方</w:t>
      </w:r>
      <w:r>
        <w:rPr>
          <w:rFonts w:ascii="Times New Roman" w:hAnsi="Times New Roman"/>
          <w:sz w:val="24"/>
          <w:szCs w:val="24"/>
        </w:rPr>
        <w:t>应按</w:t>
      </w:r>
      <w:r>
        <w:rPr>
          <w:rFonts w:hint="eastAsia" w:ascii="Times New Roman" w:hAnsi="Times New Roman"/>
          <w:sz w:val="24"/>
          <w:szCs w:val="24"/>
        </w:rPr>
        <w:t>甲方</w:t>
      </w:r>
      <w:r>
        <w:rPr>
          <w:rFonts w:ascii="Times New Roman" w:hAnsi="Times New Roman"/>
          <w:sz w:val="24"/>
          <w:szCs w:val="24"/>
        </w:rPr>
        <w:t>的要求提出改进措施，经</w:t>
      </w:r>
      <w:r>
        <w:rPr>
          <w:rFonts w:hint="eastAsia" w:ascii="Times New Roman" w:hAnsi="Times New Roman"/>
          <w:sz w:val="24"/>
          <w:szCs w:val="24"/>
        </w:rPr>
        <w:t>甲方</w:t>
      </w:r>
      <w:r>
        <w:rPr>
          <w:rFonts w:ascii="Times New Roman" w:hAnsi="Times New Roman"/>
          <w:sz w:val="24"/>
          <w:szCs w:val="24"/>
        </w:rPr>
        <w:t>确认后执行。</w:t>
      </w:r>
      <w:r>
        <w:rPr>
          <w:rFonts w:hint="eastAsia" w:ascii="Times New Roman" w:hAnsi="Times New Roman"/>
          <w:sz w:val="24"/>
          <w:szCs w:val="24"/>
        </w:rPr>
        <w:t>乙方</w:t>
      </w:r>
      <w:r>
        <w:rPr>
          <w:rFonts w:ascii="Times New Roman" w:hAnsi="Times New Roman"/>
          <w:sz w:val="24"/>
          <w:szCs w:val="24"/>
        </w:rPr>
        <w:t>不得因此提出追加合同价款。</w:t>
      </w:r>
    </w:p>
    <w:p>
      <w:pPr>
        <w:spacing w:after="156" w:afterLines="50" w:line="300" w:lineRule="auto"/>
        <w:ind w:firstLine="420"/>
        <w:rPr>
          <w:rFonts w:ascii="Times New Roman" w:hAnsi="Times New Roman"/>
          <w:sz w:val="24"/>
          <w:szCs w:val="24"/>
        </w:rPr>
      </w:pPr>
      <w:r>
        <w:rPr>
          <w:rFonts w:ascii="宋体" w:hAnsi="宋体"/>
          <w:color w:val="000000"/>
          <w:sz w:val="24"/>
          <w:szCs w:val="24"/>
        </w:rPr>
        <w:t>2.</w:t>
      </w:r>
      <w:r>
        <w:rPr>
          <w:rFonts w:hint="eastAsia" w:ascii="宋体" w:hAnsi="宋体"/>
          <w:color w:val="000000"/>
          <w:sz w:val="24"/>
          <w:szCs w:val="24"/>
        </w:rPr>
        <w:t>5</w:t>
      </w:r>
      <w:r>
        <w:rPr>
          <w:rFonts w:hint="eastAsia" w:ascii="Times New Roman" w:hAnsi="Times New Roman"/>
          <w:sz w:val="24"/>
          <w:szCs w:val="24"/>
        </w:rPr>
        <w:t>甲方</w:t>
      </w:r>
      <w:r>
        <w:rPr>
          <w:rFonts w:ascii="Times New Roman" w:hAnsi="Times New Roman"/>
          <w:sz w:val="24"/>
          <w:szCs w:val="24"/>
        </w:rPr>
        <w:t>分期分批提供各阶段设计所需的基础数据。</w:t>
      </w:r>
      <w:r>
        <w:rPr>
          <w:rFonts w:hint="eastAsia" w:ascii="Times New Roman" w:hAnsi="Times New Roman"/>
          <w:sz w:val="24"/>
          <w:szCs w:val="24"/>
        </w:rPr>
        <w:t>甲方</w:t>
      </w:r>
      <w:r>
        <w:rPr>
          <w:rFonts w:ascii="Times New Roman" w:hAnsi="Times New Roman"/>
          <w:sz w:val="24"/>
          <w:szCs w:val="24"/>
        </w:rPr>
        <w:t>提供的文件和数据如有延误，</w:t>
      </w:r>
      <w:r>
        <w:rPr>
          <w:rFonts w:hint="eastAsia" w:ascii="Times New Roman" w:hAnsi="Times New Roman"/>
          <w:sz w:val="24"/>
          <w:szCs w:val="24"/>
        </w:rPr>
        <w:t>乙方</w:t>
      </w:r>
      <w:r>
        <w:rPr>
          <w:rFonts w:ascii="Times New Roman" w:hAnsi="Times New Roman"/>
          <w:sz w:val="24"/>
          <w:szCs w:val="24"/>
        </w:rPr>
        <w:t>承诺将尽力减轻延误影响并确保在设计期限内完成设计工作。如果对设计文件交付时限影响超过7天，则另行协商解决。</w:t>
      </w:r>
      <w:r>
        <w:rPr>
          <w:rFonts w:hint="eastAsia" w:ascii="Times New Roman" w:hAnsi="Times New Roman"/>
          <w:sz w:val="24"/>
          <w:szCs w:val="24"/>
        </w:rPr>
        <w:t>甲方</w:t>
      </w:r>
      <w:r>
        <w:rPr>
          <w:rFonts w:ascii="Times New Roman" w:hAnsi="Times New Roman"/>
          <w:sz w:val="24"/>
          <w:szCs w:val="24"/>
        </w:rPr>
        <w:t>应向乙方提交的有关文件见下表：</w:t>
      </w:r>
    </w:p>
    <w:tbl>
      <w:tblPr>
        <w:tblStyle w:val="42"/>
        <w:tblW w:w="91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253" w:type="dxa"/>
            <w:vAlign w:val="center"/>
          </w:tcPr>
          <w:p>
            <w:pPr>
              <w:adjustRightInd w:val="0"/>
              <w:snapToGrid w:val="0"/>
              <w:jc w:val="center"/>
              <w:rPr>
                <w:rFonts w:ascii="Times New Roman" w:hAnsi="Times New Roman"/>
                <w:sz w:val="24"/>
              </w:rPr>
            </w:pPr>
            <w:r>
              <w:rPr>
                <w:rFonts w:ascii="Times New Roman" w:hAnsi="Times New Roman"/>
                <w:sz w:val="24"/>
              </w:rPr>
              <w:t>资料及文件名称</w:t>
            </w:r>
          </w:p>
        </w:tc>
        <w:tc>
          <w:tcPr>
            <w:tcW w:w="4923" w:type="dxa"/>
            <w:vAlign w:val="center"/>
          </w:tcPr>
          <w:p>
            <w:pPr>
              <w:adjustRightInd w:val="0"/>
              <w:snapToGrid w:val="0"/>
              <w:jc w:val="center"/>
              <w:rPr>
                <w:rFonts w:ascii="Times New Roman" w:hAnsi="Times New Roman"/>
                <w:sz w:val="24"/>
              </w:rPr>
            </w:pPr>
            <w:r>
              <w:rPr>
                <w:rFonts w:ascii="Times New Roman" w:hAnsi="Times New Roman"/>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4253" w:type="dxa"/>
            <w:vAlign w:val="center"/>
          </w:tcPr>
          <w:p>
            <w:pPr>
              <w:adjustRightInd w:val="0"/>
              <w:snapToGrid w:val="0"/>
              <w:jc w:val="center"/>
              <w:rPr>
                <w:rFonts w:ascii="Times New Roman" w:hAnsi="Times New Roman"/>
                <w:sz w:val="24"/>
              </w:rPr>
            </w:pPr>
            <w:r>
              <w:rPr>
                <w:rFonts w:ascii="Times New Roman" w:hAnsi="Times New Roman"/>
                <w:sz w:val="24"/>
              </w:rPr>
              <w:t>设计条件及要求（</w:t>
            </w:r>
            <w:r>
              <w:rPr>
                <w:rFonts w:hint="eastAsia" w:ascii="Times New Roman" w:hAnsi="Times New Roman"/>
                <w:sz w:val="24"/>
                <w:lang w:val="en-US" w:eastAsia="zh-CN"/>
              </w:rPr>
              <w:t>勘察</w:t>
            </w:r>
            <w:r>
              <w:rPr>
                <w:rFonts w:ascii="Times New Roman" w:hAnsi="Times New Roman"/>
                <w:sz w:val="24"/>
              </w:rPr>
              <w:t>设计任务书）</w:t>
            </w:r>
          </w:p>
        </w:tc>
        <w:tc>
          <w:tcPr>
            <w:tcW w:w="4923" w:type="dxa"/>
            <w:vAlign w:val="center"/>
          </w:tcPr>
          <w:p>
            <w:pPr>
              <w:adjustRightInd w:val="0"/>
              <w:snapToGrid w:val="0"/>
              <w:jc w:val="center"/>
              <w:rPr>
                <w:rFonts w:ascii="Times New Roman" w:hAnsi="Times New Roman"/>
                <w:sz w:val="24"/>
              </w:rPr>
            </w:pPr>
            <w:r>
              <w:rPr>
                <w:rFonts w:ascii="Times New Roman" w:hAnsi="Times New Roman"/>
                <w:sz w:val="24"/>
              </w:rPr>
              <w:t>各阶段开始前5个工作日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3" w:type="dxa"/>
            <w:vAlign w:val="center"/>
          </w:tcPr>
          <w:p>
            <w:pPr>
              <w:adjustRightInd w:val="0"/>
              <w:snapToGrid w:val="0"/>
              <w:jc w:val="center"/>
              <w:rPr>
                <w:rFonts w:ascii="Times New Roman" w:hAnsi="Times New Roman"/>
                <w:sz w:val="24"/>
              </w:rPr>
            </w:pPr>
            <w:r>
              <w:rPr>
                <w:rFonts w:ascii="Times New Roman" w:hAnsi="Times New Roman"/>
                <w:sz w:val="24"/>
              </w:rPr>
              <w:t>规划设计条件（以广州市规划局批复为准）（非必须）</w:t>
            </w:r>
          </w:p>
        </w:tc>
        <w:tc>
          <w:tcPr>
            <w:tcW w:w="4923" w:type="dxa"/>
            <w:vAlign w:val="center"/>
          </w:tcPr>
          <w:p>
            <w:pPr>
              <w:adjustRightInd w:val="0"/>
              <w:snapToGrid w:val="0"/>
              <w:jc w:val="center"/>
              <w:rPr>
                <w:rFonts w:ascii="Times New Roman" w:hAnsi="Times New Roman"/>
                <w:sz w:val="24"/>
              </w:rPr>
            </w:pPr>
            <w:r>
              <w:rPr>
                <w:rFonts w:ascii="Times New Roman" w:hAnsi="Times New Roman"/>
                <w:sz w:val="24"/>
              </w:rPr>
              <w:t>初步设计开展前5个工作日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53" w:type="dxa"/>
            <w:vAlign w:val="center"/>
          </w:tcPr>
          <w:p>
            <w:pPr>
              <w:adjustRightInd w:val="0"/>
              <w:snapToGrid w:val="0"/>
              <w:jc w:val="center"/>
              <w:rPr>
                <w:rFonts w:ascii="Times New Roman" w:hAnsi="Times New Roman"/>
                <w:sz w:val="24"/>
              </w:rPr>
            </w:pPr>
            <w:r>
              <w:rPr>
                <w:rFonts w:ascii="Times New Roman" w:hAnsi="Times New Roman"/>
                <w:sz w:val="24"/>
              </w:rPr>
              <w:t>用地红线图</w:t>
            </w:r>
          </w:p>
        </w:tc>
        <w:tc>
          <w:tcPr>
            <w:tcW w:w="4923" w:type="dxa"/>
            <w:vAlign w:val="center"/>
          </w:tcPr>
          <w:p>
            <w:pPr>
              <w:adjustRightInd w:val="0"/>
              <w:snapToGrid w:val="0"/>
              <w:jc w:val="center"/>
              <w:rPr>
                <w:rFonts w:ascii="Times New Roman" w:hAnsi="Times New Roman"/>
                <w:sz w:val="24"/>
              </w:rPr>
            </w:pPr>
            <w:r>
              <w:rPr>
                <w:rFonts w:ascii="Times New Roman" w:hAnsi="Times New Roman"/>
                <w:sz w:val="24"/>
              </w:rPr>
              <w:t>初步设计开展前5个工作日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4253" w:type="dxa"/>
            <w:vAlign w:val="center"/>
          </w:tcPr>
          <w:p>
            <w:pPr>
              <w:adjustRightInd w:val="0"/>
              <w:snapToGrid w:val="0"/>
              <w:jc w:val="center"/>
              <w:rPr>
                <w:rFonts w:ascii="Times New Roman" w:hAnsi="Times New Roman"/>
                <w:sz w:val="24"/>
              </w:rPr>
            </w:pPr>
            <w:r>
              <w:rPr>
                <w:rFonts w:ascii="Times New Roman" w:hAnsi="Times New Roman"/>
                <w:sz w:val="24"/>
              </w:rPr>
              <w:t>各阶段政府主管部门有关批文</w:t>
            </w:r>
          </w:p>
        </w:tc>
        <w:tc>
          <w:tcPr>
            <w:tcW w:w="4923" w:type="dxa"/>
            <w:vAlign w:val="center"/>
          </w:tcPr>
          <w:p>
            <w:pPr>
              <w:adjustRightInd w:val="0"/>
              <w:snapToGrid w:val="0"/>
              <w:jc w:val="center"/>
              <w:rPr>
                <w:rFonts w:ascii="Times New Roman" w:hAnsi="Times New Roman"/>
                <w:sz w:val="24"/>
              </w:rPr>
            </w:pPr>
            <w:r>
              <w:rPr>
                <w:rFonts w:ascii="Times New Roman" w:hAnsi="Times New Roman"/>
                <w:sz w:val="24"/>
              </w:rPr>
              <w:t>按</w:t>
            </w:r>
            <w:r>
              <w:rPr>
                <w:rFonts w:hint="eastAsia" w:ascii="Times New Roman" w:hAnsi="Times New Roman"/>
                <w:sz w:val="24"/>
              </w:rPr>
              <w:t>甲方</w:t>
            </w:r>
            <w:r>
              <w:rPr>
                <w:rFonts w:ascii="Times New Roman" w:hAnsi="Times New Roman"/>
                <w:sz w:val="24"/>
              </w:rPr>
              <w:t>收到政府相关批文后7个工作日内</w:t>
            </w:r>
          </w:p>
        </w:tc>
      </w:tr>
    </w:tbl>
    <w:p>
      <w:pPr>
        <w:spacing w:before="312" w:beforeLines="100" w:after="156" w:afterLines="50" w:line="30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6</w:t>
      </w:r>
      <w:r>
        <w:rPr>
          <w:rFonts w:ascii="Times New Roman" w:hAnsi="Times New Roman"/>
          <w:sz w:val="24"/>
          <w:szCs w:val="24"/>
        </w:rPr>
        <w:t>当</w:t>
      </w:r>
      <w:r>
        <w:rPr>
          <w:rFonts w:hint="eastAsia" w:ascii="Times New Roman" w:hAnsi="Times New Roman"/>
          <w:sz w:val="24"/>
          <w:szCs w:val="24"/>
        </w:rPr>
        <w:t>甲方</w:t>
      </w:r>
      <w:r>
        <w:rPr>
          <w:rFonts w:ascii="Times New Roman" w:hAnsi="Times New Roman"/>
          <w:sz w:val="24"/>
          <w:szCs w:val="24"/>
        </w:rPr>
        <w:t>与</w:t>
      </w:r>
      <w:r>
        <w:rPr>
          <w:rFonts w:hint="eastAsia" w:ascii="Times New Roman" w:hAnsi="Times New Roman"/>
          <w:sz w:val="24"/>
          <w:szCs w:val="24"/>
        </w:rPr>
        <w:t>乙方</w:t>
      </w:r>
      <w:r>
        <w:rPr>
          <w:rFonts w:ascii="Times New Roman" w:hAnsi="Times New Roman"/>
          <w:sz w:val="24"/>
          <w:szCs w:val="24"/>
        </w:rPr>
        <w:t>发生合同争议或纠纷时，</w:t>
      </w:r>
      <w:r>
        <w:rPr>
          <w:rFonts w:hint="eastAsia" w:ascii="Times New Roman" w:hAnsi="Times New Roman"/>
          <w:sz w:val="24"/>
          <w:szCs w:val="24"/>
        </w:rPr>
        <w:t>乙方</w:t>
      </w:r>
      <w:r>
        <w:rPr>
          <w:rFonts w:ascii="Times New Roman" w:hAnsi="Times New Roman"/>
          <w:sz w:val="24"/>
          <w:szCs w:val="24"/>
        </w:rPr>
        <w:t>不能籍此而拖延设计文件提交时间，</w:t>
      </w:r>
      <w:r>
        <w:rPr>
          <w:rFonts w:hint="eastAsia" w:ascii="Times New Roman" w:hAnsi="Times New Roman"/>
          <w:sz w:val="24"/>
          <w:szCs w:val="24"/>
        </w:rPr>
        <w:t>乙方</w:t>
      </w:r>
      <w:r>
        <w:rPr>
          <w:rFonts w:ascii="Times New Roman" w:hAnsi="Times New Roman"/>
          <w:sz w:val="24"/>
          <w:szCs w:val="24"/>
        </w:rPr>
        <w:t>均应按约定的时间和工期要求完成全部设计工作，否则按严重违约处理。</w:t>
      </w:r>
      <w:r>
        <w:rPr>
          <w:rFonts w:hint="eastAsia" w:ascii="宋体" w:hAnsi="宋体"/>
          <w:color w:val="000000"/>
          <w:sz w:val="24"/>
          <w:szCs w:val="24"/>
        </w:rPr>
        <w:t>非乙方原因的有关合同争议或纠纷解决方式按本合同“十四 违约及索赔”相关</w:t>
      </w:r>
      <w:r>
        <w:rPr>
          <w:rFonts w:ascii="宋体" w:hAnsi="宋体"/>
          <w:color w:val="000000"/>
          <w:sz w:val="24"/>
          <w:szCs w:val="24"/>
        </w:rPr>
        <w:t>条款约定执行。</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设计成果文件的交付</w:t>
      </w:r>
    </w:p>
    <w:p>
      <w:pPr>
        <w:spacing w:after="156" w:afterLines="50" w:line="300" w:lineRule="auto"/>
        <w:ind w:firstLine="420"/>
        <w:rPr>
          <w:rFonts w:ascii="宋体" w:hAnsi="宋体"/>
          <w:color w:val="000000"/>
          <w:sz w:val="24"/>
          <w:szCs w:val="24"/>
        </w:rPr>
      </w:pPr>
      <w:r>
        <w:rPr>
          <w:rFonts w:hint="eastAsia" w:asciiTheme="minorEastAsia" w:hAnsiTheme="minorEastAsia" w:eastAsiaTheme="minorEastAsia" w:cstheme="minorEastAsia"/>
          <w:color w:val="000000"/>
          <w:sz w:val="24"/>
          <w:szCs w:val="24"/>
        </w:rPr>
        <w:t>3.1乙方须按本合同约定条款和“合同附件二：</w:t>
      </w:r>
      <w:r>
        <w:rPr>
          <w:rFonts w:hint="eastAsia" w:asciiTheme="minorEastAsia" w:hAnsiTheme="minorEastAsia" w:eastAsiaTheme="minorEastAsia" w:cstheme="minorEastAsia"/>
          <w:sz w:val="24"/>
          <w:szCs w:val="24"/>
        </w:rPr>
        <w:t>动力电池梯次利用项目</w:t>
      </w:r>
      <w:r>
        <w:rPr>
          <w:rFonts w:hint="eastAsia" w:asciiTheme="minorEastAsia" w:hAnsiTheme="minorEastAsia" w:eastAsiaTheme="minorEastAsia" w:cstheme="minorEastAsia"/>
          <w:sz w:val="24"/>
          <w:szCs w:val="24"/>
          <w:lang w:val="en-US" w:eastAsia="zh-CN"/>
        </w:rPr>
        <w:t>勘察</w:t>
      </w:r>
      <w:r>
        <w:rPr>
          <w:rFonts w:hint="eastAsia" w:asciiTheme="minorEastAsia" w:hAnsiTheme="minorEastAsia" w:eastAsiaTheme="minorEastAsia" w:cstheme="minorEastAsia"/>
          <w:color w:val="000000"/>
          <w:sz w:val="24"/>
          <w:szCs w:val="24"/>
        </w:rPr>
        <w:t>设计任务书”具体要求交付设计成果文件。乙方应对甲方开放本工程所有设计成果文件的权限，不得对电子版</w:t>
      </w:r>
      <w:r>
        <w:rPr>
          <w:rFonts w:hint="eastAsia" w:asciiTheme="minorEastAsia" w:hAnsiTheme="minorEastAsia" w:eastAsiaTheme="minorEastAsia" w:cstheme="minorEastAsia"/>
          <w:color w:val="000000"/>
          <w:szCs w:val="21"/>
        </w:rPr>
        <w:t>设</w:t>
      </w:r>
      <w:r>
        <w:rPr>
          <w:rFonts w:hint="eastAsia" w:ascii="宋体" w:hAnsi="宋体"/>
          <w:color w:val="000000"/>
          <w:sz w:val="24"/>
          <w:szCs w:val="24"/>
        </w:rPr>
        <w:t>计文件采取加密、设置访问权限、限期使用等措施。</w:t>
      </w:r>
    </w:p>
    <w:p>
      <w:pPr>
        <w:spacing w:after="156" w:afterLines="50" w:line="300" w:lineRule="auto"/>
        <w:ind w:firstLine="420"/>
        <w:rPr>
          <w:rFonts w:ascii="宋体" w:hAnsi="宋体"/>
          <w:color w:val="000000"/>
          <w:sz w:val="24"/>
          <w:szCs w:val="24"/>
        </w:rPr>
      </w:pPr>
      <w:r>
        <w:rPr>
          <w:rFonts w:ascii="宋体" w:hAnsi="宋体"/>
          <w:color w:val="000000"/>
          <w:sz w:val="24"/>
          <w:szCs w:val="24"/>
        </w:rPr>
        <w:t>3.2乙方</w:t>
      </w:r>
      <w:r>
        <w:rPr>
          <w:rFonts w:hint="eastAsia" w:ascii="宋体" w:hAnsi="宋体"/>
          <w:color w:val="000000"/>
          <w:sz w:val="24"/>
          <w:szCs w:val="24"/>
        </w:rPr>
        <w:t>按合同规定的时限，将设计文件或数据交付到甲方指定的地点。</w:t>
      </w:r>
    </w:p>
    <w:p>
      <w:pPr>
        <w:spacing w:after="156" w:afterLines="50" w:line="300" w:lineRule="auto"/>
        <w:ind w:firstLine="420"/>
        <w:rPr>
          <w:rFonts w:ascii="宋体" w:hAnsi="宋体"/>
          <w:color w:val="000000"/>
          <w:sz w:val="24"/>
          <w:szCs w:val="24"/>
        </w:rPr>
      </w:pPr>
      <w:r>
        <w:rPr>
          <w:rFonts w:ascii="宋体" w:hAnsi="宋体"/>
          <w:color w:val="000000"/>
          <w:sz w:val="24"/>
          <w:szCs w:val="24"/>
        </w:rPr>
        <w:t>3.3乙方</w:t>
      </w:r>
      <w:r>
        <w:rPr>
          <w:rFonts w:hint="eastAsia" w:ascii="宋体" w:hAnsi="宋体"/>
          <w:color w:val="000000"/>
          <w:sz w:val="24"/>
          <w:szCs w:val="24"/>
        </w:rPr>
        <w:t>取得设计文件或数据后应办理签收手续，签收人由甲方书面确认。</w:t>
      </w:r>
    </w:p>
    <w:p>
      <w:pPr>
        <w:spacing w:after="156" w:afterLines="50" w:line="300" w:lineRule="auto"/>
        <w:ind w:firstLine="420"/>
        <w:rPr>
          <w:rFonts w:ascii="宋体" w:hAnsi="宋体"/>
          <w:color w:val="000000"/>
          <w:sz w:val="24"/>
          <w:szCs w:val="24"/>
        </w:rPr>
      </w:pPr>
      <w:r>
        <w:rPr>
          <w:rFonts w:ascii="宋体" w:hAnsi="宋体"/>
          <w:color w:val="000000"/>
          <w:sz w:val="24"/>
          <w:szCs w:val="24"/>
        </w:rPr>
        <w:t>3.4甲方不负责乙方</w:t>
      </w:r>
      <w:r>
        <w:rPr>
          <w:rFonts w:hint="eastAsia" w:ascii="宋体" w:hAnsi="宋体"/>
          <w:color w:val="000000"/>
          <w:sz w:val="24"/>
          <w:szCs w:val="24"/>
        </w:rPr>
        <w:t>办理运输、邮寄及电传设计文件、数据所需的费用，乙方自行承担。</w:t>
      </w:r>
    </w:p>
    <w:p>
      <w:pPr>
        <w:spacing w:after="156" w:afterLines="50" w:line="300" w:lineRule="auto"/>
        <w:ind w:firstLine="420"/>
        <w:rPr>
          <w:rFonts w:ascii="宋体" w:hAnsi="宋体"/>
          <w:color w:val="000000"/>
          <w:sz w:val="24"/>
          <w:szCs w:val="24"/>
        </w:rPr>
      </w:pPr>
      <w:r>
        <w:rPr>
          <w:rFonts w:ascii="宋体" w:hAnsi="宋体"/>
          <w:color w:val="000000"/>
          <w:sz w:val="24"/>
          <w:szCs w:val="24"/>
        </w:rPr>
        <w:t>3.5对于甲方要求增加设计文件份数的（超过合同约定的份数部分算为增加），由甲方另行支付印刷设计文件的工本费用，乙方</w:t>
      </w:r>
      <w:r>
        <w:rPr>
          <w:rFonts w:hint="eastAsia" w:ascii="宋体" w:hAnsi="宋体"/>
          <w:color w:val="000000"/>
          <w:sz w:val="24"/>
          <w:szCs w:val="24"/>
        </w:rPr>
        <w:t>出具合法有效增值税专用发票报销，按市场价结算。</w:t>
      </w:r>
      <w:r>
        <w:rPr>
          <w:rFonts w:ascii="宋体" w:hAnsi="宋体"/>
          <w:color w:val="000000"/>
          <w:sz w:val="24"/>
          <w:szCs w:val="24"/>
        </w:rPr>
        <w:t>乙方</w:t>
      </w:r>
      <w:r>
        <w:rPr>
          <w:rFonts w:hint="eastAsia" w:ascii="宋体" w:hAnsi="宋体"/>
          <w:color w:val="000000"/>
          <w:sz w:val="24"/>
          <w:szCs w:val="24"/>
        </w:rPr>
        <w:t>按</w:t>
      </w:r>
      <w:r>
        <w:rPr>
          <w:rFonts w:ascii="宋体" w:hAnsi="宋体"/>
          <w:color w:val="000000"/>
          <w:sz w:val="24"/>
          <w:szCs w:val="24"/>
        </w:rPr>
        <w:t>甲方合理意见修改完善或优化设计后补充或重新出具的成果文件不算增加</w:t>
      </w:r>
      <w:r>
        <w:rPr>
          <w:rFonts w:hint="eastAsia" w:ascii="宋体" w:hAnsi="宋体"/>
          <w:color w:val="000000"/>
          <w:sz w:val="24"/>
          <w:szCs w:val="24"/>
        </w:rPr>
        <w:t>，</w:t>
      </w:r>
      <w:r>
        <w:rPr>
          <w:rFonts w:ascii="宋体" w:hAnsi="宋体"/>
          <w:color w:val="000000"/>
          <w:sz w:val="24"/>
          <w:szCs w:val="24"/>
        </w:rPr>
        <w:t>甲方不另行向乙方支付费用</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 xml:space="preserve"> 乙方负责在甲方指定时间内向甲方提交本项目方案概念设计成果</w:t>
      </w:r>
      <w:r>
        <w:rPr>
          <w:rFonts w:ascii="宋体" w:hAnsi="宋体"/>
          <w:color w:val="000000"/>
          <w:sz w:val="24"/>
          <w:szCs w:val="24"/>
        </w:rPr>
        <w:t>10份和电子文件2套（电子文件须包含word、dwg和pdf</w:t>
      </w:r>
      <w:r>
        <w:rPr>
          <w:rFonts w:hint="eastAsia" w:ascii="宋体" w:hAnsi="宋体"/>
          <w:color w:val="000000"/>
          <w:sz w:val="24"/>
          <w:szCs w:val="24"/>
        </w:rPr>
        <w:t>文件（</w:t>
      </w:r>
      <w:r>
        <w:rPr>
          <w:rFonts w:ascii="宋体" w:hAnsi="宋体"/>
          <w:color w:val="000000"/>
          <w:szCs w:val="24"/>
        </w:rPr>
        <w:t>pdf</w:t>
      </w:r>
      <w:r>
        <w:rPr>
          <w:rFonts w:hint="eastAsia" w:ascii="宋体" w:hAnsi="宋体"/>
          <w:color w:val="000000"/>
          <w:sz w:val="24"/>
          <w:szCs w:val="24"/>
        </w:rPr>
        <w:t>文件需为签署盖章后高清扫描版，下同））。如乙方对成果文件提出合理修改意见，乙方应无条件另行提供相同份数的完善或修正后的成果资料，甲方不再另行支付费用。</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4、设计咨询</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4.1 甲方、代表甲方的设计咨询公司（如有）有权对对本乙方的各阶段设计成果文件进行复核及审查，纠正偏差和错误，提出优化建议，出具咨询报告。</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4.2 乙方应按“本条 2.1.1款、2.2款”约定同步提交本工程方案设计、初步设计、初步设计概算、施工图设计、设计（工程）变更及预算等设计和概预算成果文件给代表甲方或代表甲方的设计咨询公司（如有），由设计咨询公司（如有）在甲方指定时间内进行复核和审查，并出具咨询意见和咨询报告。</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4.3 乙方应充分尊重和理解甲方、代表甲方的设计咨询公司（如有）对乙方设计成果提出的书面意见与要求，如无充分的否定理由应尽快予以处理和实施；对合同没有约定的部分和没有描述的部分，乙方应按甲方要求完成相关勘察设计工作。由于甲方、代表甲方的设计咨询公司（如有）提出的合理建议导致乙方设计增加的费用由乙方自行承担，合同费用不变。</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5、勘察成果文件的交付</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.1</w:t>
      </w:r>
      <w:r>
        <w:rPr>
          <w:rFonts w:hint="eastAsia" w:ascii="宋体" w:hAnsi="宋体"/>
          <w:color w:val="000000"/>
          <w:sz w:val="24"/>
          <w:szCs w:val="24"/>
        </w:rPr>
        <w:t>详细勘察成果和试验报告应于退场后</w:t>
      </w:r>
      <w:r>
        <w:rPr>
          <w:rFonts w:hint="eastAsia" w:ascii="宋体" w:hAnsi="宋体"/>
          <w:color w:val="000000"/>
          <w:sz w:val="24"/>
          <w:szCs w:val="24"/>
          <w:u w:val="single"/>
        </w:rPr>
        <w:t xml:space="preserve"> 15</w:t>
      </w:r>
      <w:r>
        <w:rPr>
          <w:rFonts w:hint="eastAsia" w:ascii="宋体" w:hAnsi="宋体"/>
          <w:color w:val="000000"/>
          <w:sz w:val="24"/>
          <w:szCs w:val="24"/>
        </w:rPr>
        <w:t>日历天内提交甲方。具体详见合同附件二</w:t>
      </w:r>
      <w:r>
        <w:rPr>
          <w:rFonts w:ascii="宋体" w:hAnsi="宋体"/>
          <w:color w:val="000000"/>
          <w:sz w:val="24"/>
          <w:szCs w:val="24"/>
        </w:rPr>
        <w:t>。</w:t>
      </w:r>
    </w:p>
    <w:p>
      <w:pPr>
        <w:spacing w:after="156" w:afterLines="50" w:line="300" w:lineRule="auto"/>
        <w:ind w:left="450" w:leftChars="100" w:hanging="240" w:hangingChars="1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.2</w:t>
      </w:r>
      <w:r>
        <w:rPr>
          <w:rFonts w:hint="eastAsia" w:ascii="宋体" w:hAnsi="宋体"/>
          <w:color w:val="000000"/>
          <w:sz w:val="24"/>
          <w:szCs w:val="24"/>
        </w:rPr>
        <w:t xml:space="preserve"> 乙方负责向甲方提交本项目工程勘察（详堪）成果报告各</w:t>
      </w:r>
      <w:r>
        <w:rPr>
          <w:rFonts w:hint="eastAsia" w:ascii="宋体" w:hAnsi="宋体"/>
          <w:color w:val="000000"/>
          <w:sz w:val="24"/>
          <w:szCs w:val="24"/>
          <w:u w:val="single"/>
        </w:rPr>
        <w:t xml:space="preserve"> 20</w:t>
      </w:r>
      <w:r>
        <w:rPr>
          <w:rFonts w:ascii="宋体" w:hAnsi="宋体"/>
          <w:color w:val="000000"/>
          <w:sz w:val="24"/>
          <w:szCs w:val="24"/>
        </w:rPr>
        <w:t>份和电子文件</w:t>
      </w:r>
      <w:r>
        <w:rPr>
          <w:rFonts w:hint="eastAsia" w:ascii="宋体" w:hAnsi="宋体"/>
          <w:color w:val="000000"/>
          <w:sz w:val="24"/>
          <w:szCs w:val="24"/>
          <w:u w:val="single"/>
        </w:rPr>
        <w:t>4</w:t>
      </w:r>
      <w:r>
        <w:rPr>
          <w:rFonts w:hint="eastAsia" w:ascii="宋体" w:hAnsi="宋体"/>
          <w:color w:val="000000"/>
          <w:sz w:val="24"/>
          <w:szCs w:val="24"/>
        </w:rPr>
        <w:t>套，电子文件须包含格式为</w:t>
      </w:r>
      <w:r>
        <w:rPr>
          <w:rFonts w:ascii="宋体" w:hAnsi="宋体"/>
          <w:color w:val="000000"/>
          <w:sz w:val="24"/>
          <w:szCs w:val="24"/>
        </w:rPr>
        <w:t>WORD或EXCEL，图形文件格式为CAD(*.DWG)</w:t>
      </w:r>
      <w:r>
        <w:rPr>
          <w:rFonts w:hint="eastAsia" w:ascii="宋体" w:hAnsi="宋体"/>
          <w:color w:val="000000"/>
          <w:sz w:val="24"/>
          <w:szCs w:val="24"/>
        </w:rPr>
        <w:t>、PDF</w:t>
      </w:r>
      <w:r>
        <w:rPr>
          <w:rFonts w:ascii="宋体" w:hAnsi="宋体"/>
          <w:color w:val="000000"/>
          <w:sz w:val="24"/>
          <w:szCs w:val="24"/>
        </w:rPr>
        <w:t>格式电子版文件。如甲方对成果文件提出合理修改意见，乙方应无条件另行提供相同份数的完善或修正后的成果资料，甲方不再另行支付费用。</w:t>
      </w:r>
    </w:p>
    <w:p>
      <w:pPr>
        <w:pStyle w:val="4"/>
      </w:pPr>
      <w:bookmarkStart w:id="45" w:name="_Toc1736138"/>
      <w:r>
        <w:rPr>
          <w:rFonts w:hint="eastAsia"/>
        </w:rPr>
        <w:t>九、勘察设计服务</w:t>
      </w:r>
      <w:bookmarkEnd w:id="45"/>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勘察设计技术服务主要工作</w:t>
      </w:r>
    </w:p>
    <w:p>
      <w:pPr>
        <w:spacing w:after="156" w:afterLines="50" w:line="300" w:lineRule="auto"/>
        <w:ind w:firstLine="420"/>
        <w:rPr>
          <w:rFonts w:ascii="宋体" w:hAnsi="宋体"/>
          <w:color w:val="000000"/>
          <w:sz w:val="24"/>
          <w:szCs w:val="24"/>
        </w:rPr>
      </w:pPr>
      <w:r>
        <w:rPr>
          <w:rFonts w:ascii="宋体" w:hAnsi="宋体"/>
          <w:color w:val="000000"/>
          <w:sz w:val="24"/>
          <w:szCs w:val="24"/>
        </w:rPr>
        <w:t>1.1乙方的主要工作包括但不限于：</w:t>
      </w:r>
    </w:p>
    <w:p>
      <w:pPr>
        <w:spacing w:after="156" w:afterLines="50" w:line="300" w:lineRule="auto"/>
        <w:ind w:firstLine="420"/>
        <w:rPr>
          <w:rFonts w:ascii="宋体" w:hAnsi="宋体"/>
          <w:color w:val="000000"/>
          <w:sz w:val="24"/>
          <w:szCs w:val="24"/>
        </w:rPr>
      </w:pPr>
      <w:r>
        <w:rPr>
          <w:rFonts w:ascii="宋体" w:hAnsi="宋体"/>
          <w:color w:val="000000"/>
          <w:sz w:val="24"/>
          <w:szCs w:val="24"/>
        </w:rPr>
        <w:t>1.1.1参加项目协调会，做好设计交底工作</w:t>
      </w:r>
      <w:r>
        <w:rPr>
          <w:rFonts w:hint="eastAsia" w:ascii="宋体" w:hAnsi="宋体"/>
          <w:color w:val="000000"/>
          <w:sz w:val="24"/>
          <w:szCs w:val="24"/>
        </w:rPr>
        <w:t>，配合施工图审查工作。乙方应按甲方要求积极参加初步设计、设计方案研讨、设计联络会、现场施工等涉及到地质勘察方面的会议，会上提出合理化建议并解决地质勘察方面的问题。</w:t>
      </w:r>
    </w:p>
    <w:p>
      <w:pPr>
        <w:spacing w:after="156" w:afterLines="50" w:line="300" w:lineRule="auto"/>
        <w:ind w:firstLine="420"/>
        <w:rPr>
          <w:rFonts w:ascii="宋体" w:hAnsi="宋体"/>
          <w:color w:val="000000"/>
          <w:sz w:val="24"/>
          <w:szCs w:val="24"/>
        </w:rPr>
      </w:pPr>
      <w:r>
        <w:rPr>
          <w:rFonts w:ascii="宋体" w:hAnsi="宋体"/>
          <w:color w:val="000000"/>
          <w:sz w:val="24"/>
          <w:szCs w:val="24"/>
        </w:rPr>
        <w:t>1.1.2</w:t>
      </w:r>
      <w:r>
        <w:rPr>
          <w:rFonts w:hint="eastAsia" w:ascii="宋体" w:hAnsi="宋体"/>
          <w:color w:val="000000"/>
          <w:sz w:val="24"/>
          <w:szCs w:val="24"/>
        </w:rPr>
        <w:t>各施工阶段开始前，按乙方分工，参与设计交底、重大技术问题专家论证会、图纸会审、答复有关设计问题。在技术复杂的分项工程施工前，乙方要进行专项技术交底，提出质量控制要求；特殊材料的性能要求；质量检验的特定方法。根据工程进展情况和需要，对一些特殊工程，乙方需针对甲方提供的施工组织及工艺提出书面建议。</w:t>
      </w:r>
    </w:p>
    <w:p>
      <w:pPr>
        <w:spacing w:after="156" w:afterLines="50" w:line="300" w:lineRule="auto"/>
        <w:ind w:firstLine="420"/>
        <w:rPr>
          <w:rFonts w:ascii="宋体" w:hAnsi="宋体"/>
          <w:color w:val="000000"/>
          <w:sz w:val="24"/>
          <w:szCs w:val="24"/>
        </w:rPr>
      </w:pPr>
      <w:r>
        <w:rPr>
          <w:rFonts w:ascii="宋体" w:hAnsi="宋体"/>
          <w:color w:val="000000"/>
          <w:sz w:val="24"/>
          <w:szCs w:val="24"/>
        </w:rPr>
        <w:t>1.1.3</w:t>
      </w:r>
      <w:r>
        <w:rPr>
          <w:rFonts w:hint="eastAsia" w:ascii="宋体" w:hAnsi="宋体"/>
          <w:color w:val="000000"/>
          <w:sz w:val="24"/>
          <w:szCs w:val="24"/>
        </w:rPr>
        <w:t>配合甲方进行施工招标和设备、材料采购招标工作，要考虑工程实施的需要，在计划、工期上要根据工程总体策划考虑工程招投标、设备采购、施工组织所需要的时间，提前交付设计文件。其招标文件技术部分由乙方负责编写，并配合甲方进行技术条款的谈判工作。</w:t>
      </w:r>
    </w:p>
    <w:p>
      <w:pPr>
        <w:spacing w:after="156" w:afterLines="50" w:line="300" w:lineRule="auto"/>
        <w:ind w:firstLine="420"/>
        <w:rPr>
          <w:rFonts w:ascii="宋体" w:hAnsi="宋体"/>
          <w:color w:val="000000"/>
          <w:sz w:val="24"/>
          <w:szCs w:val="24"/>
        </w:rPr>
      </w:pPr>
      <w:r>
        <w:rPr>
          <w:rFonts w:ascii="宋体" w:hAnsi="宋体"/>
          <w:color w:val="000000"/>
          <w:sz w:val="24"/>
          <w:szCs w:val="24"/>
        </w:rPr>
        <w:t>1.1.4</w:t>
      </w:r>
      <w:r>
        <w:rPr>
          <w:rFonts w:hint="eastAsia" w:ascii="宋体" w:hAnsi="宋体"/>
          <w:color w:val="000000"/>
          <w:sz w:val="24"/>
          <w:szCs w:val="24"/>
        </w:rPr>
        <w:t>对设备、材料订货有关性能、参数、规格的技术确认，以及协助参与对己订设备、材料的验收工作。设备及材料等有专利或有特殊要求的，须提前告之甲方，并经甲方同意。</w:t>
      </w:r>
    </w:p>
    <w:p>
      <w:pPr>
        <w:spacing w:after="156" w:afterLines="50" w:line="300" w:lineRule="auto"/>
        <w:ind w:firstLine="420"/>
        <w:rPr>
          <w:rFonts w:ascii="宋体" w:hAnsi="宋体"/>
          <w:color w:val="000000"/>
          <w:sz w:val="24"/>
          <w:szCs w:val="24"/>
        </w:rPr>
      </w:pPr>
      <w:r>
        <w:rPr>
          <w:rFonts w:ascii="宋体" w:hAnsi="宋体"/>
          <w:color w:val="000000"/>
          <w:sz w:val="24"/>
          <w:szCs w:val="24"/>
        </w:rPr>
        <w:t>1.1.5协助制订设备系统的调试计划和参与设备试车调试</w:t>
      </w:r>
      <w:r>
        <w:rPr>
          <w:rFonts w:hint="eastAsia" w:ascii="宋体" w:hAnsi="宋体"/>
          <w:color w:val="000000"/>
          <w:sz w:val="24"/>
          <w:szCs w:val="24"/>
        </w:rPr>
        <w:t>（如需）</w:t>
      </w:r>
      <w:r>
        <w:rPr>
          <w:rFonts w:ascii="宋体" w:hAnsi="宋体"/>
          <w:color w:val="000000"/>
          <w:sz w:val="24"/>
          <w:szCs w:val="24"/>
        </w:rPr>
        <w:t>。</w:t>
      </w:r>
    </w:p>
    <w:p>
      <w:pPr>
        <w:spacing w:after="156" w:afterLines="50" w:line="300" w:lineRule="auto"/>
        <w:ind w:firstLine="420"/>
        <w:rPr>
          <w:rFonts w:ascii="宋体" w:hAnsi="宋体"/>
          <w:color w:val="000000"/>
          <w:sz w:val="24"/>
          <w:szCs w:val="24"/>
        </w:rPr>
      </w:pPr>
      <w:r>
        <w:rPr>
          <w:rFonts w:ascii="宋体" w:hAnsi="宋体"/>
          <w:color w:val="000000"/>
          <w:sz w:val="24"/>
          <w:szCs w:val="24"/>
        </w:rPr>
        <w:t>1.1.6配合工程竣工验收工作，负责编写设计总结。</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1.1.7参与建设工程质量事故分析，并对因设计造成的质量事故，提出相应的技术处理方案。</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1.1.8乙方承诺在交付项目的部分或全部设计文件后，如有更好的新工艺、新技术、新材料、新设备等适用于本项目，将及时向甲方推荐并提供科学的评估并提供来源证明。</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现场服务</w:t>
      </w:r>
    </w:p>
    <w:p>
      <w:pPr>
        <w:spacing w:after="156" w:afterLines="50" w:line="300" w:lineRule="auto"/>
        <w:ind w:firstLine="420"/>
        <w:rPr>
          <w:rFonts w:ascii="宋体" w:hAnsi="宋体"/>
          <w:color w:val="000000"/>
          <w:sz w:val="24"/>
          <w:szCs w:val="24"/>
        </w:rPr>
      </w:pPr>
      <w:r>
        <w:rPr>
          <w:rFonts w:ascii="宋体" w:hAnsi="宋体"/>
          <w:color w:val="000000"/>
          <w:sz w:val="24"/>
          <w:szCs w:val="24"/>
        </w:rPr>
        <w:t>2.1乙方应根据设计任务建立项目组织，从组织上保证投入的人力、物力能满足设计开展的需要，保证不同设计时段设计工作的连续性和外部条件接口衔接的连贯性。</w:t>
      </w:r>
    </w:p>
    <w:p>
      <w:pPr>
        <w:spacing w:line="360" w:lineRule="auto"/>
        <w:ind w:firstLine="480" w:firstLineChars="200"/>
        <w:rPr>
          <w:sz w:val="24"/>
          <w:szCs w:val="28"/>
        </w:rPr>
      </w:pPr>
      <w:r>
        <w:rPr>
          <w:rFonts w:ascii="宋体" w:hAnsi="宋体"/>
          <w:color w:val="000000"/>
          <w:sz w:val="24"/>
          <w:szCs w:val="24"/>
        </w:rPr>
        <w:t>2.2</w:t>
      </w:r>
      <w:r>
        <w:rPr>
          <w:rFonts w:hint="eastAsia"/>
          <w:sz w:val="24"/>
        </w:rPr>
        <w:t>乙方</w:t>
      </w:r>
      <w:r>
        <w:rPr>
          <w:sz w:val="24"/>
        </w:rPr>
        <w:t>应指派满足现场需求的</w:t>
      </w:r>
      <w:r>
        <w:rPr>
          <w:rFonts w:hint="eastAsia"/>
          <w:sz w:val="24"/>
        </w:rPr>
        <w:t>甲方</w:t>
      </w:r>
      <w:r>
        <w:rPr>
          <w:sz w:val="24"/>
        </w:rPr>
        <w:t>认可的的驻场代表常驻工地现场，</w:t>
      </w:r>
      <w:r>
        <w:rPr>
          <w:rFonts w:hint="eastAsia"/>
          <w:sz w:val="24"/>
          <w:szCs w:val="28"/>
        </w:rPr>
        <w:t>驻场人员需要有5年以上设计工作经验。</w:t>
      </w:r>
      <w:r>
        <w:rPr>
          <w:sz w:val="24"/>
        </w:rPr>
        <w:t>按</w:t>
      </w:r>
      <w:r>
        <w:rPr>
          <w:rFonts w:hint="eastAsia"/>
          <w:sz w:val="24"/>
        </w:rPr>
        <w:t>乙方</w:t>
      </w:r>
      <w:r>
        <w:rPr>
          <w:sz w:val="24"/>
        </w:rPr>
        <w:t>责任配合</w:t>
      </w:r>
      <w:r>
        <w:rPr>
          <w:rFonts w:hint="eastAsia"/>
          <w:sz w:val="24"/>
        </w:rPr>
        <w:t>甲方</w:t>
      </w:r>
      <w:r>
        <w:rPr>
          <w:sz w:val="24"/>
        </w:rPr>
        <w:t>解决现场技术问题，若现场技术人员无法解决，</w:t>
      </w:r>
      <w:r>
        <w:rPr>
          <w:rFonts w:hint="eastAsia"/>
          <w:sz w:val="24"/>
        </w:rPr>
        <w:t>乙方</w:t>
      </w:r>
      <w:r>
        <w:rPr>
          <w:sz w:val="24"/>
        </w:rPr>
        <w:t>应及时派出专业工程师在12小时内到达现场并提出解决方案。</w:t>
      </w:r>
      <w:r>
        <w:rPr>
          <w:rFonts w:hint="eastAsia"/>
          <w:sz w:val="24"/>
        </w:rPr>
        <w:t>对于</w:t>
      </w:r>
      <w:r>
        <w:rPr>
          <w:rFonts w:hint="eastAsia" w:ascii="Times New Roman" w:hAnsi="Times New Roman"/>
          <w:sz w:val="24"/>
          <w:szCs w:val="24"/>
        </w:rPr>
        <w:t>各关联方同设计联络的文书、函件等，应及时给出反馈意见。</w:t>
      </w:r>
      <w:r>
        <w:rPr>
          <w:sz w:val="24"/>
        </w:rPr>
        <w:t>同时应当会同监理和</w:t>
      </w:r>
      <w:r>
        <w:rPr>
          <w:rFonts w:hint="eastAsia"/>
          <w:sz w:val="24"/>
        </w:rPr>
        <w:t>甲方</w:t>
      </w:r>
      <w:r>
        <w:rPr>
          <w:sz w:val="24"/>
        </w:rPr>
        <w:t>定期巡视工</w:t>
      </w:r>
      <w:r>
        <w:rPr>
          <w:rFonts w:hint="eastAsia"/>
          <w:sz w:val="24"/>
        </w:rPr>
        <w:t>地</w:t>
      </w:r>
      <w:r>
        <w:rPr>
          <w:rFonts w:hint="eastAsia"/>
          <w:sz w:val="24"/>
          <w:szCs w:val="28"/>
        </w:rPr>
        <w:t>，并形成书面记录。遇到现场重大质量问题，需当天向业主提出，并形成记录。</w:t>
      </w:r>
    </w:p>
    <w:p>
      <w:pPr>
        <w:spacing w:after="156" w:afterLines="50" w:line="300" w:lineRule="auto"/>
        <w:ind w:firstLine="420"/>
        <w:rPr>
          <w:rFonts w:ascii="宋体" w:hAnsi="宋体"/>
          <w:color w:val="000000"/>
          <w:sz w:val="24"/>
          <w:szCs w:val="24"/>
        </w:rPr>
      </w:pPr>
      <w:r>
        <w:rPr>
          <w:rFonts w:ascii="宋体" w:hAnsi="宋体"/>
          <w:color w:val="000000"/>
          <w:sz w:val="24"/>
          <w:szCs w:val="24"/>
        </w:rPr>
        <w:t>2.3乙方将指定一名具有相应资质的技术人员作为工程现场的总代表，负责</w:t>
      </w:r>
      <w:r>
        <w:rPr>
          <w:rFonts w:hint="eastAsia" w:ascii="宋体" w:hAnsi="宋体"/>
          <w:color w:val="000000"/>
          <w:sz w:val="24"/>
          <w:szCs w:val="24"/>
        </w:rPr>
        <w:t>合同</w:t>
      </w:r>
      <w:r>
        <w:rPr>
          <w:rFonts w:ascii="宋体" w:hAnsi="宋体"/>
          <w:color w:val="000000"/>
          <w:sz w:val="24"/>
          <w:szCs w:val="24"/>
        </w:rPr>
        <w:t>范围内的总的技术指导，并与甲方总代表一起解决与</w:t>
      </w:r>
      <w:r>
        <w:rPr>
          <w:rFonts w:hint="eastAsia" w:ascii="宋体" w:hAnsi="宋体"/>
          <w:color w:val="000000"/>
          <w:sz w:val="24"/>
          <w:szCs w:val="24"/>
        </w:rPr>
        <w:t>合同</w:t>
      </w:r>
      <w:r>
        <w:rPr>
          <w:rFonts w:ascii="宋体" w:hAnsi="宋体"/>
          <w:color w:val="000000"/>
          <w:sz w:val="24"/>
          <w:szCs w:val="24"/>
        </w:rPr>
        <w:t>有关的技术和其它问题</w:t>
      </w:r>
      <w:r>
        <w:rPr>
          <w:rFonts w:hint="eastAsia" w:ascii="宋体" w:hAnsi="宋体"/>
          <w:color w:val="000000"/>
          <w:sz w:val="24"/>
          <w:szCs w:val="24"/>
        </w:rPr>
        <w:t>。</w:t>
      </w:r>
      <w:r>
        <w:rPr>
          <w:rFonts w:ascii="宋体" w:hAnsi="宋体"/>
          <w:color w:val="000000"/>
          <w:sz w:val="24"/>
          <w:szCs w:val="24"/>
        </w:rPr>
        <w:t>但是双方总代表均无权修改</w:t>
      </w:r>
      <w:r>
        <w:rPr>
          <w:rFonts w:hint="eastAsia" w:ascii="宋体" w:hAnsi="宋体"/>
          <w:color w:val="000000"/>
          <w:sz w:val="24"/>
          <w:szCs w:val="24"/>
        </w:rPr>
        <w:t>合同</w:t>
      </w:r>
      <w:r>
        <w:rPr>
          <w:rFonts w:ascii="宋体" w:hAnsi="宋体"/>
          <w:color w:val="000000"/>
          <w:sz w:val="24"/>
          <w:szCs w:val="24"/>
        </w:rPr>
        <w:t>。</w:t>
      </w:r>
    </w:p>
    <w:p>
      <w:pPr>
        <w:spacing w:after="156" w:afterLines="50" w:line="300" w:lineRule="auto"/>
        <w:ind w:firstLine="420"/>
        <w:rPr>
          <w:rFonts w:ascii="宋体" w:hAnsi="宋体"/>
          <w:color w:val="000000"/>
          <w:sz w:val="24"/>
          <w:szCs w:val="24"/>
        </w:rPr>
      </w:pPr>
      <w:r>
        <w:rPr>
          <w:rFonts w:ascii="宋体" w:hAnsi="宋体"/>
          <w:color w:val="000000"/>
          <w:sz w:val="24"/>
          <w:szCs w:val="24"/>
        </w:rPr>
        <w:t>2.4乙方必须按照甲方工程施工进度，派出有经验的</w:t>
      </w:r>
      <w:r>
        <w:rPr>
          <w:rFonts w:hint="eastAsia" w:ascii="宋体" w:hAnsi="宋体"/>
          <w:color w:val="000000"/>
          <w:sz w:val="24"/>
          <w:szCs w:val="24"/>
        </w:rPr>
        <w:t>甲方认可的、满足现场需求</w:t>
      </w:r>
      <w:r>
        <w:rPr>
          <w:rFonts w:ascii="宋体" w:hAnsi="宋体"/>
          <w:color w:val="000000"/>
          <w:sz w:val="24"/>
          <w:szCs w:val="24"/>
        </w:rPr>
        <w:t>相应专业技术人员常驻工程施工现场进行技术服务，保证及时、高效地处理施工中出现的设计问题。乙方在施工现场服务的设计代表的考勤情况</w:t>
      </w:r>
      <w:r>
        <w:rPr>
          <w:rFonts w:hint="eastAsia" w:ascii="宋体" w:hAnsi="宋体"/>
          <w:color w:val="000000"/>
          <w:sz w:val="24"/>
          <w:szCs w:val="24"/>
        </w:rPr>
        <w:t>需</w:t>
      </w:r>
      <w:r>
        <w:rPr>
          <w:rFonts w:ascii="宋体" w:hAnsi="宋体"/>
          <w:color w:val="000000"/>
          <w:sz w:val="24"/>
          <w:szCs w:val="24"/>
        </w:rPr>
        <w:t>经甲方确认</w:t>
      </w:r>
      <w:r>
        <w:rPr>
          <w:rFonts w:hint="eastAsia" w:ascii="宋体" w:hAnsi="宋体"/>
          <w:color w:val="000000"/>
          <w:sz w:val="24"/>
          <w:szCs w:val="24"/>
        </w:rPr>
        <w:t>，</w:t>
      </w:r>
      <w:r>
        <w:rPr>
          <w:rFonts w:ascii="宋体" w:hAnsi="宋体"/>
          <w:color w:val="000000"/>
          <w:sz w:val="24"/>
          <w:szCs w:val="24"/>
        </w:rPr>
        <w:t>并每周向甲方书面报告。</w:t>
      </w:r>
    </w:p>
    <w:p>
      <w:pPr>
        <w:spacing w:after="156" w:afterLines="50" w:line="300" w:lineRule="auto"/>
        <w:ind w:firstLine="420"/>
        <w:rPr>
          <w:rFonts w:ascii="宋体" w:hAnsi="宋体"/>
          <w:color w:val="000000"/>
          <w:sz w:val="24"/>
          <w:szCs w:val="24"/>
        </w:rPr>
      </w:pPr>
      <w:r>
        <w:rPr>
          <w:rFonts w:ascii="宋体" w:hAnsi="宋体"/>
          <w:color w:val="000000"/>
          <w:sz w:val="24"/>
          <w:szCs w:val="24"/>
        </w:rPr>
        <w:t>2.5乙方现场技术人员将对技术文件、图纸给出详细说明，并答复和解决协议范围内由甲方提出的技术问题。</w:t>
      </w:r>
    </w:p>
    <w:p>
      <w:pPr>
        <w:spacing w:after="156" w:afterLines="50" w:line="300" w:lineRule="auto"/>
        <w:ind w:firstLine="420"/>
        <w:rPr>
          <w:rFonts w:ascii="宋体" w:hAnsi="宋体"/>
          <w:color w:val="000000"/>
          <w:sz w:val="24"/>
          <w:szCs w:val="24"/>
        </w:rPr>
      </w:pPr>
      <w:r>
        <w:rPr>
          <w:rFonts w:ascii="宋体" w:hAnsi="宋体"/>
          <w:color w:val="000000"/>
          <w:sz w:val="24"/>
          <w:szCs w:val="24"/>
        </w:rPr>
        <w:t>2.6</w:t>
      </w:r>
      <w:r>
        <w:rPr>
          <w:rFonts w:hint="eastAsia" w:ascii="宋体" w:hAnsi="宋体"/>
          <w:color w:val="000000"/>
          <w:sz w:val="24"/>
          <w:szCs w:val="24"/>
        </w:rPr>
        <w:t>乙方技术人员在现场工作中发现施工单位工作失误时，可以书面形式通知甲方，但是乙方的现场技术人员不对未发现的施工单位工作失误负责，其责任应由施工单位和监理单位负责。甲方应在</w:t>
      </w:r>
      <w:r>
        <w:rPr>
          <w:rFonts w:ascii="宋体" w:hAnsi="宋体"/>
          <w:color w:val="000000"/>
          <w:sz w:val="24"/>
          <w:szCs w:val="24"/>
        </w:rPr>
        <w:t>3天内签字确认回复</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rPr>
      </w:pPr>
      <w:r>
        <w:rPr>
          <w:rFonts w:ascii="宋体" w:hAnsi="宋体"/>
          <w:color w:val="000000"/>
          <w:sz w:val="24"/>
          <w:szCs w:val="24"/>
        </w:rPr>
        <w:t>2.7</w:t>
      </w:r>
      <w:r>
        <w:rPr>
          <w:rFonts w:hint="eastAsia" w:ascii="宋体" w:hAnsi="宋体"/>
          <w:color w:val="000000"/>
          <w:sz w:val="24"/>
          <w:szCs w:val="24"/>
        </w:rPr>
        <w:t>当建设过程中对设计文件有疑问，乙方在接到通知后，应及时派出技术人员解决。属于重大设计问题，若无特殊情况，应在</w:t>
      </w:r>
      <w:r>
        <w:rPr>
          <w:rFonts w:ascii="宋体" w:hAnsi="宋体"/>
          <w:color w:val="000000"/>
          <w:sz w:val="24"/>
          <w:szCs w:val="24"/>
        </w:rPr>
        <w:t>1天内</w:t>
      </w:r>
      <w:r>
        <w:rPr>
          <w:rFonts w:hint="eastAsia" w:ascii="宋体" w:hAnsi="宋体"/>
          <w:color w:val="000000"/>
          <w:sz w:val="24"/>
          <w:szCs w:val="24"/>
        </w:rPr>
        <w:t>具有高级职称的专业人员到工地现场</w:t>
      </w:r>
      <w:r>
        <w:rPr>
          <w:rFonts w:ascii="宋体" w:hAnsi="宋体"/>
          <w:color w:val="000000"/>
          <w:sz w:val="24"/>
          <w:szCs w:val="24"/>
        </w:rPr>
        <w:t>解决</w:t>
      </w:r>
      <w:r>
        <w:rPr>
          <w:rFonts w:hint="eastAsia" w:ascii="宋体" w:hAnsi="宋体"/>
          <w:color w:val="000000"/>
          <w:sz w:val="24"/>
          <w:szCs w:val="24"/>
        </w:rPr>
        <w:t>，并在3</w:t>
      </w:r>
      <w:r>
        <w:rPr>
          <w:rFonts w:ascii="宋体" w:hAnsi="宋体"/>
          <w:color w:val="000000"/>
          <w:sz w:val="24"/>
          <w:szCs w:val="24"/>
        </w:rPr>
        <w:t>天内提出书面解决意见；属于一般设计问题，应由工地设计代表于</w:t>
      </w:r>
      <w:r>
        <w:rPr>
          <w:rFonts w:hint="eastAsia" w:ascii="宋体" w:hAnsi="宋体"/>
          <w:color w:val="000000"/>
          <w:sz w:val="24"/>
          <w:szCs w:val="24"/>
        </w:rPr>
        <w:t>2</w:t>
      </w:r>
      <w:r>
        <w:rPr>
          <w:rFonts w:ascii="宋体" w:hAnsi="宋体"/>
          <w:color w:val="000000"/>
          <w:sz w:val="24"/>
          <w:szCs w:val="24"/>
        </w:rPr>
        <w:t>天内书面提出解决意见</w:t>
      </w:r>
      <w:r>
        <w:rPr>
          <w:rFonts w:hint="eastAsia" w:ascii="宋体" w:hAnsi="宋体"/>
          <w:color w:val="000000"/>
          <w:sz w:val="24"/>
          <w:szCs w:val="24"/>
        </w:rPr>
        <w:t>；对于甲方的电子邮件必须</w:t>
      </w:r>
      <w:r>
        <w:rPr>
          <w:rFonts w:ascii="宋体" w:hAnsi="宋体"/>
          <w:color w:val="000000"/>
          <w:sz w:val="24"/>
          <w:szCs w:val="24"/>
        </w:rPr>
        <w:t>1天内回复，2天内提出解决</w:t>
      </w:r>
      <w:r>
        <w:rPr>
          <w:rFonts w:hint="eastAsia" w:ascii="宋体" w:hAnsi="宋体"/>
          <w:color w:val="000000"/>
          <w:sz w:val="24"/>
          <w:szCs w:val="24"/>
        </w:rPr>
        <w:t>办法</w:t>
      </w:r>
      <w:r>
        <w:rPr>
          <w:rFonts w:ascii="宋体" w:hAnsi="宋体"/>
          <w:color w:val="000000"/>
          <w:sz w:val="24"/>
          <w:szCs w:val="24"/>
        </w:rPr>
        <w:t>。</w:t>
      </w:r>
      <w:r>
        <w:rPr>
          <w:rFonts w:hint="eastAsia" w:ascii="宋体" w:hAnsi="宋体"/>
          <w:color w:val="000000"/>
          <w:sz w:val="24"/>
          <w:szCs w:val="24"/>
        </w:rPr>
        <w:t>对设计图纸与现场不符之处，应及时提出解决办法。</w:t>
      </w:r>
    </w:p>
    <w:p>
      <w:pPr>
        <w:spacing w:after="156" w:afterLines="50" w:line="300" w:lineRule="auto"/>
        <w:ind w:firstLine="420"/>
        <w:rPr>
          <w:rFonts w:ascii="宋体" w:hAnsi="宋体"/>
          <w:color w:val="000000"/>
          <w:sz w:val="24"/>
          <w:szCs w:val="24"/>
        </w:rPr>
      </w:pPr>
      <w:r>
        <w:rPr>
          <w:rFonts w:ascii="宋体" w:hAnsi="宋体"/>
          <w:color w:val="000000"/>
          <w:sz w:val="24"/>
          <w:szCs w:val="24"/>
        </w:rPr>
        <w:t>2.8乙方</w:t>
      </w:r>
      <w:r>
        <w:rPr>
          <w:rFonts w:hint="eastAsia" w:ascii="宋体" w:hAnsi="宋体"/>
          <w:color w:val="000000"/>
          <w:sz w:val="24"/>
          <w:szCs w:val="24"/>
        </w:rPr>
        <w:t>必须集中人员确保设计进度，凡因人员不到位而影响设计工作的，甲方有权根据实际情况扣减设计费、要求赔偿损失、终止合同等。</w:t>
      </w:r>
    </w:p>
    <w:p>
      <w:pPr>
        <w:spacing w:after="156" w:afterLines="50" w:line="300" w:lineRule="auto"/>
        <w:ind w:firstLine="420"/>
        <w:rPr>
          <w:rFonts w:ascii="宋体" w:hAnsi="宋体"/>
          <w:color w:val="000000"/>
          <w:sz w:val="24"/>
          <w:szCs w:val="24"/>
        </w:rPr>
      </w:pPr>
      <w:r>
        <w:rPr>
          <w:rFonts w:ascii="宋体" w:hAnsi="宋体"/>
          <w:color w:val="000000"/>
          <w:sz w:val="24"/>
          <w:szCs w:val="24"/>
        </w:rPr>
        <w:t>2.9</w:t>
      </w:r>
      <w:r>
        <w:rPr>
          <w:rFonts w:hint="eastAsia" w:ascii="Times New Roman" w:hAnsi="Times New Roman"/>
          <w:sz w:val="24"/>
          <w:szCs w:val="24"/>
        </w:rPr>
        <w:t>乙方</w:t>
      </w:r>
      <w:r>
        <w:rPr>
          <w:rFonts w:ascii="Times New Roman" w:hAnsi="Times New Roman"/>
          <w:sz w:val="24"/>
          <w:szCs w:val="24"/>
        </w:rPr>
        <w:t>须在广州有固定的办公场所或驻点管理机构，办公场所或驻点机构在职人员须含建筑、结构、电气、暖通等含各专业至少一人。并随项目的推进，</w:t>
      </w:r>
      <w:r>
        <w:rPr>
          <w:rFonts w:hint="eastAsia" w:ascii="Times New Roman" w:hAnsi="Times New Roman"/>
          <w:sz w:val="24"/>
          <w:szCs w:val="24"/>
        </w:rPr>
        <w:t>乙方</w:t>
      </w:r>
      <w:r>
        <w:rPr>
          <w:rFonts w:ascii="Times New Roman" w:hAnsi="Times New Roman"/>
          <w:sz w:val="24"/>
          <w:szCs w:val="24"/>
        </w:rPr>
        <w:t>应派现场代表驻现场。本项目总设计师应按照</w:t>
      </w:r>
      <w:r>
        <w:rPr>
          <w:rFonts w:hint="eastAsia" w:ascii="Times New Roman" w:hAnsi="Times New Roman"/>
          <w:sz w:val="24"/>
          <w:szCs w:val="24"/>
        </w:rPr>
        <w:t>甲方</w:t>
      </w:r>
      <w:r>
        <w:rPr>
          <w:rFonts w:ascii="Times New Roman" w:hAnsi="Times New Roman"/>
          <w:sz w:val="24"/>
          <w:szCs w:val="24"/>
        </w:rPr>
        <w:t>要求参与相关会议和现场解决相关设计问题。驻场人员与</w:t>
      </w:r>
      <w:r>
        <w:rPr>
          <w:rFonts w:hint="eastAsia" w:ascii="Times New Roman" w:hAnsi="Times New Roman"/>
          <w:sz w:val="24"/>
          <w:szCs w:val="24"/>
        </w:rPr>
        <w:t>甲方</w:t>
      </w:r>
      <w:r>
        <w:rPr>
          <w:rFonts w:ascii="Times New Roman" w:hAnsi="Times New Roman"/>
          <w:sz w:val="24"/>
          <w:szCs w:val="24"/>
        </w:rPr>
        <w:t>同步执行</w:t>
      </w:r>
      <w:r>
        <w:rPr>
          <w:rFonts w:hint="eastAsia" w:ascii="Times New Roman" w:hAnsi="Times New Roman"/>
          <w:sz w:val="24"/>
          <w:szCs w:val="24"/>
        </w:rPr>
        <w:t>甲方</w:t>
      </w:r>
      <w:r>
        <w:rPr>
          <w:rFonts w:ascii="Times New Roman" w:hAnsi="Times New Roman"/>
          <w:sz w:val="24"/>
          <w:szCs w:val="24"/>
        </w:rPr>
        <w:t>考勤制度。</w:t>
      </w:r>
    </w:p>
    <w:p>
      <w:pPr>
        <w:spacing w:after="156" w:afterLines="50" w:line="300" w:lineRule="auto"/>
        <w:ind w:firstLine="420"/>
        <w:rPr>
          <w:rFonts w:ascii="宋体" w:hAnsi="宋体"/>
          <w:color w:val="000000"/>
          <w:sz w:val="24"/>
          <w:szCs w:val="24"/>
        </w:rPr>
      </w:pPr>
      <w:r>
        <w:rPr>
          <w:rFonts w:ascii="宋体" w:hAnsi="宋体"/>
          <w:color w:val="000000"/>
          <w:sz w:val="24"/>
          <w:szCs w:val="24"/>
        </w:rPr>
        <w:t>2.10乙方</w:t>
      </w:r>
      <w:r>
        <w:rPr>
          <w:rFonts w:hint="eastAsia" w:ascii="宋体" w:hAnsi="宋体"/>
          <w:color w:val="000000"/>
          <w:sz w:val="24"/>
          <w:szCs w:val="24"/>
        </w:rPr>
        <w:t>承诺驻场人员，若非甲方要求需离开驻地</w:t>
      </w:r>
      <w:r>
        <w:rPr>
          <w:rFonts w:ascii="宋体" w:hAnsi="宋体"/>
          <w:color w:val="000000"/>
          <w:sz w:val="24"/>
          <w:szCs w:val="24"/>
        </w:rPr>
        <w:t>2工作日以上需经甲方批准。总请假天数每人每月不得超过3工作日。在其请假离开的时间段内应书面委托其它驻场人员全权代表其行使职权。</w:t>
      </w:r>
    </w:p>
    <w:p>
      <w:pPr>
        <w:spacing w:after="156" w:afterLines="50" w:line="300" w:lineRule="auto"/>
        <w:ind w:firstLine="420"/>
        <w:rPr>
          <w:rFonts w:ascii="宋体" w:hAnsi="宋体"/>
          <w:color w:val="000000"/>
          <w:sz w:val="24"/>
          <w:szCs w:val="24"/>
        </w:rPr>
      </w:pPr>
      <w:r>
        <w:rPr>
          <w:rFonts w:ascii="宋体" w:hAnsi="宋体"/>
          <w:color w:val="000000"/>
          <w:sz w:val="24"/>
          <w:szCs w:val="24"/>
        </w:rPr>
        <w:t>2.11乙方必须加强乙方人员职业操守的教育，本项目乙方人员需共同遵守乙方人员职业道德守则。乙方现场人员应严格遵守工程实施安全规定。乙方应为现场人员购买商业意外保险。甲方不对乙方现场人员的人身安全承担责任。</w:t>
      </w:r>
    </w:p>
    <w:p>
      <w:pPr>
        <w:spacing w:after="156" w:afterLines="50" w:line="300" w:lineRule="auto"/>
        <w:ind w:firstLine="420"/>
        <w:rPr>
          <w:rFonts w:ascii="宋体" w:hAnsi="宋体"/>
          <w:color w:val="000000"/>
          <w:sz w:val="24"/>
          <w:szCs w:val="24"/>
        </w:rPr>
      </w:pPr>
      <w:r>
        <w:rPr>
          <w:rFonts w:ascii="宋体" w:hAnsi="宋体"/>
          <w:color w:val="000000"/>
          <w:sz w:val="24"/>
          <w:szCs w:val="24"/>
        </w:rPr>
        <w:t>2.1</w:t>
      </w:r>
      <w:r>
        <w:rPr>
          <w:rFonts w:hint="eastAsia" w:ascii="宋体" w:hAnsi="宋体"/>
          <w:color w:val="000000"/>
          <w:sz w:val="24"/>
          <w:szCs w:val="24"/>
        </w:rPr>
        <w:t>2接获甲方的投诉时，乙方的公司负责人和技术总负责人应当亲自过问并监督解决。</w:t>
      </w:r>
    </w:p>
    <w:p>
      <w:pPr>
        <w:pStyle w:val="41"/>
        <w:ind w:left="0" w:leftChars="0" w:firstLine="0" w:firstLineChars="0"/>
      </w:pPr>
      <w:r>
        <w:rPr>
          <w:rFonts w:hint="eastAsia" w:hAnsi="宋体"/>
          <w:color w:val="000000"/>
          <w:sz w:val="24"/>
          <w:szCs w:val="24"/>
        </w:rPr>
        <w:t xml:space="preserve">   2.13</w:t>
      </w:r>
      <w:r>
        <w:rPr>
          <w:rFonts w:hint="eastAsia" w:ascii="Times New Roman"/>
          <w:sz w:val="24"/>
          <w:szCs w:val="24"/>
        </w:rPr>
        <w:t xml:space="preserve"> 设计定期驻场时间从设计开始至现场项目施工完成。如中途需要更换驻场设计师，必须提出书面要求，并征得甲方同意后方可更换。新的设计法律、法规变化，必须第一时间以书面的形式，向甲方进行通报。</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建筑材料和设备的选用</w:t>
      </w:r>
    </w:p>
    <w:p>
      <w:pPr>
        <w:spacing w:after="156" w:afterLines="50" w:line="300" w:lineRule="auto"/>
        <w:ind w:firstLine="420"/>
        <w:rPr>
          <w:rFonts w:ascii="宋体" w:hAnsi="宋体"/>
          <w:color w:val="000000"/>
          <w:sz w:val="24"/>
          <w:szCs w:val="24"/>
        </w:rPr>
      </w:pPr>
      <w:r>
        <w:rPr>
          <w:rFonts w:ascii="宋体" w:hAnsi="宋体"/>
          <w:color w:val="000000"/>
          <w:sz w:val="24"/>
          <w:szCs w:val="24"/>
        </w:rPr>
        <w:t>3.1乙方</w:t>
      </w:r>
      <w:r>
        <w:rPr>
          <w:rFonts w:hint="eastAsia" w:ascii="宋体" w:hAnsi="宋体"/>
          <w:color w:val="000000"/>
          <w:sz w:val="24"/>
          <w:szCs w:val="24"/>
        </w:rPr>
        <w:t>应负责编制设备、材料采购的技术文件，内容包括设备、材料采购清单、技术要求、必要的附图、技术参数表和采购说明。</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3.2 </w:t>
      </w:r>
      <w:r>
        <w:rPr>
          <w:rFonts w:hint="eastAsia" w:ascii="宋体" w:hAnsi="宋体"/>
          <w:color w:val="000000"/>
          <w:sz w:val="24"/>
          <w:szCs w:val="24"/>
        </w:rPr>
        <w:t>设计所选用的建筑材料及设备（包括各专业选用的材料、设备），原则上要求所采用的设备和系统技术是成熟的，在进行性能价格比的分析后，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数据（包括性能指针、规格、型号等方面的数据）。</w:t>
      </w:r>
      <w:r>
        <w:rPr>
          <w:rFonts w:hint="eastAsia" w:ascii="宋体" w:hAnsi="宋体"/>
          <w:color w:val="000000"/>
          <w:sz w:val="24"/>
          <w:szCs w:val="24"/>
          <w:lang w:eastAsia="zh-CN"/>
        </w:rPr>
        <w:t>甲方</w:t>
      </w:r>
      <w:r>
        <w:rPr>
          <w:rFonts w:hint="eastAsia" w:ascii="宋体" w:hAnsi="宋体"/>
          <w:color w:val="000000"/>
          <w:sz w:val="24"/>
          <w:szCs w:val="24"/>
        </w:rPr>
        <w:t>要求以国外标准执行的，涉及到以外国文字为编制语言的文件、规定或其他材料，</w:t>
      </w:r>
      <w:r>
        <w:rPr>
          <w:rFonts w:hint="eastAsia" w:ascii="宋体" w:hAnsi="宋体"/>
          <w:color w:val="000000"/>
          <w:sz w:val="24"/>
          <w:szCs w:val="24"/>
          <w:lang w:eastAsia="zh-CN"/>
        </w:rPr>
        <w:t>甲方</w:t>
      </w:r>
      <w:r>
        <w:rPr>
          <w:rFonts w:hint="eastAsia" w:ascii="宋体" w:hAnsi="宋体"/>
          <w:color w:val="000000"/>
          <w:sz w:val="24"/>
          <w:szCs w:val="24"/>
        </w:rPr>
        <w:t>应向乙方提供经翻译成为中华人民共和国汉语简体字版本的材料，</w:t>
      </w:r>
      <w:r>
        <w:rPr>
          <w:rFonts w:hint="eastAsia" w:ascii="宋体" w:hAnsi="宋体"/>
          <w:color w:val="000000"/>
          <w:sz w:val="24"/>
          <w:szCs w:val="24"/>
          <w:lang w:eastAsia="zh-CN"/>
        </w:rPr>
        <w:t>甲方</w:t>
      </w:r>
      <w:r>
        <w:rPr>
          <w:rFonts w:hint="eastAsia" w:ascii="宋体" w:hAnsi="宋体"/>
          <w:color w:val="000000"/>
          <w:sz w:val="24"/>
          <w:szCs w:val="24"/>
        </w:rPr>
        <w:t>对材料翻译的准确性负责，相关标准按照中文翻译版的理解执行。</w:t>
      </w:r>
    </w:p>
    <w:p>
      <w:pPr>
        <w:spacing w:after="156" w:afterLines="50" w:line="300" w:lineRule="auto"/>
        <w:ind w:firstLine="420"/>
        <w:rPr>
          <w:rFonts w:ascii="宋体" w:hAnsi="宋体"/>
          <w:color w:val="000000"/>
          <w:sz w:val="24"/>
          <w:szCs w:val="24"/>
        </w:rPr>
      </w:pPr>
      <w:r>
        <w:rPr>
          <w:rFonts w:ascii="宋体" w:hAnsi="宋体"/>
          <w:color w:val="000000"/>
          <w:sz w:val="24"/>
          <w:szCs w:val="24"/>
        </w:rPr>
        <w:t>3.3</w:t>
      </w:r>
      <w:r>
        <w:rPr>
          <w:rFonts w:hint="eastAsia" w:ascii="宋体" w:hAnsi="宋体"/>
          <w:color w:val="000000"/>
          <w:sz w:val="24"/>
          <w:szCs w:val="24"/>
        </w:rPr>
        <w:t>乙方设计时应书面将拟选用设备和重要材料的选型、功能和技术参数等意见提交甲方审核，甲方负责确定选用设备和重要材料的品牌清单，对于本项目候选的建筑材料和设备，乙方应根据甲方的要求鉴别其优劣并提供相关咨询意见（包括与本项目各工艺设备的配套、市场询价、功能、型号、技术参数、售后服务等），咨询意见不能含有倾向性和排它性。乙方应按甲方最终确定的拟选用品牌的设备和重要材料进行设计，不得拒绝、推诿和拖延，否则由此导致工期延误的，每延误一天，甲方有权按签约合同总价的0.3%扣减乙方合同费用作为违约金；若延误时间超过20天时，视为严重违约，甲方有权终止合同并向乙方发出终止合同通知书，乙方须承担甲方因此造成的一切损失。</w:t>
      </w:r>
    </w:p>
    <w:p>
      <w:pPr>
        <w:spacing w:after="156" w:afterLines="50" w:line="300" w:lineRule="auto"/>
        <w:ind w:firstLine="420"/>
        <w:rPr>
          <w:rFonts w:ascii="宋体" w:hAnsi="宋体"/>
          <w:color w:val="000000"/>
          <w:sz w:val="24"/>
          <w:szCs w:val="24"/>
        </w:rPr>
      </w:pPr>
      <w:r>
        <w:rPr>
          <w:rFonts w:ascii="宋体" w:hAnsi="宋体"/>
          <w:color w:val="000000"/>
          <w:sz w:val="24"/>
          <w:szCs w:val="24"/>
        </w:rPr>
        <w:t>3.4从国外进口的建筑材料、设备等，乙方</w:t>
      </w:r>
      <w:r>
        <w:rPr>
          <w:rFonts w:hint="eastAsia" w:ascii="宋体" w:hAnsi="宋体"/>
          <w:color w:val="000000"/>
          <w:sz w:val="24"/>
          <w:szCs w:val="24"/>
        </w:rPr>
        <w:t>原则上须向甲方推荐三家以上可满足工程进度要求供货的国外厂商名称、产品质量标准、价格数据等，并提出评估意见。</w:t>
      </w:r>
    </w:p>
    <w:p>
      <w:pPr>
        <w:spacing w:after="156" w:afterLines="50" w:line="300" w:lineRule="auto"/>
        <w:ind w:firstLine="420"/>
        <w:rPr>
          <w:rFonts w:ascii="宋体" w:hAnsi="宋体"/>
          <w:color w:val="000000"/>
          <w:sz w:val="24"/>
          <w:szCs w:val="24"/>
        </w:rPr>
      </w:pPr>
      <w:r>
        <w:rPr>
          <w:rFonts w:ascii="宋体" w:hAnsi="宋体"/>
          <w:color w:val="000000"/>
          <w:sz w:val="24"/>
          <w:szCs w:val="24"/>
        </w:rPr>
        <w:t>3.5进口设备与材料的规格必须采用国际标准计量单位，能与国内材料、设备零件相配套。</w:t>
      </w:r>
    </w:p>
    <w:p>
      <w:pPr>
        <w:spacing w:after="156" w:afterLines="50" w:line="300" w:lineRule="auto"/>
        <w:ind w:firstLine="420"/>
        <w:rPr>
          <w:rFonts w:ascii="宋体" w:hAnsi="宋体"/>
          <w:color w:val="000000"/>
          <w:sz w:val="24"/>
          <w:szCs w:val="24"/>
        </w:rPr>
      </w:pPr>
      <w:r>
        <w:rPr>
          <w:rFonts w:ascii="宋体" w:hAnsi="宋体"/>
          <w:color w:val="000000"/>
          <w:sz w:val="24"/>
          <w:szCs w:val="24"/>
        </w:rPr>
        <w:t>3.6设计资料及文件中，建筑材料、建筑构配件和设备，应当注明其规格、型号、性能等技术指标，设计方不得指定生产厂、供应商。</w:t>
      </w:r>
      <w:r>
        <w:rPr>
          <w:rFonts w:hint="eastAsia" w:ascii="宋体" w:hAnsi="宋体"/>
          <w:color w:val="000000"/>
          <w:sz w:val="24"/>
          <w:szCs w:val="24"/>
        </w:rPr>
        <w:t>甲方需要乙方配合加工定货时，甲方仅承担货物采购费用和运输费用，其他费用均由乙方负责。</w:t>
      </w:r>
    </w:p>
    <w:p>
      <w:pPr>
        <w:pStyle w:val="4"/>
      </w:pPr>
      <w:bookmarkStart w:id="46" w:name="_Toc1736139"/>
      <w:r>
        <w:rPr>
          <w:rFonts w:hint="eastAsia"/>
        </w:rPr>
        <w:t>十、设计变更管理</w:t>
      </w:r>
      <w:bookmarkEnd w:id="46"/>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乙方</w:t>
      </w:r>
      <w:r>
        <w:rPr>
          <w:rFonts w:hint="eastAsia" w:ascii="宋体" w:hAnsi="宋体"/>
          <w:color w:val="000000"/>
          <w:sz w:val="24"/>
          <w:szCs w:val="24"/>
        </w:rPr>
        <w:t>承诺能够根据工程需要修改设计，对所承担项目设计的完整性负责，且修改设计完成时限应满足工程建设需要并符合本合同要求。</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乙方</w:t>
      </w:r>
      <w:r>
        <w:rPr>
          <w:rFonts w:hint="eastAsia" w:ascii="宋体" w:hAnsi="宋体"/>
          <w:color w:val="000000"/>
          <w:sz w:val="24"/>
          <w:szCs w:val="24"/>
        </w:rPr>
        <w:t>承诺确保施工设计图质量，严格管控设计变更。工程建设过程中因各种原因发生的设计变更，如因甲方提出的变更，甲方应向乙方发送经甲方盖章的、书面形式的设计变更要求和说明，乙方应对变更是否可行给予书面回复，经甲乙双方及监理单位认可后方可实施；乙方提出的变更，须按甲方制定的有关设计变更管理办法进行规范，明确设计变更的原因、种类、责任认定和增减费用说明（需附设计变更投资估算分析，列明变更增减费用的估算金额）。</w:t>
      </w:r>
      <w:r>
        <w:rPr>
          <w:rFonts w:ascii="Times New Roman" w:hAnsi="Times New Roman"/>
          <w:color w:val="000000"/>
          <w:sz w:val="24"/>
          <w:szCs w:val="24"/>
        </w:rPr>
        <w:t>工程建设过程中</w:t>
      </w:r>
      <w:r>
        <w:rPr>
          <w:rFonts w:hint="eastAsia" w:ascii="宋体" w:hAnsi="宋体"/>
          <w:color w:val="000000"/>
          <w:sz w:val="24"/>
          <w:szCs w:val="24"/>
        </w:rPr>
        <w:t>所有设计变更均需报甲方进行审核盖印和签字确认。若因特殊原因出现一类工程设计变更（一类设计变更是指对工程的建设规模、技术标准、重要建（构）筑物的设计方案及施工工法进行变更，或者需增加投资额超过对应单项中标合同价</w:t>
      </w:r>
      <w:r>
        <w:rPr>
          <w:rFonts w:ascii="宋体" w:hAnsi="宋体"/>
          <w:color w:val="000000"/>
          <w:sz w:val="24"/>
          <w:szCs w:val="24"/>
        </w:rPr>
        <w:t>10%或者￥100万元及以上的变更），</w:t>
      </w:r>
      <w:r>
        <w:rPr>
          <w:rFonts w:hint="eastAsia" w:ascii="宋体" w:hAnsi="宋体"/>
          <w:color w:val="000000"/>
          <w:sz w:val="24"/>
          <w:szCs w:val="24"/>
        </w:rPr>
        <w:t>乙方</w:t>
      </w:r>
      <w:r>
        <w:rPr>
          <w:rFonts w:ascii="宋体" w:hAnsi="宋体"/>
          <w:color w:val="000000"/>
          <w:sz w:val="24"/>
          <w:szCs w:val="24"/>
        </w:rPr>
        <w:t>需</w:t>
      </w:r>
      <w:r>
        <w:rPr>
          <w:rFonts w:hint="eastAsia" w:ascii="宋体" w:hAnsi="宋体"/>
          <w:color w:val="000000"/>
          <w:sz w:val="24"/>
          <w:szCs w:val="24"/>
        </w:rPr>
        <w:t>提供所有变更资料，并配合甲方报送政府相关部门审批（或备案）（如需）。</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由于设计人设计错误、对设计基础数据选用不当、</w:t>
      </w:r>
      <w:r>
        <w:rPr>
          <w:rFonts w:hint="eastAsia" w:ascii="宋体" w:hAnsi="宋体"/>
          <w:color w:val="000000"/>
          <w:sz w:val="24"/>
          <w:szCs w:val="24"/>
        </w:rPr>
        <w:t>各</w:t>
      </w:r>
      <w:r>
        <w:rPr>
          <w:rFonts w:ascii="宋体" w:hAnsi="宋体"/>
          <w:color w:val="000000"/>
          <w:sz w:val="24"/>
          <w:szCs w:val="24"/>
        </w:rPr>
        <w:t>专业间接口出现矛盾等情况造成的设计更改，设计人应在一周内提交设计变更。甲方保留追究乙方责任的权利。</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当在设计过程中，国家设计规范发生修订与更改时，设计人应据以进行必要的修改，不因此增加设计费用。</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5、乙方应按甲方、评标委员会、政府审查机构的评审意见修改工作成果，不另行收费。</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由于设计基础数据改变、设备与材料订货条件发生改变及适应施工安装条件而进行设计变更，应征得甲方的同意，可按实际情况延长设计工期，不因此增加设计费用。</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由于甲方对审定后的工程设计，提出变更设计内容，不追加设计费、不延长设计工期；对</w:t>
      </w:r>
      <w:r>
        <w:rPr>
          <w:rFonts w:hint="eastAsia" w:ascii="宋体" w:hAnsi="宋体"/>
          <w:color w:val="000000"/>
          <w:sz w:val="24"/>
          <w:szCs w:val="24"/>
        </w:rPr>
        <w:t>审定后的</w:t>
      </w:r>
      <w:r>
        <w:rPr>
          <w:rFonts w:ascii="宋体" w:hAnsi="宋体"/>
          <w:color w:val="000000"/>
          <w:sz w:val="24"/>
          <w:szCs w:val="24"/>
        </w:rPr>
        <w:t>重大设计变更，可按实际情况</w:t>
      </w:r>
      <w:r>
        <w:rPr>
          <w:rFonts w:hint="eastAsia" w:ascii="宋体" w:hAnsi="宋体"/>
          <w:color w:val="000000"/>
          <w:sz w:val="24"/>
          <w:szCs w:val="24"/>
        </w:rPr>
        <w:t>提请</w:t>
      </w:r>
      <w:r>
        <w:rPr>
          <w:rFonts w:ascii="宋体" w:hAnsi="宋体"/>
          <w:color w:val="000000"/>
          <w:sz w:val="24"/>
          <w:szCs w:val="24"/>
        </w:rPr>
        <w:t>甲方审核确认后延长设计工期</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highlight w:val="none"/>
        </w:rPr>
      </w:pPr>
      <w:r>
        <w:rPr>
          <w:rFonts w:hint="eastAsia" w:ascii="宋体" w:hAnsi="宋体"/>
          <w:color w:val="000000"/>
          <w:sz w:val="24"/>
          <w:szCs w:val="24"/>
          <w:highlight w:val="none"/>
        </w:rPr>
        <w:t>8、</w:t>
      </w:r>
      <w:r>
        <w:rPr>
          <w:rFonts w:ascii="宋体" w:hAnsi="宋体"/>
          <w:color w:val="000000"/>
          <w:sz w:val="24"/>
          <w:szCs w:val="24"/>
          <w:highlight w:val="none"/>
        </w:rPr>
        <w:t>甲方变更委托设计项目、规模、条件或因提交的资料</w:t>
      </w:r>
      <w:r>
        <w:rPr>
          <w:rFonts w:hint="eastAsia" w:ascii="宋体" w:hAnsi="宋体"/>
          <w:color w:val="000000"/>
          <w:sz w:val="24"/>
          <w:szCs w:val="24"/>
          <w:highlight w:val="none"/>
        </w:rPr>
        <w:t>存在</w:t>
      </w:r>
      <w:r>
        <w:rPr>
          <w:rFonts w:ascii="宋体" w:hAnsi="宋体"/>
          <w:color w:val="000000"/>
          <w:sz w:val="24"/>
          <w:szCs w:val="24"/>
          <w:highlight w:val="none"/>
        </w:rPr>
        <w:t>错误，或所提交资料作</w:t>
      </w:r>
      <w:r>
        <w:rPr>
          <w:rFonts w:hint="eastAsia" w:ascii="宋体" w:hAnsi="宋体"/>
          <w:color w:val="000000"/>
          <w:sz w:val="24"/>
          <w:szCs w:val="24"/>
          <w:highlight w:val="none"/>
        </w:rPr>
        <w:t>重</w:t>
      </w:r>
      <w:r>
        <w:rPr>
          <w:rFonts w:ascii="宋体" w:hAnsi="宋体"/>
          <w:color w:val="000000"/>
          <w:sz w:val="24"/>
          <w:szCs w:val="24"/>
          <w:highlight w:val="none"/>
        </w:rPr>
        <w:t>大修改等原因，而导致</w:t>
      </w:r>
      <w:r>
        <w:rPr>
          <w:rFonts w:hint="eastAsia" w:ascii="宋体" w:hAnsi="宋体"/>
          <w:color w:val="000000"/>
          <w:sz w:val="24"/>
          <w:szCs w:val="24"/>
          <w:highlight w:val="none"/>
        </w:rPr>
        <w:t>乙方设计成果需要设计</w:t>
      </w:r>
      <w:r>
        <w:rPr>
          <w:rFonts w:ascii="宋体" w:hAnsi="宋体"/>
          <w:color w:val="000000"/>
          <w:sz w:val="24"/>
          <w:szCs w:val="24"/>
          <w:highlight w:val="none"/>
        </w:rPr>
        <w:t>返工或重新设计时，乙方应及时按照甲方要求设计返工或重新设计</w:t>
      </w:r>
      <w:r>
        <w:rPr>
          <w:rFonts w:hint="eastAsia" w:ascii="宋体" w:hAnsi="宋体"/>
          <w:color w:val="000000"/>
          <w:sz w:val="24"/>
          <w:szCs w:val="24"/>
          <w:highlight w:val="none"/>
        </w:rPr>
        <w:t>，</w:t>
      </w:r>
      <w:r>
        <w:rPr>
          <w:rFonts w:ascii="宋体" w:hAnsi="宋体"/>
          <w:color w:val="000000"/>
          <w:sz w:val="24"/>
          <w:szCs w:val="24"/>
          <w:highlight w:val="none"/>
        </w:rPr>
        <w:t>乙方承诺放弃由此增加的设计成本费用</w:t>
      </w:r>
      <w:r>
        <w:rPr>
          <w:rFonts w:hint="eastAsia" w:ascii="宋体" w:hAnsi="宋体"/>
          <w:color w:val="000000"/>
          <w:sz w:val="24"/>
          <w:szCs w:val="24"/>
          <w:highlight w:val="none"/>
        </w:rPr>
        <w:t>，合同设计费固定不变，</w:t>
      </w:r>
      <w:r>
        <w:rPr>
          <w:rFonts w:ascii="宋体" w:hAnsi="宋体"/>
          <w:color w:val="000000"/>
          <w:sz w:val="24"/>
          <w:szCs w:val="24"/>
          <w:highlight w:val="none"/>
        </w:rPr>
        <w:t>甲方不予另行支付设计费</w:t>
      </w:r>
      <w:r>
        <w:rPr>
          <w:rFonts w:hint="eastAsia" w:ascii="宋体" w:hAnsi="宋体"/>
          <w:color w:val="000000"/>
          <w:sz w:val="24"/>
          <w:szCs w:val="24"/>
          <w:highlight w:val="none"/>
        </w:rPr>
        <w:t>，相应工期经甲方审定后可顺延。</w:t>
      </w:r>
    </w:p>
    <w:p>
      <w:pPr>
        <w:pStyle w:val="119"/>
        <w:adjustRightInd w:val="0"/>
        <w:snapToGrid w:val="0"/>
        <w:spacing w:after="156" w:afterLines="50"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9、甲方超出本合同设计工作范围委托乙方设计时，甲方将以</w:t>
      </w:r>
      <w:r>
        <w:rPr>
          <w:rFonts w:ascii="宋体" w:hAnsi="宋体"/>
          <w:color w:val="000000"/>
          <w:sz w:val="24"/>
          <w:szCs w:val="24"/>
          <w:highlight w:val="none"/>
        </w:rPr>
        <w:t>合同外委托工程</w:t>
      </w:r>
      <w:r>
        <w:rPr>
          <w:rFonts w:hint="eastAsia" w:ascii="宋体" w:hAnsi="宋体"/>
          <w:color w:val="000000"/>
          <w:sz w:val="24"/>
          <w:szCs w:val="24"/>
          <w:highlight w:val="none"/>
        </w:rPr>
        <w:t>预算造价（工程预算造价以甲方审定为准）中工程设计收费基价（土建工程费+安装工程费+设备购置费（下浮75%））作为工程设计收费计费额，乘以计费费率（初步设计费计费费率为0.8%，施工图设计费（含施工图、竣工图编制与审定）计费费率为0.8%）后下浮80%计取合同范围外委托设计费。若有采用标准设计的或者复用设计的或者成套设备供应设计的，上述计算的合同范围外委托设计费须再下浮60%结算。乙方须确保设计成果和现场服务工作满足施工和验收需要。以上计算的设计费包括但不限于</w:t>
      </w:r>
      <w:r>
        <w:rPr>
          <w:rFonts w:hint="eastAsia"/>
          <w:color w:val="000000"/>
          <w:sz w:val="24"/>
          <w:highlight w:val="none"/>
        </w:rPr>
        <w:t>方案设计与修改、初步设计、施工图设计、现场服务、初步设计概算编制、修建性详细规划、施工图预算和编制竣工图，以及其他配合工作，包括（但不限于）相关报建、建规设计方案审查、规划放线、单体建筑审查、施工及设备招标配合、施工图审查、结算和保修服务，负责规划设计方案及调整规划设计方案（若有）审批、规划许可和规划验收等工作顺利完成</w:t>
      </w:r>
      <w:r>
        <w:rPr>
          <w:rFonts w:hint="eastAsia"/>
          <w:sz w:val="24"/>
          <w:szCs w:val="24"/>
          <w:highlight w:val="none"/>
        </w:rPr>
        <w:t>及</w:t>
      </w:r>
      <w:r>
        <w:rPr>
          <w:rFonts w:hint="eastAsia" w:ascii="宋体" w:hAnsi="宋体"/>
          <w:color w:val="000000"/>
          <w:sz w:val="24"/>
          <w:szCs w:val="24"/>
          <w:highlight w:val="none"/>
        </w:rPr>
        <w:t>施工现场设计服务、专利和专有技术使用费、参与配合试运转调试和竣工验收及图纸和文件打印装订等所有费用，甲方不另外支付乙方任何费用。最终结算以甲方书面审核结算为准。乙方不得拒绝、推诿和拖延，否则由此导致工期延误的，每延误一天，甲方有权按合同相应签约合同总价的0.3%扣减乙方合同费用作为违约金；若延误时间超过20天时，视为严重违约，甲方有权终止合同并向乙方发出终止合同通知书，乙方须承担甲方因此造成的一切损失。</w:t>
      </w:r>
    </w:p>
    <w:p>
      <w:pPr>
        <w:spacing w:after="156" w:afterLines="50" w:line="300" w:lineRule="auto"/>
        <w:ind w:firstLine="420"/>
        <w:rPr>
          <w:rFonts w:ascii="宋体" w:hAnsi="宋体"/>
          <w:color w:val="000000"/>
          <w:kern w:val="0"/>
          <w:sz w:val="24"/>
          <w:szCs w:val="24"/>
          <w:highlight w:val="none"/>
        </w:rPr>
      </w:pPr>
      <w:r>
        <w:rPr>
          <w:rFonts w:hint="eastAsia" w:ascii="宋体" w:hAnsi="宋体"/>
          <w:color w:val="000000"/>
          <w:kern w:val="0"/>
          <w:sz w:val="24"/>
          <w:szCs w:val="24"/>
          <w:highlight w:val="none"/>
        </w:rPr>
        <w:t>11、乙方承诺：任何情况下都会确保设计成果和现场服务工作满足施工和验收需要，在设计工作和协调服务过程中，将以认真负责的专业态度和尽心尽责的服务态度来面对，积极配合推进甲方工作的顺利进行。</w:t>
      </w:r>
    </w:p>
    <w:p>
      <w:pPr>
        <w:pStyle w:val="4"/>
        <w:rPr>
          <w:highlight w:val="none"/>
        </w:rPr>
      </w:pPr>
      <w:bookmarkStart w:id="47" w:name="_Toc1736140"/>
      <w:r>
        <w:rPr>
          <w:rFonts w:hint="eastAsia"/>
          <w:highlight w:val="none"/>
        </w:rPr>
        <w:t>十一、合同价款及其支付</w:t>
      </w:r>
      <w:bookmarkEnd w:id="47"/>
      <w:r>
        <w:rPr>
          <w:rFonts w:hint="eastAsia"/>
          <w:highlight w:val="none"/>
        </w:rPr>
        <w:t>、履约担保</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1、合同价款和履约担保</w:t>
      </w:r>
    </w:p>
    <w:p>
      <w:pPr>
        <w:spacing w:before="156" w:beforeLines="50" w:after="156" w:afterLines="50" w:line="300" w:lineRule="auto"/>
        <w:ind w:firstLine="470" w:firstLineChars="196"/>
        <w:rPr>
          <w:rFonts w:ascii="宋体" w:hAnsi="宋体"/>
          <w:bCs/>
          <w:color w:val="000000"/>
          <w:sz w:val="24"/>
          <w:szCs w:val="24"/>
        </w:rPr>
      </w:pPr>
      <w:r>
        <w:rPr>
          <w:rFonts w:hint="eastAsia" w:ascii="宋体" w:hAnsi="宋体"/>
          <w:bCs/>
          <w:color w:val="000000"/>
          <w:sz w:val="24"/>
          <w:szCs w:val="24"/>
        </w:rPr>
        <w:t>1.1 合同含税暂定总价￥     元（大写：人民币      ），其中不含税金额为￥</w:t>
      </w:r>
      <w:r>
        <w:rPr>
          <w:rFonts w:hint="eastAsia" w:ascii="宋体" w:hAnsi="宋体"/>
          <w:bCs/>
          <w:color w:val="000000"/>
          <w:sz w:val="24"/>
          <w:szCs w:val="24"/>
          <w:u w:val="single"/>
        </w:rPr>
        <w:t xml:space="preserve">     </w:t>
      </w:r>
      <w:r>
        <w:rPr>
          <w:rFonts w:hint="eastAsia" w:ascii="宋体" w:hAnsi="宋体"/>
          <w:bCs/>
          <w:color w:val="000000"/>
          <w:sz w:val="24"/>
          <w:szCs w:val="24"/>
        </w:rPr>
        <w:t>元，税额为￥</w:t>
      </w:r>
      <w:r>
        <w:rPr>
          <w:rFonts w:hint="eastAsia" w:ascii="宋体" w:hAnsi="宋体"/>
          <w:bCs/>
          <w:color w:val="000000"/>
          <w:sz w:val="24"/>
          <w:szCs w:val="24"/>
          <w:u w:val="single"/>
        </w:rPr>
        <w:t xml:space="preserve">      </w:t>
      </w:r>
      <w:r>
        <w:rPr>
          <w:rFonts w:hint="eastAsia" w:ascii="宋体" w:hAnsi="宋体"/>
          <w:bCs/>
          <w:color w:val="000000"/>
          <w:sz w:val="24"/>
          <w:szCs w:val="24"/>
        </w:rPr>
        <w:t>，</w:t>
      </w:r>
      <w:r>
        <w:rPr>
          <w:rFonts w:hint="eastAsia" w:ascii="宋体" w:hAnsi="宋体"/>
          <w:color w:val="000000"/>
          <w:sz w:val="24"/>
          <w:szCs w:val="24"/>
        </w:rPr>
        <w:t>最终结算金额以甲方审定或政府主管部门审定（若需要，根据政府主管部门最新颁布文件执行）为准</w:t>
      </w:r>
      <w:r>
        <w:rPr>
          <w:rFonts w:hint="eastAsia" w:ascii="宋体" w:hAnsi="宋体"/>
          <w:bCs/>
          <w:color w:val="000000"/>
          <w:sz w:val="24"/>
          <w:szCs w:val="24"/>
        </w:rPr>
        <w:t>。</w:t>
      </w:r>
      <w:r>
        <w:rPr>
          <w:rFonts w:hint="eastAsia" w:ascii="宋体" w:hAnsi="宋体"/>
          <w:b/>
          <w:bCs/>
          <w:color w:val="000000"/>
          <w:sz w:val="24"/>
          <w:szCs w:val="24"/>
        </w:rPr>
        <w:t>合同期内，如遇国家增值税税率发生变化时，依据国家财政部、税务总局发布的相关调整税率通知，按最新税率执行，若最新税率调减，则合同价格对应核减税费减少部分金额后结算。</w:t>
      </w:r>
      <w:r>
        <w:rPr>
          <w:rFonts w:hint="eastAsia" w:ascii="宋体" w:hAnsi="宋体"/>
          <w:bCs/>
          <w:color w:val="000000"/>
          <w:sz w:val="24"/>
          <w:szCs w:val="24"/>
        </w:rPr>
        <w:t>其中，</w:t>
      </w:r>
    </w:p>
    <w:p>
      <w:pPr>
        <w:spacing w:before="156" w:beforeLines="50" w:after="156" w:afterLines="50" w:line="300" w:lineRule="auto"/>
        <w:ind w:firstLine="470" w:firstLineChars="196"/>
        <w:rPr>
          <w:rFonts w:ascii="宋体" w:hAnsi="宋体"/>
          <w:bCs/>
          <w:color w:val="000000"/>
          <w:sz w:val="24"/>
          <w:szCs w:val="24"/>
        </w:rPr>
      </w:pPr>
      <w:r>
        <w:rPr>
          <w:rFonts w:hint="eastAsia" w:ascii="宋体" w:hAnsi="宋体"/>
          <w:bCs/>
          <w:color w:val="000000"/>
          <w:sz w:val="24"/>
          <w:szCs w:val="24"/>
        </w:rPr>
        <w:t>1.1.1 工程勘察费暂定为￥     元（大写：人民币    ），其中不含税金额为￥</w:t>
      </w:r>
      <w:r>
        <w:rPr>
          <w:rFonts w:hint="eastAsia" w:ascii="宋体" w:hAnsi="宋体"/>
          <w:bCs/>
          <w:color w:val="000000"/>
          <w:sz w:val="24"/>
          <w:szCs w:val="24"/>
          <w:u w:val="single"/>
        </w:rPr>
        <w:t xml:space="preserve">     </w:t>
      </w:r>
      <w:r>
        <w:rPr>
          <w:rFonts w:hint="eastAsia" w:ascii="宋体" w:hAnsi="宋体"/>
          <w:bCs/>
          <w:color w:val="000000"/>
          <w:sz w:val="24"/>
          <w:szCs w:val="24"/>
        </w:rPr>
        <w:t>元，税额为￥</w:t>
      </w:r>
      <w:r>
        <w:rPr>
          <w:rFonts w:hint="eastAsia" w:ascii="宋体" w:hAnsi="宋体"/>
          <w:bCs/>
          <w:color w:val="000000"/>
          <w:sz w:val="24"/>
          <w:szCs w:val="24"/>
          <w:u w:val="single"/>
        </w:rPr>
        <w:t xml:space="preserve">    </w:t>
      </w:r>
      <w:r>
        <w:rPr>
          <w:rFonts w:hint="eastAsia" w:ascii="宋体" w:hAnsi="宋体"/>
          <w:bCs/>
          <w:color w:val="000000"/>
          <w:sz w:val="24"/>
          <w:szCs w:val="24"/>
        </w:rPr>
        <w:t>元，该费用为暂定含税包干总价，实际结算价以下述“本条 4.1款”约定为准，</w:t>
      </w:r>
      <w:r>
        <w:rPr>
          <w:rFonts w:hint="eastAsia" w:ascii="宋体" w:hAnsi="宋体"/>
          <w:color w:val="000000"/>
          <w:sz w:val="24"/>
          <w:szCs w:val="24"/>
        </w:rPr>
        <w:t>最终结算金额以甲方审定或政府主管部门审定（若需要，根据政府主管部门最新颁布文件执行）为准</w:t>
      </w:r>
      <w:r>
        <w:rPr>
          <w:rFonts w:hint="eastAsia" w:ascii="宋体" w:hAnsi="宋体"/>
          <w:bCs/>
          <w:color w:val="000000"/>
          <w:sz w:val="24"/>
          <w:szCs w:val="24"/>
        </w:rPr>
        <w:t>。</w:t>
      </w:r>
    </w:p>
    <w:p>
      <w:pPr>
        <w:pStyle w:val="119"/>
        <w:adjustRightInd w:val="0"/>
        <w:snapToGrid w:val="0"/>
        <w:spacing w:line="300" w:lineRule="auto"/>
        <w:ind w:firstLine="480" w:firstLineChars="200"/>
        <w:rPr>
          <w:rFonts w:ascii="宋体" w:hAnsi="宋体"/>
          <w:bCs/>
          <w:color w:val="000000"/>
          <w:sz w:val="24"/>
          <w:szCs w:val="24"/>
        </w:rPr>
      </w:pPr>
      <w:r>
        <w:rPr>
          <w:rFonts w:hint="eastAsia" w:ascii="宋体" w:hAnsi="宋体"/>
          <w:bCs/>
          <w:color w:val="000000"/>
          <w:sz w:val="24"/>
          <w:szCs w:val="24"/>
        </w:rPr>
        <w:t>1.1.2 合同设计费含税包干固定总价为￥</w:t>
      </w:r>
      <w:r>
        <w:rPr>
          <w:rFonts w:hint="eastAsia" w:ascii="宋体" w:hAnsi="宋体"/>
          <w:bCs/>
          <w:color w:val="000000"/>
          <w:sz w:val="24"/>
          <w:szCs w:val="24"/>
          <w:u w:val="single"/>
        </w:rPr>
        <w:t xml:space="preserve">     </w:t>
      </w:r>
      <w:r>
        <w:rPr>
          <w:rFonts w:hint="eastAsia" w:ascii="宋体" w:hAnsi="宋体"/>
          <w:bCs/>
          <w:color w:val="000000"/>
          <w:sz w:val="24"/>
          <w:szCs w:val="24"/>
        </w:rPr>
        <w:t>元（大写：人民币</w:t>
      </w:r>
      <w:r>
        <w:rPr>
          <w:rFonts w:hint="eastAsia" w:ascii="宋体" w:hAnsi="宋体"/>
          <w:bCs/>
          <w:color w:val="000000"/>
          <w:sz w:val="24"/>
          <w:szCs w:val="24"/>
          <w:u w:val="single"/>
        </w:rPr>
        <w:t xml:space="preserve">     </w:t>
      </w:r>
      <w:r>
        <w:rPr>
          <w:rFonts w:hint="eastAsia" w:ascii="宋体" w:hAnsi="宋体"/>
          <w:bCs/>
          <w:color w:val="000000"/>
          <w:sz w:val="24"/>
          <w:szCs w:val="24"/>
        </w:rPr>
        <w:t>），其中不含税金额为￥</w:t>
      </w:r>
      <w:r>
        <w:rPr>
          <w:rFonts w:hint="eastAsia" w:ascii="宋体" w:hAnsi="宋体"/>
          <w:bCs/>
          <w:color w:val="000000"/>
          <w:sz w:val="24"/>
          <w:szCs w:val="24"/>
          <w:u w:val="single"/>
        </w:rPr>
        <w:t xml:space="preserve">      </w:t>
      </w:r>
      <w:r>
        <w:rPr>
          <w:rFonts w:hint="eastAsia" w:ascii="宋体" w:hAnsi="宋体"/>
          <w:bCs/>
          <w:color w:val="000000"/>
          <w:sz w:val="24"/>
          <w:szCs w:val="24"/>
        </w:rPr>
        <w:t>元，税额为￥</w:t>
      </w:r>
      <w:r>
        <w:rPr>
          <w:rFonts w:hint="eastAsia" w:ascii="宋体" w:hAnsi="宋体"/>
          <w:bCs/>
          <w:color w:val="000000"/>
          <w:sz w:val="24"/>
          <w:szCs w:val="24"/>
          <w:u w:val="single"/>
        </w:rPr>
        <w:t xml:space="preserve">      </w:t>
      </w:r>
      <w:r>
        <w:rPr>
          <w:rFonts w:hint="eastAsia" w:ascii="宋体" w:hAnsi="宋体"/>
          <w:bCs/>
          <w:color w:val="000000"/>
          <w:sz w:val="24"/>
          <w:szCs w:val="24"/>
        </w:rPr>
        <w:t>元。</w:t>
      </w:r>
      <w:r>
        <w:rPr>
          <w:rFonts w:ascii="宋体" w:hAnsi="宋体"/>
          <w:color w:val="000000"/>
          <w:sz w:val="24"/>
          <w:szCs w:val="24"/>
        </w:rPr>
        <w:t>已包含完成</w:t>
      </w:r>
      <w:r>
        <w:rPr>
          <w:rFonts w:hint="eastAsia" w:ascii="宋体" w:hAnsi="宋体"/>
          <w:color w:val="000000"/>
          <w:sz w:val="24"/>
          <w:szCs w:val="24"/>
        </w:rPr>
        <w:t>“第二部分 合同条款 二 （三）设计工作范围”及“合同附件二：</w:t>
      </w:r>
      <w:r>
        <w:rPr>
          <w:rFonts w:hint="eastAsia"/>
          <w:sz w:val="24"/>
        </w:rPr>
        <w:t>动力电池梯次利用项目</w:t>
      </w:r>
      <w:r>
        <w:rPr>
          <w:rFonts w:hint="eastAsia"/>
          <w:sz w:val="24"/>
          <w:lang w:val="en-US" w:eastAsia="zh-CN"/>
        </w:rPr>
        <w:t>勘察</w:t>
      </w:r>
      <w:r>
        <w:rPr>
          <w:rFonts w:hint="eastAsia" w:ascii="宋体" w:hAnsi="宋体"/>
          <w:color w:val="000000"/>
          <w:sz w:val="24"/>
          <w:szCs w:val="24"/>
        </w:rPr>
        <w:t>设计任务书”约定设计工作范围和内容的所需的一切费用，包括但不限于</w:t>
      </w:r>
      <w:r>
        <w:rPr>
          <w:rFonts w:hint="eastAsia"/>
          <w:color w:val="000000"/>
          <w:sz w:val="24"/>
        </w:rPr>
        <w:t>方案设计与修改、初步设计、施工图设计、现场服务、初步设计概算编制、修建性详细规划、施工图预算和编制竣工图，以及其他配合工作，包括（但不限于）相关报建、建规设计方案审查、规划放线、单体建筑审查、施工及设备招标配合、施工图审查、结算和保修服务，负责规划设计方案及调整规划设计方案（若有）审批、规划许可和规划验收等工作顺利完成</w:t>
      </w:r>
      <w:r>
        <w:rPr>
          <w:rFonts w:hint="eastAsia"/>
          <w:sz w:val="24"/>
          <w:szCs w:val="24"/>
        </w:rPr>
        <w:t>及</w:t>
      </w:r>
      <w:r>
        <w:rPr>
          <w:rFonts w:hint="eastAsia" w:ascii="宋体" w:hAnsi="宋体"/>
          <w:color w:val="000000"/>
          <w:sz w:val="24"/>
          <w:szCs w:val="24"/>
        </w:rPr>
        <w:t>施工现场设计服务、专利和专有技术使用费、参与配合试运转调试和竣工验收及图纸和文件打印装订等所有费用，甲方不另外支付乙方任何费用</w:t>
      </w:r>
      <w:r>
        <w:rPr>
          <w:rFonts w:hint="eastAsia" w:ascii="宋体" w:hAnsi="宋体"/>
          <w:bCs/>
          <w:color w:val="000000"/>
          <w:sz w:val="24"/>
          <w:szCs w:val="24"/>
        </w:rPr>
        <w:t>。</w:t>
      </w:r>
    </w:p>
    <w:p>
      <w:pPr>
        <w:spacing w:after="156" w:afterLines="50" w:line="300" w:lineRule="auto"/>
        <w:ind w:firstLine="420"/>
        <w:rPr>
          <w:rStyle w:val="50"/>
        </w:rPr>
      </w:pPr>
      <w:r>
        <w:rPr>
          <w:rFonts w:hint="eastAsia" w:ascii="宋体" w:hAnsi="宋体"/>
          <w:color w:val="000000"/>
          <w:sz w:val="24"/>
          <w:szCs w:val="24"/>
        </w:rPr>
        <w:t>1.2 甲方在施工现场仅提供乙方管理人员临时办公场所及网络、电讯、水、电接口，乙方自带办公设备、车辆、生活和办公家具等，</w:t>
      </w:r>
      <w:r>
        <w:rPr>
          <w:rFonts w:hint="eastAsia" w:ascii="宋体" w:hAnsi="宋体"/>
          <w:color w:val="000000"/>
          <w:sz w:val="24"/>
          <w:szCs w:val="24"/>
          <w:lang w:val="en-US" w:eastAsia="zh-CN"/>
        </w:rPr>
        <w:t>乙方</w:t>
      </w:r>
      <w:r>
        <w:rPr>
          <w:rFonts w:hint="eastAsia" w:ascii="宋体" w:hAnsi="宋体"/>
          <w:color w:val="000000"/>
          <w:sz w:val="24"/>
          <w:szCs w:val="24"/>
        </w:rPr>
        <w:t>承担自身人员的水、电、网络、通讯、食宿、卫生等日常费用及维护费用，</w:t>
      </w:r>
      <w:r>
        <w:rPr>
          <w:rFonts w:hint="eastAsia" w:ascii="宋体" w:hAnsi="宋体"/>
          <w:color w:val="000000"/>
          <w:sz w:val="24"/>
          <w:szCs w:val="24"/>
          <w:lang w:eastAsia="zh-CN"/>
        </w:rPr>
        <w:t>乙方</w:t>
      </w:r>
      <w:r>
        <w:rPr>
          <w:rFonts w:hint="eastAsia" w:ascii="宋体" w:hAnsi="宋体"/>
          <w:color w:val="000000"/>
          <w:sz w:val="24"/>
          <w:szCs w:val="24"/>
        </w:rPr>
        <w:t>负责勘察作业机械设备进出场、施工临时水电敷设、施工用水用电、安全文明措施等费用。</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1.3 履约担保</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（1）履约保函总金额应为合同</w:t>
      </w:r>
      <w:r>
        <w:rPr>
          <w:rFonts w:hint="eastAsia" w:ascii="宋体" w:hAnsi="宋体"/>
          <w:bCs/>
          <w:color w:val="000000"/>
          <w:sz w:val="24"/>
          <w:szCs w:val="24"/>
        </w:rPr>
        <w:t>含税暂定总价</w:t>
      </w:r>
      <w:r>
        <w:rPr>
          <w:rFonts w:hint="eastAsia" w:ascii="宋体" w:hAnsi="宋体"/>
          <w:color w:val="000000"/>
          <w:sz w:val="24"/>
          <w:szCs w:val="24"/>
        </w:rPr>
        <w:t>的10%。在签订合同后的二十个工作日内，乙方1应向甲方提供符合甲方要求的银行出具的不可撤销的履约保函：履约保函金额为合同</w:t>
      </w:r>
      <w:r>
        <w:rPr>
          <w:rFonts w:hint="eastAsia" w:ascii="宋体" w:hAnsi="宋体"/>
          <w:bCs/>
          <w:color w:val="000000"/>
          <w:sz w:val="24"/>
          <w:szCs w:val="24"/>
        </w:rPr>
        <w:t>含税暂定总价</w:t>
      </w:r>
      <w:r>
        <w:rPr>
          <w:rFonts w:hint="eastAsia" w:ascii="宋体" w:hAnsi="宋体"/>
          <w:color w:val="000000"/>
          <w:sz w:val="24"/>
          <w:szCs w:val="24"/>
        </w:rPr>
        <w:t>的10%。首次提交的银行保函有效期应不短于一年。乙方1应保证在本工程竣工验收前履约保函一直有效。在银行保函退还前，如果银行保函有效期即将届满，乙方1应至少提前一个月办理保函续期并且向甲方提交。保函续展期限应不少于一年。甲方将在本工程通过竣工验收后25个工作日内将履约保函退回乙方1。</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（2）乙方1逾期提供履约保函的或逾期重新提供履约保函的，每逾期一日，应当向甲方支付保函金额1%的违约金。</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（3）若乙方未全面、充分履行合同义务或需承担违约责任时，甲方有权在通知乙方后要求从履约担保中直接扣除、要求支付乙方应当承担的违约金、赔偿金。履约担保不足支付部分，甲方有权另行向乙方主张。</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2、设计合同价款：</w:t>
      </w:r>
    </w:p>
    <w:p>
      <w:pPr>
        <w:spacing w:line="300" w:lineRule="auto"/>
        <w:ind w:firstLine="470" w:firstLineChars="196"/>
        <w:rPr>
          <w:rFonts w:ascii="宋体" w:hAnsi="宋体"/>
          <w:color w:val="000000"/>
          <w:sz w:val="24"/>
          <w:szCs w:val="24"/>
        </w:rPr>
      </w:pPr>
      <w:r>
        <w:rPr>
          <w:rFonts w:ascii="宋体" w:hAnsi="宋体"/>
          <w:color w:val="000000"/>
          <w:sz w:val="24"/>
          <w:szCs w:val="24"/>
        </w:rPr>
        <w:t>2.1本合同设计</w:t>
      </w:r>
      <w:r>
        <w:rPr>
          <w:rFonts w:hint="eastAsia" w:ascii="宋体" w:hAnsi="宋体"/>
          <w:color w:val="000000"/>
          <w:sz w:val="24"/>
          <w:szCs w:val="24"/>
        </w:rPr>
        <w:t>费含税包干固定总价为：￥</w:t>
      </w:r>
      <w:r>
        <w:rPr>
          <w:rFonts w:hint="eastAsia" w:ascii="宋体" w:hAnsi="宋体"/>
          <w:bCs/>
          <w:color w:val="000000"/>
          <w:sz w:val="24"/>
          <w:szCs w:val="24"/>
          <w:u w:val="single"/>
        </w:rPr>
        <w:t xml:space="preserve">      </w:t>
      </w:r>
      <w:r>
        <w:rPr>
          <w:rFonts w:hint="eastAsia" w:ascii="宋体" w:hAnsi="宋体"/>
          <w:color w:val="000000"/>
          <w:sz w:val="24"/>
          <w:szCs w:val="24"/>
        </w:rPr>
        <w:t>元（大写：人民币</w:t>
      </w:r>
      <w:r>
        <w:rPr>
          <w:rFonts w:hint="eastAsia" w:ascii="宋体" w:hAnsi="宋体"/>
          <w:bCs/>
          <w:color w:val="000000"/>
          <w:sz w:val="24"/>
          <w:szCs w:val="24"/>
          <w:u w:val="single"/>
        </w:rPr>
        <w:t xml:space="preserve">    </w:t>
      </w:r>
      <w:r>
        <w:rPr>
          <w:rFonts w:hint="eastAsia" w:ascii="宋体" w:hAnsi="宋体"/>
          <w:color w:val="000000"/>
          <w:sz w:val="24"/>
          <w:szCs w:val="24"/>
        </w:rPr>
        <w:t>），</w:t>
      </w:r>
      <w:r>
        <w:rPr>
          <w:rFonts w:ascii="宋体" w:hAnsi="宋体"/>
          <w:color w:val="000000"/>
          <w:sz w:val="24"/>
          <w:szCs w:val="24"/>
        </w:rPr>
        <w:t>甲方有权按照附件一 设计单位的考核细则对乙方履约情况进行考核处罚，合同款阶段支付及结算时须先行扣除乙方应当承担的违约金、处罚款、赔偿金等款项；</w:t>
      </w:r>
      <w:r>
        <w:rPr>
          <w:rFonts w:hint="eastAsia" w:ascii="宋体" w:hAnsi="宋体"/>
          <w:color w:val="000000"/>
          <w:sz w:val="24"/>
          <w:szCs w:val="24"/>
        </w:rPr>
        <w:t>最终结算金额以甲方审定为准。</w:t>
      </w:r>
    </w:p>
    <w:p>
      <w:pPr>
        <w:spacing w:line="300" w:lineRule="auto"/>
        <w:ind w:firstLine="470" w:firstLineChars="196"/>
        <w:rPr>
          <w:rFonts w:ascii="宋体" w:hAnsi="宋体"/>
          <w:color w:val="000000"/>
          <w:sz w:val="24"/>
          <w:szCs w:val="24"/>
          <w:highlight w:val="yellow"/>
        </w:rPr>
      </w:pPr>
      <w:r>
        <w:rPr>
          <w:rFonts w:ascii="宋体" w:hAnsi="宋体"/>
          <w:color w:val="000000"/>
          <w:sz w:val="24"/>
          <w:szCs w:val="24"/>
        </w:rPr>
        <w:t>2.2乙方</w:t>
      </w:r>
      <w:r>
        <w:rPr>
          <w:rFonts w:hint="eastAsia"/>
          <w:color w:val="000000"/>
          <w:sz w:val="24"/>
          <w:szCs w:val="24"/>
        </w:rPr>
        <w:t>设计应符合技术规格参数与要求所述的最新技术标准或规范</w:t>
      </w:r>
      <w:r>
        <w:rPr>
          <w:rFonts w:ascii="宋体" w:hAnsi="宋体"/>
          <w:color w:val="000000"/>
          <w:sz w:val="24"/>
          <w:szCs w:val="24"/>
        </w:rPr>
        <w:t>，概预算文件编制须遵照国家、行业、广东省和广州市最新的《建设工程工程量清单计价规范》、《建设工程综合定额》等规范标准执行，并确保设计成果和现场服务工作满足施工和验收需要。</w:t>
      </w:r>
    </w:p>
    <w:p>
      <w:pPr>
        <w:spacing w:after="156" w:afterLines="50" w:line="300" w:lineRule="auto"/>
        <w:ind w:firstLine="420"/>
        <w:rPr>
          <w:rFonts w:ascii="宋体" w:hAnsi="宋体"/>
          <w:bCs/>
          <w:color w:val="000000"/>
          <w:sz w:val="24"/>
          <w:szCs w:val="24"/>
        </w:rPr>
      </w:pPr>
      <w:r>
        <w:rPr>
          <w:rFonts w:hint="eastAsia" w:ascii="宋体" w:hAnsi="宋体"/>
          <w:bCs/>
          <w:color w:val="000000"/>
          <w:sz w:val="24"/>
          <w:szCs w:val="24"/>
        </w:rPr>
        <w:t>2.3在合同实施期间对于“第二条 （二）设计工作范围”中的内容需另择设计单位进行专项工程设计或专业分包设计的，若由乙方专业分包，则乙方应确保在甲方书面要求的合理时间内签订分包合同并按分包合同约定支付第三方设计单位合同款；否则，</w:t>
      </w:r>
      <w:r>
        <w:rPr>
          <w:rFonts w:hint="eastAsia" w:ascii="宋体" w:hAnsi="宋体"/>
          <w:bCs/>
          <w:color w:val="000000"/>
          <w:sz w:val="24"/>
          <w:szCs w:val="24"/>
          <w:lang w:eastAsia="zh-CN"/>
        </w:rPr>
        <w:t>甲方</w:t>
      </w:r>
      <w:r>
        <w:rPr>
          <w:rFonts w:hint="eastAsia" w:ascii="宋体" w:hAnsi="宋体"/>
          <w:bCs/>
          <w:color w:val="000000"/>
          <w:sz w:val="24"/>
          <w:szCs w:val="24"/>
        </w:rPr>
        <w:t>有权直接另外委托第三方设计单位进行专业设计并在乙方设计费用额内扣减等额分包费用，乙方须承担一切责任及赔偿甲方所有经济损失。</w:t>
      </w:r>
    </w:p>
    <w:p>
      <w:pPr>
        <w:spacing w:after="156" w:afterLines="50" w:line="300" w:lineRule="auto"/>
        <w:ind w:firstLine="420"/>
      </w:pPr>
      <w:r>
        <w:rPr>
          <w:rFonts w:hint="eastAsia" w:ascii="宋体" w:hAnsi="宋体"/>
          <w:bCs/>
          <w:color w:val="000000"/>
          <w:sz w:val="24"/>
          <w:szCs w:val="24"/>
        </w:rPr>
        <w:t xml:space="preserve"> </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3、设计费支付方式</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.1本合同所有费用均以人民币转账支付</w:t>
      </w:r>
      <w:r>
        <w:rPr>
          <w:rFonts w:hint="eastAsia" w:ascii="宋体" w:hAnsi="宋体"/>
          <w:color w:val="000000"/>
          <w:sz w:val="24"/>
          <w:szCs w:val="24"/>
        </w:rPr>
        <w:t>，乙方须按甲方要求在每次付费之日提前10个工作日，开具并提交等额额的符合国家税务法规的设计费增值税专用发票给甲方。如果由于乙方延迟提交发票给甲方或者由于乙方提交的发票不符合甲方要求，甲方将延迟付费，且不承担任何延迟付费的违约责任</w:t>
      </w:r>
      <w:r>
        <w:rPr>
          <w:rFonts w:ascii="宋体" w:hAnsi="宋体"/>
          <w:color w:val="000000"/>
          <w:sz w:val="24"/>
          <w:szCs w:val="24"/>
        </w:rPr>
        <w:t>。</w:t>
      </w:r>
    </w:p>
    <w:p>
      <w:pPr>
        <w:spacing w:before="120" w:after="156" w:afterLines="50" w:line="300" w:lineRule="auto"/>
        <w:ind w:firstLine="420"/>
        <w:rPr>
          <w:rFonts w:ascii="宋体" w:hAnsi="宋体"/>
          <w:color w:val="000000"/>
        </w:rPr>
      </w:pPr>
      <w:r>
        <w:rPr>
          <w:rFonts w:hint="eastAsia" w:ascii="宋体" w:hAnsi="宋体"/>
          <w:color w:val="000000"/>
          <w:sz w:val="24"/>
          <w:szCs w:val="24"/>
        </w:rPr>
        <w:t>3</w:t>
      </w:r>
      <w:r>
        <w:rPr>
          <w:rFonts w:ascii="宋体" w:hAnsi="宋体"/>
          <w:color w:val="000000"/>
          <w:sz w:val="24"/>
          <w:szCs w:val="24"/>
        </w:rPr>
        <w:t>.2付款进度：设计费分阶段节点支付</w:t>
      </w:r>
      <w:r>
        <w:rPr>
          <w:rFonts w:hint="eastAsia" w:ascii="宋体" w:hAnsi="宋体"/>
          <w:color w:val="000000"/>
          <w:sz w:val="24"/>
          <w:szCs w:val="24"/>
        </w:rPr>
        <w:t>，甲方有权按照附件一 设计单位的考核细则对乙方履约情况进行考核处罚，合同款阶段节点支付及结算时甲方有权先行扣除乙方应当承担的违约金、处罚款、赔偿金等款项。</w:t>
      </w:r>
      <w:r>
        <w:rPr>
          <w:rFonts w:ascii="宋体" w:hAnsi="宋体"/>
          <w:color w:val="000000"/>
          <w:sz w:val="24"/>
          <w:szCs w:val="24"/>
        </w:rPr>
        <w:t xml:space="preserve">设计费的支付方式详见下表：  </w:t>
      </w:r>
    </w:p>
    <w:tbl>
      <w:tblPr>
        <w:tblStyle w:val="42"/>
        <w:tblW w:w="8930"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410"/>
        <w:gridCol w:w="4536"/>
        <w:gridCol w:w="1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8" w:hRule="atLeast"/>
          <w:tblHeader/>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序号</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付款阶段节点</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rPr>
              <w:t>付款时间</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rPr>
              <w:t>付款比例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8"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olor w:val="000000"/>
                <w:sz w:val="24"/>
                <w:szCs w:val="24"/>
              </w:rPr>
            </w:pPr>
            <w:r>
              <w:rPr>
                <w:rFonts w:ascii="宋体" w:hAnsi="宋体"/>
                <w:color w:val="000000"/>
                <w:sz w:val="24"/>
                <w:szCs w:val="24"/>
              </w:rPr>
              <w:t>1</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合同签订完成并生效</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合同生效后</w:t>
            </w:r>
            <w:r>
              <w:rPr>
                <w:rFonts w:ascii="宋体" w:hAnsi="宋体"/>
                <w:color w:val="000000"/>
                <w:szCs w:val="24"/>
              </w:rPr>
              <w:t>20个工作日内</w:t>
            </w:r>
            <w:r>
              <w:rPr>
                <w:rFonts w:hint="eastAsia" w:ascii="宋体" w:hAnsi="宋体"/>
                <w:color w:val="000000"/>
                <w:szCs w:val="24"/>
              </w:rPr>
              <w:t>支付。</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rPr>
              <w:t>15</w:t>
            </w:r>
            <w:r>
              <w:rPr>
                <w:rFonts w:ascii="宋体" w:hAnsi="宋体"/>
                <w:color w:val="000000"/>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sz w:val="24"/>
                <w:szCs w:val="24"/>
              </w:rPr>
            </w:pPr>
            <w:r>
              <w:rPr>
                <w:rFonts w:hint="eastAsia" w:ascii="宋体" w:hAnsi="宋体"/>
                <w:bCs/>
                <w:color w:val="000000"/>
                <w:sz w:val="24"/>
                <w:szCs w:val="24"/>
              </w:rPr>
              <w:t>2</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初步设计及概算通过甲方或政府职能部门（若需要）审批后</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初步设计技术文件（含概算）经甲方或政府职能部门（若需要）审批通过后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75"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3</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土建施工图设计完成并通过施工图审查后</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施工图审查通过后，乙方1提交施工图设计文件并配合完成施工图预算编制、并且提交设计（工程）变更预算文件，经甲方书面确认后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lang w:val="en-US" w:eastAsia="zh-CN"/>
              </w:rPr>
              <w:t>20</w:t>
            </w:r>
            <w:r>
              <w:rPr>
                <w:rFonts w:ascii="宋体" w:hAnsi="宋体"/>
                <w:color w:val="000000"/>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9"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4</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完成土建、安装施工图预算编制并与造价咨询单位进行费用核对，并配合甲方完成招标工作。</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color w:val="000000"/>
              </w:rPr>
            </w:pPr>
            <w:r>
              <w:rPr>
                <w:rFonts w:hint="eastAsia" w:ascii="宋体" w:hAnsi="宋体"/>
                <w:color w:val="000000"/>
                <w:szCs w:val="24"/>
              </w:rPr>
              <w:t>乙方提交土建、安装施工图预算并与造价咨询单位进行费用核对，配合完成招标工作，经甲方审核通过后30个工作日内</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lang w:val="en-US" w:eastAsia="zh-CN"/>
              </w:rPr>
              <w:t>10</w:t>
            </w:r>
            <w:r>
              <w:rPr>
                <w:rFonts w:hint="eastAsia" w:ascii="宋体" w:hAnsi="宋体"/>
                <w:color w:val="000000"/>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64"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5</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联合</w:t>
            </w:r>
            <w:r>
              <w:rPr>
                <w:rFonts w:hint="eastAsia" w:ascii="宋体" w:hAnsi="宋体"/>
                <w:color w:val="000000"/>
                <w:sz w:val="24"/>
                <w:szCs w:val="24"/>
                <w:lang w:val="en-US" w:eastAsia="zh-CN"/>
              </w:rPr>
              <w:t>调试</w:t>
            </w:r>
            <w:r>
              <w:rPr>
                <w:rFonts w:hint="eastAsia" w:ascii="宋体" w:hAnsi="宋体"/>
                <w:color w:val="000000"/>
                <w:sz w:val="24"/>
                <w:szCs w:val="24"/>
              </w:rPr>
              <w:t>完成</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联合</w:t>
            </w:r>
            <w:r>
              <w:rPr>
                <w:rFonts w:hint="eastAsia" w:ascii="宋体" w:hAnsi="宋体"/>
                <w:color w:val="000000"/>
                <w:szCs w:val="24"/>
                <w:lang w:val="en-US" w:eastAsia="zh-CN"/>
              </w:rPr>
              <w:t>调试</w:t>
            </w:r>
            <w:r>
              <w:rPr>
                <w:rFonts w:ascii="宋体" w:hAnsi="宋体"/>
                <w:color w:val="000000"/>
                <w:szCs w:val="24"/>
              </w:rPr>
              <w:t>完成，</w:t>
            </w:r>
            <w:r>
              <w:rPr>
                <w:rFonts w:hint="eastAsia" w:ascii="宋体" w:hAnsi="宋体"/>
                <w:color w:val="000000"/>
                <w:szCs w:val="24"/>
              </w:rPr>
              <w:t>经甲方书面确认后</w:t>
            </w:r>
            <w:r>
              <w:rPr>
                <w:rFonts w:ascii="宋体" w:hAnsi="宋体"/>
                <w:color w:val="000000"/>
                <w:szCs w:val="24"/>
              </w:rPr>
              <w:t>30个工作日内</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lang w:val="en-US" w:eastAsia="zh-CN"/>
              </w:rPr>
              <w:t>1</w:t>
            </w:r>
            <w:r>
              <w:rPr>
                <w:rFonts w:hint="eastAsia" w:ascii="宋体" w:hAnsi="宋体"/>
                <w:color w:val="000000"/>
                <w:szCs w:val="24"/>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17"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6</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工程竣工验收合格，并完成结算审核。</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工程竣工验收合格且乙方配合工作完成。乙方提交结算文件且经甲方或政府职能部门（若需要）审核后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lang w:val="en-US" w:eastAsia="zh-CN"/>
              </w:rPr>
              <w:t>2</w:t>
            </w:r>
            <w:r>
              <w:rPr>
                <w:rFonts w:hint="eastAsia" w:ascii="宋体" w:hAnsi="宋体"/>
                <w:color w:val="000000"/>
                <w:szCs w:val="24"/>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5"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7</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项目</w:t>
            </w:r>
            <w:r>
              <w:rPr>
                <w:rFonts w:ascii="宋体" w:hAnsi="宋体"/>
                <w:color w:val="000000"/>
                <w:sz w:val="24"/>
                <w:szCs w:val="24"/>
              </w:rPr>
              <w:t>2年</w:t>
            </w:r>
            <w:r>
              <w:rPr>
                <w:rFonts w:hint="eastAsia" w:ascii="宋体" w:hAnsi="宋体"/>
                <w:color w:val="000000"/>
                <w:sz w:val="24"/>
                <w:szCs w:val="24"/>
              </w:rPr>
              <w:t>缺陷责任保修</w:t>
            </w:r>
            <w:r>
              <w:rPr>
                <w:rFonts w:ascii="宋体" w:hAnsi="宋体"/>
                <w:color w:val="000000"/>
                <w:sz w:val="24"/>
                <w:szCs w:val="24"/>
              </w:rPr>
              <w:t>期结束</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缺陷责任保修期结束后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rPr>
              <w:t>5</w:t>
            </w:r>
            <w:r>
              <w:rPr>
                <w:rFonts w:ascii="宋体" w:hAnsi="宋体"/>
                <w:color w:val="000000"/>
                <w:szCs w:val="24"/>
              </w:rPr>
              <w:t>%</w:t>
            </w:r>
          </w:p>
        </w:tc>
      </w:tr>
    </w:tbl>
    <w:p>
      <w:pPr>
        <w:spacing w:before="312" w:beforeLines="100" w:after="156" w:afterLines="50" w:line="300" w:lineRule="auto"/>
        <w:ind w:firstLine="420"/>
        <w:rPr>
          <w:rFonts w:ascii="宋体" w:hAnsi="宋体"/>
          <w:b/>
          <w:color w:val="000000"/>
          <w:sz w:val="24"/>
          <w:szCs w:val="24"/>
        </w:rPr>
      </w:pPr>
      <w:r>
        <w:rPr>
          <w:rFonts w:hint="eastAsia" w:ascii="宋体" w:hAnsi="宋体"/>
          <w:b/>
          <w:color w:val="000000"/>
          <w:sz w:val="24"/>
          <w:szCs w:val="24"/>
        </w:rPr>
        <w:t>4、工程勘察合同价款：</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4.1 本合同工程勘察费为暂定含税包干总价为￥</w:t>
      </w:r>
      <w:r>
        <w:rPr>
          <w:rFonts w:hint="eastAsia" w:cs="Calibri" w:asciiTheme="minorEastAsia" w:hAnsiTheme="minorEastAsia" w:eastAsiaTheme="minorEastAsia"/>
          <w:sz w:val="24"/>
          <w:szCs w:val="24"/>
          <w:u w:val="single"/>
        </w:rPr>
        <w:t>314,560.00</w:t>
      </w:r>
      <w:r>
        <w:rPr>
          <w:rFonts w:hint="eastAsia" w:ascii="宋体" w:hAnsi="宋体"/>
          <w:color w:val="000000"/>
          <w:sz w:val="24"/>
          <w:szCs w:val="24"/>
          <w:u w:val="single"/>
        </w:rPr>
        <w:t xml:space="preserve"> </w:t>
      </w:r>
      <w:r>
        <w:rPr>
          <w:rFonts w:hint="eastAsia" w:ascii="宋体" w:hAnsi="宋体"/>
          <w:color w:val="000000"/>
          <w:sz w:val="24"/>
          <w:szCs w:val="24"/>
        </w:rPr>
        <w:t>元（大写：人民币</w:t>
      </w:r>
      <w:r>
        <w:rPr>
          <w:rFonts w:hint="eastAsia" w:ascii="宋体" w:hAnsi="宋体"/>
          <w:bCs/>
          <w:color w:val="000000"/>
          <w:sz w:val="24"/>
          <w:szCs w:val="24"/>
        </w:rPr>
        <w:t>叁</w:t>
      </w:r>
      <w:r>
        <w:rPr>
          <w:rFonts w:hint="eastAsia" w:ascii="宋体" w:hAnsi="宋体"/>
          <w:bCs/>
          <w:color w:val="000000"/>
          <w:sz w:val="24"/>
          <w:szCs w:val="24"/>
          <w:u w:val="single"/>
        </w:rPr>
        <w:t>拾壹万肆仟伍佰陆拾</w:t>
      </w:r>
      <w:r>
        <w:rPr>
          <w:rFonts w:hint="eastAsia" w:ascii="宋体" w:hAnsi="宋体"/>
          <w:color w:val="000000"/>
          <w:sz w:val="24"/>
          <w:szCs w:val="24"/>
        </w:rPr>
        <w:t>元整），详见下表：</w:t>
      </w:r>
    </w:p>
    <w:tbl>
      <w:tblPr>
        <w:tblStyle w:val="42"/>
        <w:tblW w:w="9751" w:type="dxa"/>
        <w:tblInd w:w="-471" w:type="dxa"/>
        <w:tblLayout w:type="fixed"/>
        <w:tblCellMar>
          <w:top w:w="0" w:type="dxa"/>
          <w:left w:w="108" w:type="dxa"/>
          <w:bottom w:w="0" w:type="dxa"/>
          <w:right w:w="108" w:type="dxa"/>
        </w:tblCellMar>
      </w:tblPr>
      <w:tblGrid>
        <w:gridCol w:w="751"/>
        <w:gridCol w:w="1145"/>
        <w:gridCol w:w="853"/>
        <w:gridCol w:w="2513"/>
        <w:gridCol w:w="1818"/>
        <w:gridCol w:w="1361"/>
        <w:gridCol w:w="1310"/>
      </w:tblGrid>
      <w:tr>
        <w:tblPrEx>
          <w:tblLayout w:type="fixed"/>
          <w:tblCellMar>
            <w:top w:w="0" w:type="dxa"/>
            <w:left w:w="108" w:type="dxa"/>
            <w:bottom w:w="0" w:type="dxa"/>
            <w:right w:w="108" w:type="dxa"/>
          </w:tblCellMar>
        </w:tblPrEx>
        <w:trPr>
          <w:trHeight w:val="789" w:hRule="atLeast"/>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序号</w:t>
            </w:r>
          </w:p>
        </w:tc>
        <w:tc>
          <w:tcPr>
            <w:tcW w:w="199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工作项目</w:t>
            </w:r>
          </w:p>
        </w:tc>
        <w:tc>
          <w:tcPr>
            <w:tcW w:w="2513" w:type="dxa"/>
            <w:tcBorders>
              <w:top w:val="single" w:color="auto" w:sz="4" w:space="0"/>
              <w:left w:val="single" w:color="auto" w:sz="4" w:space="0"/>
              <w:bottom w:val="single" w:color="auto" w:sz="4" w:space="0"/>
              <w:right w:val="single" w:color="auto" w:sz="4" w:space="0"/>
            </w:tcBorders>
            <w:vAlign w:val="center"/>
          </w:tcPr>
          <w:p>
            <w:pPr>
              <w:widowControl/>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钻探总进尺深度（米）</w:t>
            </w:r>
          </w:p>
        </w:tc>
        <w:tc>
          <w:tcPr>
            <w:tcW w:w="1818" w:type="dxa"/>
            <w:tcBorders>
              <w:top w:val="single" w:color="auto" w:sz="4" w:space="0"/>
              <w:left w:val="nil"/>
              <w:bottom w:val="single" w:color="auto" w:sz="4" w:space="0"/>
              <w:right w:val="single" w:color="auto" w:sz="4" w:space="0"/>
            </w:tcBorders>
            <w:vAlign w:val="center"/>
          </w:tcPr>
          <w:p>
            <w:pPr>
              <w:widowControl/>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综合单价（元）</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合价（元）</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备注</w:t>
            </w:r>
          </w:p>
        </w:tc>
      </w:tr>
      <w:tr>
        <w:tblPrEx>
          <w:tblLayout w:type="fixed"/>
          <w:tblCellMar>
            <w:top w:w="0" w:type="dxa"/>
            <w:left w:w="108" w:type="dxa"/>
            <w:bottom w:w="0" w:type="dxa"/>
            <w:right w:w="108" w:type="dxa"/>
          </w:tblCellMar>
        </w:tblPrEx>
        <w:trPr>
          <w:trHeight w:val="1278" w:hRule="atLeast"/>
        </w:trPr>
        <w:tc>
          <w:tcPr>
            <w:tcW w:w="751" w:type="dxa"/>
            <w:tcBorders>
              <w:top w:val="single" w:color="auto" w:sz="4" w:space="0"/>
              <w:left w:val="single" w:color="auto" w:sz="4" w:space="0"/>
              <w:right w:val="single" w:color="auto" w:sz="4" w:space="0"/>
            </w:tcBorders>
            <w:shd w:val="clear" w:color="auto" w:fill="auto"/>
            <w:vAlign w:val="center"/>
          </w:tcPr>
          <w:p>
            <w:pPr>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w:t>
            </w:r>
          </w:p>
        </w:tc>
        <w:tc>
          <w:tcPr>
            <w:tcW w:w="1998" w:type="dxa"/>
            <w:gridSpan w:val="2"/>
            <w:tcBorders>
              <w:top w:val="single" w:color="auto" w:sz="4" w:space="0"/>
              <w:left w:val="nil"/>
              <w:right w:val="single" w:color="auto" w:sz="4" w:space="0"/>
            </w:tcBorders>
            <w:shd w:val="clear" w:color="auto" w:fill="auto"/>
            <w:vAlign w:val="center"/>
          </w:tcPr>
          <w:p>
            <w:pPr>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工程勘察费</w:t>
            </w:r>
          </w:p>
        </w:tc>
        <w:tc>
          <w:tcPr>
            <w:tcW w:w="2513" w:type="dxa"/>
            <w:tcBorders>
              <w:top w:val="single" w:color="auto" w:sz="4" w:space="0"/>
              <w:left w:val="single" w:color="auto" w:sz="4" w:space="0"/>
              <w:right w:val="single" w:color="auto" w:sz="4" w:space="0"/>
            </w:tcBorders>
            <w:vAlign w:val="center"/>
          </w:tcPr>
          <w:p>
            <w:pPr>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2300</w:t>
            </w:r>
          </w:p>
        </w:tc>
        <w:tc>
          <w:tcPr>
            <w:tcW w:w="1818" w:type="dxa"/>
            <w:tcBorders>
              <w:top w:val="single" w:color="auto" w:sz="4" w:space="0"/>
              <w:left w:val="nil"/>
              <w:right w:val="single" w:color="auto" w:sz="4" w:space="0"/>
            </w:tcBorders>
            <w:vAlign w:val="center"/>
          </w:tcPr>
          <w:p>
            <w:pPr>
              <w:widowControl/>
              <w:jc w:val="center"/>
              <w:rPr>
                <w:rFonts w:cs="Calibri" w:asciiTheme="minorEastAsia" w:hAnsiTheme="minorEastAsia" w:eastAsiaTheme="minorEastAsia"/>
                <w:sz w:val="24"/>
                <w:szCs w:val="24"/>
              </w:rPr>
            </w:pPr>
          </w:p>
        </w:tc>
        <w:tc>
          <w:tcPr>
            <w:tcW w:w="1361" w:type="dxa"/>
            <w:tcBorders>
              <w:top w:val="single" w:color="auto" w:sz="4" w:space="0"/>
              <w:left w:val="single" w:color="auto" w:sz="4" w:space="0"/>
              <w:right w:val="single" w:color="auto" w:sz="4" w:space="0"/>
            </w:tcBorders>
            <w:vAlign w:val="center"/>
          </w:tcPr>
          <w:p>
            <w:pPr>
              <w:widowControl/>
              <w:jc w:val="center"/>
              <w:rPr>
                <w:rFonts w:cs="Calibri" w:asciiTheme="minorEastAsia" w:hAnsiTheme="minorEastAsia" w:eastAsiaTheme="minorEastAsia"/>
                <w:sz w:val="24"/>
                <w:szCs w:val="24"/>
              </w:rPr>
            </w:pPr>
          </w:p>
        </w:tc>
        <w:tc>
          <w:tcPr>
            <w:tcW w:w="1310" w:type="dxa"/>
            <w:vMerge w:val="restart"/>
            <w:tcBorders>
              <w:top w:val="single" w:color="auto" w:sz="4" w:space="0"/>
              <w:left w:val="single" w:color="auto" w:sz="4" w:space="0"/>
              <w:right w:val="single" w:color="auto" w:sz="4" w:space="0"/>
            </w:tcBorders>
            <w:shd w:val="clear" w:color="auto" w:fill="auto"/>
            <w:vAlign w:val="center"/>
          </w:tcPr>
          <w:p>
            <w:pPr>
              <w:widowControl/>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暂定工作量，固定含税综合单价。</w:t>
            </w:r>
          </w:p>
        </w:tc>
      </w:tr>
      <w:tr>
        <w:tblPrEx>
          <w:tblLayout w:type="fixed"/>
          <w:tblCellMar>
            <w:top w:w="0" w:type="dxa"/>
            <w:left w:w="108" w:type="dxa"/>
            <w:bottom w:w="0" w:type="dxa"/>
            <w:right w:w="108" w:type="dxa"/>
          </w:tblCellMar>
        </w:tblPrEx>
        <w:trPr>
          <w:trHeight w:val="709" w:hRule="atLeast"/>
        </w:trPr>
        <w:tc>
          <w:tcPr>
            <w:tcW w:w="18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sz w:val="24"/>
                <w:szCs w:val="24"/>
              </w:rPr>
            </w:pPr>
            <w:r>
              <w:rPr>
                <w:rFonts w:hint="eastAsia" w:ascii="宋体" w:hAnsi="宋体"/>
                <w:b/>
                <w:color w:val="000000"/>
                <w:sz w:val="24"/>
                <w:szCs w:val="24"/>
              </w:rPr>
              <w:t>工程勘察暂定合同总价</w:t>
            </w:r>
          </w:p>
        </w:tc>
        <w:tc>
          <w:tcPr>
            <w:tcW w:w="6545" w:type="dxa"/>
            <w:gridSpan w:val="4"/>
            <w:tcBorders>
              <w:top w:val="single" w:color="auto" w:sz="4" w:space="0"/>
              <w:left w:val="nil"/>
              <w:bottom w:val="single" w:color="auto" w:sz="4" w:space="0"/>
              <w:right w:val="single" w:color="auto" w:sz="4" w:space="0"/>
            </w:tcBorders>
            <w:vAlign w:val="center"/>
          </w:tcPr>
          <w:p>
            <w:pPr>
              <w:widowControl/>
              <w:jc w:val="center"/>
              <w:rPr>
                <w:rFonts w:cs="Calibri" w:asciiTheme="minorEastAsia" w:hAnsiTheme="minorEastAsia" w:eastAsiaTheme="minorEastAsia"/>
                <w:sz w:val="24"/>
                <w:szCs w:val="24"/>
              </w:rPr>
            </w:pP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元（大写：人民币 ）</w:t>
            </w:r>
          </w:p>
        </w:tc>
        <w:tc>
          <w:tcPr>
            <w:tcW w:w="13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sz w:val="24"/>
                <w:szCs w:val="24"/>
              </w:rPr>
            </w:pPr>
          </w:p>
        </w:tc>
      </w:tr>
      <w:tr>
        <w:tblPrEx>
          <w:tblLayout w:type="fixed"/>
          <w:tblCellMar>
            <w:top w:w="0" w:type="dxa"/>
            <w:left w:w="108" w:type="dxa"/>
            <w:bottom w:w="0" w:type="dxa"/>
            <w:right w:w="108" w:type="dxa"/>
          </w:tblCellMar>
        </w:tblPrEx>
        <w:trPr>
          <w:trHeight w:val="994" w:hRule="atLeast"/>
        </w:trPr>
        <w:tc>
          <w:tcPr>
            <w:tcW w:w="9751" w:type="dxa"/>
            <w:gridSpan w:val="7"/>
            <w:tcBorders>
              <w:top w:val="single" w:color="auto" w:sz="4" w:space="0"/>
              <w:left w:val="single" w:color="auto" w:sz="4" w:space="0"/>
              <w:bottom w:val="single" w:color="auto" w:sz="4" w:space="0"/>
              <w:right w:val="single" w:color="auto" w:sz="4" w:space="0"/>
            </w:tcBorders>
          </w:tcPr>
          <w:p>
            <w:pPr>
              <w:widowControl/>
              <w:jc w:val="lef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备注：</w:t>
            </w:r>
            <w:r>
              <w:rPr>
                <w:rFonts w:hint="eastAsia" w:cs="Calibri" w:asciiTheme="minorEastAsia" w:hAnsiTheme="minorEastAsia" w:eastAsiaTheme="minorEastAsia"/>
                <w:sz w:val="24"/>
                <w:szCs w:val="24"/>
              </w:rPr>
              <w:br w:type="textWrapping"/>
            </w:r>
            <w:r>
              <w:rPr>
                <w:rFonts w:hint="eastAsia" w:cs="Calibri" w:asciiTheme="minorEastAsia" w:hAnsiTheme="minorEastAsia" w:eastAsiaTheme="minorEastAsia"/>
                <w:sz w:val="24"/>
                <w:szCs w:val="24"/>
              </w:rPr>
              <w:t>1、工作内容包括但不限于临时水电管线敷设，场地排水（含场地积水、池塘、淤泥、泥浆等），工程测量，工程勘察，工程物探，全站仪测放钻孔孔位、坐标、孔口高程，勘探钻孔施工，现场原位测试（标准贯入试验等），取土、水、石试样和地下水样，土工试验，安全围护，机械设备进出场，跟管钻进，泥浆护壁等及甲方根据项目实际需要委托的其他工作等所有工作；</w:t>
            </w:r>
          </w:p>
          <w:p>
            <w:pPr>
              <w:widowControl/>
              <w:jc w:val="left"/>
              <w:rPr>
                <w:rFonts w:cs="Calibri" w:asciiTheme="minorEastAsia" w:hAnsiTheme="minorEastAsia" w:eastAsiaTheme="minorEastAsia"/>
                <w:sz w:val="24"/>
                <w:szCs w:val="24"/>
              </w:rPr>
            </w:pPr>
            <w:r>
              <w:rPr>
                <w:rFonts w:hint="eastAsia" w:ascii="宋体" w:hAnsi="宋体" w:cs="Calibri"/>
                <w:sz w:val="24"/>
                <w:szCs w:val="24"/>
              </w:rPr>
              <w:t>2、上表中工程勘察综合单价含税固定包干，表中价格均已包括但不限于招标文件勘察技术要求的全部内容诸如所有实物工作收费、技术工作收费、野外钻探费用、试验费用、文件资料费用、人工费、食宿费用、水电费、清表费用、青苗补偿费、维稳费、管理费用、大型机械进出场费、临时道路、临建措施、安全文明措施和其他措施费、风险费用、包质量、包安全、包进度、各项服务费以及税金等全部费用；</w:t>
            </w:r>
          </w:p>
          <w:p>
            <w:pPr>
              <w:widowControl/>
              <w:jc w:val="lef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3、上表中</w:t>
            </w:r>
            <w:r>
              <w:rPr>
                <w:rFonts w:hint="eastAsia" w:asciiTheme="minorEastAsia" w:hAnsiTheme="minorEastAsia" w:eastAsiaTheme="minorEastAsia"/>
                <w:color w:val="000000"/>
                <w:sz w:val="24"/>
                <w:szCs w:val="24"/>
              </w:rPr>
              <w:t>工程勘察合同价款</w:t>
            </w:r>
            <w:r>
              <w:rPr>
                <w:rFonts w:hint="eastAsia" w:cs="Calibri" w:asciiTheme="minorEastAsia" w:hAnsiTheme="minorEastAsia" w:eastAsiaTheme="minorEastAsia"/>
                <w:sz w:val="24"/>
                <w:szCs w:val="24"/>
              </w:rPr>
              <w:t>已综合考虑本项目地质状况和现场实际情况；</w:t>
            </w:r>
          </w:p>
          <w:p>
            <w:pPr>
              <w:widowControl/>
              <w:jc w:val="lef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4、</w:t>
            </w:r>
            <w:r>
              <w:rPr>
                <w:rFonts w:hint="eastAsia" w:ascii="宋体" w:hAnsi="宋体" w:cs="Calibri"/>
                <w:b/>
                <w:sz w:val="24"/>
                <w:szCs w:val="24"/>
              </w:rPr>
              <w:t>上表中钻探总进尺深度工作量为暂定工作量，乙方</w:t>
            </w:r>
            <w:r>
              <w:rPr>
                <w:rFonts w:ascii="宋体" w:hAnsi="宋体" w:cs="Calibri"/>
                <w:b/>
                <w:sz w:val="24"/>
                <w:szCs w:val="24"/>
              </w:rPr>
              <w:t>在结算时须提交工程勘察报告及工作量清单，且经甲方书面确认工作量后，未超出上表中暂定工作量部分，按上表中综合单价乘以工作量结算；超出上表中工作量部分，按上表中综合单价</w:t>
            </w:r>
            <w:r>
              <w:rPr>
                <w:rFonts w:hint="eastAsia" w:ascii="宋体" w:hAnsi="宋体" w:cs="Calibri"/>
                <w:b/>
                <w:sz w:val="24"/>
                <w:szCs w:val="24"/>
              </w:rPr>
              <w:t>的85%</w:t>
            </w:r>
            <w:r>
              <w:rPr>
                <w:rFonts w:ascii="宋体" w:hAnsi="宋体" w:cs="Calibri"/>
                <w:b/>
                <w:sz w:val="24"/>
                <w:szCs w:val="24"/>
              </w:rPr>
              <w:t>乘以工作量</w:t>
            </w:r>
            <w:r>
              <w:rPr>
                <w:rFonts w:hint="eastAsia" w:ascii="宋体" w:hAnsi="宋体" w:cs="Calibri"/>
                <w:b/>
                <w:sz w:val="24"/>
                <w:szCs w:val="24"/>
              </w:rPr>
              <w:t>进行</w:t>
            </w:r>
            <w:r>
              <w:rPr>
                <w:rFonts w:ascii="宋体" w:hAnsi="宋体" w:cs="Calibri"/>
                <w:b/>
                <w:sz w:val="24"/>
                <w:szCs w:val="24"/>
              </w:rPr>
              <w:t>结算。</w:t>
            </w:r>
            <w:r>
              <w:rPr>
                <w:rFonts w:hint="eastAsia" w:ascii="宋体" w:hAnsi="宋体" w:cs="Calibri"/>
                <w:b/>
                <w:sz w:val="24"/>
                <w:szCs w:val="24"/>
              </w:rPr>
              <w:t xml:space="preserve"> </w:t>
            </w:r>
          </w:p>
        </w:tc>
      </w:tr>
    </w:tbl>
    <w:p>
      <w:pPr>
        <w:spacing w:before="312" w:beforeLines="100" w:after="156" w:afterLines="50" w:line="300" w:lineRule="auto"/>
        <w:ind w:firstLine="420"/>
        <w:rPr>
          <w:rFonts w:ascii="宋体" w:hAnsi="宋体"/>
          <w:b/>
          <w:color w:val="000000"/>
          <w:sz w:val="24"/>
          <w:szCs w:val="24"/>
        </w:rPr>
      </w:pPr>
      <w:r>
        <w:rPr>
          <w:rFonts w:hint="eastAsia" w:ascii="宋体" w:hAnsi="宋体"/>
          <w:b/>
          <w:color w:val="000000"/>
          <w:sz w:val="24"/>
          <w:szCs w:val="24"/>
        </w:rPr>
        <w:t>5、工程勘察费支付方式</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5.1本合同所有费用均以人民币转账支付，乙方须按甲方要求在每次付费之日提前10个工作日，开具并提交等额的符合国家税务法规的增值税专用发票给甲方。如果由于乙方延迟提交发票给甲方或者由于乙方提交的发票不符合甲方要求，甲方将延迟付费，且不承担任何延迟付费的违约责任。</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5.2 付款进度</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5.2.1 本工程勘察费结算时按“本条第4.1款”表中综合单价及表后备注第6条约定，以经甲方书面确认的实际完成工作量计算的合同结算金额。</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5.2.2详细工程勘察费用支付进度</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（1）第一笔工程勘察费用：合同生效后，乙方收到甲方书面进场通知后，乙方向甲方提交请款报告并提供等额合法有效增值税专用发票后30个工作日内，甲方向乙方支付合同工程勘察费暂定总价的20%，即￥ </w:t>
      </w:r>
      <w:r>
        <w:rPr>
          <w:rFonts w:hint="eastAsia" w:ascii="宋体" w:hAnsi="宋体"/>
          <w:color w:val="000000"/>
          <w:sz w:val="24"/>
          <w:szCs w:val="24"/>
          <w:u w:val="single"/>
        </w:rPr>
        <w:t xml:space="preserve">       </w:t>
      </w:r>
      <w:r>
        <w:rPr>
          <w:rFonts w:hint="eastAsia" w:ascii="宋体" w:hAnsi="宋体"/>
          <w:color w:val="000000"/>
          <w:sz w:val="24"/>
          <w:szCs w:val="24"/>
        </w:rPr>
        <w:t>元（大写：人民币      ）。</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 xml:space="preserve">（2）第二笔工程勘察费用：乙方2完成详细勘察阶段外业工作，提交详细勘察成果并经甲方书面确认及等额合法有效增值税专用发票30个工作日内，甲方向乙方支付合同勘察费暂定总价的40%，即￥ </w:t>
      </w:r>
      <w:r>
        <w:rPr>
          <w:rFonts w:hint="eastAsia" w:ascii="宋体" w:hAnsi="宋体"/>
          <w:color w:val="000000"/>
          <w:sz w:val="24"/>
          <w:szCs w:val="24"/>
          <w:u w:val="single"/>
        </w:rPr>
        <w:t xml:space="preserve">    </w:t>
      </w:r>
      <w:r>
        <w:rPr>
          <w:rFonts w:hint="eastAsia" w:ascii="宋体" w:hAnsi="宋体"/>
          <w:color w:val="000000"/>
          <w:sz w:val="24"/>
          <w:szCs w:val="24"/>
        </w:rPr>
        <w:t>元（大写：人民币   ）。</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（3）第三笔工程勘察费用：</w:t>
      </w:r>
    </w:p>
    <w:p>
      <w:pPr>
        <w:spacing w:after="156" w:afterLines="50" w:line="300" w:lineRule="auto"/>
        <w:ind w:left="420" w:firstLine="420"/>
        <w:rPr>
          <w:rFonts w:ascii="宋体" w:hAnsi="宋体"/>
          <w:color w:val="000000"/>
          <w:sz w:val="24"/>
          <w:szCs w:val="24"/>
        </w:rPr>
      </w:pPr>
      <w:r>
        <w:rPr>
          <w:rFonts w:hint="eastAsia" w:ascii="宋体" w:hAnsi="宋体"/>
          <w:color w:val="000000"/>
          <w:sz w:val="24"/>
          <w:szCs w:val="24"/>
        </w:rPr>
        <w:t>① 提交合同规定的完整勘察（初勘和详勘）资料、实际工程量清单和勘察（初勘和详勘）报告给甲方，经甲方书面审核确认后，乙方向甲方提交结算通知书及勘察结算书。</w:t>
      </w:r>
    </w:p>
    <w:p>
      <w:pPr>
        <w:spacing w:after="156" w:afterLines="50" w:line="300" w:lineRule="auto"/>
        <w:ind w:left="420" w:firstLine="420"/>
        <w:rPr>
          <w:rFonts w:ascii="宋体" w:hAnsi="宋体"/>
          <w:color w:val="000000"/>
          <w:sz w:val="24"/>
          <w:szCs w:val="24"/>
        </w:rPr>
      </w:pPr>
      <w:r>
        <w:rPr>
          <w:rFonts w:hint="eastAsia" w:ascii="宋体" w:hAnsi="宋体"/>
          <w:color w:val="000000"/>
          <w:sz w:val="24"/>
          <w:szCs w:val="24"/>
        </w:rPr>
        <w:t>② 甲方按照“十一、合同价款及其支付 4.1条”</w:t>
      </w:r>
      <w:r>
        <w:rPr>
          <w:rFonts w:ascii="宋体" w:hAnsi="宋体"/>
          <w:color w:val="000000"/>
          <w:sz w:val="24"/>
          <w:szCs w:val="24"/>
        </w:rPr>
        <w:t>表中综合单价和甲方书面确认的实际完成工程量相乘分别计算</w:t>
      </w:r>
      <w:r>
        <w:rPr>
          <w:rFonts w:hint="eastAsia" w:ascii="宋体" w:hAnsi="宋体"/>
          <w:b/>
          <w:color w:val="000000"/>
          <w:sz w:val="24"/>
          <w:szCs w:val="24"/>
        </w:rPr>
        <w:t>实际详细勘察费作为实际合同勘察费结算价</w:t>
      </w:r>
      <w:r>
        <w:rPr>
          <w:rFonts w:hint="eastAsia" w:ascii="宋体" w:hAnsi="宋体"/>
          <w:color w:val="000000"/>
          <w:sz w:val="24"/>
          <w:szCs w:val="24"/>
        </w:rPr>
        <w:t>。最终结算以甲方审定为准。</w:t>
      </w:r>
    </w:p>
    <w:p>
      <w:pPr>
        <w:spacing w:after="156" w:afterLines="50" w:line="300" w:lineRule="auto"/>
        <w:ind w:left="420" w:firstLine="420"/>
        <w:rPr>
          <w:rFonts w:ascii="宋体" w:hAnsi="宋体"/>
          <w:color w:val="000000"/>
          <w:sz w:val="24"/>
          <w:szCs w:val="24"/>
        </w:rPr>
      </w:pPr>
      <w:r>
        <w:rPr>
          <w:rFonts w:hint="eastAsia" w:ascii="宋体" w:hAnsi="宋体"/>
          <w:color w:val="000000"/>
          <w:sz w:val="24"/>
          <w:szCs w:val="24"/>
        </w:rPr>
        <w:t>③ 甲方收到乙方提交的</w:t>
      </w:r>
      <w:r>
        <w:rPr>
          <w:rFonts w:ascii="宋体" w:hAnsi="宋体"/>
          <w:bCs/>
          <w:color w:val="000000"/>
          <w:sz w:val="24"/>
          <w:szCs w:val="24"/>
        </w:rPr>
        <w:t>实际合同</w:t>
      </w:r>
      <w:r>
        <w:rPr>
          <w:rFonts w:hint="eastAsia" w:ascii="宋体" w:hAnsi="宋体"/>
          <w:bCs/>
          <w:color w:val="000000"/>
          <w:sz w:val="24"/>
          <w:szCs w:val="24"/>
        </w:rPr>
        <w:t>实际详细勘察费剩余未支付金额等额合</w:t>
      </w:r>
      <w:r>
        <w:rPr>
          <w:rFonts w:hint="eastAsia" w:ascii="宋体" w:hAnsi="宋体"/>
          <w:color w:val="000000"/>
          <w:sz w:val="24"/>
          <w:szCs w:val="24"/>
        </w:rPr>
        <w:t>法有效增值税专用发票 30个工作日内，甲方向乙方2支付至实际合同勘察费结算价的</w:t>
      </w:r>
      <w:r>
        <w:rPr>
          <w:rFonts w:hint="eastAsia" w:ascii="宋体" w:hAnsi="宋体"/>
          <w:color w:val="000000"/>
          <w:sz w:val="24"/>
          <w:szCs w:val="24"/>
          <w:u w:val="single"/>
        </w:rPr>
        <w:t>85</w:t>
      </w:r>
      <w:r>
        <w:rPr>
          <w:rFonts w:ascii="宋体" w:hAnsi="宋体"/>
          <w:color w:val="000000"/>
          <w:sz w:val="24"/>
          <w:szCs w:val="24"/>
          <w:u w:val="single"/>
        </w:rPr>
        <w:t>%</w:t>
      </w:r>
      <w:r>
        <w:rPr>
          <w:rFonts w:hint="eastAsia" w:ascii="宋体" w:hAnsi="宋体"/>
          <w:color w:val="000000"/>
          <w:sz w:val="24"/>
          <w:szCs w:val="24"/>
        </w:rPr>
        <w:t>。</w:t>
      </w:r>
    </w:p>
    <w:p>
      <w:pPr>
        <w:spacing w:after="156" w:afterLines="50" w:line="300" w:lineRule="auto"/>
        <w:ind w:firstLine="480" w:firstLineChars="200"/>
        <w:rPr>
          <w:rFonts w:ascii="宋体" w:hAnsi="宋体"/>
          <w:color w:val="000000"/>
          <w:sz w:val="24"/>
          <w:szCs w:val="24"/>
        </w:rPr>
      </w:pPr>
      <w:r>
        <w:rPr>
          <w:rFonts w:hint="eastAsia" w:ascii="宋体" w:hAnsi="宋体"/>
          <w:color w:val="000000"/>
          <w:sz w:val="24"/>
          <w:szCs w:val="24"/>
        </w:rPr>
        <w:t>（4）勘察费尾款：本项目经政府主管部门通过工程竣工验收备案完成后，甲方收到乙方提交的等额收据 30个工作日内，甲方向乙方支付实际合同勘察费结算价尾款。</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5.3 甲方有权根据现场情况要求乙方进行补充勘测，补充勘测费用</w:t>
      </w:r>
      <w:r>
        <w:rPr>
          <w:rFonts w:hint="eastAsia" w:ascii="宋体" w:hAnsi="宋体"/>
          <w:sz w:val="24"/>
          <w:szCs w:val="24"/>
        </w:rPr>
        <w:t>“十一、合同价款及其支付 4.1条”表中综合单价结算</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5.4考虑市政工程常因场地条件限制，规划调整，以及方案或设计评审要求修改等多因素影响，导致工程变更致使勘测工作量增加或减少。当出现上述情况时，双方应及时确认实际发生的勘测工作量，并按实际完成工作量乘以“十一、合同价款及其支付 4.1条”表中综合单价结算勘测费。</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6、其他</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6.1凡乙方根据合同欠甲方或须付予甲方的款项，甲方可以从有关合同或其他甲方合同已经到期或将会到期须支付予乙方的款项中，悉数将有关款额扣除。</w:t>
      </w:r>
    </w:p>
    <w:p>
      <w:pPr>
        <w:spacing w:after="156" w:afterLines="50" w:line="300" w:lineRule="auto"/>
        <w:rPr>
          <w:rFonts w:ascii="宋体" w:hAnsi="宋体"/>
          <w:b/>
          <w:color w:val="000000"/>
          <w:sz w:val="24"/>
          <w:szCs w:val="24"/>
        </w:rPr>
      </w:pPr>
      <w:r>
        <w:rPr>
          <w:rFonts w:hint="eastAsia" w:ascii="宋体" w:hAnsi="宋体"/>
          <w:color w:val="000000"/>
          <w:sz w:val="24"/>
          <w:szCs w:val="24"/>
        </w:rPr>
        <w:tab/>
      </w:r>
      <w:r>
        <w:rPr>
          <w:rFonts w:hint="eastAsia" w:ascii="宋体" w:hAnsi="宋体"/>
          <w:b/>
          <w:color w:val="000000"/>
          <w:sz w:val="24"/>
          <w:szCs w:val="24"/>
        </w:rPr>
        <w:t>6.2每次付款前，甲方有权先行扣除乙方应当承担的违约金、处罚款、赔偿金等款项；乙方提交的请款材料不齐全或者不符合甲方要求的，甲方有权拒绝付款。</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6.3甲方付给乙方的款项应为乙方与本项目有关的唯一报酬，乙方在与本项目有关的活动中，或在履行合同义务时，不得为私利而接受佣金、回扣或类似费用，一经发现该部分款项从甲方支付给乙方的费用中扣减。</w:t>
      </w:r>
    </w:p>
    <w:p>
      <w:pPr>
        <w:pStyle w:val="4"/>
      </w:pPr>
      <w:bookmarkStart w:id="48" w:name="_Toc1736141"/>
      <w:r>
        <w:rPr>
          <w:rFonts w:hint="eastAsia"/>
        </w:rPr>
        <w:t>十二、税费</w:t>
      </w:r>
      <w:bookmarkEnd w:id="48"/>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乙方及其雇员因履行本合同而在国内取得的一切收入，必须依照中国税法纳税，</w:t>
      </w:r>
      <w:r>
        <w:rPr>
          <w:rFonts w:hint="eastAsia" w:ascii="宋体" w:hAnsi="宋体"/>
          <w:color w:val="000000"/>
          <w:sz w:val="24"/>
          <w:szCs w:val="24"/>
        </w:rPr>
        <w:t>税金全部由乙方及其雇员承担。</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乙方因履行本合同而在国内取得收入，依据中国、广东省、广州市有关法律、法规和行政规章必须缴纳的费用，全部由乙方承担。</w:t>
      </w:r>
    </w:p>
    <w:p>
      <w:pPr>
        <w:pStyle w:val="4"/>
      </w:pPr>
      <w:bookmarkStart w:id="49" w:name="_Toc1736142"/>
      <w:r>
        <w:rPr>
          <w:rFonts w:hint="eastAsia"/>
        </w:rPr>
        <w:t>十三、知识产权</w:t>
      </w:r>
      <w:bookmarkEnd w:id="49"/>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本项目</w:t>
      </w:r>
      <w:r>
        <w:rPr>
          <w:rFonts w:hint="eastAsia" w:ascii="宋体" w:hAnsi="宋体"/>
          <w:color w:val="000000"/>
          <w:sz w:val="24"/>
          <w:szCs w:val="24"/>
        </w:rPr>
        <w:t>勘察、</w:t>
      </w:r>
      <w:r>
        <w:rPr>
          <w:rFonts w:ascii="宋体" w:hAnsi="宋体"/>
          <w:color w:val="000000"/>
          <w:sz w:val="24"/>
          <w:szCs w:val="24"/>
        </w:rPr>
        <w:t>设计成果的署名权归乙方所有，其它知识产权</w:t>
      </w:r>
      <w:r>
        <w:rPr>
          <w:rFonts w:hint="eastAsia" w:ascii="宋体" w:hAnsi="宋体"/>
          <w:color w:val="000000"/>
          <w:sz w:val="24"/>
          <w:szCs w:val="24"/>
        </w:rPr>
        <w:t>及相应的申请权</w:t>
      </w:r>
      <w:r>
        <w:rPr>
          <w:rFonts w:ascii="宋体" w:hAnsi="宋体"/>
          <w:color w:val="000000"/>
          <w:sz w:val="24"/>
          <w:szCs w:val="24"/>
        </w:rPr>
        <w:t>归甲方所有。乙方不得将此项目的勘察文件</w:t>
      </w:r>
      <w:r>
        <w:rPr>
          <w:rFonts w:hint="eastAsia" w:ascii="宋体" w:hAnsi="宋体"/>
          <w:color w:val="000000"/>
          <w:sz w:val="24"/>
          <w:szCs w:val="24"/>
        </w:rPr>
        <w:t>、</w:t>
      </w:r>
      <w:r>
        <w:rPr>
          <w:rFonts w:ascii="宋体" w:hAnsi="宋体"/>
          <w:color w:val="000000"/>
          <w:sz w:val="24"/>
          <w:szCs w:val="24"/>
        </w:rPr>
        <w:t>设计文件、数据用于其它工程，如需在国内外刊物、学术或技术交流会上发表该方案成果，需经甲方书面同意后方可发布，否则甲方有权</w:t>
      </w:r>
      <w:r>
        <w:rPr>
          <w:rFonts w:hint="eastAsia" w:ascii="宋体" w:hAnsi="宋体"/>
          <w:color w:val="000000"/>
          <w:sz w:val="24"/>
          <w:szCs w:val="24"/>
        </w:rPr>
        <w:t>要求乙方支付违约金20万元/次，乙方还须赔偿甲方所有损失。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乙方保证本项目的设计文件未侵犯其他方的知识产权，否则必须承担由此而引起的全部法律责任，并赔偿甲方因此受到的一切经济和名誉损失。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乙方应保护本项目的相关资料，所有与本项目有关的资料及文件不得擅自修改或向他人转让，如发生以上情况，乙方承担一切由此引起的后果并承担赔偿责任。</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甲方拥有乙方为本项目设计且按本合同要求所提交的全部设计文件的</w:t>
      </w:r>
      <w:r>
        <w:rPr>
          <w:rFonts w:hint="eastAsia" w:ascii="宋体" w:hAnsi="宋体"/>
          <w:color w:val="000000"/>
          <w:sz w:val="24"/>
          <w:szCs w:val="24"/>
        </w:rPr>
        <w:t>所有权和</w:t>
      </w:r>
      <w:r>
        <w:rPr>
          <w:rFonts w:ascii="宋体" w:hAnsi="宋体"/>
          <w:color w:val="000000"/>
          <w:sz w:val="24"/>
          <w:szCs w:val="24"/>
        </w:rPr>
        <w:t>完全使用权，并且在本合同执行完毕后继续拥有合法使用以上设计文件的权利</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如工程需要使用第三方专利技术，乙方应先征得甲方书面认可。甲方负责办理相应的法律手续，因此而涉及的申报、试验、使用等费用</w:t>
      </w:r>
      <w:r>
        <w:rPr>
          <w:rFonts w:hint="eastAsia" w:ascii="宋体" w:hAnsi="宋体"/>
          <w:color w:val="000000"/>
          <w:sz w:val="24"/>
          <w:szCs w:val="24"/>
        </w:rPr>
        <w:t>均已</w:t>
      </w:r>
      <w:r>
        <w:rPr>
          <w:rFonts w:ascii="宋体" w:hAnsi="宋体"/>
          <w:color w:val="000000"/>
          <w:sz w:val="24"/>
          <w:szCs w:val="24"/>
        </w:rPr>
        <w:t>包含在合同总价中</w:t>
      </w:r>
      <w:r>
        <w:rPr>
          <w:rFonts w:hint="eastAsia" w:ascii="宋体" w:hAnsi="宋体"/>
          <w:color w:val="000000"/>
          <w:sz w:val="24"/>
          <w:szCs w:val="24"/>
        </w:rPr>
        <w:t>，</w:t>
      </w:r>
      <w:r>
        <w:rPr>
          <w:rFonts w:ascii="宋体" w:hAnsi="宋体"/>
          <w:color w:val="000000"/>
          <w:sz w:val="24"/>
          <w:szCs w:val="24"/>
        </w:rPr>
        <w:t>甲方不另外支付乙方费用。因乙方原因侵权第三方专利或专有技术的责任和经济赔偿全部由乙方承担</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合同</w:t>
      </w:r>
      <w:r>
        <w:rPr>
          <w:rFonts w:hint="eastAsia" w:ascii="宋体" w:hAnsi="宋体"/>
          <w:color w:val="000000"/>
          <w:sz w:val="24"/>
          <w:szCs w:val="24"/>
        </w:rPr>
        <w:t>各</w:t>
      </w:r>
      <w:r>
        <w:rPr>
          <w:rFonts w:ascii="宋体" w:hAnsi="宋体"/>
          <w:color w:val="000000"/>
          <w:sz w:val="24"/>
          <w:szCs w:val="24"/>
        </w:rPr>
        <w:t>方均应保护对方的知识产权，未经对方同意，任何一方均不得对对方的资料及文件擅自修改、复制或向第三人转让或用于本合同项目外的项目。如发生以上情况，泄密方承担一切由此引起的后果并承担赔偿责任。</w:t>
      </w:r>
    </w:p>
    <w:p>
      <w:pPr>
        <w:pStyle w:val="4"/>
      </w:pPr>
      <w:bookmarkStart w:id="50" w:name="_Toc1736143"/>
      <w:r>
        <w:rPr>
          <w:rFonts w:hint="eastAsia"/>
        </w:rPr>
        <w:t>十四、违约和索赔</w:t>
      </w:r>
      <w:bookmarkEnd w:id="50"/>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合同各方均应按本合同的相关规定全面履行合同，任何一方都不得擅自变更或终止合同。合同生效后，如果乙方无故中途停止设计，应双倍退回甲方已支付给乙方的设计费，并承担因此对甲方造成的一切损失；如果甲方因故中途要求停止设计，应及时用书面通知乙方，乙方应立即停止设计并配合甲方相关工作，甲方将按照乙方实际的设计工作进度支付合同设计费用，乙方有超额收费的应在停止设计后30日内退还给甲方。</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本合同任何一方不履行合同或者履行合同义务不符合约定条件的，即视为违约；守约方有权要求违约方赔偿损失及采取其它合理的补救措施。采取其它补救措施后，尚不能完全弥补守约方受到的损失，守约方仍然有权要求违约方赔偿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3、在乙方未违约的前提下，甲方不按本合同规定的时限支付当期设计费，须</w:t>
      </w:r>
      <w:bookmarkStart w:id="51" w:name="_Hlk30276267"/>
      <w:r>
        <w:rPr>
          <w:rFonts w:hint="eastAsia" w:ascii="宋体" w:hAnsi="宋体"/>
          <w:color w:val="000000"/>
          <w:sz w:val="24"/>
          <w:szCs w:val="24"/>
        </w:rPr>
        <w:t>按全国银行间同业拆借中心公布的一年期贷款市场报价利率</w:t>
      </w:r>
      <w:bookmarkEnd w:id="51"/>
      <w:r>
        <w:rPr>
          <w:rFonts w:hint="eastAsia" w:ascii="宋体" w:hAnsi="宋体"/>
          <w:color w:val="000000"/>
          <w:sz w:val="24"/>
          <w:szCs w:val="24"/>
        </w:rPr>
        <w:t>向设计方支付当期违约金，违约金由延误后第60天起算。逾期超过9</w:t>
      </w:r>
      <w:r>
        <w:rPr>
          <w:rFonts w:ascii="宋体" w:hAnsi="宋体"/>
          <w:color w:val="000000"/>
          <w:sz w:val="24"/>
          <w:szCs w:val="24"/>
        </w:rPr>
        <w:t>0天以上时，乙方</w:t>
      </w:r>
      <w:r>
        <w:rPr>
          <w:rFonts w:hint="eastAsia" w:ascii="宋体" w:hAnsi="宋体"/>
          <w:color w:val="000000"/>
          <w:sz w:val="24"/>
          <w:szCs w:val="24"/>
        </w:rPr>
        <w:t>有权暂停履行下阶段工作，并书面通知甲方，甲方最高赔偿金额不超过设计费总额的1</w:t>
      </w:r>
      <w:r>
        <w:rPr>
          <w:rFonts w:ascii="宋体" w:hAnsi="宋体"/>
          <w:color w:val="000000"/>
          <w:sz w:val="24"/>
          <w:szCs w:val="24"/>
        </w:rPr>
        <w:t>0%。</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甲方未能按合同约定履行自己的各项义务以及法律规定应由甲方履行的义务，造成设计周期延误和（或）乙方不能及时得到合同价款及乙方的其它损失，乙方有权向甲方提出工期</w:t>
      </w:r>
      <w:r>
        <w:rPr>
          <w:rFonts w:hint="eastAsia" w:ascii="宋体" w:hAnsi="宋体"/>
          <w:color w:val="000000"/>
          <w:sz w:val="24"/>
          <w:szCs w:val="24"/>
        </w:rPr>
        <w:t>延后</w:t>
      </w:r>
      <w:r>
        <w:rPr>
          <w:rFonts w:ascii="宋体" w:hAnsi="宋体"/>
          <w:color w:val="000000"/>
          <w:sz w:val="24"/>
          <w:szCs w:val="24"/>
        </w:rPr>
        <w:t>申请</w:t>
      </w:r>
      <w:r>
        <w:rPr>
          <w:rFonts w:hint="eastAsia" w:ascii="宋体" w:hAnsi="宋体"/>
          <w:color w:val="000000"/>
          <w:sz w:val="24"/>
          <w:szCs w:val="24"/>
        </w:rPr>
        <w:t>，</w:t>
      </w:r>
      <w:r>
        <w:rPr>
          <w:rFonts w:ascii="宋体" w:hAnsi="宋体"/>
          <w:color w:val="000000"/>
          <w:sz w:val="24"/>
          <w:szCs w:val="24"/>
        </w:rPr>
        <w:t>经甲方审核确认后顺延设计工期，乙方已在投标报价时充分考虑相关风险</w:t>
      </w:r>
      <w:r>
        <w:rPr>
          <w:rFonts w:hint="eastAsia" w:ascii="宋体" w:hAnsi="宋体"/>
          <w:color w:val="000000"/>
          <w:sz w:val="24"/>
          <w:szCs w:val="24"/>
        </w:rPr>
        <w:t>，乙方承诺并同意不调整合同费用，甲方有权不支付乙方合同外任何费用</w:t>
      </w:r>
      <w:r>
        <w:rPr>
          <w:rFonts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乙方承诺主动支持监理单位工作，对监理单位的指令和书面通知，若无正当理由又未提前报告、得到认可，而公开或变相拒不执行并延误工期的，每延误一天，甲方有权按合同相应勘察费、设计费签约合同总价的0.3%扣减乙方合同费用作为违约金；若延误时间超过20天时，视为严重违约，</w:t>
      </w:r>
      <w:r>
        <w:rPr>
          <w:rFonts w:ascii="宋体" w:hAnsi="宋体"/>
          <w:color w:val="000000"/>
          <w:sz w:val="24"/>
          <w:szCs w:val="24"/>
        </w:rPr>
        <w:t>甲方有权终止合同并向乙方</w:t>
      </w:r>
      <w:r>
        <w:rPr>
          <w:rFonts w:hint="eastAsia" w:ascii="宋体" w:hAnsi="宋体"/>
          <w:color w:val="000000"/>
          <w:sz w:val="24"/>
          <w:szCs w:val="24"/>
        </w:rPr>
        <w:t>发出终止合同通知书，乙方须承担甲方因此造成的一切损失。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6、乙方对设计数据及文件出现的遗漏或错误负责修改或补充。由于乙方责任造成工程质量事故损失，乙方除负责采取补救措施外，应免收甲方受损失部分的设计费，乙方应承担法律责任并赔偿甲方损失。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7、由于乙方自身原因，未能按约定时间或甲方确定的出图计划</w:t>
      </w:r>
      <w:r>
        <w:rPr>
          <w:rFonts w:ascii="宋体" w:hAnsi="宋体"/>
          <w:color w:val="000000"/>
          <w:sz w:val="24"/>
          <w:szCs w:val="24"/>
        </w:rPr>
        <w:t>进度要求</w:t>
      </w:r>
      <w:r>
        <w:rPr>
          <w:rFonts w:hint="eastAsia" w:ascii="宋体" w:hAnsi="宋体"/>
          <w:color w:val="000000"/>
          <w:sz w:val="24"/>
          <w:szCs w:val="24"/>
        </w:rPr>
        <w:t>交付设计图纸、方案成果和电子数据等设计成果的，每延误一天，甲方有权按合同设计费签约合同总价的</w:t>
      </w:r>
      <w:r>
        <w:rPr>
          <w:rFonts w:ascii="宋体" w:hAnsi="宋体"/>
          <w:color w:val="000000"/>
          <w:sz w:val="24"/>
          <w:szCs w:val="24"/>
        </w:rPr>
        <w:t>0.3%扣减乙方合同设计费作为违约金；若延误时间超过20天时，视为严重违约，甲方有权终止合同并向乙方</w:t>
      </w:r>
      <w:r>
        <w:rPr>
          <w:rFonts w:hint="eastAsia" w:ascii="宋体" w:hAnsi="宋体"/>
          <w:color w:val="000000"/>
          <w:sz w:val="24"/>
          <w:szCs w:val="24"/>
        </w:rPr>
        <w:t>发出终止合同通知书，乙方在七天内退还甲方按支付节点提前支付的超出乙方已完成成果之外的设计费</w:t>
      </w:r>
      <w:r>
        <w:rPr>
          <w:rFonts w:ascii="宋体" w:hAnsi="宋体"/>
          <w:color w:val="000000"/>
          <w:sz w:val="24"/>
          <w:szCs w:val="24"/>
        </w:rPr>
        <w:t>(如有)乙方</w:t>
      </w:r>
      <w:r>
        <w:rPr>
          <w:rFonts w:hint="eastAsia" w:ascii="宋体" w:hAnsi="宋体"/>
          <w:color w:val="000000"/>
          <w:sz w:val="24"/>
          <w:szCs w:val="24"/>
        </w:rPr>
        <w:t>不得向甲方提出异议和任何追究，并承担甲方因此造成的一切损失。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甲方有权要求设计</w:t>
      </w:r>
      <w:r>
        <w:rPr>
          <w:rFonts w:hint="eastAsia" w:ascii="宋体" w:hAnsi="宋体"/>
          <w:color w:val="000000"/>
          <w:sz w:val="24"/>
          <w:szCs w:val="24"/>
        </w:rPr>
        <w:t>人</w:t>
      </w:r>
      <w:r>
        <w:rPr>
          <w:rFonts w:ascii="宋体" w:hAnsi="宋体"/>
          <w:color w:val="000000"/>
          <w:sz w:val="24"/>
          <w:szCs w:val="24"/>
        </w:rPr>
        <w:t>派遣相应专业人员到现场配合工作。</w:t>
      </w:r>
      <w:r>
        <w:rPr>
          <w:rFonts w:hint="eastAsia" w:ascii="宋体" w:hAnsi="宋体"/>
          <w:color w:val="000000"/>
          <w:sz w:val="24"/>
          <w:szCs w:val="24"/>
        </w:rPr>
        <w:t>乙方在施工阶段接到通知须到现场处理技术问题时，应于</w:t>
      </w:r>
      <w:r>
        <w:rPr>
          <w:rFonts w:ascii="宋体" w:hAnsi="宋体"/>
          <w:color w:val="000000"/>
          <w:sz w:val="24"/>
          <w:szCs w:val="24"/>
        </w:rPr>
        <w:t>24小时内赶到现场处理有关技术问题，如由于上述原因导致延误工期，</w:t>
      </w:r>
      <w:r>
        <w:rPr>
          <w:rFonts w:hint="eastAsia" w:ascii="宋体" w:hAnsi="宋体"/>
          <w:color w:val="000000"/>
          <w:sz w:val="24"/>
          <w:szCs w:val="24"/>
        </w:rPr>
        <w:t>每延误一天工期甲方有权减付相应阶段设计费的</w:t>
      </w:r>
      <w:r>
        <w:rPr>
          <w:rFonts w:ascii="宋体" w:hAnsi="宋体"/>
          <w:color w:val="000000"/>
          <w:sz w:val="24"/>
          <w:szCs w:val="24"/>
        </w:rPr>
        <w:t>0.5%作为乙方违约金</w:t>
      </w:r>
      <w:r>
        <w:rPr>
          <w:rFonts w:hint="eastAsia" w:ascii="宋体" w:hAnsi="宋体"/>
          <w:color w:val="000000"/>
          <w:sz w:val="24"/>
          <w:szCs w:val="24"/>
        </w:rPr>
        <w:t>。若延误时间超过</w:t>
      </w:r>
      <w:r>
        <w:rPr>
          <w:rFonts w:ascii="宋体" w:hAnsi="宋体"/>
          <w:color w:val="000000"/>
          <w:sz w:val="24"/>
          <w:szCs w:val="24"/>
        </w:rPr>
        <w:t>20天时，视为严重违约，甲方有权终止合同并向乙方</w:t>
      </w:r>
      <w:r>
        <w:rPr>
          <w:rFonts w:hint="eastAsia" w:ascii="宋体" w:hAnsi="宋体"/>
          <w:color w:val="000000"/>
          <w:sz w:val="24"/>
          <w:szCs w:val="24"/>
        </w:rPr>
        <w:t>发出终止合同通知书，乙方在七天内退还甲方按支付节点提前支付的超出乙方已完成成果之外的设计费</w:t>
      </w:r>
      <w:r>
        <w:rPr>
          <w:rFonts w:ascii="宋体" w:hAnsi="宋体"/>
          <w:color w:val="000000"/>
          <w:sz w:val="24"/>
          <w:szCs w:val="24"/>
        </w:rPr>
        <w:t>(如有)乙方</w:t>
      </w:r>
      <w:r>
        <w:rPr>
          <w:rFonts w:hint="eastAsia" w:ascii="宋体" w:hAnsi="宋体"/>
          <w:color w:val="000000"/>
          <w:sz w:val="24"/>
          <w:szCs w:val="24"/>
        </w:rPr>
        <w:t>不得向甲方提出异议和任何追究，并承担甲方因此造成的一切损失。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若甲方认为乙方项目负责人及主要设计人员不能胜任该项目设计工作，则乙方必须按照甲方要求随时更换设计人员，否则甲方有权随时终止合同和</w:t>
      </w:r>
      <w:r>
        <w:rPr>
          <w:rFonts w:hint="eastAsia" w:ascii="宋体" w:hAnsi="宋体"/>
          <w:color w:val="000000"/>
          <w:sz w:val="24"/>
          <w:szCs w:val="24"/>
        </w:rPr>
        <w:t>按照“三、勘察设计管理 第9、10、11款”相应约定</w:t>
      </w:r>
      <w:r>
        <w:rPr>
          <w:rFonts w:ascii="宋体" w:hAnsi="宋体"/>
          <w:color w:val="000000"/>
          <w:sz w:val="24"/>
          <w:szCs w:val="24"/>
        </w:rPr>
        <w:t>处理。</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10、</w:t>
      </w:r>
      <w:r>
        <w:rPr>
          <w:rFonts w:ascii="宋体" w:hAnsi="宋体"/>
          <w:color w:val="000000"/>
          <w:sz w:val="24"/>
          <w:szCs w:val="24"/>
        </w:rPr>
        <w:t>由于乙方</w:t>
      </w:r>
      <w:r>
        <w:rPr>
          <w:rFonts w:hint="eastAsia" w:ascii="宋体" w:hAnsi="宋体"/>
          <w:color w:val="000000"/>
          <w:sz w:val="24"/>
          <w:szCs w:val="24"/>
        </w:rPr>
        <w:t>自身原因延误勘察工期的，每延误一天，甲方有权按合同暂定勘察费（含初勘、详勘）暂定总价的</w:t>
      </w:r>
      <w:r>
        <w:rPr>
          <w:rFonts w:ascii="宋体" w:hAnsi="宋体"/>
          <w:color w:val="000000"/>
          <w:sz w:val="24"/>
          <w:szCs w:val="24"/>
        </w:rPr>
        <w:t>0.3%扣减乙方合同费用作为违约金</w:t>
      </w:r>
      <w:r>
        <w:rPr>
          <w:rFonts w:hint="eastAsia" w:ascii="宋体" w:hAnsi="宋体"/>
          <w:color w:val="000000"/>
          <w:sz w:val="24"/>
          <w:szCs w:val="24"/>
        </w:rPr>
        <w:t>；若延误时间超过20天时，视为严重违约，甲方有权终止合同并向乙方发出终止合同通知书，乙方在七天内退还甲方按支付节点提前支付的超出乙方已完成成果之外的设计费(如有)乙方不得向甲方提出异议和任何追究，并承担甲方因此造成的一切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11、由于乙方原因提交的勘察成果资料质量不合格或不能满足甲方技术要求和工程建设需要时，乙方须立即返工勘察，其返工勘察费用由乙方全部承担，因此延误工期的按上述“本条 第10款”约定执行。</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12、在桩基工程施工阶段，乙方必须委派技术工代驻场办公，参与桩基施工过程的验收、签字并及时协调解决地质勘察方面的问题，若因乙方参与现场验收或协调不及时的，罚</w:t>
      </w:r>
      <w:r>
        <w:rPr>
          <w:rFonts w:ascii="宋体" w:hAnsi="宋体"/>
          <w:color w:val="000000"/>
          <w:sz w:val="24"/>
          <w:szCs w:val="24"/>
        </w:rPr>
        <w:t>3000元/根桩，其它现场配合工作不到位的罚5000元/次</w:t>
      </w:r>
      <w:r>
        <w:rPr>
          <w:rFonts w:hint="eastAsia" w:ascii="宋体" w:hAnsi="宋体"/>
          <w:color w:val="000000"/>
          <w:sz w:val="24"/>
          <w:szCs w:val="24"/>
        </w:rPr>
        <w:t>，因此延误工期的按上述“本条 第10款”约定执行</w:t>
      </w:r>
      <w:r>
        <w:rPr>
          <w:rFonts w:ascii="宋体" w:hAnsi="宋体"/>
          <w:color w:val="000000"/>
          <w:sz w:val="24"/>
          <w:szCs w:val="24"/>
        </w:rPr>
        <w:t>。</w:t>
      </w:r>
    </w:p>
    <w:p>
      <w:pPr>
        <w:spacing w:after="156" w:afterLines="50" w:line="300" w:lineRule="auto"/>
        <w:ind w:firstLine="420"/>
        <w:rPr>
          <w:rFonts w:ascii="宋体" w:hAnsi="宋体"/>
          <w:b/>
          <w:color w:val="000000"/>
          <w:sz w:val="24"/>
          <w:szCs w:val="24"/>
        </w:rPr>
      </w:pPr>
      <w:r>
        <w:rPr>
          <w:rFonts w:hint="eastAsia" w:ascii="宋体" w:hAnsi="宋体"/>
          <w:b/>
          <w:color w:val="000000"/>
          <w:sz w:val="24"/>
          <w:szCs w:val="24"/>
        </w:rPr>
        <w:t>13、</w:t>
      </w:r>
      <w:r>
        <w:rPr>
          <w:rFonts w:ascii="宋体" w:hAnsi="宋体"/>
          <w:b/>
          <w:color w:val="000000"/>
          <w:sz w:val="24"/>
          <w:szCs w:val="24"/>
        </w:rPr>
        <w:t>在桩基、土建施工过程中，发现现场地质实况与</w:t>
      </w:r>
      <w:r>
        <w:rPr>
          <w:rFonts w:hint="eastAsia" w:ascii="宋体" w:hAnsi="宋体"/>
          <w:b/>
          <w:color w:val="000000"/>
          <w:sz w:val="24"/>
          <w:szCs w:val="24"/>
        </w:rPr>
        <w:t>乙方</w:t>
      </w:r>
      <w:r>
        <w:rPr>
          <w:rFonts w:ascii="宋体" w:hAnsi="宋体"/>
          <w:b/>
          <w:color w:val="000000"/>
          <w:sz w:val="24"/>
          <w:szCs w:val="24"/>
        </w:rPr>
        <w:t>提</w:t>
      </w:r>
      <w:r>
        <w:rPr>
          <w:rFonts w:hint="eastAsia" w:ascii="宋体" w:hAnsi="宋体"/>
          <w:b/>
          <w:color w:val="000000"/>
          <w:sz w:val="24"/>
          <w:szCs w:val="24"/>
        </w:rPr>
        <w:t>交</w:t>
      </w:r>
      <w:r>
        <w:rPr>
          <w:rFonts w:ascii="宋体" w:hAnsi="宋体"/>
          <w:b/>
          <w:color w:val="000000"/>
          <w:sz w:val="24"/>
          <w:szCs w:val="24"/>
        </w:rPr>
        <w:t>的勘察报告有差异的，经甲方核实，发现勘察报告内容缺乏真实性</w:t>
      </w:r>
      <w:r>
        <w:rPr>
          <w:rFonts w:hint="eastAsia" w:ascii="宋体" w:hAnsi="宋体"/>
          <w:b/>
          <w:color w:val="000000"/>
          <w:sz w:val="24"/>
          <w:szCs w:val="24"/>
        </w:rPr>
        <w:t>、</w:t>
      </w:r>
      <w:r>
        <w:rPr>
          <w:rFonts w:ascii="宋体" w:hAnsi="宋体"/>
          <w:b/>
          <w:color w:val="000000"/>
          <w:sz w:val="24"/>
          <w:szCs w:val="24"/>
        </w:rPr>
        <w:t>或深度达不到要求的，甲方有权视情况按每处罚款</w:t>
      </w:r>
      <w:r>
        <w:rPr>
          <w:rFonts w:hint="eastAsia" w:ascii="宋体" w:hAnsi="宋体"/>
          <w:b/>
          <w:color w:val="000000"/>
          <w:sz w:val="24"/>
          <w:szCs w:val="24"/>
        </w:rPr>
        <w:t>2万</w:t>
      </w:r>
      <w:r>
        <w:rPr>
          <w:rFonts w:ascii="宋体" w:hAnsi="宋体"/>
          <w:b/>
          <w:color w:val="000000"/>
          <w:sz w:val="24"/>
          <w:szCs w:val="24"/>
        </w:rPr>
        <w:t>元</w:t>
      </w:r>
      <w:r>
        <w:rPr>
          <w:rFonts w:hint="eastAsia" w:ascii="宋体" w:hAnsi="宋体"/>
          <w:b/>
          <w:color w:val="000000"/>
          <w:sz w:val="24"/>
          <w:szCs w:val="24"/>
        </w:rPr>
        <w:t>至勘察费总额的10%，</w:t>
      </w:r>
      <w:r>
        <w:rPr>
          <w:rFonts w:ascii="宋体" w:hAnsi="宋体"/>
          <w:b/>
          <w:color w:val="000000"/>
          <w:sz w:val="24"/>
          <w:szCs w:val="24"/>
        </w:rPr>
        <w:t>乙方须负责返工重新补充勘察</w:t>
      </w:r>
      <w:r>
        <w:rPr>
          <w:rFonts w:hint="eastAsia" w:ascii="宋体" w:hAnsi="宋体"/>
          <w:b/>
          <w:color w:val="000000"/>
          <w:sz w:val="24"/>
          <w:szCs w:val="24"/>
        </w:rPr>
        <w:t>并承担所有返工费用、赔偿甲方的全部损失</w:t>
      </w:r>
      <w:r>
        <w:rPr>
          <w:rFonts w:ascii="宋体" w:hAnsi="宋体"/>
          <w:b/>
          <w:color w:val="000000"/>
          <w:sz w:val="24"/>
          <w:szCs w:val="24"/>
        </w:rPr>
        <w:t>。</w:t>
      </w:r>
      <w:r>
        <w:rPr>
          <w:rFonts w:hint="eastAsia" w:ascii="宋体" w:hAnsi="宋体"/>
          <w:b/>
          <w:color w:val="000000"/>
          <w:sz w:val="24"/>
          <w:szCs w:val="24"/>
        </w:rPr>
        <w:t>如情况严重甲方有权按广环投造﹝2018﹞192号“关于印发供应商严重不诚信行为管理细则的通知” 执行，视严重情况根据</w:t>
      </w:r>
      <w:r>
        <w:rPr>
          <w:rFonts w:hint="eastAsia" w:ascii="宋体" w:hAnsi="宋体" w:eastAsia="宋体"/>
          <w:b/>
          <w:bCs w:val="0"/>
          <w:color w:val="000000"/>
          <w:sz w:val="24"/>
          <w:szCs w:val="24"/>
        </w:rPr>
        <w:t>广州市房地产行业协会与广州市重点公共建设项目管理中心等九家建设业主单位关于共同建立严重失信行为惩戒机制（试行）的倡议书 （穗房协〔2021〕8号）</w:t>
      </w:r>
      <w:r>
        <w:rPr>
          <w:rFonts w:hint="eastAsia" w:ascii="宋体" w:hAnsi="宋体"/>
          <w:b/>
          <w:color w:val="000000"/>
          <w:sz w:val="24"/>
          <w:szCs w:val="24"/>
        </w:rPr>
        <w:t>予以处理。</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14、</w:t>
      </w:r>
      <w:r>
        <w:rPr>
          <w:rFonts w:ascii="宋体" w:hAnsi="宋体"/>
          <w:color w:val="000000"/>
          <w:sz w:val="24"/>
          <w:szCs w:val="24"/>
        </w:rPr>
        <w:t>乙方未能按合同约定履行自己的各项义务以及法律规定应由乙方履行的义务，给甲方造成损失的，乙方须赔偿甲方所有损失</w:t>
      </w:r>
      <w:r>
        <w:rPr>
          <w:rFonts w:hint="eastAsia" w:ascii="宋体" w:hAnsi="宋体"/>
          <w:color w:val="000000"/>
          <w:sz w:val="24"/>
          <w:szCs w:val="24"/>
        </w:rPr>
        <w:t>。当甲方认为乙方无正当理由而不履行或没有充分履行其相关义务，甲方可书面通知乙方，指明其未能履约的内容并要求其予以改正，如乙方在收到甲方上述书面通知后</w:t>
      </w:r>
      <w:r>
        <w:rPr>
          <w:rFonts w:ascii="宋体" w:hAnsi="宋体"/>
          <w:color w:val="000000"/>
          <w:sz w:val="24"/>
          <w:szCs w:val="24"/>
        </w:rPr>
        <w:t>30天内不予改正的，视为乙方严重违约，甲方有权终止合同</w:t>
      </w:r>
      <w:r>
        <w:rPr>
          <w:rFonts w:hint="eastAsia" w:ascii="宋体" w:hAnsi="宋体"/>
          <w:color w:val="000000"/>
          <w:sz w:val="24"/>
          <w:szCs w:val="24"/>
        </w:rPr>
        <w:t>，</w:t>
      </w:r>
      <w:r>
        <w:rPr>
          <w:rFonts w:ascii="宋体" w:hAnsi="宋体"/>
          <w:color w:val="000000"/>
          <w:sz w:val="24"/>
          <w:szCs w:val="24"/>
        </w:rPr>
        <w:t>乙方须赔偿甲方一切损失</w:t>
      </w:r>
      <w:r>
        <w:rPr>
          <w:rFonts w:hint="eastAsia"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15、乙方或其设计人员违规向第三方泄露本项目经济文件、招标信息（含招标清单、招标控制价、技术参数等）、或与第三方串通弄虚作假等违背职业道德的行为或其他导致损害委托人利益的，委托人有权终止合同，乙方须向甲方支付人民币100万元违约金。并在发出违约通知书之日起计三年内拒绝咨询人参与委托人或其关联公司任何项目的投标。具体按广环投造﹝2018﹞192号“关于印发供应商严重不诚信行为管理细则的通知” 执行，视严重情况根据</w:t>
      </w:r>
      <w:r>
        <w:rPr>
          <w:rFonts w:hint="eastAsia" w:asciiTheme="minorEastAsia" w:hAnsiTheme="minorEastAsia" w:eastAsiaTheme="minorEastAsia"/>
          <w:bCs/>
          <w:sz w:val="24"/>
          <w:szCs w:val="24"/>
        </w:rPr>
        <w:t>广州市房地产行业协会与广州市重点公共建设项目管理中心等九家建设业主单位关于共同建立严重失信行为惩戒机制（试行）的倡议书 （穗房协〔2021〕8号）</w:t>
      </w:r>
      <w:r>
        <w:rPr>
          <w:rFonts w:hint="eastAsia" w:ascii="宋体" w:hAnsi="宋体"/>
          <w:color w:val="000000"/>
          <w:sz w:val="24"/>
          <w:szCs w:val="24"/>
        </w:rPr>
        <w:t>予以处理。</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16、因乙方严重违约，甲方解除本合同的，乙方已经完成的勘察成果和设计成果全部归甲方无偿享有，甲方有权与其它设计人签订勘察设计协议，其它勘察人、设计人可以取代乙方在本合同中的地位，承接乙方的一切权利义务，有权在乙方已经完成勘察成果、设计成果的基础上继续完成勘察设计，乙方不得有异议，其它设计人不必支付乙方任何报酬。</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17、因乙方严重违约，甲方解除合同并向乙方解除终止合同通知后，本合同即解除，乙方必须在三天内停止全部工作，五天内配合甲方完成现场工作和有关资料的交接，并于完成交接工作当天内离场。乙方应保证所移交的数据齐全完整，乙方无特殊原因未在规定期限内完成交接和离场或所移交的数据不完整的，引致甲方工期延误和其它方面的损失，甲方有权要求乙方赔偿一切实际损失，甲方有权按广环投造﹝2018﹞192号“关于印发供应商严重不诚信行为管理细则的通知” 执行，视严重情况根据</w:t>
      </w:r>
      <w:r>
        <w:rPr>
          <w:rFonts w:hint="eastAsia" w:asciiTheme="minorEastAsia" w:hAnsiTheme="minorEastAsia" w:eastAsiaTheme="minorEastAsia"/>
          <w:bCs/>
          <w:sz w:val="24"/>
          <w:szCs w:val="24"/>
        </w:rPr>
        <w:t>广州市房地产行业协会与广州市重点公共建设项目管理中心等九家建设业主单位关于共同建立严重失信行为惩戒机制（试行）的倡议书 （穗房协〔2021〕8号）</w:t>
      </w:r>
      <w:r>
        <w:rPr>
          <w:rFonts w:hint="eastAsia" w:ascii="宋体" w:hAnsi="宋体"/>
          <w:color w:val="000000"/>
          <w:sz w:val="24"/>
          <w:szCs w:val="24"/>
        </w:rPr>
        <w:t>予以处理。</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18、</w:t>
      </w:r>
      <w:r>
        <w:rPr>
          <w:rFonts w:ascii="宋体" w:hAnsi="宋体"/>
          <w:color w:val="000000"/>
          <w:sz w:val="24"/>
          <w:szCs w:val="24"/>
        </w:rPr>
        <w:t>合同一方向另一方提出索赔时，要有正当索赔理由，且有索赔事件发生时的有效证据。</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19、乙方转包和私自分包、转包设计任务，按严重违约处理，乙方应终止分包、转包设计任务，甲方有权按照附件一约定予以违约处罚。情节严重的，甲方有权终止合同，同时，甲方将扣除转包分包部分的全额设计费用，乙方应承担由此造成的工期延误责任、技术责任、经济损失，并赔偿甲方一切损失</w:t>
      </w:r>
      <w:r>
        <w:rPr>
          <w:rFonts w:ascii="宋体" w:hAnsi="宋体"/>
          <w:color w:val="000000"/>
          <w:sz w:val="24"/>
          <w:szCs w:val="24"/>
        </w:rPr>
        <w:t>。</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20、乙方在合同签订及履行过程中贿赂甲方人员和本工程建设项目有关主管人员的，视为不正当竞争并按严重违约处理，构成犯罪的，交司法部门处理。此外，甲方有终止合同的权利。</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21、乙方须对本工程的全部设计和服务及成果文件承担总体设计责任。如为联合体，则联合体各方均对其服务质量考核和违约情况承担连带责任。</w:t>
      </w:r>
    </w:p>
    <w:p>
      <w:pPr>
        <w:spacing w:before="312" w:beforeLines="100" w:after="156" w:afterLines="50" w:line="300" w:lineRule="auto"/>
        <w:ind w:firstLine="420"/>
        <w:rPr>
          <w:rFonts w:ascii="宋体" w:hAnsi="宋体"/>
          <w:color w:val="000000"/>
          <w:sz w:val="24"/>
          <w:szCs w:val="24"/>
        </w:rPr>
      </w:pPr>
      <w:r>
        <w:rPr>
          <w:rFonts w:hint="eastAsia" w:ascii="宋体" w:hAnsi="宋体"/>
          <w:color w:val="000000"/>
          <w:sz w:val="24"/>
          <w:szCs w:val="24"/>
        </w:rPr>
        <w:t>22、乙方违约需向甲方支付违约金及</w:t>
      </w:r>
      <w:r>
        <w:rPr>
          <w:rFonts w:ascii="宋体" w:hAnsi="宋体"/>
          <w:color w:val="000000"/>
          <w:sz w:val="24"/>
          <w:szCs w:val="24"/>
        </w:rPr>
        <w:t>/或赔偿金时，甲方有权从应支付乙方</w:t>
      </w:r>
      <w:r>
        <w:rPr>
          <w:rFonts w:hint="eastAsia" w:ascii="宋体" w:hAnsi="宋体"/>
          <w:color w:val="000000"/>
          <w:sz w:val="24"/>
          <w:szCs w:val="24"/>
        </w:rPr>
        <w:t>的当期合同款中直接抵扣，不足部分甲方有权向乙方追偿，乙方不得有异议。</w:t>
      </w:r>
    </w:p>
    <w:p>
      <w:pPr>
        <w:spacing w:before="312" w:beforeLines="100" w:after="156" w:afterLines="50" w:line="300" w:lineRule="auto"/>
        <w:ind w:firstLine="420"/>
        <w:rPr>
          <w:rFonts w:ascii="宋体" w:hAnsi="宋体"/>
          <w:color w:val="000000"/>
          <w:sz w:val="24"/>
          <w:szCs w:val="24"/>
        </w:rPr>
      </w:pPr>
      <w:r>
        <w:rPr>
          <w:rFonts w:hint="eastAsia" w:ascii="宋体" w:hAnsi="宋体"/>
          <w:color w:val="000000"/>
          <w:sz w:val="24"/>
          <w:szCs w:val="24"/>
        </w:rPr>
        <w:t>23、甲方</w:t>
      </w:r>
      <w:r>
        <w:rPr>
          <w:rFonts w:asciiTheme="minorEastAsia" w:hAnsiTheme="minorEastAsia" w:eastAsiaTheme="minorEastAsia"/>
          <w:color w:val="000000" w:themeColor="text1"/>
          <w:sz w:val="24"/>
          <w:szCs w:val="24"/>
          <w14:textFill>
            <w14:solidFill>
              <w14:schemeClr w14:val="tx1"/>
            </w14:solidFill>
          </w14:textFill>
        </w:rPr>
        <w:t>以电子邮件、快递、传真或其他可行方式对乙方进行联络，到达</w:t>
      </w:r>
      <w:r>
        <w:rPr>
          <w:rFonts w:hint="eastAsia" w:asciiTheme="minorEastAsia" w:hAnsiTheme="minorEastAsia" w:eastAsiaTheme="minorEastAsia"/>
          <w:color w:val="000000" w:themeColor="text1"/>
          <w:sz w:val="24"/>
          <w:szCs w:val="24"/>
          <w14:textFill>
            <w14:solidFill>
              <w14:schemeClr w14:val="tx1"/>
            </w14:solidFill>
          </w14:textFill>
        </w:rPr>
        <w:t>（以信件或者电报作出的，自信件载明的日期或者电报交发之日开始计算，信件未载明日期的，自投寄该信件的邮戳日期开始计算；以电子邮件、电话、传真等快速通讯方式作出的，自到达时开始计算）</w:t>
      </w:r>
      <w:r>
        <w:rPr>
          <w:rFonts w:asciiTheme="minorEastAsia" w:hAnsiTheme="minorEastAsia" w:eastAsiaTheme="minorEastAsia"/>
          <w:color w:val="000000" w:themeColor="text1"/>
          <w:sz w:val="24"/>
          <w:szCs w:val="24"/>
          <w14:textFill>
            <w14:solidFill>
              <w14:schemeClr w14:val="tx1"/>
            </w14:solidFill>
          </w14:textFill>
        </w:rPr>
        <w:t>后3个自然日内</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乙方必须给予明确、准确及肯定回复，否则</w:t>
      </w:r>
      <w:r>
        <w:rPr>
          <w:rFonts w:hint="eastAsia" w:asciiTheme="minorEastAsia" w:hAnsiTheme="minorEastAsia" w:eastAsiaTheme="minorEastAsia"/>
          <w:color w:val="000000" w:themeColor="text1"/>
          <w:sz w:val="24"/>
          <w:szCs w:val="24"/>
          <w14:textFill>
            <w14:solidFill>
              <w14:schemeClr w14:val="tx1"/>
            </w14:solidFill>
          </w14:textFill>
        </w:rPr>
        <w:t>甲方</w:t>
      </w:r>
      <w:r>
        <w:rPr>
          <w:rFonts w:asciiTheme="minorEastAsia" w:hAnsiTheme="minorEastAsia" w:eastAsiaTheme="minorEastAsia"/>
          <w:color w:val="000000" w:themeColor="text1"/>
          <w:sz w:val="24"/>
          <w:szCs w:val="24"/>
          <w14:textFill>
            <w14:solidFill>
              <w14:schemeClr w14:val="tx1"/>
            </w14:solidFill>
          </w14:textFill>
        </w:rPr>
        <w:t>有权</w:t>
      </w:r>
      <w:r>
        <w:rPr>
          <w:rFonts w:hint="eastAsia" w:asciiTheme="minorEastAsia" w:hAnsiTheme="minorEastAsia" w:eastAsiaTheme="minorEastAsia"/>
          <w:color w:val="000000" w:themeColor="text1"/>
          <w:sz w:val="24"/>
          <w:szCs w:val="24"/>
          <w14:textFill>
            <w14:solidFill>
              <w14:schemeClr w14:val="tx1"/>
            </w14:solidFill>
          </w14:textFill>
        </w:rPr>
        <w:t>按</w:t>
      </w:r>
      <w:r>
        <w:rPr>
          <w:rFonts w:asciiTheme="minorEastAsia" w:hAnsiTheme="minorEastAsia" w:eastAsiaTheme="minorEastAsia"/>
          <w:color w:val="000000" w:themeColor="text1"/>
          <w:sz w:val="24"/>
          <w:szCs w:val="24"/>
          <w14:textFill>
            <w14:solidFill>
              <w14:schemeClr w14:val="tx1"/>
            </w14:solidFill>
          </w14:textFill>
        </w:rPr>
        <w:t>1万/次对乙方进行违约处罚</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再次经</w:t>
      </w:r>
      <w:r>
        <w:rPr>
          <w:rFonts w:hint="eastAsia" w:asciiTheme="minorEastAsia" w:hAnsiTheme="minorEastAsia" w:eastAsiaTheme="minorEastAsia"/>
          <w:color w:val="000000" w:themeColor="text1"/>
          <w:sz w:val="24"/>
          <w:szCs w:val="24"/>
          <w14:textFill>
            <w14:solidFill>
              <w14:schemeClr w14:val="tx1"/>
            </w14:solidFill>
          </w14:textFill>
        </w:rPr>
        <w:t>甲</w:t>
      </w:r>
      <w:r>
        <w:rPr>
          <w:rFonts w:asciiTheme="minorEastAsia" w:hAnsiTheme="minorEastAsia" w:eastAsiaTheme="minorEastAsia"/>
          <w:color w:val="000000" w:themeColor="text1"/>
          <w:sz w:val="24"/>
          <w:szCs w:val="24"/>
          <w14:textFill>
            <w14:solidFill>
              <w14:schemeClr w14:val="tx1"/>
            </w14:solidFill>
          </w14:textFill>
        </w:rPr>
        <w:t>方催告后，仍未处理回复，</w:t>
      </w:r>
      <w:r>
        <w:rPr>
          <w:rFonts w:hint="eastAsia" w:asciiTheme="minorEastAsia" w:hAnsiTheme="minorEastAsia" w:eastAsiaTheme="minorEastAsia"/>
          <w:color w:val="000000" w:themeColor="text1"/>
          <w:sz w:val="24"/>
          <w:szCs w:val="24"/>
          <w14:textFill>
            <w14:solidFill>
              <w14:schemeClr w14:val="tx1"/>
            </w14:solidFill>
          </w14:textFill>
        </w:rPr>
        <w:t>甲方</w:t>
      </w:r>
      <w:r>
        <w:rPr>
          <w:rFonts w:asciiTheme="minorEastAsia" w:hAnsiTheme="minorEastAsia" w:eastAsiaTheme="minorEastAsia"/>
          <w:color w:val="000000" w:themeColor="text1"/>
          <w:sz w:val="24"/>
          <w:szCs w:val="24"/>
          <w14:textFill>
            <w14:solidFill>
              <w14:schemeClr w14:val="tx1"/>
            </w14:solidFill>
          </w14:textFill>
        </w:rPr>
        <w:t>有权</w:t>
      </w:r>
      <w:r>
        <w:rPr>
          <w:rFonts w:hint="eastAsia" w:asciiTheme="minorEastAsia" w:hAnsiTheme="minorEastAsia" w:eastAsiaTheme="minorEastAsia"/>
          <w:color w:val="000000" w:themeColor="text1"/>
          <w:sz w:val="24"/>
          <w:szCs w:val="24"/>
          <w14:textFill>
            <w14:solidFill>
              <w14:schemeClr w14:val="tx1"/>
            </w14:solidFill>
          </w14:textFill>
        </w:rPr>
        <w:t>按</w:t>
      </w:r>
      <w:r>
        <w:rPr>
          <w:rFonts w:asciiTheme="minorEastAsia" w:hAnsiTheme="minorEastAsia" w:eastAsiaTheme="minorEastAsia"/>
          <w:color w:val="000000" w:themeColor="text1"/>
          <w:sz w:val="24"/>
          <w:szCs w:val="24"/>
          <w14:textFill>
            <w14:solidFill>
              <w14:schemeClr w14:val="tx1"/>
            </w14:solidFill>
          </w14:textFill>
        </w:rPr>
        <w:t>1万/次对乙方进行违约处罚。</w:t>
      </w:r>
    </w:p>
    <w:p>
      <w:pPr>
        <w:spacing w:after="156" w:afterLines="50" w:line="30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24、乙方拖欠工人工资或者因乙方拖欠分包工程款（如有）导致分包人拖欠工人工资的，每拖欠一名工人一次（月）工资，乙方人应当向甲支付违约金5000元。因乙方拖欠工人工资或分包工程款导致发生工人直接向甲方追讨工资或上访等事件的，每发生一次，乙方应当向甲方支付违约金10万元；涉及工人数量或上访人员数量超过5人时，每发生一次，违约金标准增加为30万元。乙方还须承担一切法律责任。</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sz w:val="24"/>
          <w:szCs w:val="24"/>
        </w:rPr>
        <w:t>25、</w:t>
      </w:r>
      <w:r>
        <w:rPr>
          <w:rFonts w:hint="eastAsia" w:asciiTheme="minorEastAsia" w:hAnsiTheme="minorEastAsia" w:eastAsiaTheme="minorEastAsia"/>
          <w:bCs/>
          <w:sz w:val="24"/>
          <w:szCs w:val="24"/>
        </w:rPr>
        <w:t>乙方存在下列情形时，甲方有权解除本合同：</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（1）因乙方原因发生任何安全生产事故或环境污染事件的；</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（2）乙方存在违约情形，经甲方催促后在甲方规定时限内未纠正的；</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（3）乙方违法分包或转包的；</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（4）营业期限届满，或者被政府部门处以责令停产停业、暂扣或者吊销许可证、暂扣或者吊销执照的处罚，或者被责令关闭、撤销，或者因各种原因依法解散的；</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（5）因不能清偿到期债务，向人民法院提出重整、和解或者破产清算申请，或者被债权人向人民法院提出进行重整或者破产清算申请的；</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（6）在本项目招标过程中存在腐败、欺诈行为或者以其他欺骗方式取得中标资格的；</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（7）本合同约定的或法律规定的其他情形。</w:t>
      </w:r>
    </w:p>
    <w:p>
      <w:pPr>
        <w:spacing w:after="156" w:afterLines="50" w:line="300" w:lineRule="auto"/>
        <w:ind w:firstLine="420"/>
        <w:rPr>
          <w:rFonts w:asciiTheme="minorEastAsia" w:hAnsiTheme="minorEastAsia" w:eastAsiaTheme="minorEastAsia"/>
          <w:bCs/>
          <w:sz w:val="24"/>
          <w:szCs w:val="24"/>
        </w:rPr>
      </w:pPr>
      <w:r>
        <w:rPr>
          <w:rFonts w:hint="eastAsia" w:asciiTheme="minorEastAsia" w:hAnsiTheme="minorEastAsia" w:eastAsiaTheme="minorEastAsia"/>
          <w:bCs/>
          <w:sz w:val="24"/>
          <w:szCs w:val="24"/>
        </w:rPr>
        <w:t>26、乙方擅自解除合同或者因乙方违约甲方解除合同的，乙方应当向甲方支付与本合同暂定总额的20%等额的违约金（此违约金与其他条款约定不一致的，以其中较高者为准）并且赔偿甲方的全部损失。视严重情况根据广州市房地产行业协会与广州市重点公共建设项目管理中心等九家建设业主单位关于共同建立严重失信行为惩戒机制（试行）的倡议书 （穗房协〔2021〕8号）予以处理。</w:t>
      </w:r>
    </w:p>
    <w:p>
      <w:pPr>
        <w:spacing w:after="156" w:afterLines="50" w:line="300" w:lineRule="auto"/>
        <w:ind w:firstLine="420"/>
      </w:pPr>
      <w:bookmarkStart w:id="52" w:name="_Hlk30279070"/>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7</w:t>
      </w:r>
      <w:r>
        <w:rPr>
          <w:rFonts w:hint="eastAsia" w:asciiTheme="minorEastAsia" w:hAnsiTheme="minorEastAsia" w:eastAsiaTheme="minorEastAsia"/>
          <w:bCs/>
          <w:sz w:val="24"/>
          <w:szCs w:val="24"/>
        </w:rPr>
        <w:t>、</w:t>
      </w:r>
      <w:bookmarkEnd w:id="52"/>
      <w:r>
        <w:rPr>
          <w:rFonts w:hint="eastAsia" w:asciiTheme="minorEastAsia" w:hAnsiTheme="minorEastAsia" w:eastAsiaTheme="minorEastAsia"/>
          <w:bCs/>
          <w:sz w:val="24"/>
          <w:szCs w:val="24"/>
        </w:rPr>
        <w:t>本合同及附件对同一违约事项均约定了违约责任或扣罚方法的，甲方有权对乙方违约责任从重从严处罚。</w:t>
      </w:r>
    </w:p>
    <w:p>
      <w:pPr>
        <w:pStyle w:val="4"/>
      </w:pPr>
      <w:bookmarkStart w:id="53" w:name="_Toc1736144"/>
      <w:r>
        <w:rPr>
          <w:szCs w:val="22"/>
        </w:rPr>
        <w:t>十</w:t>
      </w:r>
      <w:r>
        <w:rPr>
          <w:rFonts w:hint="eastAsia"/>
          <w:szCs w:val="22"/>
        </w:rPr>
        <w:t>五</w:t>
      </w:r>
      <w:r>
        <w:rPr>
          <w:szCs w:val="22"/>
        </w:rPr>
        <w:t>、</w:t>
      </w:r>
      <w:r>
        <w:rPr>
          <w:rFonts w:hint="eastAsia"/>
        </w:rPr>
        <w:t>不可抗力</w:t>
      </w:r>
      <w:bookmarkEnd w:id="53"/>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1、本条所述的“不可抗力”系指那些无法控制和不可预见的事件，但不包括双方的违约或疏忽。这些事件包括，但不限于战争、严重火灾、洪水、台风、地震及其它双方同意的情况。</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2、若不可抗力发生使合同执行受阻，则合同执行时间根据受影响的时间相应延长，但合同价格不得调整。</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受阻方应在不可抗力事件发生后三天内，以书面形式将不可抗力的情况和原因通知另一方，并附上由有关当局出具的证明。除另一方书面另行要求外，受阻方应尽实际可能继续履行合同义务，以及寻求采取合理的方案履行不受不可抗力影响的其它事项。如果不可抗力事件影响延续超过</w:t>
      </w:r>
      <w:r>
        <w:rPr>
          <w:rFonts w:ascii="宋体" w:hAnsi="宋体"/>
          <w:color w:val="000000"/>
          <w:sz w:val="24"/>
          <w:szCs w:val="24"/>
        </w:rPr>
        <w:t>120天，双方应通过友好协商在合理的时间内就进一步实施合同达成协议。若双方无法达成协议，则受阻方可根据合同规定终止合同。</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4、任何因不可抗力所导致延误履行合同或不能履行合同，受阻方将不因此而构成违约。</w:t>
      </w:r>
    </w:p>
    <w:p>
      <w:pPr>
        <w:pStyle w:val="4"/>
      </w:pPr>
      <w:bookmarkStart w:id="54" w:name="_Toc1736145"/>
      <w:r>
        <w:rPr>
          <w:rFonts w:hint="eastAsia"/>
        </w:rPr>
        <w:t>十六、风险与保险</w:t>
      </w:r>
      <w:bookmarkEnd w:id="54"/>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1、由于乙方原因造成工程质量事故损失，乙方除负责采取补救措施外，应免收直接受损失部分的设计费用，并赔偿甲方因此造成的一切损失，并承担相应的法律责任。</w:t>
      </w:r>
    </w:p>
    <w:p>
      <w:pPr>
        <w:spacing w:after="156" w:afterLines="50" w:line="300" w:lineRule="auto"/>
        <w:ind w:firstLine="42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、甲方借给乙方的物品，若这些物品在乙方、其雇员、工人或代理人保管或使用期间，无论任何原因遗失或损坏，乙方须赔偿遗失或损坏物品的价钱。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3、乙方所用工具、设备及车辆的安全问题，以及这些运输工具停泊在甲方处所或沿着这些地方行驶时的安全事宜，概由乙方负责。其间若对上述甲方处所造成任何损失或损坏，乙方须赔偿甲方所有实际损失。</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4、甲方及其雇员或代理人对乙方或其雇员的受伤或死亡，以及任何财物蒙受损失或损坏无须负上任何法律责任，除非该伤亡事件是由甲方疏忽或主观原因所致。</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5 </w:t>
      </w:r>
      <w:r>
        <w:rPr>
          <w:rFonts w:hint="eastAsia" w:ascii="宋体" w:hAnsi="宋体"/>
          <w:color w:val="000000"/>
          <w:sz w:val="24"/>
          <w:szCs w:val="24"/>
        </w:rPr>
        <w:t>、由于乙方或其任何雇员疏忽，以致第三者蒙受损失、受伤及死亡，概由乙方负赔偿责任（因甲方或其雇员疏忽而引致的受伤或死亡除外）。</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6 </w:t>
      </w:r>
      <w:r>
        <w:rPr>
          <w:rFonts w:hint="eastAsia" w:ascii="宋体" w:hAnsi="宋体"/>
          <w:color w:val="000000"/>
          <w:sz w:val="24"/>
          <w:szCs w:val="24"/>
        </w:rPr>
        <w:t>、若因乙方或其任何雇员的疏忽，以致甲方或甲方的任何雇员受伤及死亡，以及财物蒙受损失或损坏，乙方须赔偿甲方所有实际损失。</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7 </w:t>
      </w:r>
      <w:r>
        <w:rPr>
          <w:rFonts w:hint="eastAsia" w:ascii="宋体" w:hAnsi="宋体"/>
          <w:color w:val="000000"/>
          <w:sz w:val="24"/>
          <w:szCs w:val="24"/>
        </w:rPr>
        <w:t>、若甲方提出要求，乙方必须针对本合同规定索偿、索求及责任等全部设计责任，向一家甲方认可（即甲方不会无理拒绝认可）的保险公司进行“建设工程设计责任保险”投保。在合同期内，必须保持保单有效。乙方必须将保单复印件连同已付保金的收据复印件，在合同期内交予甲方代表。</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8 </w:t>
      </w:r>
      <w:r>
        <w:rPr>
          <w:rFonts w:hint="eastAsia" w:ascii="宋体" w:hAnsi="宋体"/>
          <w:color w:val="000000"/>
          <w:sz w:val="24"/>
          <w:szCs w:val="24"/>
        </w:rPr>
        <w:t>、若乙方没有按照合同条款规定投保或购买其他的保险，并保持保单有效，甲方可以自行投保，保持保单有效和缴付所需保金，以符合有关条款的规定，所交保费由乙方承担，甲方有权在乙方合同设计费用扣取保费。</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9 </w:t>
      </w:r>
      <w:r>
        <w:rPr>
          <w:rFonts w:hint="eastAsia" w:ascii="宋体" w:hAnsi="宋体"/>
          <w:color w:val="000000"/>
          <w:sz w:val="24"/>
          <w:szCs w:val="24"/>
        </w:rPr>
        <w:t>、当乙方被判破产，甲方可以随时循简易程序，书面通知乙方终止合同，乙方无权获得任何补偿。</w:t>
      </w:r>
    </w:p>
    <w:p>
      <w:pPr>
        <w:spacing w:after="156" w:afterLines="50" w:line="300" w:lineRule="auto"/>
        <w:ind w:firstLine="420"/>
        <w:rPr>
          <w:rFonts w:ascii="宋体" w:hAnsi="宋体"/>
          <w:color w:val="000000"/>
          <w:sz w:val="24"/>
          <w:szCs w:val="24"/>
        </w:rPr>
      </w:pPr>
      <w:r>
        <w:rPr>
          <w:rFonts w:ascii="宋体" w:hAnsi="宋体"/>
          <w:color w:val="000000"/>
          <w:sz w:val="24"/>
          <w:szCs w:val="24"/>
        </w:rPr>
        <w:t>10</w:t>
      </w:r>
      <w:r>
        <w:rPr>
          <w:rFonts w:hint="eastAsia" w:ascii="宋体" w:hAnsi="宋体"/>
          <w:color w:val="000000"/>
          <w:sz w:val="24"/>
          <w:szCs w:val="24"/>
        </w:rPr>
        <w:t>、假如乙方或其任何雇员于履行合同时，被发现触犯任何防止贿赂的法规，甲方可以简易程序终止有关合同，而乙方无权获得任何补偿。甲方因上述情况终止合同而需承担的所有费用，概由乙方负责赔偿。</w:t>
      </w:r>
    </w:p>
    <w:p>
      <w:pPr>
        <w:spacing w:after="156" w:afterLines="50" w:line="300" w:lineRule="auto"/>
        <w:ind w:firstLine="420"/>
        <w:rPr>
          <w:rFonts w:ascii="宋体" w:hAnsi="宋体"/>
          <w:b/>
          <w:bCs/>
          <w:color w:val="000000"/>
          <w:sz w:val="24"/>
          <w:szCs w:val="24"/>
        </w:rPr>
      </w:pPr>
      <w:r>
        <w:rPr>
          <w:rFonts w:hint="eastAsia" w:ascii="宋体" w:hAnsi="宋体"/>
          <w:b/>
          <w:bCs/>
          <w:color w:val="000000"/>
          <w:sz w:val="24"/>
          <w:szCs w:val="24"/>
        </w:rPr>
        <w:t>11、本项目因政府部门原因、或因项目环评、稳评等，导致项目规模及内容缩小或取消（包括但不限于项目甩项、停建、缓建、迁址或撤销）等情形，甲方有权减少设计范围及内容，并相应核减合同费用，乙方应无条件接受，且不得索赔费用。</w:t>
      </w:r>
    </w:p>
    <w:p>
      <w:pPr>
        <w:pStyle w:val="4"/>
      </w:pPr>
      <w:bookmarkStart w:id="55" w:name="_Toc1736146"/>
      <w:r>
        <w:rPr>
          <w:rFonts w:hint="eastAsia"/>
        </w:rPr>
        <w:t>十七、文字及货币约定</w:t>
      </w:r>
      <w:bookmarkEnd w:id="55"/>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1、本合同所有文件均以中文书写、解释、说明。</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2、本合同以人民币为报价和结算货币。</w:t>
      </w:r>
    </w:p>
    <w:p>
      <w:pPr>
        <w:pStyle w:val="4"/>
      </w:pPr>
      <w:bookmarkStart w:id="56" w:name="_Toc1736147"/>
      <w:r>
        <w:rPr>
          <w:rFonts w:hint="eastAsia"/>
        </w:rPr>
        <w:t>十八、法律适用</w:t>
      </w:r>
      <w:bookmarkEnd w:id="56"/>
      <w:r>
        <w:rPr>
          <w:rFonts w:hint="eastAsia"/>
        </w:rPr>
        <w:t>及争议管辖</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本合同适用中华人民共和国的法律、行政法规、司法解释、部门规章、地方性法规、广东省和广州市人民政府关于本项目的有关文件以及建设工程主管部门批准的文件。</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本合同的制定、效力、解释、履行和争议的解决，均适用中华人民共和国的法律、法规、规章的规定。</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凡因履行本合同而引起的一切争议或与本合同有关的争议，应由合同双方通过友好协商解决。协商不成时，双方同意提交</w:t>
      </w:r>
      <w:r>
        <w:rPr>
          <w:rFonts w:hint="eastAsia" w:ascii="宋体" w:hAnsi="宋体"/>
          <w:color w:val="000000"/>
          <w:sz w:val="24"/>
          <w:szCs w:val="24"/>
        </w:rPr>
        <w:t>本</w:t>
      </w:r>
      <w:r>
        <w:rPr>
          <w:rFonts w:ascii="宋体" w:hAnsi="宋体"/>
          <w:color w:val="000000"/>
          <w:sz w:val="24"/>
          <w:szCs w:val="24"/>
        </w:rPr>
        <w:t>工程所在地的人民法院进行诉讼。</w:t>
      </w:r>
    </w:p>
    <w:p>
      <w:pPr>
        <w:pStyle w:val="4"/>
      </w:pPr>
      <w:bookmarkStart w:id="57" w:name="_Toc1736148"/>
      <w:r>
        <w:rPr>
          <w:rFonts w:hint="eastAsia"/>
        </w:rPr>
        <w:t>十九、合同生效及其它条款</w:t>
      </w:r>
      <w:bookmarkEnd w:id="57"/>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1、合同生效</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本合同经甲方、乙方法定代表人或授权代表签字盖章后生效并开始执行，生效日期为最后一方签字的日期。</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2、合同变更</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当合同任何一方提出申请并经合同双方书面同意时，可对合同进行修改和补充。合同双方对合同所作的修改和补充应理解为只是对修改部分合同条款的变更，不影响原合同其它条款的效力。</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3、合同终止</w:t>
      </w:r>
    </w:p>
    <w:p>
      <w:pPr>
        <w:spacing w:after="156" w:afterLines="50" w:line="300" w:lineRule="auto"/>
        <w:ind w:firstLine="420"/>
        <w:rPr>
          <w:rFonts w:ascii="宋体" w:hAnsi="宋体"/>
          <w:color w:val="000000"/>
          <w:sz w:val="24"/>
          <w:szCs w:val="24"/>
        </w:rPr>
      </w:pPr>
      <w:r>
        <w:rPr>
          <w:rFonts w:ascii="宋体" w:hAnsi="宋体"/>
          <w:color w:val="000000"/>
          <w:sz w:val="24"/>
          <w:szCs w:val="24"/>
        </w:rPr>
        <w:t>3.1有下列情形之一的，本合同的权利义务终止：</w:t>
      </w:r>
    </w:p>
    <w:p>
      <w:pPr>
        <w:spacing w:line="300" w:lineRule="auto"/>
        <w:ind w:firstLine="4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甲方、乙方债务已经按照约定履行；</w:t>
      </w:r>
    </w:p>
    <w:p>
      <w:pPr>
        <w:spacing w:line="300" w:lineRule="auto"/>
        <w:ind w:firstLine="4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本合同已经解除；</w:t>
      </w:r>
    </w:p>
    <w:p>
      <w:pPr>
        <w:spacing w:line="300" w:lineRule="auto"/>
        <w:ind w:firstLine="42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甲方、乙方债务互相抵销；</w:t>
      </w:r>
    </w:p>
    <w:p>
      <w:pPr>
        <w:spacing w:line="300" w:lineRule="auto"/>
        <w:ind w:firstLine="42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债务人依法将标的物提存；</w:t>
      </w:r>
    </w:p>
    <w:p>
      <w:pPr>
        <w:spacing w:line="300" w:lineRule="auto"/>
        <w:ind w:firstLine="42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债权人免除债务；</w:t>
      </w:r>
    </w:p>
    <w:p>
      <w:pPr>
        <w:spacing w:line="300" w:lineRule="auto"/>
        <w:ind w:firstLine="420"/>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债权债务同归于一人；</w:t>
      </w:r>
    </w:p>
    <w:p>
      <w:pPr>
        <w:spacing w:line="300" w:lineRule="auto"/>
        <w:ind w:firstLine="420"/>
        <w:rPr>
          <w:rFonts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法律规定或者本合同约定的其它情形。</w:t>
      </w:r>
    </w:p>
    <w:p>
      <w:pPr>
        <w:spacing w:line="300" w:lineRule="auto"/>
        <w:ind w:firstLine="420"/>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本合同的权利义务终止后，当事人应当遵循诚实信用原则，根据交易习惯履行通知、协助、保密义务。</w:t>
      </w:r>
    </w:p>
    <w:p>
      <w:pPr>
        <w:spacing w:line="300" w:lineRule="auto"/>
        <w:ind w:firstLine="42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合同解除或终止后，不影响合同各方在合同中约定的结算和清理条款的效力。</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4、权益转让</w:t>
      </w:r>
    </w:p>
    <w:p>
      <w:pPr>
        <w:spacing w:after="156" w:afterLines="50" w:line="300" w:lineRule="auto"/>
        <w:ind w:firstLine="420"/>
        <w:rPr>
          <w:rFonts w:ascii="宋体" w:hAnsi="宋体"/>
          <w:color w:val="000000"/>
          <w:sz w:val="24"/>
          <w:szCs w:val="24"/>
        </w:rPr>
      </w:pPr>
      <w:r>
        <w:rPr>
          <w:rFonts w:ascii="宋体" w:hAnsi="宋体"/>
          <w:color w:val="000000"/>
          <w:sz w:val="24"/>
          <w:szCs w:val="24"/>
        </w:rPr>
        <w:t xml:space="preserve">4.1 </w:t>
      </w:r>
      <w:r>
        <w:rPr>
          <w:rFonts w:hint="eastAsia" w:ascii="宋体" w:hAnsi="宋体"/>
          <w:color w:val="000000"/>
          <w:sz w:val="24"/>
          <w:szCs w:val="24"/>
        </w:rPr>
        <w:t>乙方不得擅自转让或以其他方式出让合同或合同的任何权益，乙方须视履行合同为本身的责任。</w:t>
      </w:r>
    </w:p>
    <w:p>
      <w:pPr>
        <w:spacing w:after="156" w:afterLines="50" w:line="300" w:lineRule="auto"/>
        <w:ind w:firstLine="420"/>
        <w:rPr>
          <w:rFonts w:ascii="宋体" w:hAnsi="宋体"/>
          <w:color w:val="000000"/>
          <w:sz w:val="24"/>
          <w:szCs w:val="24"/>
        </w:rPr>
      </w:pPr>
      <w:r>
        <w:rPr>
          <w:rFonts w:hint="eastAsia" w:ascii="宋体" w:hAnsi="宋体"/>
          <w:color w:val="000000"/>
          <w:sz w:val="24"/>
          <w:szCs w:val="24"/>
        </w:rPr>
        <w:t>5、其它</w:t>
      </w:r>
    </w:p>
    <w:p>
      <w:pPr>
        <w:spacing w:after="156" w:afterLines="50" w:line="300" w:lineRule="auto"/>
        <w:ind w:firstLine="420"/>
        <w:rPr>
          <w:rFonts w:ascii="宋体" w:hAnsi="宋体"/>
          <w:color w:val="000000"/>
          <w:sz w:val="24"/>
          <w:szCs w:val="24"/>
        </w:rPr>
      </w:pPr>
      <w:r>
        <w:rPr>
          <w:rFonts w:ascii="宋体" w:hAnsi="宋体"/>
          <w:color w:val="000000"/>
          <w:sz w:val="24"/>
          <w:szCs w:val="24"/>
        </w:rPr>
        <w:t>5.1本合同条款的标题仅为方便之目的而设置，对本合同的解释不产生影响。</w:t>
      </w:r>
    </w:p>
    <w:p>
      <w:pPr>
        <w:spacing w:after="156" w:afterLines="50" w:line="300" w:lineRule="auto"/>
        <w:ind w:firstLine="420"/>
        <w:rPr>
          <w:rFonts w:ascii="宋体" w:hAnsi="宋体"/>
          <w:color w:val="000000"/>
          <w:sz w:val="24"/>
          <w:szCs w:val="24"/>
        </w:rPr>
      </w:pPr>
      <w:r>
        <w:rPr>
          <w:rFonts w:ascii="宋体" w:hAnsi="宋体"/>
          <w:color w:val="000000"/>
          <w:sz w:val="24"/>
          <w:szCs w:val="24"/>
        </w:rPr>
        <w:t>5.2本合同未尽事宜，双方可签订补充合同，有关合同及双方认可的来往电报、传真、会议纪要等，均为本合同组成部分，与本合同具有同等法律</w:t>
      </w:r>
      <w:r>
        <w:rPr>
          <w:rFonts w:hint="eastAsia" w:ascii="宋体" w:hAnsi="宋体"/>
          <w:color w:val="000000"/>
          <w:sz w:val="24"/>
          <w:szCs w:val="24"/>
        </w:rPr>
        <w:t>。</w:t>
      </w:r>
    </w:p>
    <w:p>
      <w:pPr>
        <w:pStyle w:val="4"/>
      </w:pPr>
      <w:bookmarkStart w:id="58" w:name="_Toc1736149"/>
      <w:r>
        <w:rPr>
          <w:rFonts w:hint="eastAsia"/>
        </w:rPr>
        <w:t>二十、合同附件</w:t>
      </w:r>
      <w:bookmarkEnd w:id="58"/>
    </w:p>
    <w:p>
      <w:pPr>
        <w:spacing w:line="300" w:lineRule="auto"/>
        <w:ind w:firstLine="420"/>
        <w:rPr>
          <w:rFonts w:ascii="宋体" w:hAnsi="宋体"/>
          <w:color w:val="000000"/>
          <w:sz w:val="24"/>
          <w:szCs w:val="24"/>
        </w:rPr>
      </w:pPr>
      <w:r>
        <w:rPr>
          <w:rFonts w:hint="eastAsia" w:ascii="宋体" w:hAnsi="宋体"/>
          <w:color w:val="000000"/>
          <w:sz w:val="24"/>
          <w:szCs w:val="24"/>
        </w:rPr>
        <w:t>附件一：设计单位的考核细则</w:t>
      </w:r>
    </w:p>
    <w:p>
      <w:pPr>
        <w:spacing w:line="300" w:lineRule="auto"/>
        <w:ind w:firstLine="420"/>
        <w:rPr>
          <w:rFonts w:ascii="宋体" w:hAnsi="宋体"/>
          <w:color w:val="000000"/>
          <w:sz w:val="24"/>
          <w:szCs w:val="24"/>
        </w:rPr>
      </w:pPr>
      <w:r>
        <w:rPr>
          <w:rFonts w:hint="eastAsia" w:ascii="宋体" w:hAnsi="宋体"/>
          <w:color w:val="000000"/>
          <w:sz w:val="24"/>
          <w:szCs w:val="24"/>
        </w:rPr>
        <w:t>附件二：</w:t>
      </w:r>
      <w:r>
        <w:rPr>
          <w:rFonts w:hint="eastAsia"/>
          <w:color w:val="000000"/>
          <w:sz w:val="24"/>
        </w:rPr>
        <w:t>动力电池梯次利用项目</w:t>
      </w:r>
      <w:r>
        <w:rPr>
          <w:rFonts w:hint="eastAsia"/>
          <w:color w:val="000000"/>
          <w:sz w:val="24"/>
          <w:lang w:val="en-US" w:eastAsia="zh-CN"/>
        </w:rPr>
        <w:t>勘察</w:t>
      </w:r>
      <w:r>
        <w:rPr>
          <w:rFonts w:hint="eastAsia" w:ascii="宋体" w:hAnsi="宋体"/>
          <w:color w:val="000000"/>
          <w:sz w:val="24"/>
          <w:szCs w:val="24"/>
        </w:rPr>
        <w:t>设计任务书</w:t>
      </w:r>
    </w:p>
    <w:p>
      <w:pPr>
        <w:spacing w:line="300" w:lineRule="auto"/>
        <w:ind w:firstLine="420"/>
        <w:rPr>
          <w:rFonts w:ascii="宋体" w:hAnsi="宋体"/>
          <w:color w:val="000000"/>
          <w:sz w:val="24"/>
          <w:szCs w:val="24"/>
        </w:rPr>
      </w:pPr>
      <w:r>
        <w:rPr>
          <w:rFonts w:hint="eastAsia" w:ascii="宋体" w:hAnsi="宋体"/>
          <w:color w:val="000000"/>
          <w:sz w:val="24"/>
          <w:szCs w:val="24"/>
        </w:rPr>
        <w:t>附件三：勘察、设计负责人和主要设计人员表</w:t>
      </w:r>
    </w:p>
    <w:p>
      <w:pPr>
        <w:spacing w:line="300" w:lineRule="auto"/>
        <w:ind w:firstLine="420"/>
        <w:rPr>
          <w:rFonts w:ascii="宋体" w:hAnsi="宋体"/>
          <w:color w:val="000000"/>
          <w:sz w:val="24"/>
          <w:szCs w:val="24"/>
        </w:rPr>
      </w:pPr>
      <w:r>
        <w:rPr>
          <w:rFonts w:hint="eastAsia" w:ascii="宋体" w:hAnsi="宋体"/>
          <w:color w:val="000000"/>
          <w:sz w:val="24"/>
          <w:szCs w:val="24"/>
        </w:rPr>
        <w:t>附件四：勘察、设计工程量清单报价表</w:t>
      </w:r>
    </w:p>
    <w:p>
      <w:pPr>
        <w:spacing w:line="300" w:lineRule="auto"/>
        <w:ind w:firstLine="420"/>
        <w:rPr>
          <w:rFonts w:ascii="宋体" w:hAnsi="宋体"/>
          <w:color w:val="000000"/>
          <w:sz w:val="24"/>
          <w:szCs w:val="24"/>
        </w:rPr>
      </w:pPr>
      <w:r>
        <w:rPr>
          <w:rFonts w:hint="eastAsia" w:ascii="宋体" w:hAnsi="宋体"/>
          <w:color w:val="000000"/>
          <w:sz w:val="24"/>
          <w:szCs w:val="24"/>
        </w:rPr>
        <w:t>附件五：廉政合同</w:t>
      </w:r>
    </w:p>
    <w:p>
      <w:pPr>
        <w:spacing w:line="300" w:lineRule="auto"/>
        <w:ind w:firstLine="420"/>
        <w:rPr>
          <w:rFonts w:ascii="宋体" w:hAnsi="宋体"/>
          <w:color w:val="000000"/>
          <w:sz w:val="24"/>
          <w:szCs w:val="24"/>
        </w:rPr>
      </w:pPr>
      <w:r>
        <w:rPr>
          <w:rFonts w:hint="eastAsia" w:ascii="宋体" w:hAnsi="宋体"/>
          <w:color w:val="000000"/>
          <w:sz w:val="24"/>
          <w:szCs w:val="24"/>
        </w:rPr>
        <w:t>附件六：工程勘察安全承诺书</w:t>
      </w:r>
    </w:p>
    <w:p>
      <w:pPr>
        <w:spacing w:line="300" w:lineRule="auto"/>
        <w:ind w:firstLine="420"/>
        <w:rPr>
          <w:rFonts w:ascii="宋体" w:hAnsi="宋体"/>
          <w:color w:val="000000"/>
          <w:sz w:val="24"/>
          <w:szCs w:val="24"/>
        </w:rPr>
      </w:pPr>
      <w:r>
        <w:rPr>
          <w:rFonts w:hint="eastAsia" w:ascii="宋体" w:hAnsi="宋体"/>
          <w:color w:val="000000"/>
          <w:sz w:val="24"/>
          <w:szCs w:val="24"/>
        </w:rPr>
        <w:t>附件七：设计进度表</w:t>
      </w:r>
    </w:p>
    <w:p>
      <w:pPr>
        <w:spacing w:line="300" w:lineRule="auto"/>
        <w:ind w:firstLine="420"/>
        <w:rPr>
          <w:rFonts w:ascii="宋体" w:hAnsi="宋体"/>
          <w:color w:val="000000"/>
          <w:sz w:val="24"/>
          <w:szCs w:val="24"/>
        </w:rPr>
      </w:pPr>
      <w:r>
        <w:rPr>
          <w:rFonts w:hint="eastAsia" w:ascii="宋体" w:hAnsi="宋体"/>
          <w:color w:val="000000"/>
          <w:sz w:val="24"/>
          <w:szCs w:val="24"/>
        </w:rPr>
        <w:t>附件八：发包方应提交的设计基础文件</w:t>
      </w:r>
    </w:p>
    <w:p>
      <w:pPr>
        <w:spacing w:line="300" w:lineRule="auto"/>
        <w:ind w:firstLine="420"/>
        <w:rPr>
          <w:rFonts w:ascii="宋体" w:hAnsi="宋体"/>
          <w:color w:val="000000"/>
          <w:sz w:val="24"/>
          <w:szCs w:val="24"/>
        </w:rPr>
      </w:pPr>
      <w:r>
        <w:rPr>
          <w:rFonts w:hint="eastAsia" w:ascii="宋体" w:hAnsi="宋体"/>
          <w:color w:val="000000"/>
          <w:sz w:val="24"/>
          <w:szCs w:val="24"/>
        </w:rPr>
        <w:t>附件九：安健环管理协议</w:t>
      </w:r>
    </w:p>
    <w:p>
      <w:pPr>
        <w:spacing w:line="300" w:lineRule="auto"/>
        <w:ind w:firstLine="420"/>
        <w:rPr>
          <w:rFonts w:ascii="宋体" w:hAnsi="宋体"/>
          <w:color w:val="000000"/>
          <w:sz w:val="24"/>
          <w:szCs w:val="24"/>
        </w:rPr>
      </w:pPr>
      <w:r>
        <w:rPr>
          <w:rFonts w:hint="eastAsia" w:ascii="宋体" w:hAnsi="宋体"/>
          <w:color w:val="000000"/>
          <w:sz w:val="24"/>
          <w:szCs w:val="24"/>
        </w:rPr>
        <w:t>附件十：安全文明施工管理</w:t>
      </w:r>
    </w:p>
    <w:p>
      <w:pPr>
        <w:spacing w:line="300" w:lineRule="auto"/>
        <w:ind w:firstLine="420"/>
        <w:rPr>
          <w:rFonts w:ascii="宋体" w:hAnsi="宋体"/>
          <w:color w:val="000000"/>
          <w:sz w:val="24"/>
          <w:szCs w:val="24"/>
        </w:rPr>
      </w:pPr>
      <w:r>
        <w:rPr>
          <w:rFonts w:hint="eastAsia" w:ascii="宋体" w:hAnsi="宋体"/>
          <w:color w:val="000000"/>
          <w:sz w:val="24"/>
          <w:szCs w:val="24"/>
        </w:rPr>
        <w:t>附件十一：综合治理</w:t>
      </w:r>
    </w:p>
    <w:p>
      <w:pPr>
        <w:spacing w:line="300" w:lineRule="auto"/>
        <w:ind w:firstLine="420"/>
        <w:rPr>
          <w:rFonts w:ascii="宋体" w:hAnsi="宋体"/>
          <w:color w:val="000000"/>
          <w:sz w:val="24"/>
          <w:szCs w:val="24"/>
        </w:rPr>
      </w:pPr>
      <w:r>
        <w:rPr>
          <w:rFonts w:hint="eastAsia" w:ascii="宋体" w:hAnsi="宋体"/>
          <w:color w:val="000000"/>
          <w:sz w:val="24"/>
          <w:szCs w:val="24"/>
        </w:rPr>
        <w:t>附件十二：中标通知书</w:t>
      </w:r>
    </w:p>
    <w:p>
      <w:pPr>
        <w:spacing w:line="300" w:lineRule="auto"/>
        <w:ind w:firstLine="420"/>
        <w:rPr>
          <w:rFonts w:ascii="宋体" w:hAnsi="宋体"/>
          <w:color w:val="000000"/>
          <w:sz w:val="24"/>
          <w:szCs w:val="24"/>
        </w:rPr>
      </w:pPr>
      <w:r>
        <w:rPr>
          <w:rFonts w:hint="eastAsia" w:ascii="宋体" w:hAnsi="宋体"/>
          <w:color w:val="000000"/>
          <w:sz w:val="24"/>
          <w:szCs w:val="24"/>
        </w:rPr>
        <w:t>附件十三：联合体协议</w:t>
      </w:r>
    </w:p>
    <w:p>
      <w:pPr>
        <w:spacing w:line="300" w:lineRule="auto"/>
        <w:ind w:firstLine="420"/>
        <w:rPr>
          <w:rFonts w:ascii="宋体" w:hAnsi="宋体"/>
          <w:color w:val="000000"/>
          <w:sz w:val="24"/>
          <w:szCs w:val="24"/>
        </w:rPr>
      </w:pPr>
    </w:p>
    <w:p>
      <w:bookmarkStart w:id="59" w:name="_Toc1736150"/>
    </w:p>
    <w:p>
      <w:pPr>
        <w:pStyle w:val="4"/>
      </w:pPr>
    </w:p>
    <w:p>
      <w:pPr>
        <w:pStyle w:val="4"/>
      </w:pPr>
    </w:p>
    <w:p>
      <w:pPr>
        <w:pStyle w:val="4"/>
      </w:pPr>
    </w:p>
    <w:p/>
    <w:p>
      <w:pPr>
        <w:pStyle w:val="41"/>
      </w:pPr>
    </w:p>
    <w:bookmarkEnd w:id="59"/>
    <w:p>
      <w:pPr>
        <w:spacing w:line="300" w:lineRule="auto"/>
        <w:rPr>
          <w:rFonts w:ascii="宋体" w:hAnsi="宋体"/>
          <w:b/>
          <w:bCs/>
          <w:color w:val="000000"/>
          <w:sz w:val="24"/>
          <w:szCs w:val="24"/>
        </w:rPr>
      </w:pPr>
      <w:r>
        <w:rPr>
          <w:rFonts w:hint="eastAsia" w:ascii="宋体" w:hAnsi="宋体"/>
          <w:b/>
          <w:bCs/>
          <w:color w:val="000000"/>
          <w:sz w:val="24"/>
          <w:szCs w:val="24"/>
        </w:rPr>
        <w:t>附件一：</w:t>
      </w:r>
    </w:p>
    <w:p>
      <w:pPr>
        <w:spacing w:line="300" w:lineRule="auto"/>
        <w:ind w:firstLine="2249" w:firstLineChars="700"/>
        <w:rPr>
          <w:sz w:val="32"/>
          <w:szCs w:val="32"/>
        </w:rPr>
      </w:pPr>
      <w:r>
        <w:rPr>
          <w:rFonts w:hint="eastAsia" w:ascii="宋体" w:hAnsi="宋体"/>
          <w:b/>
          <w:bCs/>
          <w:color w:val="000000"/>
          <w:sz w:val="32"/>
          <w:szCs w:val="32"/>
        </w:rPr>
        <w:t>设计单位的考核细则</w:t>
      </w:r>
    </w:p>
    <w:p>
      <w:pPr>
        <w:pStyle w:val="104"/>
        <w:numPr>
          <w:ilvl w:val="0"/>
          <w:numId w:val="2"/>
        </w:numPr>
        <w:adjustRightInd w:val="0"/>
        <w:snapToGrid w:val="0"/>
        <w:spacing w:line="400" w:lineRule="exact"/>
        <w:ind w:firstLineChars="0"/>
        <w:rPr>
          <w:rFonts w:asciiTheme="minorEastAsia" w:hAnsiTheme="minorEastAsia" w:eastAsiaTheme="minorEastAsia"/>
          <w:bCs/>
          <w:color w:val="000000" w:themeColor="text1"/>
          <w:kern w:val="0"/>
          <w:szCs w:val="24"/>
          <w14:textFill>
            <w14:solidFill>
              <w14:schemeClr w14:val="tx1"/>
            </w14:solidFill>
          </w14:textFill>
        </w:rPr>
      </w:pPr>
      <w:r>
        <w:rPr>
          <w:rFonts w:hint="eastAsia" w:asciiTheme="minorEastAsia" w:hAnsiTheme="minorEastAsia" w:eastAsiaTheme="minorEastAsia"/>
          <w:bCs/>
          <w:color w:val="000000" w:themeColor="text1"/>
          <w:kern w:val="0"/>
          <w:szCs w:val="24"/>
          <w14:textFill>
            <w14:solidFill>
              <w14:schemeClr w14:val="tx1"/>
            </w14:solidFill>
          </w14:textFill>
        </w:rPr>
        <w:t>考核方式</w:t>
      </w:r>
    </w:p>
    <w:p>
      <w:pPr>
        <w:pStyle w:val="104"/>
        <w:adjustRightInd w:val="0"/>
        <w:snapToGrid w:val="0"/>
        <w:spacing w:line="400" w:lineRule="exact"/>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采用</w:t>
      </w:r>
      <w:r>
        <w:rPr>
          <w:rFonts w:hint="eastAsia" w:asciiTheme="minorEastAsia" w:hAnsiTheme="minorEastAsia" w:eastAsiaTheme="minorEastAsia"/>
          <w:b/>
          <w:color w:val="000000" w:themeColor="text1"/>
          <w:szCs w:val="24"/>
          <w14:textFill>
            <w14:solidFill>
              <w14:schemeClr w14:val="tx1"/>
            </w14:solidFill>
          </w14:textFill>
        </w:rPr>
        <w:t>阶段考核</w:t>
      </w:r>
      <w:r>
        <w:rPr>
          <w:rFonts w:hint="eastAsia" w:asciiTheme="minorEastAsia" w:hAnsiTheme="minorEastAsia" w:eastAsiaTheme="minorEastAsia"/>
          <w:color w:val="000000" w:themeColor="text1"/>
          <w:szCs w:val="24"/>
          <w14:textFill>
            <w14:solidFill>
              <w14:schemeClr w14:val="tx1"/>
            </w14:solidFill>
          </w14:textFill>
        </w:rPr>
        <w:t>的形式，阶段考核是对合同期限内设计方工作分阶段进行考核，根据阶段考核结果计算出阶段考核扣罚金额；岩土工程设计纳入本考核细则，甲方有权在乙方合同款中先行扣除相应考核费用。</w:t>
      </w:r>
    </w:p>
    <w:p>
      <w:pPr>
        <w:pStyle w:val="104"/>
        <w:adjustRightInd w:val="0"/>
        <w:snapToGrid w:val="0"/>
        <w:spacing w:line="480" w:lineRule="exact"/>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1、阶段考核</w:t>
      </w:r>
    </w:p>
    <w:p>
      <w:pPr>
        <w:pStyle w:val="104"/>
        <w:adjustRightInd w:val="0"/>
        <w:snapToGrid w:val="0"/>
        <w:spacing w:line="400" w:lineRule="exact"/>
        <w:ind w:firstLine="48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 阶段考核方式和考核时间</w:t>
      </w:r>
    </w:p>
    <w:p>
      <w:pPr>
        <w:pStyle w:val="104"/>
        <w:adjustRightInd w:val="0"/>
        <w:snapToGrid w:val="0"/>
        <w:ind w:firstLine="482" w:firstLineChars="0"/>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阶段考核时间节点表</w:t>
      </w:r>
    </w:p>
    <w:tbl>
      <w:tblPr>
        <w:tblStyle w:val="42"/>
        <w:tblW w:w="8930"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410"/>
        <w:gridCol w:w="4536"/>
        <w:gridCol w:w="1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8" w:hRule="atLeast"/>
          <w:tblHeader/>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序号</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付款阶段节点</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rPr>
              <w:t>付款时间</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r>
              <w:rPr>
                <w:rFonts w:hint="eastAsia" w:ascii="宋体" w:hAnsi="宋体"/>
                <w:color w:val="000000"/>
                <w:szCs w:val="24"/>
              </w:rPr>
              <w:t>节点扣罚金额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8"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olor w:val="000000"/>
                <w:sz w:val="24"/>
                <w:szCs w:val="24"/>
              </w:rPr>
            </w:pPr>
            <w:r>
              <w:rPr>
                <w:rFonts w:ascii="宋体" w:hAnsi="宋体"/>
                <w:color w:val="000000"/>
                <w:sz w:val="24"/>
                <w:szCs w:val="24"/>
              </w:rPr>
              <w:t>1</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合同签订完成并生效</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合同生效后</w:t>
            </w:r>
            <w:r>
              <w:rPr>
                <w:rFonts w:ascii="宋体" w:hAnsi="宋体"/>
                <w:color w:val="000000"/>
                <w:szCs w:val="24"/>
              </w:rPr>
              <w:t>20个工作日内</w:t>
            </w:r>
            <w:r>
              <w:rPr>
                <w:rFonts w:hint="eastAsia" w:ascii="宋体" w:hAnsi="宋体"/>
                <w:color w:val="000000"/>
                <w:szCs w:val="24"/>
              </w:rPr>
              <w:t>支付。</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sz w:val="24"/>
                <w:szCs w:val="24"/>
              </w:rPr>
            </w:pPr>
            <w:r>
              <w:rPr>
                <w:rFonts w:hint="eastAsia" w:ascii="宋体" w:hAnsi="宋体"/>
                <w:bCs/>
                <w:color w:val="000000"/>
                <w:sz w:val="24"/>
                <w:szCs w:val="24"/>
              </w:rPr>
              <w:t>2</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初步设计及概算通过甲方或政府职能部门（若需要）审批后</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初步设计技术文件（含概算）经甲方或政府职能部门（若需要）审批通过后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75"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3</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土建施工图设计完成并通过施工图审查后</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施工图审查通过后，乙方1提交施工图设计文件并配合完成施工图预算编制、并且提交设计（工程）变更预算文件，经甲方书面确认后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729"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4</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完成土建、安装施工图预算编制并与造价咨询单位进行费用核对，并配合甲方完成招标工作。</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color w:val="000000"/>
              </w:rPr>
            </w:pPr>
            <w:r>
              <w:rPr>
                <w:rFonts w:hint="eastAsia" w:ascii="宋体" w:hAnsi="宋体"/>
                <w:color w:val="000000"/>
                <w:szCs w:val="24"/>
              </w:rPr>
              <w:t>乙方提交土建、安装施工图预算并与造价咨询单位进行费用核对，配合完成招标工作，经甲方审核通过后30个工作日内</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1164"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5</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联合</w:t>
            </w:r>
            <w:r>
              <w:rPr>
                <w:rFonts w:hint="eastAsia" w:ascii="宋体" w:hAnsi="宋体"/>
                <w:color w:val="000000"/>
                <w:sz w:val="24"/>
                <w:szCs w:val="24"/>
                <w:lang w:val="en-US" w:eastAsia="zh-CN"/>
              </w:rPr>
              <w:t>调试</w:t>
            </w:r>
            <w:r>
              <w:rPr>
                <w:rFonts w:hint="eastAsia" w:ascii="宋体" w:hAnsi="宋体"/>
                <w:color w:val="000000"/>
                <w:sz w:val="24"/>
                <w:szCs w:val="24"/>
              </w:rPr>
              <w:t>完成</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联合</w:t>
            </w:r>
            <w:r>
              <w:rPr>
                <w:rFonts w:hint="eastAsia" w:ascii="宋体" w:hAnsi="宋体"/>
                <w:color w:val="000000"/>
                <w:szCs w:val="24"/>
                <w:lang w:val="en-US" w:eastAsia="zh-CN"/>
              </w:rPr>
              <w:t>调试</w:t>
            </w:r>
            <w:r>
              <w:rPr>
                <w:rFonts w:ascii="宋体" w:hAnsi="宋体"/>
                <w:color w:val="000000"/>
                <w:szCs w:val="24"/>
              </w:rPr>
              <w:t>完成，</w:t>
            </w:r>
            <w:r>
              <w:rPr>
                <w:rFonts w:hint="eastAsia" w:ascii="宋体" w:hAnsi="宋体"/>
                <w:color w:val="000000"/>
                <w:szCs w:val="24"/>
              </w:rPr>
              <w:t>经甲方书面确认后</w:t>
            </w:r>
            <w:r>
              <w:rPr>
                <w:rFonts w:ascii="宋体" w:hAnsi="宋体"/>
                <w:color w:val="000000"/>
                <w:szCs w:val="24"/>
              </w:rPr>
              <w:t>30个工作日内</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17"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6</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工程竣工验收合格，并完成结算审核。</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工程竣工验收合格且乙方配合工作完成。乙方提交结算文件且经甲方或政府职能部门（若需要）审核后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5"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7</w:t>
            </w:r>
          </w:p>
        </w:tc>
        <w:tc>
          <w:tcPr>
            <w:tcW w:w="241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color w:val="000000"/>
                <w:sz w:val="24"/>
                <w:szCs w:val="24"/>
              </w:rPr>
            </w:pPr>
            <w:r>
              <w:rPr>
                <w:rFonts w:hint="eastAsia" w:ascii="宋体" w:hAnsi="宋体"/>
                <w:color w:val="000000"/>
                <w:sz w:val="24"/>
                <w:szCs w:val="24"/>
              </w:rPr>
              <w:t>项目</w:t>
            </w:r>
            <w:r>
              <w:rPr>
                <w:rFonts w:ascii="宋体" w:hAnsi="宋体"/>
                <w:color w:val="000000"/>
                <w:sz w:val="24"/>
                <w:szCs w:val="24"/>
              </w:rPr>
              <w:t>2年</w:t>
            </w:r>
            <w:r>
              <w:rPr>
                <w:rFonts w:hint="eastAsia" w:ascii="宋体" w:hAnsi="宋体"/>
                <w:color w:val="000000"/>
                <w:sz w:val="24"/>
                <w:szCs w:val="24"/>
              </w:rPr>
              <w:t>缺陷责任保修</w:t>
            </w:r>
            <w:r>
              <w:rPr>
                <w:rFonts w:ascii="宋体" w:hAnsi="宋体"/>
                <w:color w:val="000000"/>
                <w:sz w:val="24"/>
                <w:szCs w:val="24"/>
              </w:rPr>
              <w:t>期结束</w:t>
            </w:r>
          </w:p>
        </w:tc>
        <w:tc>
          <w:tcPr>
            <w:tcW w:w="4536"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rPr>
                <w:rFonts w:ascii="宋体" w:hAnsi="宋体"/>
                <w:color w:val="000000"/>
                <w:szCs w:val="24"/>
              </w:rPr>
            </w:pPr>
            <w:r>
              <w:rPr>
                <w:rFonts w:hint="eastAsia" w:ascii="宋体" w:hAnsi="宋体"/>
                <w:color w:val="000000"/>
                <w:szCs w:val="24"/>
              </w:rPr>
              <w:t>缺陷责任保修期结束后</w:t>
            </w:r>
            <w:r>
              <w:rPr>
                <w:rFonts w:ascii="宋体" w:hAnsi="宋体"/>
                <w:color w:val="000000"/>
                <w:szCs w:val="24"/>
              </w:rPr>
              <w:t>30个工作日内</w:t>
            </w:r>
            <w:r>
              <w:rPr>
                <w:rFonts w:hint="eastAsia" w:ascii="宋体" w:hAnsi="宋体"/>
                <w:color w:val="000000"/>
                <w:szCs w:val="24"/>
              </w:rPr>
              <w:t>。</w:t>
            </w:r>
          </w:p>
        </w:tc>
        <w:tc>
          <w:tcPr>
            <w:tcW w:w="1275" w:type="dxa"/>
            <w:tcBorders>
              <w:top w:val="single" w:color="auto" w:sz="6" w:space="0"/>
              <w:left w:val="single" w:color="auto" w:sz="6" w:space="0"/>
              <w:bottom w:val="single" w:color="auto" w:sz="6" w:space="0"/>
              <w:right w:val="single" w:color="auto" w:sz="6" w:space="0"/>
            </w:tcBorders>
            <w:vAlign w:val="center"/>
          </w:tcPr>
          <w:p>
            <w:pPr>
              <w:pStyle w:val="104"/>
              <w:adjustRightInd w:val="0"/>
              <w:snapToGrid w:val="0"/>
              <w:ind w:firstLine="0" w:firstLineChars="0"/>
              <w:jc w:val="center"/>
              <w:rPr>
                <w:rFonts w:ascii="宋体" w:hAnsi="宋体"/>
                <w:color w:val="000000"/>
                <w:szCs w:val="24"/>
              </w:rPr>
            </w:pPr>
          </w:p>
        </w:tc>
      </w:tr>
    </w:tbl>
    <w:p>
      <w:pPr>
        <w:pStyle w:val="104"/>
        <w:adjustRightInd w:val="0"/>
        <w:snapToGrid w:val="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注：本表作为合同附件，与合同其他条款具备同等法律效力。</w:t>
      </w:r>
    </w:p>
    <w:p>
      <w:pPr>
        <w:pStyle w:val="104"/>
        <w:adjustRightInd w:val="0"/>
        <w:snapToGrid w:val="0"/>
        <w:spacing w:before="312" w:beforeLines="100" w:line="300" w:lineRule="auto"/>
        <w:ind w:firstLine="0" w:firstLineChars="0"/>
        <w:rPr>
          <w:rFonts w:hint="eastAsia" w:asciiTheme="minorEastAsia" w:hAnsiTheme="minorEastAsia" w:eastAsiaTheme="minorEastAsia"/>
          <w:color w:val="000000" w:themeColor="text1"/>
          <w:szCs w:val="24"/>
          <w14:textFill>
            <w14:solidFill>
              <w14:schemeClr w14:val="tx1"/>
            </w14:solidFill>
          </w14:textFill>
        </w:rPr>
      </w:pPr>
    </w:p>
    <w:p>
      <w:pPr>
        <w:pStyle w:val="104"/>
        <w:adjustRightInd w:val="0"/>
        <w:snapToGrid w:val="0"/>
        <w:spacing w:before="312" w:beforeLines="100" w:line="300" w:lineRule="auto"/>
        <w:ind w:firstLine="0" w:firstLineChars="0"/>
        <w:rPr>
          <w:rFonts w:hint="eastAsia" w:asciiTheme="minorEastAsia" w:hAnsiTheme="minorEastAsia" w:eastAsiaTheme="minorEastAsia"/>
          <w:color w:val="000000" w:themeColor="text1"/>
          <w:szCs w:val="24"/>
          <w14:textFill>
            <w14:solidFill>
              <w14:schemeClr w14:val="tx1"/>
            </w14:solidFill>
          </w14:textFill>
        </w:rPr>
      </w:pPr>
    </w:p>
    <w:p>
      <w:pPr>
        <w:pStyle w:val="104"/>
        <w:adjustRightInd w:val="0"/>
        <w:snapToGrid w:val="0"/>
        <w:spacing w:before="312" w:beforeLines="100" w:line="300" w:lineRule="auto"/>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 阶段考核细则</w:t>
      </w:r>
    </w:p>
    <w:p>
      <w:pPr>
        <w:jc w:val="center"/>
        <w:rPr>
          <w:rFonts w:asciiTheme="minorEastAsia" w:hAnsiTheme="minorEastAsia" w:eastAsiaTheme="minorEastAsia"/>
          <w:b/>
          <w:color w:val="000000" w:themeColor="text1"/>
          <w:sz w:val="28"/>
          <w:szCs w:val="28"/>
          <w14:textFill>
            <w14:solidFill>
              <w14:schemeClr w14:val="tx1"/>
            </w14:solidFill>
          </w14:textFill>
        </w:rPr>
      </w:pPr>
    </w:p>
    <w:p>
      <w:pPr>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阶段考核细则表</w:t>
      </w:r>
    </w:p>
    <w:tbl>
      <w:tblPr>
        <w:tblStyle w:val="4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52"/>
        <w:gridCol w:w="1699"/>
        <w:gridCol w:w="2413"/>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blHeader/>
        </w:trPr>
        <w:tc>
          <w:tcPr>
            <w:tcW w:w="565" w:type="dxa"/>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序号</w:t>
            </w:r>
          </w:p>
        </w:tc>
        <w:tc>
          <w:tcPr>
            <w:tcW w:w="852" w:type="dxa"/>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考核项目</w:t>
            </w:r>
          </w:p>
        </w:tc>
        <w:tc>
          <w:tcPr>
            <w:tcW w:w="1699" w:type="dxa"/>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考核内容</w:t>
            </w:r>
          </w:p>
        </w:tc>
        <w:tc>
          <w:tcPr>
            <w:tcW w:w="2413" w:type="dxa"/>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考核扣罚细则</w:t>
            </w:r>
          </w:p>
        </w:tc>
        <w:tc>
          <w:tcPr>
            <w:tcW w:w="2268" w:type="dxa"/>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说明</w:t>
            </w:r>
          </w:p>
        </w:tc>
        <w:tc>
          <w:tcPr>
            <w:tcW w:w="1417" w:type="dxa"/>
            <w:vAlign w:val="center"/>
          </w:tcPr>
          <w:p>
            <w:pPr>
              <w:pStyle w:val="104"/>
              <w:adjustRightInd w:val="0"/>
              <w:snapToGrid w:val="0"/>
              <w:spacing w:line="300" w:lineRule="exact"/>
              <w:ind w:firstLine="0" w:firstLineChars="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节点扣罚金额及简要违约情况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restart"/>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w:t>
            </w:r>
          </w:p>
        </w:tc>
        <w:tc>
          <w:tcPr>
            <w:tcW w:w="852" w:type="dxa"/>
            <w:vMerge w:val="restart"/>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人员配备</w:t>
            </w: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乙方派设总驻现场是否符合项目需求</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乙方拒派设总到现场，未经甲方批准同意设总擅自离开工地，或者设总不作为的，每次扣5000元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考核项目为：乙方设总未按合同约定时间派驻现场、未经甲方批准同意擅自离岗、甲方抽检设总不在岗等。</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乙方派工代驻现场是否符合项目需求</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乙方拒派工代到现场或未经甲方批准同意工代擅自离开工地，每次扣3000元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考核项目为：乙方工代未按合同约定时间派驻现场、未经甲方批准同意擅自离岗、甲方抽检工代不在岗等。</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驻项目现场设计团队配备的人员数量是否符合项目需求</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每出现一次人员不齐备扣5000元，</w:t>
            </w:r>
            <w:r>
              <w:rPr>
                <w:rFonts w:asciiTheme="minorEastAsia" w:hAnsiTheme="minorEastAsia" w:eastAsiaTheme="minorEastAsia"/>
                <w:color w:val="000000" w:themeColor="text1"/>
                <w:sz w:val="21"/>
                <w:szCs w:val="21"/>
                <w14:textFill>
                  <w14:solidFill>
                    <w14:schemeClr w14:val="tx1"/>
                  </w14:solidFill>
                </w14:textFill>
              </w:rPr>
              <w:t>直至齐备为止</w:t>
            </w:r>
            <w:r>
              <w:rPr>
                <w:rFonts w:hint="eastAsia"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考核项目为：乙方须在项目现场签到打卡，由甲方项目部随机抽检。</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乙方须委派一名注册造价工程师（土建或安装专业）作为造价负责人，</w:t>
            </w:r>
            <w:r>
              <w:rPr>
                <w:rFonts w:hint="eastAsia" w:asciiTheme="minorEastAsia" w:hAnsiTheme="minorEastAsia" w:eastAsiaTheme="minorEastAsia" w:cstheme="minorEastAsia"/>
                <w:color w:val="000000" w:themeColor="text1"/>
                <w:sz w:val="21"/>
                <w:szCs w:val="21"/>
                <w14:textFill>
                  <w14:solidFill>
                    <w14:schemeClr w14:val="tx1"/>
                  </w14:solidFill>
                </w14:textFill>
              </w:rPr>
              <w:t>负责编制</w:t>
            </w:r>
            <w:r>
              <w:rPr>
                <w:rFonts w:hint="eastAsia" w:asciiTheme="minorEastAsia" w:hAnsiTheme="minorEastAsia" w:eastAsiaTheme="minorEastAsia" w:cstheme="minorEastAsia"/>
                <w:color w:val="000000"/>
                <w:sz w:val="21"/>
                <w:szCs w:val="21"/>
              </w:rPr>
              <w:t>设计（工程）变更预算文件并</w:t>
            </w:r>
            <w:r>
              <w:rPr>
                <w:rFonts w:hint="eastAsia" w:asciiTheme="minorEastAsia" w:hAnsiTheme="minorEastAsia" w:eastAsiaTheme="minorEastAsia" w:cstheme="minorEastAsia"/>
                <w:color w:val="000000" w:themeColor="text1"/>
                <w:sz w:val="21"/>
                <w:szCs w:val="21"/>
                <w14:textFill>
                  <w14:solidFill>
                    <w14:schemeClr w14:val="tx1"/>
                  </w14:solidFill>
                </w14:textFill>
              </w:rPr>
              <w:t>配合</w:t>
            </w:r>
            <w:r>
              <w:rPr>
                <w:rFonts w:hint="eastAsia" w:asciiTheme="minorEastAsia" w:hAnsiTheme="minorEastAsia" w:eastAsiaTheme="minorEastAsia"/>
                <w:color w:val="000000" w:themeColor="text1"/>
                <w:sz w:val="21"/>
                <w:szCs w:val="21"/>
                <w14:textFill>
                  <w14:solidFill>
                    <w14:schemeClr w14:val="tx1"/>
                  </w14:solidFill>
                </w14:textFill>
              </w:rPr>
              <w:t>施工图预算编审工作</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乙方拒派注册造价工程师出任造价负责人的或者造价负责人不作为的，每次扣5000元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考核项目为：乙方委派的造价负责人须每月至少一次参与甲方现</w:t>
            </w:r>
            <w:r>
              <w:rPr>
                <w:rFonts w:hint="eastAsia" w:asciiTheme="minorEastAsia" w:hAnsiTheme="minorEastAsia" w:eastAsiaTheme="minorEastAsia" w:cstheme="minorEastAsia"/>
                <w:color w:val="000000" w:themeColor="text1"/>
                <w:sz w:val="21"/>
                <w:szCs w:val="21"/>
                <w14:textFill>
                  <w14:solidFill>
                    <w14:schemeClr w14:val="tx1"/>
                  </w14:solidFill>
                </w14:textFill>
              </w:rPr>
              <w:t>场例会，完成每批次</w:t>
            </w:r>
            <w:r>
              <w:rPr>
                <w:rFonts w:hint="eastAsia" w:asciiTheme="minorEastAsia" w:hAnsiTheme="minorEastAsia" w:eastAsiaTheme="minorEastAsia" w:cstheme="minorEastAsia"/>
                <w:color w:val="000000"/>
                <w:sz w:val="21"/>
                <w:szCs w:val="21"/>
              </w:rPr>
              <w:t>设计（工程）变更</w:t>
            </w:r>
            <w:r>
              <w:rPr>
                <w:rFonts w:hint="eastAsia" w:asciiTheme="minorEastAsia" w:hAnsiTheme="minorEastAsia" w:eastAsiaTheme="minorEastAsia"/>
                <w:color w:val="000000" w:themeColor="text1"/>
                <w:sz w:val="21"/>
                <w:szCs w:val="21"/>
                <w14:textFill>
                  <w14:solidFill>
                    <w14:schemeClr w14:val="tx1"/>
                  </w14:solidFill>
                </w14:textFill>
              </w:rPr>
              <w:t>预算文件的审核并加盖注册造价师执业印章。</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restart"/>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w:t>
            </w:r>
          </w:p>
        </w:tc>
        <w:tc>
          <w:tcPr>
            <w:tcW w:w="852" w:type="dxa"/>
            <w:vMerge w:val="restart"/>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服务质量</w:t>
            </w: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设计工代服务质量</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每出现一次不作为扣2000元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考核项目为：推诿回避责任、回复不及时、质量达不到实际需求、出现明显错误等。</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主设、造价负责人及以上人员服务质量</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每出现一次不作为扣5000元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考核项目为：推诿回避责任、回复不及时、质量达不到实际需求、出现明显错误等。</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现场相关会议、工程重大例会参与情况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每缺席一次日常例会扣5000元</w:t>
            </w:r>
            <w:r>
              <w:rPr>
                <w:rFonts w:asciiTheme="minorEastAsia" w:hAnsiTheme="minorEastAsia" w:eastAsiaTheme="minorEastAsia"/>
                <w:color w:val="000000" w:themeColor="text1"/>
                <w:sz w:val="21"/>
                <w:szCs w:val="21"/>
                <w14:textFill>
                  <w14:solidFill>
                    <w14:schemeClr w14:val="tx1"/>
                  </w14:solidFill>
                </w14:textFill>
              </w:rPr>
              <w:t>、重大例会扣</w:t>
            </w:r>
            <w:r>
              <w:rPr>
                <w:rFonts w:hint="eastAsia" w:asciiTheme="minorEastAsia" w:hAnsiTheme="minorEastAsia" w:eastAsiaTheme="minorEastAsia"/>
                <w:color w:val="000000" w:themeColor="text1"/>
                <w:sz w:val="21"/>
                <w:szCs w:val="21"/>
                <w14:textFill>
                  <w14:solidFill>
                    <w14:schemeClr w14:val="tx1"/>
                  </w14:solidFill>
                </w14:textFill>
              </w:rPr>
              <w:t>10000元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除自然灾害等不可抗力导致不能参加的；参会人员具备较高水平专业能力且准备充分。</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修改设计问题的及时性</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在约定的时间内没有响应和解决，每拖延一次扣5000元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时间期限应合理、合法、合规。</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现场技术咨询完成情况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未能及时组织专家会议解决施工技术难题的，每出现一次扣50000元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乙方应积极主动组织专家就施工过程中遇到的技术难题进行咨询。</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设计技术交底和安全交底的及时情况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因设计原因未能及时进行设计技术交底，影响工程建设，每次每项扣2000元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各项工程的验收、质量监督和安全鉴定完成情况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因设计原因未能及时进行验收、质量监督和安全鉴定，影响工程进度，每次每项扣10000元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565" w:type="dxa"/>
            <w:vMerge w:val="restart"/>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w:t>
            </w:r>
          </w:p>
        </w:tc>
        <w:tc>
          <w:tcPr>
            <w:tcW w:w="852" w:type="dxa"/>
            <w:vMerge w:val="restart"/>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设计图纸、预算文件及设计服务</w:t>
            </w: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供图是否满足施工需求</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乙方须按照甲方确认的供图计划按时供图，每延迟一天扣2000元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供图质量情况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设计图纸每发现一处错误或模糊不清或设计深度不够或尚需细化或其他需修改的内容等，扣1000元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错误计量以图纸会审会议纪要为证，由甲方确认数量。</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施工设计图与招标图差异</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施工图送达时须同时报送比招标图增加的项目工程量清单以及原因说明，以及施工图与招标图项目或工作内容不一致之处的说明。未做到的每次每项扣10000元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设计（工程）变更预算提交时间</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设计（工程）变更预算须按合同约定时间提交的，未做到的每次每项扣5000元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设计（工程）变更预算编制质量</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乙方未能提交完整的预算文件，或文件编制深度不符合甲方要求，或提交预算文件归档混乱等情况，每次每项扣5000元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7"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编制技术</w:t>
            </w:r>
            <w:r>
              <w:rPr>
                <w:rFonts w:hint="eastAsia" w:asciiTheme="minorEastAsia" w:hAnsiTheme="minorEastAsia" w:eastAsiaTheme="minorEastAsia"/>
                <w:color w:val="000000" w:themeColor="text1"/>
                <w:sz w:val="21"/>
                <w:szCs w:val="21"/>
                <w14:textFill>
                  <w14:solidFill>
                    <w14:schemeClr w14:val="tx1"/>
                  </w14:solidFill>
                </w14:textFill>
              </w:rPr>
              <w:t>规格</w:t>
            </w:r>
            <w:r>
              <w:rPr>
                <w:rFonts w:asciiTheme="minorEastAsia" w:hAnsiTheme="minorEastAsia" w:eastAsiaTheme="minorEastAsia"/>
                <w:color w:val="000000" w:themeColor="text1"/>
                <w:sz w:val="21"/>
                <w:szCs w:val="21"/>
                <w14:textFill>
                  <w14:solidFill>
                    <w14:schemeClr w14:val="tx1"/>
                  </w14:solidFill>
                </w14:textFill>
              </w:rPr>
              <w:t>书情况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技术规格书等文件须按照甲方确认的提交计划按时提交，每延迟一天扣5000元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restart"/>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4</w:t>
            </w:r>
          </w:p>
        </w:tc>
        <w:tc>
          <w:tcPr>
            <w:tcW w:w="852" w:type="dxa"/>
            <w:vMerge w:val="restart"/>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设计变更及设计失误控制</w:t>
            </w: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设计变更及修改通知提供的及时情况是否满足施工需求</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每出现一次设计变更及修改通知不及时扣5000元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Merge w:val="restart"/>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由于设计原因造成的设计变更、工程变更</w:t>
            </w:r>
          </w:p>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p>
            <w:pPr>
              <w:pStyle w:val="104"/>
              <w:adjustRightInd w:val="0"/>
              <w:snapToGrid w:val="0"/>
              <w:spacing w:line="300" w:lineRule="exact"/>
              <w:jc w:val="left"/>
              <w:rPr>
                <w:rFonts w:asciiTheme="minorEastAsia" w:hAnsiTheme="minorEastAsia" w:eastAsiaTheme="minorEastAsia"/>
                <w:color w:val="000000" w:themeColor="text1"/>
                <w:sz w:val="21"/>
                <w:szCs w:val="21"/>
                <w14:textFill>
                  <w14:solidFill>
                    <w14:schemeClr w14:val="tx1"/>
                  </w14:solidFill>
                </w14:textFill>
              </w:rPr>
            </w:pPr>
          </w:p>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2413" w:type="dxa"/>
            <w:vAlign w:val="center"/>
          </w:tcPr>
          <w:p>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由于乙方原因导致出现一类设计变更（变更增加造价A≥100万元），</w:t>
            </w:r>
            <w:r>
              <w:rPr>
                <w:rFonts w:hint="eastAsia" w:asciiTheme="minorEastAsia" w:hAnsiTheme="minorEastAsia" w:eastAsiaTheme="minorEastAsia"/>
                <w:color w:val="000000" w:themeColor="text1"/>
                <w:szCs w:val="21"/>
                <w14:textFill>
                  <w14:solidFill>
                    <w14:schemeClr w14:val="tx1"/>
                  </w14:solidFill>
                </w14:textFill>
              </w:rPr>
              <w:t>每出现一次扣10万元。</w:t>
            </w:r>
          </w:p>
        </w:tc>
        <w:tc>
          <w:tcPr>
            <w:tcW w:w="2268" w:type="dxa"/>
            <w:vMerge w:val="restart"/>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设计变更或错漏等失误的工程，其导致甲方损失金额以本项目造价咨询单位和甲方审核确认为准。</w:t>
            </w:r>
          </w:p>
          <w:p>
            <w:pPr>
              <w:pStyle w:val="104"/>
              <w:adjustRightInd w:val="0"/>
              <w:snapToGrid w:val="0"/>
              <w:spacing w:line="300" w:lineRule="exact"/>
              <w:jc w:val="left"/>
              <w:rPr>
                <w:rFonts w:asciiTheme="minorEastAsia" w:hAnsiTheme="minorEastAsia" w:eastAsiaTheme="minorEastAsia"/>
                <w:color w:val="000000" w:themeColor="text1"/>
                <w:sz w:val="21"/>
                <w:szCs w:val="21"/>
                <w14:textFill>
                  <w14:solidFill>
                    <w14:schemeClr w14:val="tx1"/>
                  </w14:solidFill>
                </w14:textFill>
              </w:rPr>
            </w:pPr>
          </w:p>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p>
            <w:pPr>
              <w:pStyle w:val="104"/>
              <w:adjustRightInd w:val="0"/>
              <w:snapToGrid w:val="0"/>
              <w:spacing w:line="300" w:lineRule="exact"/>
              <w:jc w:val="left"/>
              <w:rPr>
                <w:rFonts w:asciiTheme="minorEastAsia" w:hAnsiTheme="minorEastAsia" w:eastAsiaTheme="minorEastAsia"/>
                <w:color w:val="000000" w:themeColor="text1"/>
                <w:sz w:val="21"/>
                <w:szCs w:val="21"/>
                <w14:textFill>
                  <w14:solidFill>
                    <w14:schemeClr w14:val="tx1"/>
                  </w14:solidFill>
                </w14:textFill>
              </w:rPr>
            </w:pPr>
          </w:p>
          <w:p>
            <w:pPr>
              <w:pStyle w:val="104"/>
              <w:adjustRightInd w:val="0"/>
              <w:snapToGrid w:val="0"/>
              <w:spacing w:line="300" w:lineRule="exact"/>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5"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Merge w:val="continue"/>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2413" w:type="dxa"/>
            <w:vAlign w:val="center"/>
          </w:tcPr>
          <w:p>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由于乙方原因导致出现二类设计变更（变更增加造价A：30万元≤A＜100万元），</w:t>
            </w:r>
            <w:r>
              <w:rPr>
                <w:rFonts w:hint="eastAsia" w:asciiTheme="minorEastAsia" w:hAnsiTheme="minorEastAsia" w:eastAsiaTheme="minorEastAsia"/>
                <w:color w:val="000000" w:themeColor="text1"/>
                <w:szCs w:val="21"/>
                <w14:textFill>
                  <w14:solidFill>
                    <w14:schemeClr w14:val="tx1"/>
                  </w14:solidFill>
                </w14:textFill>
              </w:rPr>
              <w:t>每出现一次扣5万元。</w:t>
            </w:r>
          </w:p>
        </w:tc>
        <w:tc>
          <w:tcPr>
            <w:tcW w:w="2268" w:type="dxa"/>
            <w:vMerge w:val="continue"/>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65" w:type="dxa"/>
            <w:vMerge w:val="continue"/>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699" w:type="dxa"/>
            <w:vMerge w:val="continue"/>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2413" w:type="dxa"/>
            <w:vAlign w:val="center"/>
          </w:tcPr>
          <w:p>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由于乙方原因导致出现三类设计变更（变更增加造价A＜30万元），</w:t>
            </w:r>
            <w:r>
              <w:rPr>
                <w:rFonts w:hint="eastAsia" w:asciiTheme="minorEastAsia" w:hAnsiTheme="minorEastAsia" w:eastAsiaTheme="minorEastAsia"/>
                <w:color w:val="000000" w:themeColor="text1"/>
                <w:szCs w:val="21"/>
                <w14:textFill>
                  <w14:solidFill>
                    <w14:schemeClr w14:val="tx1"/>
                  </w14:solidFill>
                </w14:textFill>
              </w:rPr>
              <w:t>每出现一次扣2万元。</w:t>
            </w:r>
          </w:p>
        </w:tc>
        <w:tc>
          <w:tcPr>
            <w:tcW w:w="2268" w:type="dxa"/>
            <w:vMerge w:val="continue"/>
            <w:vAlign w:val="center"/>
          </w:tcPr>
          <w:p>
            <w:pPr>
              <w:pStyle w:val="104"/>
              <w:adjustRightInd w:val="0"/>
              <w:snapToGrid w:val="0"/>
              <w:spacing w:line="300" w:lineRule="exact"/>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设计原因造成的返工</w:t>
            </w:r>
          </w:p>
        </w:tc>
        <w:tc>
          <w:tcPr>
            <w:tcW w:w="2413" w:type="dxa"/>
            <w:vAlign w:val="center"/>
          </w:tcPr>
          <w:p>
            <w:pPr>
              <w:widowControl/>
              <w:rPr>
                <w:rFonts w:cs="宋体" w:asciiTheme="minorEastAsia" w:hAnsiTheme="minorEastAsia" w:eastAsiaTheme="minorEastAsia"/>
                <w:color w:val="000000"/>
                <w:kern w:val="0"/>
                <w:szCs w:val="21"/>
              </w:rPr>
            </w:pPr>
            <w:r>
              <w:rPr>
                <w:rFonts w:hint="eastAsia" w:asciiTheme="minorEastAsia" w:hAnsiTheme="minorEastAsia" w:eastAsiaTheme="minorEastAsia"/>
                <w:color w:val="000000" w:themeColor="text1"/>
                <w:szCs w:val="21"/>
                <w14:textFill>
                  <w14:solidFill>
                    <w14:schemeClr w14:val="tx1"/>
                  </w14:solidFill>
                </w14:textFill>
              </w:rPr>
              <w:t>出现导致甲方损失</w:t>
            </w:r>
            <w:r>
              <w:rPr>
                <w:rFonts w:asciiTheme="minorEastAsia" w:hAnsiTheme="minorEastAsia" w:eastAsiaTheme="minorEastAsia"/>
                <w:color w:val="000000" w:themeColor="text1"/>
                <w:szCs w:val="21"/>
                <w14:textFill>
                  <w14:solidFill>
                    <w14:schemeClr w14:val="tx1"/>
                  </w14:solidFill>
                </w14:textFill>
              </w:rPr>
              <w:t>5万元及以上的因设计原因造成的</w:t>
            </w:r>
            <w:r>
              <w:rPr>
                <w:rFonts w:hint="eastAsia" w:asciiTheme="minorEastAsia" w:hAnsiTheme="minorEastAsia" w:eastAsiaTheme="minorEastAsia"/>
                <w:color w:val="000000" w:themeColor="text1"/>
                <w:szCs w:val="21"/>
                <w14:textFill>
                  <w14:solidFill>
                    <w14:schemeClr w14:val="tx1"/>
                  </w14:solidFill>
                </w14:textFill>
              </w:rPr>
              <w:t>返工每次扣1万元</w:t>
            </w:r>
            <w:r>
              <w:rPr>
                <w:rFonts w:asciiTheme="minorEastAsia" w:hAnsiTheme="minorEastAsia" w:eastAsiaTheme="minorEastAsia"/>
                <w:color w:val="000000" w:themeColor="text1"/>
                <w:szCs w:val="21"/>
                <w14:textFill>
                  <w14:solidFill>
                    <w14:schemeClr w14:val="tx1"/>
                  </w14:solidFill>
                </w14:textFill>
              </w:rPr>
              <w:t>。</w:t>
            </w:r>
          </w:p>
        </w:tc>
        <w:tc>
          <w:tcPr>
            <w:tcW w:w="2268" w:type="dxa"/>
            <w:vMerge w:val="continue"/>
            <w:vAlign w:val="center"/>
          </w:tcPr>
          <w:p>
            <w:pPr>
              <w:pStyle w:val="104"/>
              <w:adjustRightInd w:val="0"/>
              <w:snapToGrid w:val="0"/>
              <w:spacing w:line="300" w:lineRule="exact"/>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设计内容遗漏</w:t>
            </w:r>
          </w:p>
        </w:tc>
        <w:tc>
          <w:tcPr>
            <w:tcW w:w="2413" w:type="dxa"/>
            <w:vAlign w:val="center"/>
          </w:tcPr>
          <w:p>
            <w:pPr>
              <w:widowControl/>
              <w:rPr>
                <w:rFonts w:cs="宋体" w:asciiTheme="minorEastAsia" w:hAnsiTheme="minorEastAsia" w:eastAsiaTheme="minorEastAsia"/>
                <w:color w:val="000000"/>
                <w:kern w:val="0"/>
                <w:szCs w:val="21"/>
              </w:rPr>
            </w:pPr>
            <w:r>
              <w:rPr>
                <w:rFonts w:hint="eastAsia" w:asciiTheme="minorEastAsia" w:hAnsiTheme="minorEastAsia" w:eastAsiaTheme="minorEastAsia"/>
                <w:color w:val="000000" w:themeColor="text1"/>
                <w:szCs w:val="21"/>
                <w14:textFill>
                  <w14:solidFill>
                    <w14:schemeClr w14:val="tx1"/>
                  </w14:solidFill>
                </w14:textFill>
              </w:rPr>
              <w:t>设计内容每遗漏一项，出现</w:t>
            </w:r>
            <w:r>
              <w:rPr>
                <w:rFonts w:asciiTheme="minorEastAsia" w:hAnsiTheme="minorEastAsia" w:eastAsiaTheme="minorEastAsia"/>
                <w:color w:val="000000" w:themeColor="text1"/>
                <w:szCs w:val="21"/>
                <w14:textFill>
                  <w14:solidFill>
                    <w14:schemeClr w14:val="tx1"/>
                  </w14:solidFill>
                </w14:textFill>
              </w:rPr>
              <w:t>10万元及以下失误，每次扣</w:t>
            </w:r>
            <w:r>
              <w:rPr>
                <w:rFonts w:hint="eastAsia" w:asciiTheme="minorEastAsia" w:hAnsiTheme="minorEastAsia" w:eastAsiaTheme="minorEastAsia"/>
                <w:color w:val="000000" w:themeColor="text1"/>
                <w:szCs w:val="21"/>
                <w14:textFill>
                  <w14:solidFill>
                    <w14:schemeClr w14:val="tx1"/>
                  </w14:solidFill>
                </w14:textFill>
              </w:rPr>
              <w:t>1万元</w:t>
            </w:r>
            <w:r>
              <w:rPr>
                <w:rFonts w:asciiTheme="minorEastAsia" w:hAnsiTheme="minorEastAsia" w:eastAsiaTheme="minorEastAsia"/>
                <w:color w:val="000000" w:themeColor="text1"/>
                <w:szCs w:val="21"/>
                <w14:textFill>
                  <w14:solidFill>
                    <w14:schemeClr w14:val="tx1"/>
                  </w14:solidFill>
                </w14:textFill>
              </w:rPr>
              <w:t>；出现10-50万失误，每次扣</w:t>
            </w:r>
            <w:r>
              <w:rPr>
                <w:rFonts w:hint="eastAsia" w:asciiTheme="minorEastAsia" w:hAnsiTheme="minorEastAsia" w:eastAsiaTheme="minorEastAsia"/>
                <w:color w:val="000000" w:themeColor="text1"/>
                <w:szCs w:val="21"/>
                <w14:textFill>
                  <w14:solidFill>
                    <w14:schemeClr w14:val="tx1"/>
                  </w14:solidFill>
                </w14:textFill>
              </w:rPr>
              <w:t>3万元</w:t>
            </w:r>
            <w:r>
              <w:rPr>
                <w:rFonts w:asciiTheme="minorEastAsia" w:hAnsiTheme="minorEastAsia" w:eastAsiaTheme="minorEastAsia"/>
                <w:color w:val="000000" w:themeColor="text1"/>
                <w:szCs w:val="21"/>
                <w14:textFill>
                  <w14:solidFill>
                    <w14:schemeClr w14:val="tx1"/>
                  </w14:solidFill>
                </w14:textFill>
              </w:rPr>
              <w:t>；出现50万元及以上失误，每次扣5</w:t>
            </w:r>
            <w:r>
              <w:rPr>
                <w:rFonts w:hint="eastAsia" w:asciiTheme="minorEastAsia" w:hAnsiTheme="minorEastAsia" w:eastAsiaTheme="minorEastAsia"/>
                <w:color w:val="000000" w:themeColor="text1"/>
                <w:szCs w:val="21"/>
                <w14:textFill>
                  <w14:solidFill>
                    <w14:schemeClr w14:val="tx1"/>
                  </w14:solidFill>
                </w14:textFill>
              </w:rPr>
              <w:t>万元</w:t>
            </w:r>
            <w:r>
              <w:rPr>
                <w:rFonts w:asciiTheme="minorEastAsia" w:hAnsiTheme="minorEastAsia" w:eastAsiaTheme="minorEastAsia"/>
                <w:color w:val="000000" w:themeColor="text1"/>
                <w:szCs w:val="21"/>
                <w14:textFill>
                  <w14:solidFill>
                    <w14:schemeClr w14:val="tx1"/>
                  </w14:solidFill>
                </w14:textFill>
              </w:rPr>
              <w:t>。</w:t>
            </w:r>
          </w:p>
        </w:tc>
        <w:tc>
          <w:tcPr>
            <w:tcW w:w="2268" w:type="dxa"/>
            <w:vMerge w:val="continue"/>
            <w:vAlign w:val="center"/>
          </w:tcPr>
          <w:p>
            <w:pPr>
              <w:pStyle w:val="104"/>
              <w:adjustRightInd w:val="0"/>
              <w:snapToGrid w:val="0"/>
              <w:spacing w:line="300" w:lineRule="exact"/>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因设计原因造成运行上不安全、不经济</w:t>
            </w:r>
          </w:p>
        </w:tc>
        <w:tc>
          <w:tcPr>
            <w:tcW w:w="2413" w:type="dxa"/>
            <w:vAlign w:val="center"/>
          </w:tcPr>
          <w:p>
            <w:pPr>
              <w:widowControl/>
              <w:rPr>
                <w:rFonts w:cs="宋体" w:asciiTheme="minorEastAsia" w:hAnsiTheme="minorEastAsia" w:eastAsiaTheme="minorEastAsia"/>
                <w:color w:val="000000"/>
                <w:kern w:val="0"/>
                <w:szCs w:val="21"/>
              </w:rPr>
            </w:pPr>
            <w:r>
              <w:rPr>
                <w:rFonts w:hint="eastAsia" w:asciiTheme="minorEastAsia" w:hAnsiTheme="minorEastAsia" w:eastAsiaTheme="minorEastAsia"/>
                <w:color w:val="000000" w:themeColor="text1"/>
                <w:szCs w:val="21"/>
                <w14:textFill>
                  <w14:solidFill>
                    <w14:schemeClr w14:val="tx1"/>
                  </w14:solidFill>
                </w14:textFill>
              </w:rPr>
              <w:t>在试运行期间因设计原因每出现一次类似情况扣</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万元</w:t>
            </w:r>
            <w:r>
              <w:rPr>
                <w:rFonts w:asciiTheme="minorEastAsia" w:hAnsiTheme="minorEastAsia" w:eastAsiaTheme="minorEastAsia"/>
                <w:color w:val="000000" w:themeColor="text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如设计疏漏，造成</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产能不匹配</w:t>
            </w:r>
            <w:r>
              <w:rPr>
                <w:rFonts w:hint="eastAsia" w:asciiTheme="minorEastAsia" w:hAnsiTheme="minorEastAsia" w:eastAsiaTheme="minorEastAsia"/>
                <w:color w:val="000000" w:themeColor="text1"/>
                <w:sz w:val="21"/>
                <w:szCs w:val="21"/>
                <w14:textFill>
                  <w14:solidFill>
                    <w14:schemeClr w14:val="tx1"/>
                  </w14:solidFill>
                </w14:textFill>
              </w:rPr>
              <w:t>等。</w:t>
            </w:r>
          </w:p>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设计校核</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由于乙方责任，校核出现错误未发现，每次扣2000元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65" w:type="dxa"/>
            <w:vMerge w:val="restart"/>
            <w:vAlign w:val="center"/>
          </w:tcPr>
          <w:p>
            <w:pPr>
              <w:pStyle w:val="104"/>
              <w:tabs>
                <w:tab w:val="center" w:pos="175"/>
              </w:tabs>
              <w:adjustRightInd w:val="0"/>
              <w:snapToGrid w:val="0"/>
              <w:spacing w:line="300" w:lineRule="exact"/>
              <w:ind w:firstLine="210" w:firstLineChars="10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p>
        </w:tc>
        <w:tc>
          <w:tcPr>
            <w:tcW w:w="852" w:type="dxa"/>
            <w:vMerge w:val="restart"/>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配合质量</w:t>
            </w: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与图纸审查单位、施工单位，监理单位、设备和材料供货商等的配合</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由其他单位投诉，经项目建设指挥部仲裁因乙方原因造成，每一次扣5000元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主要考核因乙方的主要责任造成的配合问题。</w:t>
            </w: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甲方临时交办事情的完成情况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配合不积极或不按要求完成，每次扣2000元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65"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852" w:type="dxa"/>
            <w:vMerge w:val="continue"/>
            <w:vAlign w:val="center"/>
          </w:tcPr>
          <w:p>
            <w:pPr>
              <w:pStyle w:val="104"/>
              <w:adjustRightInd w:val="0"/>
              <w:snapToGrid w:val="0"/>
              <w:spacing w:line="300" w:lineRule="exact"/>
              <w:ind w:firstLine="48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各项迎检工作的配合情况</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因乙方原因未能做好各项迎检工作影响迎检工作，每次扣1万元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乙方应积极主动按要求配合做好各项迎检工作。</w:t>
            </w: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trPr>
        <w:tc>
          <w:tcPr>
            <w:tcW w:w="565" w:type="dxa"/>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p>
        </w:tc>
        <w:tc>
          <w:tcPr>
            <w:tcW w:w="852"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投资控制</w:t>
            </w: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限额设计</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已验收单位工程投资额超出了概算批复金额</w:t>
            </w:r>
            <w:r>
              <w:rPr>
                <w:rFonts w:asciiTheme="minorEastAsia" w:hAnsiTheme="minorEastAsia" w:eastAsiaTheme="minorEastAsia"/>
                <w:color w:val="000000" w:themeColor="text1"/>
                <w:sz w:val="21"/>
                <w:szCs w:val="21"/>
                <w14:textFill>
                  <w14:solidFill>
                    <w14:schemeClr w14:val="tx1"/>
                  </w14:solidFill>
                </w14:textFill>
              </w:rPr>
              <w:t>的</w:t>
            </w:r>
            <w:r>
              <w:rPr>
                <w:rFonts w:hint="eastAsia" w:asciiTheme="minorEastAsia" w:hAnsiTheme="minorEastAsia" w:eastAsiaTheme="minorEastAsia"/>
                <w:color w:val="000000" w:themeColor="text1"/>
                <w:sz w:val="21"/>
                <w:szCs w:val="21"/>
                <w14:textFill>
                  <w14:solidFill>
                    <w14:schemeClr w14:val="tx1"/>
                  </w14:solidFill>
                </w14:textFill>
              </w:rPr>
              <w:t>扣</w:t>
            </w:r>
            <w:r>
              <w:rPr>
                <w:rFonts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万元/个单位工程。</w:t>
            </w:r>
          </w:p>
        </w:tc>
        <w:tc>
          <w:tcPr>
            <w:tcW w:w="2268"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65" w:type="dxa"/>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w:t>
            </w:r>
          </w:p>
        </w:tc>
        <w:tc>
          <w:tcPr>
            <w:tcW w:w="852"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质量考核</w:t>
            </w:r>
          </w:p>
        </w:tc>
        <w:tc>
          <w:tcPr>
            <w:tcW w:w="1699"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设计质量</w:t>
            </w:r>
          </w:p>
        </w:tc>
        <w:tc>
          <w:tcPr>
            <w:tcW w:w="2413"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因勘察、设计原因造成的工程质量问题，单项造成甲方</w:t>
            </w:r>
            <w:r>
              <w:rPr>
                <w:rFonts w:asciiTheme="minorEastAsia" w:hAnsiTheme="minorEastAsia" w:eastAsiaTheme="minorEastAsia"/>
                <w:color w:val="000000" w:themeColor="text1"/>
                <w:sz w:val="21"/>
                <w:szCs w:val="21"/>
                <w14:textFill>
                  <w14:solidFill>
                    <w14:schemeClr w14:val="tx1"/>
                  </w14:solidFill>
                </w14:textFill>
              </w:rPr>
              <w:t>10万元（含）~50万元损失的，每次扣1</w:t>
            </w:r>
            <w:r>
              <w:rPr>
                <w:rFonts w:hint="eastAsia" w:asciiTheme="minorEastAsia" w:hAnsiTheme="minorEastAsia" w:eastAsiaTheme="minorEastAsia"/>
                <w:color w:val="000000" w:themeColor="text1"/>
                <w:sz w:val="21"/>
                <w:szCs w:val="21"/>
                <w14:textFill>
                  <w14:solidFill>
                    <w14:schemeClr w14:val="tx1"/>
                  </w14:solidFill>
                </w14:textFill>
              </w:rPr>
              <w:t>万元</w:t>
            </w:r>
            <w:r>
              <w:rPr>
                <w:rFonts w:asciiTheme="minorEastAsia" w:hAnsiTheme="minorEastAsia" w:eastAsiaTheme="minorEastAsia"/>
                <w:color w:val="000000" w:themeColor="text1"/>
                <w:sz w:val="21"/>
                <w:szCs w:val="21"/>
                <w14:textFill>
                  <w14:solidFill>
                    <w14:schemeClr w14:val="tx1"/>
                  </w14:solidFill>
                </w14:textFill>
              </w:rPr>
              <w:t>；单项造成</w:t>
            </w:r>
            <w:r>
              <w:rPr>
                <w:rFonts w:hint="eastAsia" w:asciiTheme="minorEastAsia" w:hAnsiTheme="minorEastAsia" w:eastAsiaTheme="minorEastAsia"/>
                <w:color w:val="000000" w:themeColor="text1"/>
                <w:sz w:val="21"/>
                <w:szCs w:val="21"/>
                <w14:textFill>
                  <w14:solidFill>
                    <w14:schemeClr w14:val="tx1"/>
                  </w14:solidFill>
                </w14:textFill>
              </w:rPr>
              <w:t>甲方</w:t>
            </w:r>
            <w:r>
              <w:rPr>
                <w:rFonts w:asciiTheme="minorEastAsia" w:hAnsiTheme="minorEastAsia" w:eastAsiaTheme="minorEastAsia"/>
                <w:color w:val="000000" w:themeColor="text1"/>
                <w:sz w:val="21"/>
                <w:szCs w:val="21"/>
                <w14:textFill>
                  <w14:solidFill>
                    <w14:schemeClr w14:val="tx1"/>
                  </w14:solidFill>
                </w14:textFill>
              </w:rPr>
              <w:t>50万元（含）及以上损失的，每次扣10</w:t>
            </w:r>
            <w:r>
              <w:rPr>
                <w:rFonts w:hint="eastAsia" w:asciiTheme="minorEastAsia" w:hAnsiTheme="minorEastAsia" w:eastAsiaTheme="minorEastAsia"/>
                <w:color w:val="000000" w:themeColor="text1"/>
                <w:sz w:val="21"/>
                <w:szCs w:val="21"/>
                <w14:textFill>
                  <w14:solidFill>
                    <w14:schemeClr w14:val="tx1"/>
                  </w14:solidFill>
                </w14:textFill>
              </w:rPr>
              <w:t>万元</w:t>
            </w:r>
            <w:r>
              <w:rPr>
                <w:rFonts w:asciiTheme="minorEastAsia" w:hAnsiTheme="minorEastAsia" w:eastAsiaTheme="minorEastAsia"/>
                <w:color w:val="000000" w:themeColor="text1"/>
                <w:sz w:val="21"/>
                <w:szCs w:val="21"/>
                <w14:textFill>
                  <w14:solidFill>
                    <w14:schemeClr w14:val="tx1"/>
                  </w14:solidFill>
                </w14:textFill>
              </w:rPr>
              <w:t>。</w:t>
            </w:r>
          </w:p>
        </w:tc>
        <w:tc>
          <w:tcPr>
            <w:tcW w:w="2268" w:type="dxa"/>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p>
        </w:tc>
        <w:tc>
          <w:tcPr>
            <w:tcW w:w="1417"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65" w:type="dxa"/>
            <w:vAlign w:val="center"/>
          </w:tcPr>
          <w:p>
            <w:pPr>
              <w:pStyle w:val="104"/>
              <w:adjustRightInd w:val="0"/>
              <w:snapToGrid w:val="0"/>
              <w:spacing w:line="300" w:lineRule="exact"/>
              <w:ind w:firstLine="0" w:firstLineChars="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8</w:t>
            </w:r>
          </w:p>
        </w:tc>
        <w:tc>
          <w:tcPr>
            <w:tcW w:w="852" w:type="dxa"/>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备注</w:t>
            </w:r>
          </w:p>
        </w:tc>
        <w:tc>
          <w:tcPr>
            <w:tcW w:w="7797" w:type="dxa"/>
            <w:gridSpan w:val="4"/>
            <w:vAlign w:val="center"/>
          </w:tcPr>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1、甲方按合同约定对乙方服务进行考核，乙方不得以任何理由拒绝继续履约和消极履约，否则视为乙方严重违约甲方有权终止合同，乙方须赔偿甲方一切损失。</w:t>
            </w:r>
          </w:p>
          <w:p>
            <w:pPr>
              <w:pStyle w:val="104"/>
              <w:adjustRightInd w:val="0"/>
              <w:snapToGrid w:val="0"/>
              <w:spacing w:line="300" w:lineRule="exact"/>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2、每项扣罚均上不封顶，每阶段考核按照设计费付款节点执行</w:t>
            </w:r>
            <w:r>
              <w:rPr>
                <w:rFonts w:asciiTheme="minorEastAsia" w:hAnsiTheme="minorEastAsia" w:eastAsiaTheme="minorEastAsia"/>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214" w:type="dxa"/>
            <w:gridSpan w:val="6"/>
            <w:vAlign w:val="center"/>
          </w:tcPr>
          <w:p>
            <w:pPr>
              <w:pStyle w:val="104"/>
              <w:adjustRightInd w:val="0"/>
              <w:snapToGrid w:val="0"/>
              <w:ind w:firstLine="0" w:firstLineChars="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注：本表作为合同附件，与合同其他条款具备同等法律效力。</w:t>
            </w:r>
          </w:p>
        </w:tc>
      </w:tr>
    </w:tbl>
    <w:p>
      <w:pPr>
        <w:pStyle w:val="4"/>
      </w:pPr>
      <w:bookmarkStart w:id="60" w:name="_Toc1736151"/>
    </w:p>
    <w:p/>
    <w:p>
      <w:pPr>
        <w:pStyle w:val="41"/>
      </w:pPr>
    </w:p>
    <w:p>
      <w:pPr>
        <w:pStyle w:val="41"/>
      </w:pPr>
    </w:p>
    <w:p>
      <w:pPr>
        <w:pStyle w:val="4"/>
      </w:pPr>
      <w:r>
        <w:rPr>
          <w:rFonts w:hint="eastAsia"/>
        </w:rPr>
        <w:br w:type="textWrapping"/>
      </w:r>
    </w:p>
    <w:p/>
    <w:p>
      <w:pPr>
        <w:pStyle w:val="2"/>
        <w:ind w:left="63" w:right="63"/>
      </w:pPr>
    </w:p>
    <w:p/>
    <w:p>
      <w:pPr>
        <w:pStyle w:val="4"/>
      </w:pPr>
      <w:r>
        <w:rPr>
          <w:rFonts w:hint="eastAsia"/>
        </w:rPr>
        <w:t>附件二：</w:t>
      </w:r>
    </w:p>
    <w:p>
      <w:pPr>
        <w:pStyle w:val="4"/>
        <w:jc w:val="center"/>
        <w:rPr>
          <w:sz w:val="36"/>
          <w:szCs w:val="36"/>
        </w:rPr>
      </w:pPr>
    </w:p>
    <w:p>
      <w:pPr>
        <w:pStyle w:val="4"/>
        <w:jc w:val="center"/>
        <w:rPr>
          <w:sz w:val="36"/>
          <w:szCs w:val="36"/>
        </w:rPr>
      </w:pPr>
    </w:p>
    <w:p>
      <w:pPr>
        <w:pStyle w:val="4"/>
        <w:jc w:val="center"/>
        <w:rPr>
          <w:sz w:val="36"/>
          <w:szCs w:val="36"/>
        </w:rPr>
      </w:pPr>
    </w:p>
    <w:p>
      <w:pPr>
        <w:spacing w:beforeLines="0" w:afterLines="0" w:line="600" w:lineRule="exact"/>
        <w:jc w:val="center"/>
        <w:rPr>
          <w:rFonts w:ascii="Times New Roman" w:hAnsi="Times New Roman" w:cs="Times New Roman"/>
          <w:b/>
          <w:color w:val="000000"/>
          <w:sz w:val="48"/>
          <w:szCs w:val="48"/>
          <w:highlight w:val="none"/>
        </w:rPr>
      </w:pPr>
      <w:r>
        <w:rPr>
          <w:rFonts w:hint="eastAsia" w:ascii="Times New Roman" w:hAnsi="Times New Roman" w:cs="Times New Roman"/>
          <w:b/>
          <w:color w:val="000000"/>
          <w:sz w:val="48"/>
          <w:szCs w:val="48"/>
          <w:highlight w:val="none"/>
          <w:lang w:val="en-US" w:eastAsia="zh-CN"/>
        </w:rPr>
        <w:t>动力电池梯次利用项目</w:t>
      </w:r>
    </w:p>
    <w:p>
      <w:pPr>
        <w:spacing w:beforeLines="0" w:afterLines="0" w:line="600" w:lineRule="exact"/>
        <w:jc w:val="center"/>
        <w:rPr>
          <w:rFonts w:ascii="Times New Roman" w:hAnsi="Times New Roman" w:cs="Times New Roman"/>
          <w:b/>
          <w:color w:val="000000"/>
          <w:sz w:val="48"/>
          <w:szCs w:val="48"/>
          <w:highlight w:val="none"/>
        </w:rPr>
      </w:pPr>
    </w:p>
    <w:p>
      <w:pPr>
        <w:spacing w:beforeLines="0" w:afterLines="0" w:line="600" w:lineRule="exact"/>
        <w:jc w:val="center"/>
        <w:rPr>
          <w:rFonts w:ascii="Times New Roman" w:hAnsi="Times New Roman" w:cs="Times New Roman"/>
          <w:b/>
          <w:color w:val="000000"/>
          <w:sz w:val="48"/>
          <w:szCs w:val="48"/>
          <w:highlight w:val="none"/>
        </w:rPr>
      </w:pPr>
      <w:r>
        <w:rPr>
          <w:rFonts w:hint="eastAsia" w:ascii="Times New Roman" w:hAnsi="Times New Roman" w:cs="Times New Roman"/>
          <w:b/>
          <w:color w:val="000000"/>
          <w:sz w:val="48"/>
          <w:szCs w:val="48"/>
          <w:highlight w:val="none"/>
          <w:lang w:val="en-US" w:eastAsia="zh-CN"/>
        </w:rPr>
        <w:t>勘察</w:t>
      </w:r>
      <w:r>
        <w:rPr>
          <w:rFonts w:ascii="Times New Roman" w:hAnsi="Times New Roman" w:cs="Times New Roman"/>
          <w:b/>
          <w:color w:val="000000"/>
          <w:sz w:val="48"/>
          <w:szCs w:val="48"/>
          <w:highlight w:val="none"/>
        </w:rPr>
        <w:t>设计任务书</w:t>
      </w:r>
    </w:p>
    <w:p>
      <w:pPr>
        <w:spacing w:beforeLines="0" w:afterLines="0" w:line="600" w:lineRule="exact"/>
        <w:rPr>
          <w:rFonts w:ascii="Times New Roman" w:hAnsi="Times New Roman" w:cs="Times New Roman"/>
          <w:b/>
          <w:color w:val="000000"/>
          <w:sz w:val="52"/>
          <w:szCs w:val="52"/>
          <w:highlight w:val="none"/>
        </w:rPr>
      </w:pPr>
    </w:p>
    <w:p>
      <w:pPr>
        <w:spacing w:beforeLines="0" w:afterLines="0" w:line="600" w:lineRule="exact"/>
        <w:jc w:val="center"/>
        <w:rPr>
          <w:rFonts w:ascii="Times New Roman" w:hAnsi="Times New Roman" w:cs="Times New Roman"/>
          <w:b/>
          <w:color w:val="000000"/>
          <w:sz w:val="52"/>
          <w:szCs w:val="52"/>
          <w:highlight w:val="none"/>
        </w:rPr>
      </w:pPr>
    </w:p>
    <w:p>
      <w:pPr>
        <w:spacing w:beforeLines="0" w:afterLines="0" w:line="600" w:lineRule="exact"/>
        <w:jc w:val="center"/>
        <w:rPr>
          <w:rFonts w:ascii="Times New Roman" w:hAnsi="Times New Roman" w:cs="Times New Roman"/>
          <w:b/>
          <w:color w:val="000000"/>
          <w:sz w:val="52"/>
          <w:szCs w:val="52"/>
          <w:highlight w:val="none"/>
        </w:rPr>
      </w:pPr>
    </w:p>
    <w:p>
      <w:pPr>
        <w:spacing w:beforeLines="0" w:afterLines="0" w:line="600" w:lineRule="exact"/>
        <w:rPr>
          <w:rFonts w:ascii="Times New Roman" w:hAnsi="Times New Roman" w:cs="Times New Roman"/>
          <w:b/>
          <w:color w:val="000000"/>
          <w:sz w:val="28"/>
          <w:szCs w:val="28"/>
          <w:highlight w:val="none"/>
        </w:rPr>
      </w:pPr>
    </w:p>
    <w:p>
      <w:pPr>
        <w:spacing w:beforeLines="0" w:afterLines="0" w:line="600" w:lineRule="exact"/>
        <w:rPr>
          <w:rFonts w:ascii="Times New Roman" w:hAnsi="Times New Roman" w:cs="Times New Roman"/>
          <w:b/>
          <w:color w:val="000000"/>
          <w:sz w:val="28"/>
          <w:szCs w:val="28"/>
          <w:highlight w:val="none"/>
        </w:rPr>
      </w:pPr>
    </w:p>
    <w:p>
      <w:pPr>
        <w:spacing w:beforeLines="0" w:afterLines="0" w:line="600" w:lineRule="exact"/>
        <w:rPr>
          <w:rFonts w:ascii="Times New Roman" w:hAnsi="Times New Roman" w:cs="Times New Roman"/>
          <w:b/>
          <w:color w:val="000000"/>
          <w:sz w:val="28"/>
          <w:szCs w:val="28"/>
          <w:highlight w:val="none"/>
        </w:rPr>
      </w:pPr>
    </w:p>
    <w:p>
      <w:pPr>
        <w:spacing w:beforeLines="0" w:afterLines="0" w:line="600" w:lineRule="exact"/>
        <w:jc w:val="center"/>
        <w:rPr>
          <w:rFonts w:ascii="Times New Roman" w:hAnsi="Times New Roman" w:cs="Times New Roman"/>
          <w:b/>
          <w:color w:val="000000"/>
          <w:sz w:val="28"/>
          <w:szCs w:val="28"/>
          <w:highlight w:val="none"/>
        </w:rPr>
      </w:pPr>
    </w:p>
    <w:p>
      <w:pPr>
        <w:pStyle w:val="2"/>
        <w:spacing w:beforeLines="0" w:after="0" w:afterLines="0" w:line="600" w:lineRule="exact"/>
        <w:rPr>
          <w:rFonts w:eastAsia="宋体"/>
          <w:color w:val="000000"/>
          <w:highlight w:val="none"/>
        </w:rPr>
      </w:pPr>
    </w:p>
    <w:p>
      <w:pPr>
        <w:spacing w:beforeLines="0" w:afterLines="0" w:line="600" w:lineRule="exact"/>
        <w:jc w:val="center"/>
        <w:rPr>
          <w:rFonts w:ascii="Times New Roman" w:hAnsi="Times New Roman" w:cs="Times New Roman"/>
          <w:b/>
          <w:color w:val="000000"/>
          <w:sz w:val="28"/>
          <w:szCs w:val="28"/>
          <w:highlight w:val="none"/>
        </w:rPr>
      </w:pPr>
    </w:p>
    <w:p>
      <w:pPr>
        <w:spacing w:beforeLines="0" w:afterLines="0" w:line="600" w:lineRule="exact"/>
        <w:jc w:val="center"/>
        <w:rPr>
          <w:rFonts w:hint="eastAsia" w:ascii="Times New Roman" w:hAnsi="Times New Roman" w:cs="Times New Roman"/>
          <w:b/>
          <w:color w:val="000000"/>
          <w:sz w:val="28"/>
          <w:szCs w:val="28"/>
          <w:highlight w:val="none"/>
        </w:rPr>
      </w:pPr>
      <w:r>
        <w:rPr>
          <w:rFonts w:hint="eastAsia" w:ascii="Times New Roman" w:hAnsi="Times New Roman" w:cs="Times New Roman"/>
          <w:b/>
          <w:color w:val="000000"/>
          <w:sz w:val="28"/>
          <w:szCs w:val="28"/>
          <w:highlight w:val="none"/>
        </w:rPr>
        <w:t>广州环投</w:t>
      </w:r>
      <w:r>
        <w:rPr>
          <w:rFonts w:hint="eastAsia" w:ascii="Times New Roman" w:hAnsi="Times New Roman" w:cs="Times New Roman"/>
          <w:b/>
          <w:color w:val="000000"/>
          <w:sz w:val="28"/>
          <w:szCs w:val="28"/>
          <w:highlight w:val="none"/>
          <w:lang w:val="en-US" w:eastAsia="zh-CN"/>
        </w:rPr>
        <w:t>恒创</w:t>
      </w:r>
      <w:r>
        <w:rPr>
          <w:rFonts w:hint="eastAsia" w:ascii="Times New Roman" w:hAnsi="Times New Roman" w:cs="Times New Roman"/>
          <w:b/>
          <w:color w:val="000000"/>
          <w:sz w:val="28"/>
          <w:szCs w:val="28"/>
          <w:highlight w:val="none"/>
        </w:rPr>
        <w:t>科技有限公司</w:t>
      </w:r>
    </w:p>
    <w:p>
      <w:pPr>
        <w:spacing w:beforeLines="0" w:afterLines="0" w:line="600" w:lineRule="exact"/>
        <w:jc w:val="center"/>
        <w:rPr>
          <w:rFonts w:ascii="Times New Roman" w:hAnsi="Times New Roman" w:cs="Times New Roman"/>
          <w:b/>
          <w:color w:val="000000"/>
          <w:sz w:val="28"/>
          <w:szCs w:val="28"/>
          <w:highlight w:val="none"/>
        </w:rPr>
      </w:pPr>
      <w:r>
        <w:rPr>
          <w:rFonts w:ascii="Times New Roman" w:hAnsi="Times New Roman" w:cs="Times New Roman"/>
          <w:b/>
          <w:color w:val="000000"/>
          <w:sz w:val="28"/>
          <w:szCs w:val="28"/>
          <w:highlight w:val="none"/>
        </w:rPr>
        <w:t>20</w:t>
      </w:r>
      <w:r>
        <w:rPr>
          <w:rFonts w:hint="eastAsia" w:ascii="Times New Roman" w:hAnsi="Times New Roman" w:cs="Times New Roman"/>
          <w:b/>
          <w:color w:val="000000"/>
          <w:sz w:val="28"/>
          <w:szCs w:val="28"/>
          <w:highlight w:val="none"/>
          <w:lang w:val="en-US" w:eastAsia="zh-CN"/>
        </w:rPr>
        <w:t>23</w:t>
      </w:r>
      <w:r>
        <w:rPr>
          <w:rFonts w:ascii="Times New Roman" w:hAnsi="Times New Roman" w:cs="Times New Roman"/>
          <w:b/>
          <w:color w:val="000000"/>
          <w:sz w:val="28"/>
          <w:szCs w:val="28"/>
          <w:highlight w:val="none"/>
        </w:rPr>
        <w:t>年</w:t>
      </w:r>
      <w:r>
        <w:rPr>
          <w:rFonts w:hint="eastAsia" w:ascii="Times New Roman" w:hAnsi="Times New Roman" w:cs="Times New Roman"/>
          <w:b/>
          <w:color w:val="000000"/>
          <w:sz w:val="28"/>
          <w:szCs w:val="28"/>
          <w:highlight w:val="none"/>
          <w:lang w:val="en-US" w:eastAsia="zh-CN"/>
        </w:rPr>
        <w:t>6</w:t>
      </w:r>
      <w:r>
        <w:rPr>
          <w:rFonts w:ascii="Times New Roman" w:hAnsi="Times New Roman" w:cs="Times New Roman"/>
          <w:b/>
          <w:color w:val="000000"/>
          <w:sz w:val="28"/>
          <w:szCs w:val="28"/>
          <w:highlight w:val="none"/>
        </w:rPr>
        <w:t>月</w:t>
      </w:r>
    </w:p>
    <w:p>
      <w:pPr>
        <w:spacing w:beforeLines="0" w:afterLines="0" w:line="600" w:lineRule="exact"/>
        <w:rPr>
          <w:rFonts w:ascii="Times New Roman" w:hAnsi="Times New Roman" w:cs="Times New Roman"/>
          <w:b/>
          <w:color w:val="000000"/>
          <w:szCs w:val="32"/>
          <w:highlight w:val="none"/>
        </w:rPr>
        <w:sectPr>
          <w:headerReference r:id="rId13" w:type="first"/>
          <w:footerReference r:id="rId16" w:type="first"/>
          <w:headerReference r:id="rId11" w:type="default"/>
          <w:footerReference r:id="rId14" w:type="default"/>
          <w:headerReference r:id="rId12" w:type="even"/>
          <w:footerReference r:id="rId15" w:type="even"/>
          <w:type w:val="nextColumn"/>
          <w:pgSz w:w="11906" w:h="16838"/>
          <w:pgMar w:top="1134" w:right="1134" w:bottom="1134" w:left="1474" w:header="851" w:footer="567" w:gutter="0"/>
          <w:pgNumType w:fmt="decimal"/>
          <w:cols w:space="720" w:num="1"/>
          <w:titlePg/>
          <w:docGrid w:type="lines" w:linePitch="312" w:charSpace="0"/>
        </w:sectPr>
      </w:pPr>
    </w:p>
    <w:p>
      <w:pPr>
        <w:pStyle w:val="34"/>
        <w:tabs>
          <w:tab w:val="right" w:leader="dot" w:pos="8777"/>
        </w:tabs>
        <w:spacing w:beforeLines="0" w:afterLines="0" w:line="600" w:lineRule="exact"/>
        <w:ind w:left="0"/>
        <w:jc w:val="center"/>
        <w:rPr>
          <w:rFonts w:ascii="Times New Roman" w:hAnsi="Times New Roman" w:cs="Times New Roman"/>
          <w:b/>
          <w:color w:val="000000"/>
          <w:sz w:val="32"/>
          <w:szCs w:val="32"/>
          <w:highlight w:val="none"/>
        </w:rPr>
      </w:pPr>
      <w:r>
        <w:rPr>
          <w:rFonts w:ascii="Times New Roman" w:hAnsi="Times New Roman" w:cs="Times New Roman"/>
          <w:b/>
          <w:color w:val="000000"/>
          <w:sz w:val="32"/>
          <w:szCs w:val="32"/>
          <w:highlight w:val="none"/>
        </w:rPr>
        <w:t>目   录</w:t>
      </w:r>
    </w:p>
    <w:p>
      <w:pPr>
        <w:pStyle w:val="34"/>
        <w:tabs>
          <w:tab w:val="right" w:leader="dot" w:pos="9298"/>
        </w:tabs>
        <w:rPr>
          <w:color w:val="000000"/>
          <w:highlight w:val="none"/>
        </w:rPr>
      </w:pPr>
      <w:r>
        <w:rPr>
          <w:rFonts w:ascii="Times New Roman" w:hAnsi="Times New Roman" w:cs="Times New Roman"/>
          <w:color w:val="000000"/>
          <w:highlight w:val="none"/>
        </w:rPr>
        <w:fldChar w:fldCharType="begin"/>
      </w:r>
      <w:r>
        <w:rPr>
          <w:rFonts w:ascii="Times New Roman" w:hAnsi="Times New Roman" w:cs="Times New Roman"/>
          <w:color w:val="000000"/>
          <w:highlight w:val="none"/>
        </w:rPr>
        <w:instrText xml:space="preserve">TOC \o "1-5" \h \z \u</w:instrText>
      </w:r>
      <w:r>
        <w:rPr>
          <w:rFonts w:ascii="Times New Roman" w:hAnsi="Times New Roman" w:cs="Times New Roman"/>
          <w:color w:val="000000"/>
          <w:highlight w:val="none"/>
        </w:rPr>
        <w:fldChar w:fldCharType="separate"/>
      </w: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_Toc1520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一、项目概述</w:t>
      </w:r>
      <w:r>
        <w:rPr>
          <w:color w:val="000000"/>
          <w:highlight w:val="none"/>
        </w:rPr>
        <w:tab/>
      </w:r>
      <w:r>
        <w:rPr>
          <w:color w:val="000000"/>
          <w:highlight w:val="none"/>
        </w:rPr>
        <w:fldChar w:fldCharType="begin"/>
      </w:r>
      <w:r>
        <w:rPr>
          <w:color w:val="000000"/>
          <w:highlight w:val="none"/>
        </w:rPr>
        <w:instrText xml:space="preserve"> PAGEREF _Toc1520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_Toc10098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1</w:t>
      </w:r>
      <w:r>
        <w:rPr>
          <w:rFonts w:ascii="Times New Roman" w:hAnsi="Times New Roman"/>
          <w:color w:val="000000"/>
          <w:szCs w:val="24"/>
          <w:highlight w:val="none"/>
        </w:rPr>
        <w:t>项目名称</w:t>
      </w:r>
      <w:r>
        <w:rPr>
          <w:color w:val="000000"/>
          <w:highlight w:val="none"/>
        </w:rPr>
        <w:tab/>
      </w:r>
      <w:r>
        <w:rPr>
          <w:color w:val="000000"/>
          <w:highlight w:val="none"/>
        </w:rPr>
        <w:fldChar w:fldCharType="begin"/>
      </w:r>
      <w:r>
        <w:rPr>
          <w:color w:val="000000"/>
          <w:highlight w:val="none"/>
        </w:rPr>
        <w:instrText xml:space="preserve"> PAGEREF _Toc10098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_Toc27217 </w:instrText>
      </w:r>
      <w:r>
        <w:rPr>
          <w:rFonts w:ascii="Times New Roman" w:hAnsi="Times New Roman" w:cs="Times New Roman"/>
          <w:color w:val="000000"/>
          <w:szCs w:val="20"/>
          <w:highlight w:val="none"/>
        </w:rPr>
        <w:fldChar w:fldCharType="separate"/>
      </w:r>
      <w:r>
        <w:rPr>
          <w:rFonts w:hint="default" w:ascii="Times New Roman" w:hAnsi="Times New Roman" w:eastAsia="宋体"/>
          <w:bCs/>
          <w:color w:val="000000"/>
          <w:szCs w:val="24"/>
          <w:highlight w:val="none"/>
          <w:lang w:val="en-US" w:eastAsia="zh-CN"/>
        </w:rPr>
        <w:t>1.2建设单位</w:t>
      </w:r>
      <w:r>
        <w:rPr>
          <w:color w:val="000000"/>
          <w:highlight w:val="none"/>
        </w:rPr>
        <w:tab/>
      </w:r>
      <w:r>
        <w:rPr>
          <w:color w:val="000000"/>
          <w:highlight w:val="none"/>
        </w:rPr>
        <w:fldChar w:fldCharType="begin"/>
      </w:r>
      <w:r>
        <w:rPr>
          <w:color w:val="000000"/>
          <w:highlight w:val="none"/>
        </w:rPr>
        <w:instrText xml:space="preserve"> PAGEREF _Toc27217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_Toc24626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1.3建设地点</w:t>
      </w:r>
      <w:r>
        <w:rPr>
          <w:color w:val="000000"/>
          <w:highlight w:val="none"/>
        </w:rPr>
        <w:tab/>
      </w:r>
      <w:r>
        <w:rPr>
          <w:color w:val="000000"/>
          <w:highlight w:val="none"/>
        </w:rPr>
        <w:fldChar w:fldCharType="begin"/>
      </w:r>
      <w:r>
        <w:rPr>
          <w:color w:val="000000"/>
          <w:highlight w:val="none"/>
        </w:rPr>
        <w:instrText xml:space="preserve"> PAGEREF _Toc24626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_Toc25857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1.4项目性质</w:t>
      </w:r>
      <w:r>
        <w:rPr>
          <w:color w:val="000000"/>
          <w:highlight w:val="none"/>
        </w:rPr>
        <w:tab/>
      </w:r>
      <w:r>
        <w:rPr>
          <w:color w:val="000000"/>
          <w:highlight w:val="none"/>
        </w:rPr>
        <w:fldChar w:fldCharType="begin"/>
      </w:r>
      <w:r>
        <w:rPr>
          <w:color w:val="000000"/>
          <w:highlight w:val="none"/>
        </w:rPr>
        <w:instrText xml:space="preserve"> PAGEREF _Toc25857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_Toc32112 </w:instrText>
      </w:r>
      <w:r>
        <w:rPr>
          <w:rFonts w:ascii="Times New Roman" w:hAnsi="Times New Roman" w:cs="Times New Roman"/>
          <w:color w:val="000000"/>
          <w:szCs w:val="20"/>
          <w:highlight w:val="none"/>
        </w:rPr>
        <w:fldChar w:fldCharType="separate"/>
      </w:r>
      <w:r>
        <w:rPr>
          <w:rFonts w:hint="eastAsia" w:ascii="Times New Roman" w:hAnsi="Times New Roman" w:eastAsia="宋体"/>
          <w:bCs/>
          <w:color w:val="000000"/>
          <w:szCs w:val="24"/>
          <w:highlight w:val="none"/>
          <w:lang w:val="en-US" w:eastAsia="zh-CN"/>
        </w:rPr>
        <w:t>1.5项目计划施工期</w:t>
      </w:r>
      <w:r>
        <w:rPr>
          <w:color w:val="000000"/>
          <w:highlight w:val="none"/>
        </w:rPr>
        <w:tab/>
      </w:r>
      <w:r>
        <w:rPr>
          <w:color w:val="000000"/>
          <w:highlight w:val="none"/>
        </w:rPr>
        <w:fldChar w:fldCharType="begin"/>
      </w:r>
      <w:r>
        <w:rPr>
          <w:color w:val="000000"/>
          <w:highlight w:val="none"/>
        </w:rPr>
        <w:instrText xml:space="preserve"> PAGEREF _Toc32112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_Toc28922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6</w:t>
      </w:r>
      <w:r>
        <w:rPr>
          <w:rFonts w:ascii="Times New Roman" w:hAnsi="Times New Roman"/>
          <w:color w:val="000000"/>
          <w:szCs w:val="24"/>
          <w:highlight w:val="none"/>
        </w:rPr>
        <w:t>建设规模（以项目实际实施情况为准）</w:t>
      </w:r>
      <w:r>
        <w:rPr>
          <w:color w:val="000000"/>
          <w:highlight w:val="none"/>
        </w:rPr>
        <w:tab/>
      </w:r>
      <w:r>
        <w:rPr>
          <w:color w:val="000000"/>
          <w:highlight w:val="none"/>
        </w:rPr>
        <w:fldChar w:fldCharType="begin"/>
      </w:r>
      <w:r>
        <w:rPr>
          <w:color w:val="000000"/>
          <w:highlight w:val="none"/>
        </w:rPr>
        <w:instrText xml:space="preserve"> PAGEREF _Toc28922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_Toc2951 </w:instrText>
      </w:r>
      <w:r>
        <w:rPr>
          <w:rFonts w:ascii="Times New Roman" w:hAnsi="Times New Roman" w:cs="Times New Roman"/>
          <w:color w:val="000000"/>
          <w:szCs w:val="20"/>
          <w:highlight w:val="none"/>
        </w:rPr>
        <w:fldChar w:fldCharType="separate"/>
      </w:r>
      <w:r>
        <w:rPr>
          <w:rFonts w:hint="eastAsia" w:ascii="Times New Roman" w:hAnsi="Times New Roman" w:eastAsia="宋体"/>
          <w:color w:val="000000"/>
          <w:szCs w:val="24"/>
          <w:highlight w:val="none"/>
          <w:lang w:val="en-US" w:eastAsia="zh-CN"/>
        </w:rPr>
        <w:t>二、</w:t>
      </w:r>
      <w:r>
        <w:rPr>
          <w:rFonts w:hint="default" w:ascii="Times New Roman" w:hAnsi="Times New Roman" w:eastAsia="宋体"/>
          <w:color w:val="000000"/>
          <w:szCs w:val="24"/>
          <w:highlight w:val="none"/>
          <w:lang w:val="en-US" w:eastAsia="zh-CN"/>
        </w:rPr>
        <w:t>工艺</w:t>
      </w:r>
      <w:r>
        <w:rPr>
          <w:rFonts w:ascii="Times New Roman" w:hAnsi="Times New Roman" w:eastAsia="宋体"/>
          <w:color w:val="000000"/>
          <w:szCs w:val="24"/>
          <w:highlight w:val="none"/>
        </w:rPr>
        <w:t>技术</w:t>
      </w:r>
      <w:r>
        <w:rPr>
          <w:color w:val="000000"/>
          <w:highlight w:val="none"/>
        </w:rPr>
        <w:tab/>
      </w:r>
      <w:r>
        <w:rPr>
          <w:color w:val="000000"/>
          <w:highlight w:val="none"/>
        </w:rPr>
        <w:fldChar w:fldCharType="begin"/>
      </w:r>
      <w:r>
        <w:rPr>
          <w:color w:val="000000"/>
          <w:highlight w:val="none"/>
        </w:rPr>
        <w:instrText xml:space="preserve"> PAGEREF _Toc2951 \h </w:instrText>
      </w:r>
      <w:r>
        <w:rPr>
          <w:color w:val="000000"/>
          <w:highlight w:val="none"/>
        </w:rPr>
        <w:fldChar w:fldCharType="separate"/>
      </w:r>
      <w:r>
        <w:rPr>
          <w:color w:val="000000"/>
          <w:highlight w:val="none"/>
        </w:rPr>
        <w:t>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_Toc6481 </w:instrText>
      </w:r>
      <w:r>
        <w:rPr>
          <w:rFonts w:ascii="Times New Roman" w:hAnsi="Times New Roman" w:cs="Times New Roman"/>
          <w:color w:val="000000"/>
          <w:szCs w:val="20"/>
          <w:highlight w:val="none"/>
        </w:rPr>
        <w:fldChar w:fldCharType="separate"/>
      </w:r>
      <w:r>
        <w:rPr>
          <w:rFonts w:hint="eastAsia" w:ascii="Times New Roman" w:hAnsi="Times New Roman"/>
          <w:color w:val="000000"/>
          <w:szCs w:val="24"/>
          <w:highlight w:val="none"/>
          <w:lang w:val="en-US" w:eastAsia="zh-CN"/>
        </w:rPr>
        <w:t>三、勘察设计依据</w:t>
      </w:r>
      <w:r>
        <w:rPr>
          <w:color w:val="000000"/>
          <w:highlight w:val="none"/>
        </w:rPr>
        <w:tab/>
      </w:r>
      <w:r>
        <w:rPr>
          <w:color w:val="000000"/>
          <w:highlight w:val="none"/>
        </w:rPr>
        <w:fldChar w:fldCharType="begin"/>
      </w:r>
      <w:r>
        <w:rPr>
          <w:color w:val="000000"/>
          <w:highlight w:val="none"/>
        </w:rPr>
        <w:instrText xml:space="preserve"> PAGEREF _Toc6481 \h </w:instrText>
      </w:r>
      <w:r>
        <w:rPr>
          <w:color w:val="000000"/>
          <w:highlight w:val="none"/>
        </w:rPr>
        <w:fldChar w:fldCharType="separate"/>
      </w:r>
      <w:r>
        <w:rPr>
          <w:color w:val="000000"/>
          <w:highlight w:val="none"/>
        </w:rPr>
        <w:t>2</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_Toc24784 </w:instrText>
      </w:r>
      <w:r>
        <w:rPr>
          <w:rFonts w:ascii="Times New Roman" w:hAnsi="Times New Roman" w:cs="Times New Roman"/>
          <w:color w:val="000000"/>
          <w:szCs w:val="20"/>
          <w:highlight w:val="none"/>
        </w:rPr>
        <w:fldChar w:fldCharType="separate"/>
      </w:r>
      <w:r>
        <w:rPr>
          <w:rFonts w:hint="eastAsia" w:ascii="Times New Roman" w:hAnsi="Times New Roman" w:eastAsia="宋体"/>
          <w:color w:val="000000"/>
          <w:szCs w:val="24"/>
          <w:highlight w:val="none"/>
          <w:lang w:val="en-US" w:eastAsia="zh-CN"/>
        </w:rPr>
        <w:t>3</w:t>
      </w:r>
      <w:r>
        <w:rPr>
          <w:rFonts w:hint="default" w:ascii="Times New Roman" w:hAnsi="Times New Roman" w:eastAsia="宋体"/>
          <w:color w:val="000000"/>
          <w:szCs w:val="24"/>
          <w:highlight w:val="none"/>
        </w:rPr>
        <w:t>.1勘察依据</w:t>
      </w:r>
      <w:r>
        <w:rPr>
          <w:color w:val="000000"/>
          <w:highlight w:val="none"/>
        </w:rPr>
        <w:tab/>
      </w:r>
      <w:r>
        <w:rPr>
          <w:color w:val="000000"/>
          <w:highlight w:val="none"/>
        </w:rPr>
        <w:fldChar w:fldCharType="begin"/>
      </w:r>
      <w:r>
        <w:rPr>
          <w:color w:val="000000"/>
          <w:highlight w:val="none"/>
        </w:rPr>
        <w:instrText xml:space="preserve"> PAGEREF _Toc24784 \h </w:instrText>
      </w:r>
      <w:r>
        <w:rPr>
          <w:color w:val="000000"/>
          <w:highlight w:val="none"/>
        </w:rPr>
        <w:fldChar w:fldCharType="separate"/>
      </w:r>
      <w:r>
        <w:rPr>
          <w:color w:val="000000"/>
          <w:highlight w:val="none"/>
        </w:rPr>
        <w:t>2</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_Toc23593 </w:instrText>
      </w:r>
      <w:r>
        <w:rPr>
          <w:rFonts w:ascii="Times New Roman" w:hAnsi="Times New Roman" w:cs="Times New Roman"/>
          <w:color w:val="000000"/>
          <w:szCs w:val="20"/>
          <w:highlight w:val="none"/>
        </w:rPr>
        <w:fldChar w:fldCharType="separate"/>
      </w:r>
      <w:r>
        <w:rPr>
          <w:rFonts w:hint="eastAsia" w:ascii="Times New Roman" w:hAnsi="Times New Roman" w:eastAsia="宋体"/>
          <w:color w:val="000000"/>
          <w:szCs w:val="24"/>
          <w:highlight w:val="none"/>
          <w:lang w:val="en-US" w:eastAsia="zh-CN"/>
        </w:rPr>
        <w:t>3</w:t>
      </w:r>
      <w:r>
        <w:rPr>
          <w:rFonts w:hint="default" w:ascii="Times New Roman" w:hAnsi="Times New Roman" w:eastAsia="宋体"/>
          <w:color w:val="000000"/>
          <w:szCs w:val="24"/>
          <w:highlight w:val="none"/>
        </w:rPr>
        <w:t>.2设计依据</w:t>
      </w:r>
      <w:r>
        <w:rPr>
          <w:color w:val="000000"/>
          <w:highlight w:val="none"/>
        </w:rPr>
        <w:tab/>
      </w:r>
      <w:r>
        <w:rPr>
          <w:color w:val="000000"/>
          <w:highlight w:val="none"/>
        </w:rPr>
        <w:fldChar w:fldCharType="begin"/>
      </w:r>
      <w:r>
        <w:rPr>
          <w:color w:val="000000"/>
          <w:highlight w:val="none"/>
        </w:rPr>
        <w:instrText xml:space="preserve"> PAGEREF _Toc23593 \h </w:instrText>
      </w:r>
      <w:r>
        <w:rPr>
          <w:color w:val="000000"/>
          <w:highlight w:val="none"/>
        </w:rPr>
        <w:fldChar w:fldCharType="separate"/>
      </w:r>
      <w:r>
        <w:rPr>
          <w:color w:val="000000"/>
          <w:highlight w:val="none"/>
        </w:rPr>
        <w:t>3</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_Toc18256 </w:instrText>
      </w:r>
      <w:r>
        <w:rPr>
          <w:rFonts w:ascii="Times New Roman" w:hAnsi="Times New Roman" w:cs="Times New Roman"/>
          <w:color w:val="000000"/>
          <w:szCs w:val="20"/>
          <w:highlight w:val="none"/>
        </w:rPr>
        <w:fldChar w:fldCharType="separate"/>
      </w:r>
      <w:r>
        <w:rPr>
          <w:rFonts w:hint="eastAsia" w:ascii="Times New Roman" w:hAnsi="Times New Roman"/>
          <w:color w:val="000000"/>
          <w:szCs w:val="24"/>
          <w:highlight w:val="none"/>
          <w:lang w:val="en-US" w:eastAsia="zh-CN"/>
        </w:rPr>
        <w:t>四</w:t>
      </w:r>
      <w:r>
        <w:rPr>
          <w:rFonts w:ascii="Times New Roman" w:hAnsi="Times New Roman"/>
          <w:color w:val="000000"/>
          <w:szCs w:val="24"/>
          <w:highlight w:val="none"/>
        </w:rPr>
        <w:t>、</w:t>
      </w:r>
      <w:r>
        <w:rPr>
          <w:rFonts w:hint="eastAsia" w:ascii="Times New Roman" w:hAnsi="Times New Roman"/>
          <w:color w:val="000000"/>
          <w:szCs w:val="24"/>
          <w:highlight w:val="none"/>
          <w:lang w:val="en-US" w:eastAsia="zh-CN"/>
        </w:rPr>
        <w:t>勘察</w:t>
      </w:r>
      <w:r>
        <w:rPr>
          <w:rFonts w:ascii="Times New Roman" w:hAnsi="Times New Roman"/>
          <w:color w:val="000000"/>
          <w:szCs w:val="24"/>
          <w:highlight w:val="none"/>
        </w:rPr>
        <w:t>设计</w:t>
      </w:r>
      <w:r>
        <w:rPr>
          <w:rFonts w:hint="eastAsia" w:ascii="Times New Roman" w:hAnsi="Times New Roman"/>
          <w:color w:val="000000"/>
          <w:szCs w:val="24"/>
          <w:highlight w:val="none"/>
          <w:lang w:val="en-US" w:eastAsia="zh-CN"/>
        </w:rPr>
        <w:t>工作范围</w:t>
      </w:r>
      <w:r>
        <w:rPr>
          <w:color w:val="000000"/>
          <w:highlight w:val="none"/>
        </w:rPr>
        <w:tab/>
      </w:r>
      <w:r>
        <w:rPr>
          <w:color w:val="000000"/>
          <w:highlight w:val="none"/>
        </w:rPr>
        <w:fldChar w:fldCharType="begin"/>
      </w:r>
      <w:r>
        <w:rPr>
          <w:color w:val="000000"/>
          <w:highlight w:val="none"/>
        </w:rPr>
        <w:instrText xml:space="preserve"> PAGEREF _Toc18256 \h </w:instrText>
      </w:r>
      <w:r>
        <w:rPr>
          <w:color w:val="000000"/>
          <w:highlight w:val="none"/>
        </w:rPr>
        <w:fldChar w:fldCharType="separate"/>
      </w:r>
      <w:r>
        <w:rPr>
          <w:color w:val="000000"/>
          <w:highlight w:val="none"/>
        </w:rPr>
        <w:t>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_Toc13879 </w:instrText>
      </w:r>
      <w:r>
        <w:rPr>
          <w:rFonts w:ascii="Times New Roman" w:hAnsi="Times New Roman" w:cs="Times New Roman"/>
          <w:color w:val="000000"/>
          <w:szCs w:val="20"/>
          <w:highlight w:val="none"/>
        </w:rPr>
        <w:fldChar w:fldCharType="separate"/>
      </w:r>
      <w:r>
        <w:rPr>
          <w:rFonts w:hint="eastAsia" w:ascii="Times New Roman" w:hAnsi="Times New Roman" w:eastAsia="宋体"/>
          <w:bCs/>
          <w:color w:val="000000"/>
          <w:szCs w:val="24"/>
          <w:highlight w:val="none"/>
          <w:lang w:val="en-US" w:eastAsia="zh-CN"/>
        </w:rPr>
        <w:t>4.1设计工作范围</w:t>
      </w:r>
      <w:r>
        <w:rPr>
          <w:color w:val="000000"/>
          <w:highlight w:val="none"/>
        </w:rPr>
        <w:tab/>
      </w:r>
      <w:r>
        <w:rPr>
          <w:color w:val="000000"/>
          <w:highlight w:val="none"/>
        </w:rPr>
        <w:fldChar w:fldCharType="begin"/>
      </w:r>
      <w:r>
        <w:rPr>
          <w:color w:val="000000"/>
          <w:highlight w:val="none"/>
        </w:rPr>
        <w:instrText xml:space="preserve"> PAGEREF _Toc13879 \h </w:instrText>
      </w:r>
      <w:r>
        <w:rPr>
          <w:color w:val="000000"/>
          <w:highlight w:val="none"/>
        </w:rPr>
        <w:fldChar w:fldCharType="separate"/>
      </w:r>
      <w:r>
        <w:rPr>
          <w:color w:val="000000"/>
          <w:highlight w:val="none"/>
        </w:rPr>
        <w:t>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_Toc16540 </w:instrText>
      </w:r>
      <w:r>
        <w:rPr>
          <w:rFonts w:ascii="Times New Roman" w:hAnsi="Times New Roman" w:cs="Times New Roman"/>
          <w:color w:val="000000"/>
          <w:szCs w:val="20"/>
          <w:highlight w:val="none"/>
        </w:rPr>
        <w:fldChar w:fldCharType="separate"/>
      </w:r>
      <w:r>
        <w:rPr>
          <w:rFonts w:hint="eastAsia" w:ascii="Times New Roman" w:hAnsi="Times New Roman" w:eastAsia="宋体"/>
          <w:bCs/>
          <w:color w:val="000000"/>
          <w:szCs w:val="24"/>
          <w:highlight w:val="none"/>
          <w:lang w:val="en-US" w:eastAsia="zh-CN"/>
        </w:rPr>
        <w:t>4.2工程勘察测量要求</w:t>
      </w:r>
      <w:r>
        <w:rPr>
          <w:color w:val="000000"/>
          <w:highlight w:val="none"/>
        </w:rPr>
        <w:tab/>
      </w:r>
      <w:r>
        <w:rPr>
          <w:color w:val="000000"/>
          <w:highlight w:val="none"/>
        </w:rPr>
        <w:fldChar w:fldCharType="begin"/>
      </w:r>
      <w:r>
        <w:rPr>
          <w:color w:val="000000"/>
          <w:highlight w:val="none"/>
        </w:rPr>
        <w:instrText xml:space="preserve"> PAGEREF _Toc16540 \h </w:instrText>
      </w:r>
      <w:r>
        <w:rPr>
          <w:color w:val="000000"/>
          <w:highlight w:val="none"/>
        </w:rPr>
        <w:fldChar w:fldCharType="separate"/>
      </w:r>
      <w:r>
        <w:rPr>
          <w:color w:val="000000"/>
          <w:highlight w:val="none"/>
        </w:rPr>
        <w:t>9</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_Toc9101 </w:instrText>
      </w:r>
      <w:r>
        <w:rPr>
          <w:rFonts w:ascii="Times New Roman" w:hAnsi="Times New Roman" w:cs="Times New Roman"/>
          <w:color w:val="000000"/>
          <w:szCs w:val="20"/>
          <w:highlight w:val="none"/>
        </w:rPr>
        <w:fldChar w:fldCharType="separate"/>
      </w:r>
      <w:r>
        <w:rPr>
          <w:rFonts w:hint="eastAsia" w:ascii="Times New Roman" w:hAnsi="Times New Roman" w:eastAsia="宋体"/>
          <w:bCs/>
          <w:color w:val="000000"/>
          <w:szCs w:val="24"/>
          <w:highlight w:val="none"/>
          <w:lang w:val="en-US" w:eastAsia="zh-CN"/>
        </w:rPr>
        <w:t>五、设计原则</w:t>
      </w:r>
      <w:r>
        <w:rPr>
          <w:color w:val="000000"/>
          <w:highlight w:val="none"/>
        </w:rPr>
        <w:tab/>
      </w:r>
      <w:r>
        <w:rPr>
          <w:color w:val="000000"/>
          <w:highlight w:val="none"/>
        </w:rPr>
        <w:fldChar w:fldCharType="begin"/>
      </w:r>
      <w:r>
        <w:rPr>
          <w:color w:val="000000"/>
          <w:highlight w:val="none"/>
        </w:rPr>
        <w:instrText xml:space="preserve"> PAGEREF _Toc9101 \h </w:instrText>
      </w:r>
      <w:r>
        <w:rPr>
          <w:color w:val="000000"/>
          <w:highlight w:val="none"/>
        </w:rPr>
        <w:fldChar w:fldCharType="separate"/>
      </w:r>
      <w:r>
        <w:rPr>
          <w:color w:val="000000"/>
          <w:highlight w:val="none"/>
        </w:rPr>
        <w:t>12</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_Toc7695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5.1基本原则</w:t>
      </w:r>
      <w:r>
        <w:rPr>
          <w:color w:val="000000"/>
          <w:highlight w:val="none"/>
        </w:rPr>
        <w:tab/>
      </w:r>
      <w:r>
        <w:rPr>
          <w:color w:val="000000"/>
          <w:highlight w:val="none"/>
        </w:rPr>
        <w:fldChar w:fldCharType="begin"/>
      </w:r>
      <w:r>
        <w:rPr>
          <w:color w:val="000000"/>
          <w:highlight w:val="none"/>
        </w:rPr>
        <w:instrText xml:space="preserve"> PAGEREF _Toc7695 \h </w:instrText>
      </w:r>
      <w:r>
        <w:rPr>
          <w:color w:val="000000"/>
          <w:highlight w:val="none"/>
        </w:rPr>
        <w:fldChar w:fldCharType="separate"/>
      </w:r>
      <w:r>
        <w:rPr>
          <w:color w:val="000000"/>
          <w:highlight w:val="none"/>
        </w:rPr>
        <w:t>12</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_Toc1915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5.2项目的总平面布置</w:t>
      </w:r>
      <w:r>
        <w:rPr>
          <w:color w:val="000000"/>
          <w:highlight w:val="none"/>
        </w:rPr>
        <w:tab/>
      </w:r>
      <w:r>
        <w:rPr>
          <w:color w:val="000000"/>
          <w:highlight w:val="none"/>
        </w:rPr>
        <w:fldChar w:fldCharType="begin"/>
      </w:r>
      <w:r>
        <w:rPr>
          <w:color w:val="000000"/>
          <w:highlight w:val="none"/>
        </w:rPr>
        <w:instrText xml:space="preserve"> PAGEREF _Toc1915 \h </w:instrText>
      </w:r>
      <w:r>
        <w:rPr>
          <w:color w:val="000000"/>
          <w:highlight w:val="none"/>
        </w:rPr>
        <w:fldChar w:fldCharType="separate"/>
      </w:r>
      <w:r>
        <w:rPr>
          <w:color w:val="000000"/>
          <w:highlight w:val="none"/>
        </w:rPr>
        <w:t>14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_Toc14219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5.3厂内道路</w:t>
      </w:r>
      <w:r>
        <w:rPr>
          <w:color w:val="000000"/>
          <w:highlight w:val="none"/>
        </w:rPr>
        <w:tab/>
      </w:r>
      <w:r>
        <w:rPr>
          <w:color w:val="000000"/>
          <w:highlight w:val="none"/>
        </w:rPr>
        <w:fldChar w:fldCharType="begin"/>
      </w:r>
      <w:r>
        <w:rPr>
          <w:color w:val="000000"/>
          <w:highlight w:val="none"/>
        </w:rPr>
        <w:instrText xml:space="preserve"> PAGEREF _Toc14219 \h </w:instrText>
      </w:r>
      <w:r>
        <w:rPr>
          <w:color w:val="000000"/>
          <w:highlight w:val="none"/>
        </w:rPr>
        <w:fldChar w:fldCharType="separate"/>
      </w:r>
      <w:r>
        <w:rPr>
          <w:color w:val="000000"/>
          <w:highlight w:val="none"/>
        </w:rPr>
        <w:t>14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_Toc15567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5.4工艺设计</w:t>
      </w:r>
      <w:r>
        <w:rPr>
          <w:color w:val="000000"/>
          <w:highlight w:val="none"/>
        </w:rPr>
        <w:tab/>
      </w:r>
      <w:r>
        <w:rPr>
          <w:color w:val="000000"/>
          <w:highlight w:val="none"/>
        </w:rPr>
        <w:fldChar w:fldCharType="begin"/>
      </w:r>
      <w:r>
        <w:rPr>
          <w:color w:val="000000"/>
          <w:highlight w:val="none"/>
        </w:rPr>
        <w:instrText xml:space="preserve"> PAGEREF _Toc15567 \h </w:instrText>
      </w:r>
      <w:r>
        <w:rPr>
          <w:color w:val="000000"/>
          <w:highlight w:val="none"/>
        </w:rPr>
        <w:fldChar w:fldCharType="separate"/>
      </w:r>
      <w:r>
        <w:rPr>
          <w:color w:val="000000"/>
          <w:highlight w:val="none"/>
        </w:rPr>
        <w:t>14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_Toc7510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5.5建筑与结构</w:t>
      </w:r>
      <w:r>
        <w:rPr>
          <w:color w:val="000000"/>
          <w:highlight w:val="none"/>
        </w:rPr>
        <w:tab/>
      </w:r>
      <w:r>
        <w:rPr>
          <w:color w:val="000000"/>
          <w:highlight w:val="none"/>
        </w:rPr>
        <w:fldChar w:fldCharType="begin"/>
      </w:r>
      <w:r>
        <w:rPr>
          <w:color w:val="000000"/>
          <w:highlight w:val="none"/>
        </w:rPr>
        <w:instrText xml:space="preserve"> PAGEREF _Toc7510 \h </w:instrText>
      </w:r>
      <w:r>
        <w:rPr>
          <w:color w:val="000000"/>
          <w:highlight w:val="none"/>
        </w:rPr>
        <w:fldChar w:fldCharType="separate"/>
      </w:r>
      <w:r>
        <w:rPr>
          <w:color w:val="000000"/>
          <w:highlight w:val="none"/>
        </w:rPr>
        <w:t>14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_Toc22714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5.6景观绿化</w:t>
      </w:r>
      <w:r>
        <w:rPr>
          <w:color w:val="000000"/>
          <w:highlight w:val="none"/>
        </w:rPr>
        <w:tab/>
      </w:r>
      <w:r>
        <w:rPr>
          <w:color w:val="000000"/>
          <w:highlight w:val="none"/>
        </w:rPr>
        <w:fldChar w:fldCharType="begin"/>
      </w:r>
      <w:r>
        <w:rPr>
          <w:color w:val="000000"/>
          <w:highlight w:val="none"/>
        </w:rPr>
        <w:instrText xml:space="preserve"> PAGEREF _Toc22714 \h </w:instrText>
      </w:r>
      <w:r>
        <w:rPr>
          <w:color w:val="000000"/>
          <w:highlight w:val="none"/>
        </w:rPr>
        <w:fldChar w:fldCharType="separate"/>
      </w:r>
      <w:r>
        <w:rPr>
          <w:color w:val="000000"/>
          <w:highlight w:val="none"/>
        </w:rPr>
        <w:t>15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_Toc17877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5.7厂</w:t>
      </w:r>
      <w:r>
        <w:rPr>
          <w:rFonts w:hint="eastAsia" w:ascii="Times New Roman" w:hAnsi="Times New Roman"/>
          <w:color w:val="000000"/>
          <w:szCs w:val="24"/>
          <w:highlight w:val="none"/>
          <w:lang w:val="en-US" w:eastAsia="zh-CN"/>
        </w:rPr>
        <w:t>内</w:t>
      </w:r>
      <w:r>
        <w:rPr>
          <w:rFonts w:ascii="Times New Roman" w:hAnsi="Times New Roman"/>
          <w:color w:val="000000"/>
          <w:szCs w:val="24"/>
          <w:highlight w:val="none"/>
        </w:rPr>
        <w:t>外市政配套工程</w:t>
      </w:r>
      <w:r>
        <w:rPr>
          <w:color w:val="000000"/>
          <w:highlight w:val="none"/>
        </w:rPr>
        <w:tab/>
      </w:r>
      <w:r>
        <w:rPr>
          <w:color w:val="000000"/>
          <w:highlight w:val="none"/>
        </w:rPr>
        <w:fldChar w:fldCharType="begin"/>
      </w:r>
      <w:r>
        <w:rPr>
          <w:color w:val="000000"/>
          <w:highlight w:val="none"/>
        </w:rPr>
        <w:instrText xml:space="preserve"> PAGEREF _Toc17877 \h </w:instrText>
      </w:r>
      <w:r>
        <w:rPr>
          <w:color w:val="000000"/>
          <w:highlight w:val="none"/>
        </w:rPr>
        <w:fldChar w:fldCharType="separate"/>
      </w:r>
      <w:r>
        <w:rPr>
          <w:color w:val="000000"/>
          <w:highlight w:val="none"/>
        </w:rPr>
        <w:t>15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_Toc15899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5.8室内装饰</w:t>
      </w:r>
      <w:r>
        <w:rPr>
          <w:color w:val="000000"/>
          <w:highlight w:val="none"/>
        </w:rPr>
        <w:tab/>
      </w:r>
      <w:r>
        <w:rPr>
          <w:color w:val="000000"/>
          <w:highlight w:val="none"/>
        </w:rPr>
        <w:fldChar w:fldCharType="begin"/>
      </w:r>
      <w:r>
        <w:rPr>
          <w:color w:val="000000"/>
          <w:highlight w:val="none"/>
        </w:rPr>
        <w:instrText xml:space="preserve"> PAGEREF _Toc15899 \h </w:instrText>
      </w:r>
      <w:r>
        <w:rPr>
          <w:color w:val="000000"/>
          <w:highlight w:val="none"/>
        </w:rPr>
        <w:fldChar w:fldCharType="separate"/>
      </w:r>
      <w:r>
        <w:rPr>
          <w:color w:val="000000"/>
          <w:highlight w:val="none"/>
        </w:rPr>
        <w:t>16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_Toc32311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5.9除臭</w:t>
      </w:r>
      <w:r>
        <w:rPr>
          <w:color w:val="000000"/>
          <w:highlight w:val="none"/>
        </w:rPr>
        <w:tab/>
      </w:r>
      <w:r>
        <w:rPr>
          <w:color w:val="000000"/>
          <w:highlight w:val="none"/>
        </w:rPr>
        <w:fldChar w:fldCharType="begin"/>
      </w:r>
      <w:r>
        <w:rPr>
          <w:color w:val="000000"/>
          <w:highlight w:val="none"/>
        </w:rPr>
        <w:instrText xml:space="preserve"> PAGEREF _Toc32311 \h </w:instrText>
      </w:r>
      <w:r>
        <w:rPr>
          <w:color w:val="000000"/>
          <w:highlight w:val="none"/>
        </w:rPr>
        <w:fldChar w:fldCharType="separate"/>
      </w:r>
      <w:r>
        <w:rPr>
          <w:color w:val="000000"/>
          <w:highlight w:val="none"/>
        </w:rPr>
        <w:t>16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_Toc19468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5.10通风、空调</w:t>
      </w:r>
      <w:r>
        <w:rPr>
          <w:color w:val="000000"/>
          <w:highlight w:val="none"/>
        </w:rPr>
        <w:tab/>
      </w:r>
      <w:r>
        <w:rPr>
          <w:color w:val="000000"/>
          <w:highlight w:val="none"/>
        </w:rPr>
        <w:fldChar w:fldCharType="begin"/>
      </w:r>
      <w:r>
        <w:rPr>
          <w:color w:val="000000"/>
          <w:highlight w:val="none"/>
        </w:rPr>
        <w:instrText xml:space="preserve"> PAGEREF _Toc19468 \h </w:instrText>
      </w:r>
      <w:r>
        <w:rPr>
          <w:color w:val="000000"/>
          <w:highlight w:val="none"/>
        </w:rPr>
        <w:fldChar w:fldCharType="separate"/>
      </w:r>
      <w:r>
        <w:rPr>
          <w:color w:val="000000"/>
          <w:highlight w:val="none"/>
        </w:rPr>
        <w:t>16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_Toc23877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5.11消防</w:t>
      </w:r>
      <w:r>
        <w:rPr>
          <w:color w:val="000000"/>
          <w:highlight w:val="none"/>
        </w:rPr>
        <w:tab/>
      </w:r>
      <w:r>
        <w:rPr>
          <w:color w:val="000000"/>
          <w:highlight w:val="none"/>
        </w:rPr>
        <w:fldChar w:fldCharType="begin"/>
      </w:r>
      <w:r>
        <w:rPr>
          <w:color w:val="000000"/>
          <w:highlight w:val="none"/>
        </w:rPr>
        <w:instrText xml:space="preserve"> PAGEREF _Toc23877 \h </w:instrText>
      </w:r>
      <w:r>
        <w:rPr>
          <w:color w:val="000000"/>
          <w:highlight w:val="none"/>
        </w:rPr>
        <w:fldChar w:fldCharType="separate"/>
      </w:r>
      <w:r>
        <w:rPr>
          <w:color w:val="000000"/>
          <w:highlight w:val="none"/>
        </w:rPr>
        <w:t>16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_Toc2525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5.12环境保护</w:t>
      </w:r>
      <w:r>
        <w:rPr>
          <w:color w:val="000000"/>
          <w:highlight w:val="none"/>
        </w:rPr>
        <w:tab/>
      </w:r>
      <w:r>
        <w:rPr>
          <w:color w:val="000000"/>
          <w:highlight w:val="none"/>
        </w:rPr>
        <w:fldChar w:fldCharType="begin"/>
      </w:r>
      <w:r>
        <w:rPr>
          <w:color w:val="000000"/>
          <w:highlight w:val="none"/>
        </w:rPr>
        <w:instrText xml:space="preserve"> PAGEREF _Toc2525 \h </w:instrText>
      </w:r>
      <w:r>
        <w:rPr>
          <w:color w:val="000000"/>
          <w:highlight w:val="none"/>
        </w:rPr>
        <w:fldChar w:fldCharType="separate"/>
      </w:r>
      <w:r>
        <w:rPr>
          <w:color w:val="000000"/>
          <w:highlight w:val="none"/>
        </w:rPr>
        <w:t>16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_Toc12795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5.13节能</w:t>
      </w:r>
      <w:r>
        <w:rPr>
          <w:color w:val="000000"/>
          <w:highlight w:val="none"/>
        </w:rPr>
        <w:tab/>
      </w:r>
      <w:r>
        <w:rPr>
          <w:color w:val="000000"/>
          <w:highlight w:val="none"/>
        </w:rPr>
        <w:fldChar w:fldCharType="begin"/>
      </w:r>
      <w:r>
        <w:rPr>
          <w:color w:val="000000"/>
          <w:highlight w:val="none"/>
        </w:rPr>
        <w:instrText xml:space="preserve"> PAGEREF _Toc12795 \h </w:instrText>
      </w:r>
      <w:r>
        <w:rPr>
          <w:color w:val="000000"/>
          <w:highlight w:val="none"/>
        </w:rPr>
        <w:fldChar w:fldCharType="separate"/>
      </w:r>
      <w:r>
        <w:rPr>
          <w:color w:val="000000"/>
          <w:highlight w:val="none"/>
        </w:rPr>
        <w:t>16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_Toc995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5.14应急措施</w:t>
      </w:r>
      <w:r>
        <w:rPr>
          <w:color w:val="000000"/>
          <w:highlight w:val="none"/>
        </w:rPr>
        <w:tab/>
      </w:r>
      <w:r>
        <w:rPr>
          <w:color w:val="000000"/>
          <w:highlight w:val="none"/>
        </w:rPr>
        <w:fldChar w:fldCharType="begin"/>
      </w:r>
      <w:r>
        <w:rPr>
          <w:color w:val="000000"/>
          <w:highlight w:val="none"/>
        </w:rPr>
        <w:instrText xml:space="preserve"> PAGEREF _Toc995 \h </w:instrText>
      </w:r>
      <w:r>
        <w:rPr>
          <w:color w:val="000000"/>
          <w:highlight w:val="none"/>
        </w:rPr>
        <w:fldChar w:fldCharType="separate"/>
      </w:r>
      <w:r>
        <w:rPr>
          <w:color w:val="000000"/>
          <w:highlight w:val="none"/>
        </w:rPr>
        <w:t>17</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_Toc29584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5.15劳动保护与安全</w:t>
      </w:r>
      <w:r>
        <w:rPr>
          <w:color w:val="000000"/>
          <w:highlight w:val="none"/>
        </w:rPr>
        <w:tab/>
      </w:r>
      <w:r>
        <w:rPr>
          <w:color w:val="000000"/>
          <w:highlight w:val="none"/>
        </w:rPr>
        <w:fldChar w:fldCharType="begin"/>
      </w:r>
      <w:r>
        <w:rPr>
          <w:color w:val="000000"/>
          <w:highlight w:val="none"/>
        </w:rPr>
        <w:instrText xml:space="preserve"> PAGEREF _Toc29584 \h </w:instrText>
      </w:r>
      <w:r>
        <w:rPr>
          <w:color w:val="000000"/>
          <w:highlight w:val="none"/>
        </w:rPr>
        <w:fldChar w:fldCharType="separate"/>
      </w:r>
      <w:r>
        <w:rPr>
          <w:color w:val="000000"/>
          <w:highlight w:val="none"/>
        </w:rPr>
        <w:t>17</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_Toc26568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5.16限额设计</w:t>
      </w:r>
      <w:r>
        <w:rPr>
          <w:color w:val="000000"/>
          <w:highlight w:val="none"/>
        </w:rPr>
        <w:tab/>
      </w:r>
      <w:r>
        <w:rPr>
          <w:color w:val="000000"/>
          <w:highlight w:val="none"/>
        </w:rPr>
        <w:fldChar w:fldCharType="begin"/>
      </w:r>
      <w:r>
        <w:rPr>
          <w:color w:val="000000"/>
          <w:highlight w:val="none"/>
        </w:rPr>
        <w:instrText xml:space="preserve"> PAGEREF _Toc26568 \h </w:instrText>
      </w:r>
      <w:r>
        <w:rPr>
          <w:color w:val="000000"/>
          <w:highlight w:val="none"/>
        </w:rPr>
        <w:fldChar w:fldCharType="separate"/>
      </w:r>
      <w:r>
        <w:rPr>
          <w:color w:val="000000"/>
          <w:highlight w:val="none"/>
        </w:rPr>
        <w:t>17</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_Toc10006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六、设计的具体要求</w:t>
      </w:r>
      <w:r>
        <w:rPr>
          <w:color w:val="000000"/>
          <w:highlight w:val="none"/>
        </w:rPr>
        <w:tab/>
      </w:r>
      <w:r>
        <w:rPr>
          <w:color w:val="000000"/>
          <w:highlight w:val="none"/>
        </w:rPr>
        <w:fldChar w:fldCharType="begin"/>
      </w:r>
      <w:r>
        <w:rPr>
          <w:color w:val="000000"/>
          <w:highlight w:val="none"/>
        </w:rPr>
        <w:instrText xml:space="preserve"> PAGEREF _Toc10006 \h </w:instrText>
      </w:r>
      <w:r>
        <w:rPr>
          <w:color w:val="000000"/>
          <w:highlight w:val="none"/>
        </w:rPr>
        <w:fldChar w:fldCharType="separate"/>
      </w:r>
      <w:r>
        <w:rPr>
          <w:color w:val="000000"/>
          <w:highlight w:val="none"/>
        </w:rPr>
        <w:t>17</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_Toc9271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6.1总平面布置</w:t>
      </w:r>
      <w:r>
        <w:rPr>
          <w:color w:val="000000"/>
          <w:highlight w:val="none"/>
        </w:rPr>
        <w:tab/>
      </w:r>
      <w:r>
        <w:rPr>
          <w:color w:val="000000"/>
          <w:highlight w:val="none"/>
        </w:rPr>
        <w:fldChar w:fldCharType="begin"/>
      </w:r>
      <w:r>
        <w:rPr>
          <w:color w:val="000000"/>
          <w:highlight w:val="none"/>
        </w:rPr>
        <w:instrText xml:space="preserve"> PAGEREF _Toc9271 \h </w:instrText>
      </w:r>
      <w:r>
        <w:rPr>
          <w:color w:val="000000"/>
          <w:highlight w:val="none"/>
        </w:rPr>
        <w:fldChar w:fldCharType="separate"/>
      </w:r>
      <w:r>
        <w:rPr>
          <w:color w:val="000000"/>
          <w:highlight w:val="none"/>
        </w:rPr>
        <w:t>17</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_Toc3813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6.2厂内道路</w:t>
      </w:r>
      <w:r>
        <w:rPr>
          <w:color w:val="000000"/>
          <w:highlight w:val="none"/>
        </w:rPr>
        <w:tab/>
      </w:r>
      <w:r>
        <w:rPr>
          <w:color w:val="000000"/>
          <w:highlight w:val="none"/>
        </w:rPr>
        <w:fldChar w:fldCharType="begin"/>
      </w:r>
      <w:r>
        <w:rPr>
          <w:color w:val="000000"/>
          <w:highlight w:val="none"/>
        </w:rPr>
        <w:instrText xml:space="preserve"> PAGEREF _Toc3813 \h </w:instrText>
      </w:r>
      <w:r>
        <w:rPr>
          <w:color w:val="000000"/>
          <w:highlight w:val="none"/>
        </w:rPr>
        <w:fldChar w:fldCharType="separate"/>
      </w:r>
      <w:r>
        <w:rPr>
          <w:color w:val="000000"/>
          <w:highlight w:val="none"/>
        </w:rPr>
        <w:t>18</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_Toc12061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6.3工艺设计</w:t>
      </w:r>
      <w:r>
        <w:rPr>
          <w:color w:val="000000"/>
          <w:highlight w:val="none"/>
        </w:rPr>
        <w:tab/>
      </w:r>
      <w:r>
        <w:rPr>
          <w:color w:val="000000"/>
          <w:highlight w:val="none"/>
        </w:rPr>
        <w:fldChar w:fldCharType="begin"/>
      </w:r>
      <w:r>
        <w:rPr>
          <w:color w:val="000000"/>
          <w:highlight w:val="none"/>
        </w:rPr>
        <w:instrText xml:space="preserve"> PAGEREF _Toc12061 \h </w:instrText>
      </w:r>
      <w:r>
        <w:rPr>
          <w:color w:val="000000"/>
          <w:highlight w:val="none"/>
        </w:rPr>
        <w:fldChar w:fldCharType="separate"/>
      </w:r>
      <w:r>
        <w:rPr>
          <w:color w:val="000000"/>
          <w:highlight w:val="none"/>
        </w:rPr>
        <w:t>19</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_Toc23131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6.4控制系统设计</w:t>
      </w:r>
      <w:r>
        <w:rPr>
          <w:color w:val="000000"/>
          <w:highlight w:val="none"/>
        </w:rPr>
        <w:tab/>
      </w:r>
      <w:r>
        <w:rPr>
          <w:color w:val="000000"/>
          <w:highlight w:val="none"/>
        </w:rPr>
        <w:fldChar w:fldCharType="begin"/>
      </w:r>
      <w:r>
        <w:rPr>
          <w:color w:val="000000"/>
          <w:highlight w:val="none"/>
        </w:rPr>
        <w:instrText xml:space="preserve"> PAGEREF _Toc23131 \h </w:instrText>
      </w:r>
      <w:r>
        <w:rPr>
          <w:color w:val="000000"/>
          <w:highlight w:val="none"/>
        </w:rPr>
        <w:fldChar w:fldCharType="separate"/>
      </w:r>
      <w:r>
        <w:rPr>
          <w:color w:val="000000"/>
          <w:highlight w:val="none"/>
        </w:rPr>
        <w:t>19</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_Toc28384 </w:instrText>
      </w:r>
      <w:r>
        <w:rPr>
          <w:rFonts w:ascii="Times New Roman" w:hAnsi="Times New Roman" w:cs="Times New Roman"/>
          <w:color w:val="000000"/>
          <w:szCs w:val="20"/>
          <w:highlight w:val="none"/>
        </w:rPr>
        <w:fldChar w:fldCharType="separate"/>
      </w:r>
      <w:r>
        <w:rPr>
          <w:rFonts w:hint="default" w:ascii="Times New Roman" w:hAnsi="Times New Roman" w:eastAsia="宋体"/>
          <w:color w:val="000000"/>
          <w:szCs w:val="24"/>
          <w:highlight w:val="none"/>
          <w:lang w:val="en-US" w:eastAsia="zh-CN"/>
        </w:rPr>
        <w:t>6.5其他设计</w:t>
      </w:r>
      <w:r>
        <w:rPr>
          <w:color w:val="000000"/>
          <w:highlight w:val="none"/>
        </w:rPr>
        <w:tab/>
      </w:r>
      <w:r>
        <w:rPr>
          <w:color w:val="000000"/>
          <w:highlight w:val="none"/>
        </w:rPr>
        <w:fldChar w:fldCharType="begin"/>
      </w:r>
      <w:r>
        <w:rPr>
          <w:color w:val="000000"/>
          <w:highlight w:val="none"/>
        </w:rPr>
        <w:instrText xml:space="preserve"> PAGEREF _Toc28384 \h </w:instrText>
      </w:r>
      <w:r>
        <w:rPr>
          <w:color w:val="000000"/>
          <w:highlight w:val="none"/>
        </w:rPr>
        <w:fldChar w:fldCharType="separate"/>
      </w:r>
      <w:r>
        <w:rPr>
          <w:color w:val="000000"/>
          <w:highlight w:val="none"/>
        </w:rPr>
        <w:t>20</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_Toc197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七、设计服务</w:t>
      </w:r>
      <w:r>
        <w:rPr>
          <w:color w:val="000000"/>
          <w:highlight w:val="none"/>
        </w:rPr>
        <w:tab/>
      </w:r>
      <w:r>
        <w:rPr>
          <w:color w:val="000000"/>
          <w:highlight w:val="none"/>
        </w:rPr>
        <w:fldChar w:fldCharType="begin"/>
      </w:r>
      <w:r>
        <w:rPr>
          <w:color w:val="000000"/>
          <w:highlight w:val="none"/>
        </w:rPr>
        <w:instrText xml:space="preserve"> PAGEREF _Toc197 \h </w:instrText>
      </w:r>
      <w:r>
        <w:rPr>
          <w:color w:val="000000"/>
          <w:highlight w:val="none"/>
        </w:rPr>
        <w:fldChar w:fldCharType="separate"/>
      </w:r>
      <w:r>
        <w:rPr>
          <w:color w:val="000000"/>
          <w:highlight w:val="none"/>
        </w:rPr>
        <w:t>20</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_Toc26154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7.1设计技术服务</w:t>
      </w:r>
      <w:r>
        <w:rPr>
          <w:color w:val="000000"/>
          <w:highlight w:val="none"/>
        </w:rPr>
        <w:tab/>
      </w:r>
      <w:r>
        <w:rPr>
          <w:color w:val="000000"/>
          <w:highlight w:val="none"/>
        </w:rPr>
        <w:fldChar w:fldCharType="begin"/>
      </w:r>
      <w:r>
        <w:rPr>
          <w:color w:val="000000"/>
          <w:highlight w:val="none"/>
        </w:rPr>
        <w:instrText xml:space="preserve"> PAGEREF _Toc26154 \h </w:instrText>
      </w:r>
      <w:r>
        <w:rPr>
          <w:color w:val="000000"/>
          <w:highlight w:val="none"/>
        </w:rPr>
        <w:fldChar w:fldCharType="separate"/>
      </w:r>
      <w:r>
        <w:rPr>
          <w:color w:val="000000"/>
          <w:highlight w:val="none"/>
        </w:rPr>
        <w:t>20</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_Toc2157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7.2现场服务</w:t>
      </w:r>
      <w:r>
        <w:rPr>
          <w:color w:val="000000"/>
          <w:highlight w:val="none"/>
        </w:rPr>
        <w:tab/>
      </w:r>
      <w:r>
        <w:rPr>
          <w:color w:val="000000"/>
          <w:highlight w:val="none"/>
        </w:rPr>
        <w:fldChar w:fldCharType="begin"/>
      </w:r>
      <w:r>
        <w:rPr>
          <w:color w:val="000000"/>
          <w:highlight w:val="none"/>
        </w:rPr>
        <w:instrText xml:space="preserve"> PAGEREF _Toc2157 \h </w:instrText>
      </w:r>
      <w:r>
        <w:rPr>
          <w:color w:val="000000"/>
          <w:highlight w:val="none"/>
        </w:rPr>
        <w:fldChar w:fldCharType="separate"/>
      </w:r>
      <w:r>
        <w:rPr>
          <w:color w:val="000000"/>
          <w:highlight w:val="none"/>
        </w:rPr>
        <w:t>21</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_Toc32579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7.3项目采购技术需求、建筑材料和设备的选用</w:t>
      </w:r>
      <w:r>
        <w:rPr>
          <w:color w:val="000000"/>
          <w:highlight w:val="none"/>
        </w:rPr>
        <w:tab/>
      </w:r>
      <w:r>
        <w:rPr>
          <w:color w:val="000000"/>
          <w:highlight w:val="none"/>
        </w:rPr>
        <w:fldChar w:fldCharType="begin"/>
      </w:r>
      <w:r>
        <w:rPr>
          <w:color w:val="000000"/>
          <w:highlight w:val="none"/>
        </w:rPr>
        <w:instrText xml:space="preserve"> PAGEREF _Toc32579 \h </w:instrText>
      </w:r>
      <w:r>
        <w:rPr>
          <w:color w:val="000000"/>
          <w:highlight w:val="none"/>
        </w:rPr>
        <w:fldChar w:fldCharType="separate"/>
      </w:r>
      <w:r>
        <w:rPr>
          <w:color w:val="000000"/>
          <w:highlight w:val="none"/>
        </w:rPr>
        <w:t>23</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_Toc17173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八、设计管理</w:t>
      </w:r>
      <w:r>
        <w:rPr>
          <w:color w:val="000000"/>
          <w:highlight w:val="none"/>
        </w:rPr>
        <w:tab/>
      </w:r>
      <w:r>
        <w:rPr>
          <w:color w:val="000000"/>
          <w:highlight w:val="none"/>
        </w:rPr>
        <w:fldChar w:fldCharType="begin"/>
      </w:r>
      <w:r>
        <w:rPr>
          <w:color w:val="000000"/>
          <w:highlight w:val="none"/>
        </w:rPr>
        <w:instrText xml:space="preserve"> PAGEREF _Toc17173 \h </w:instrText>
      </w:r>
      <w:r>
        <w:rPr>
          <w:color w:val="000000"/>
          <w:highlight w:val="none"/>
        </w:rPr>
        <w:fldChar w:fldCharType="separate"/>
      </w:r>
      <w:r>
        <w:rPr>
          <w:color w:val="000000"/>
          <w:highlight w:val="none"/>
        </w:rPr>
        <w:t>24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_Toc31505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8.1派驻满足</w:t>
      </w:r>
      <w:r>
        <w:rPr>
          <w:rFonts w:hint="eastAsia" w:ascii="Times New Roman" w:hAnsi="Times New Roman"/>
          <w:color w:val="000000"/>
          <w:szCs w:val="24"/>
          <w:highlight w:val="none"/>
          <w:lang w:eastAsia="zh-CN"/>
        </w:rPr>
        <w:t>甲方</w:t>
      </w:r>
      <w:r>
        <w:rPr>
          <w:rFonts w:ascii="Times New Roman" w:hAnsi="Times New Roman"/>
          <w:color w:val="000000"/>
          <w:szCs w:val="24"/>
          <w:highlight w:val="none"/>
        </w:rPr>
        <w:t>要求的团队及人员</w:t>
      </w:r>
      <w:r>
        <w:rPr>
          <w:color w:val="000000"/>
          <w:highlight w:val="none"/>
        </w:rPr>
        <w:tab/>
      </w:r>
      <w:r>
        <w:rPr>
          <w:color w:val="000000"/>
          <w:highlight w:val="none"/>
        </w:rPr>
        <w:fldChar w:fldCharType="begin"/>
      </w:r>
      <w:r>
        <w:rPr>
          <w:color w:val="000000"/>
          <w:highlight w:val="none"/>
        </w:rPr>
        <w:instrText xml:space="preserve"> PAGEREF _Toc31505 \h </w:instrText>
      </w:r>
      <w:r>
        <w:rPr>
          <w:color w:val="000000"/>
          <w:highlight w:val="none"/>
        </w:rPr>
        <w:fldChar w:fldCharType="separate"/>
      </w:r>
      <w:r>
        <w:rPr>
          <w:color w:val="000000"/>
          <w:highlight w:val="none"/>
        </w:rPr>
        <w:t>24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_Toc4982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8.2通信交流</w:t>
      </w:r>
      <w:r>
        <w:rPr>
          <w:color w:val="000000"/>
          <w:highlight w:val="none"/>
        </w:rPr>
        <w:tab/>
      </w:r>
      <w:r>
        <w:rPr>
          <w:color w:val="000000"/>
          <w:highlight w:val="none"/>
        </w:rPr>
        <w:fldChar w:fldCharType="begin"/>
      </w:r>
      <w:r>
        <w:rPr>
          <w:color w:val="000000"/>
          <w:highlight w:val="none"/>
        </w:rPr>
        <w:instrText xml:space="preserve"> PAGEREF _Toc4982 \h </w:instrText>
      </w:r>
      <w:r>
        <w:rPr>
          <w:color w:val="000000"/>
          <w:highlight w:val="none"/>
        </w:rPr>
        <w:fldChar w:fldCharType="separate"/>
      </w:r>
      <w:r>
        <w:rPr>
          <w:color w:val="000000"/>
          <w:highlight w:val="none"/>
        </w:rPr>
        <w:t>25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_Toc26928 </w:instrText>
      </w:r>
      <w:r>
        <w:rPr>
          <w:rFonts w:ascii="Times New Roman" w:hAnsi="Times New Roman" w:cs="Times New Roman"/>
          <w:color w:val="000000"/>
          <w:szCs w:val="20"/>
          <w:highlight w:val="none"/>
        </w:rPr>
        <w:fldChar w:fldCharType="separate"/>
      </w:r>
      <w:r>
        <w:rPr>
          <w:rFonts w:hint="eastAsia" w:ascii="Times New Roman" w:hAnsi="Times New Roman"/>
          <w:color w:val="000000"/>
          <w:szCs w:val="24"/>
          <w:highlight w:val="none"/>
          <w:lang w:val="en-US" w:eastAsia="zh-CN"/>
        </w:rPr>
        <w:t>九</w:t>
      </w:r>
      <w:r>
        <w:rPr>
          <w:rFonts w:ascii="Times New Roman" w:hAnsi="Times New Roman"/>
          <w:color w:val="000000"/>
          <w:szCs w:val="24"/>
          <w:highlight w:val="none"/>
        </w:rPr>
        <w:t>、质量要求</w:t>
      </w:r>
      <w:r>
        <w:rPr>
          <w:color w:val="000000"/>
          <w:highlight w:val="none"/>
        </w:rPr>
        <w:tab/>
      </w:r>
      <w:r>
        <w:rPr>
          <w:color w:val="000000"/>
          <w:highlight w:val="none"/>
        </w:rPr>
        <w:fldChar w:fldCharType="begin"/>
      </w:r>
      <w:r>
        <w:rPr>
          <w:color w:val="000000"/>
          <w:highlight w:val="none"/>
        </w:rPr>
        <w:instrText xml:space="preserve"> PAGEREF _Toc26928 \h </w:instrText>
      </w:r>
      <w:r>
        <w:rPr>
          <w:color w:val="000000"/>
          <w:highlight w:val="none"/>
        </w:rPr>
        <w:fldChar w:fldCharType="separate"/>
      </w:r>
      <w:r>
        <w:rPr>
          <w:color w:val="000000"/>
          <w:highlight w:val="none"/>
        </w:rPr>
        <w:t>25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_Toc11122 </w:instrText>
      </w:r>
      <w:r>
        <w:rPr>
          <w:rFonts w:ascii="Times New Roman" w:hAnsi="Times New Roman" w:cs="Times New Roman"/>
          <w:color w:val="000000"/>
          <w:szCs w:val="20"/>
          <w:highlight w:val="none"/>
        </w:rPr>
        <w:fldChar w:fldCharType="separate"/>
      </w:r>
      <w:r>
        <w:rPr>
          <w:rFonts w:hint="eastAsia" w:ascii="Times New Roman" w:hAnsi="Times New Roman"/>
          <w:color w:val="000000"/>
          <w:szCs w:val="24"/>
          <w:highlight w:val="none"/>
          <w:lang w:val="en-US" w:eastAsia="zh-CN"/>
        </w:rPr>
        <w:t>9</w:t>
      </w:r>
      <w:r>
        <w:rPr>
          <w:rFonts w:ascii="Times New Roman" w:hAnsi="Times New Roman"/>
          <w:color w:val="000000"/>
          <w:szCs w:val="24"/>
          <w:highlight w:val="none"/>
        </w:rPr>
        <w:t>.1对设计与法律、法规、规章、规范、标准符合性的要求</w:t>
      </w:r>
      <w:r>
        <w:rPr>
          <w:color w:val="000000"/>
          <w:highlight w:val="none"/>
        </w:rPr>
        <w:tab/>
      </w:r>
      <w:r>
        <w:rPr>
          <w:color w:val="000000"/>
          <w:highlight w:val="none"/>
        </w:rPr>
        <w:fldChar w:fldCharType="begin"/>
      </w:r>
      <w:r>
        <w:rPr>
          <w:color w:val="000000"/>
          <w:highlight w:val="none"/>
        </w:rPr>
        <w:instrText xml:space="preserve"> PAGEREF _Toc11122 \h </w:instrText>
      </w:r>
      <w:r>
        <w:rPr>
          <w:color w:val="000000"/>
          <w:highlight w:val="none"/>
        </w:rPr>
        <w:fldChar w:fldCharType="separate"/>
      </w:r>
      <w:r>
        <w:rPr>
          <w:color w:val="000000"/>
          <w:highlight w:val="none"/>
        </w:rPr>
        <w:t>25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_Toc31178 </w:instrText>
      </w:r>
      <w:r>
        <w:rPr>
          <w:rFonts w:ascii="Times New Roman" w:hAnsi="Times New Roman" w:cs="Times New Roman"/>
          <w:color w:val="000000"/>
          <w:szCs w:val="20"/>
          <w:highlight w:val="none"/>
        </w:rPr>
        <w:fldChar w:fldCharType="separate"/>
      </w:r>
      <w:r>
        <w:rPr>
          <w:rFonts w:hint="eastAsia" w:ascii="Times New Roman" w:hAnsi="Times New Roman"/>
          <w:color w:val="000000"/>
          <w:szCs w:val="24"/>
          <w:highlight w:val="none"/>
          <w:lang w:val="en-US" w:eastAsia="zh-CN"/>
        </w:rPr>
        <w:t>9</w:t>
      </w:r>
      <w:r>
        <w:rPr>
          <w:rFonts w:ascii="Times New Roman" w:hAnsi="Times New Roman"/>
          <w:color w:val="000000"/>
          <w:szCs w:val="24"/>
          <w:highlight w:val="none"/>
        </w:rPr>
        <w:t>.2对各阶段设计文件设计深度的要求</w:t>
      </w:r>
      <w:r>
        <w:rPr>
          <w:color w:val="000000"/>
          <w:highlight w:val="none"/>
        </w:rPr>
        <w:tab/>
      </w:r>
      <w:r>
        <w:rPr>
          <w:color w:val="000000"/>
          <w:highlight w:val="none"/>
        </w:rPr>
        <w:fldChar w:fldCharType="begin"/>
      </w:r>
      <w:r>
        <w:rPr>
          <w:color w:val="000000"/>
          <w:highlight w:val="none"/>
        </w:rPr>
        <w:instrText xml:space="preserve"> PAGEREF _Toc31178 \h </w:instrText>
      </w:r>
      <w:r>
        <w:rPr>
          <w:color w:val="000000"/>
          <w:highlight w:val="none"/>
        </w:rPr>
        <w:fldChar w:fldCharType="separate"/>
      </w:r>
      <w:r>
        <w:rPr>
          <w:color w:val="000000"/>
          <w:highlight w:val="none"/>
        </w:rPr>
        <w:t>26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_Toc28955 </w:instrText>
      </w:r>
      <w:r>
        <w:rPr>
          <w:rFonts w:ascii="Times New Roman" w:hAnsi="Times New Roman" w:cs="Times New Roman"/>
          <w:color w:val="000000"/>
          <w:szCs w:val="20"/>
          <w:highlight w:val="none"/>
        </w:rPr>
        <w:fldChar w:fldCharType="separate"/>
      </w:r>
      <w:r>
        <w:rPr>
          <w:rFonts w:hint="eastAsia" w:ascii="Times New Roman" w:hAnsi="Times New Roman"/>
          <w:color w:val="000000"/>
          <w:szCs w:val="24"/>
          <w:highlight w:val="none"/>
          <w:lang w:val="en-US" w:eastAsia="zh-CN"/>
        </w:rPr>
        <w:t>9</w:t>
      </w:r>
      <w:r>
        <w:rPr>
          <w:rFonts w:ascii="Times New Roman" w:hAnsi="Times New Roman"/>
          <w:color w:val="000000"/>
          <w:szCs w:val="24"/>
          <w:highlight w:val="none"/>
        </w:rPr>
        <w:t>.3对设计质量的要求</w:t>
      </w:r>
      <w:r>
        <w:rPr>
          <w:color w:val="000000"/>
          <w:highlight w:val="none"/>
        </w:rPr>
        <w:tab/>
      </w:r>
      <w:r>
        <w:rPr>
          <w:color w:val="000000"/>
          <w:highlight w:val="none"/>
        </w:rPr>
        <w:fldChar w:fldCharType="begin"/>
      </w:r>
      <w:r>
        <w:rPr>
          <w:color w:val="000000"/>
          <w:highlight w:val="none"/>
        </w:rPr>
        <w:instrText xml:space="preserve"> PAGEREF _Toc28955 \h </w:instrText>
      </w:r>
      <w:r>
        <w:rPr>
          <w:color w:val="000000"/>
          <w:highlight w:val="none"/>
        </w:rPr>
        <w:fldChar w:fldCharType="separate"/>
      </w:r>
      <w:r>
        <w:rPr>
          <w:color w:val="000000"/>
          <w:highlight w:val="none"/>
        </w:rPr>
        <w:t>26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_Toc16139 </w:instrText>
      </w:r>
      <w:r>
        <w:rPr>
          <w:rFonts w:ascii="Times New Roman" w:hAnsi="Times New Roman" w:cs="Times New Roman"/>
          <w:color w:val="000000"/>
          <w:szCs w:val="20"/>
          <w:highlight w:val="none"/>
        </w:rPr>
        <w:fldChar w:fldCharType="separate"/>
      </w:r>
      <w:r>
        <w:rPr>
          <w:rFonts w:hint="eastAsia" w:ascii="Times New Roman" w:hAnsi="Times New Roman"/>
          <w:color w:val="000000"/>
          <w:szCs w:val="24"/>
          <w:highlight w:val="none"/>
          <w:lang w:val="en-US" w:eastAsia="zh-CN"/>
        </w:rPr>
        <w:t>9</w:t>
      </w:r>
      <w:r>
        <w:rPr>
          <w:rFonts w:ascii="Times New Roman" w:hAnsi="Times New Roman"/>
          <w:color w:val="000000"/>
          <w:szCs w:val="24"/>
          <w:highlight w:val="none"/>
        </w:rPr>
        <w:t>.4其它</w:t>
      </w:r>
      <w:r>
        <w:rPr>
          <w:color w:val="000000"/>
          <w:highlight w:val="none"/>
        </w:rPr>
        <w:tab/>
      </w:r>
      <w:r>
        <w:rPr>
          <w:color w:val="000000"/>
          <w:highlight w:val="none"/>
        </w:rPr>
        <w:fldChar w:fldCharType="begin"/>
      </w:r>
      <w:r>
        <w:rPr>
          <w:color w:val="000000"/>
          <w:highlight w:val="none"/>
        </w:rPr>
        <w:instrText xml:space="preserve"> PAGEREF _Toc16139 \h </w:instrText>
      </w:r>
      <w:r>
        <w:rPr>
          <w:color w:val="000000"/>
          <w:highlight w:val="none"/>
        </w:rPr>
        <w:fldChar w:fldCharType="separate"/>
      </w:r>
      <w:r>
        <w:rPr>
          <w:color w:val="000000"/>
          <w:highlight w:val="none"/>
        </w:rPr>
        <w:t>27</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_Toc26820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十、投资控制的要求</w:t>
      </w:r>
      <w:r>
        <w:rPr>
          <w:color w:val="000000"/>
          <w:highlight w:val="none"/>
        </w:rPr>
        <w:tab/>
      </w:r>
      <w:r>
        <w:rPr>
          <w:color w:val="000000"/>
          <w:highlight w:val="none"/>
        </w:rPr>
        <w:fldChar w:fldCharType="begin"/>
      </w:r>
      <w:r>
        <w:rPr>
          <w:color w:val="000000"/>
          <w:highlight w:val="none"/>
        </w:rPr>
        <w:instrText xml:space="preserve"> PAGEREF _Toc26820 \h </w:instrText>
      </w:r>
      <w:r>
        <w:rPr>
          <w:color w:val="000000"/>
          <w:highlight w:val="none"/>
        </w:rPr>
        <w:fldChar w:fldCharType="separate"/>
      </w:r>
      <w:r>
        <w:rPr>
          <w:color w:val="000000"/>
          <w:highlight w:val="none"/>
        </w:rPr>
        <w:t>28</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_Toc25451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0</w:t>
      </w:r>
      <w:r>
        <w:rPr>
          <w:rFonts w:ascii="Times New Roman" w:hAnsi="Times New Roman"/>
          <w:color w:val="000000"/>
          <w:szCs w:val="24"/>
          <w:highlight w:val="none"/>
        </w:rPr>
        <w:t>.1限额设计</w:t>
      </w:r>
      <w:r>
        <w:rPr>
          <w:color w:val="000000"/>
          <w:highlight w:val="none"/>
        </w:rPr>
        <w:tab/>
      </w:r>
      <w:r>
        <w:rPr>
          <w:color w:val="000000"/>
          <w:highlight w:val="none"/>
        </w:rPr>
        <w:fldChar w:fldCharType="begin"/>
      </w:r>
      <w:r>
        <w:rPr>
          <w:color w:val="000000"/>
          <w:highlight w:val="none"/>
        </w:rPr>
        <w:instrText xml:space="preserve"> PAGEREF _Toc25451 \h </w:instrText>
      </w:r>
      <w:r>
        <w:rPr>
          <w:color w:val="000000"/>
          <w:highlight w:val="none"/>
        </w:rPr>
        <w:fldChar w:fldCharType="separate"/>
      </w:r>
      <w:r>
        <w:rPr>
          <w:color w:val="000000"/>
          <w:highlight w:val="none"/>
        </w:rPr>
        <w:t>28</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_Toc13487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0</w:t>
      </w:r>
      <w:r>
        <w:rPr>
          <w:rFonts w:ascii="Times New Roman" w:hAnsi="Times New Roman"/>
          <w:color w:val="000000"/>
          <w:szCs w:val="24"/>
          <w:highlight w:val="none"/>
        </w:rPr>
        <w:t>.2设计优化和技术经济分析论证</w:t>
      </w:r>
      <w:r>
        <w:rPr>
          <w:color w:val="000000"/>
          <w:highlight w:val="none"/>
        </w:rPr>
        <w:tab/>
      </w:r>
      <w:r>
        <w:rPr>
          <w:color w:val="000000"/>
          <w:highlight w:val="none"/>
        </w:rPr>
        <w:fldChar w:fldCharType="begin"/>
      </w:r>
      <w:r>
        <w:rPr>
          <w:color w:val="000000"/>
          <w:highlight w:val="none"/>
        </w:rPr>
        <w:instrText xml:space="preserve"> PAGEREF _Toc13487 \h </w:instrText>
      </w:r>
      <w:r>
        <w:rPr>
          <w:color w:val="000000"/>
          <w:highlight w:val="none"/>
        </w:rPr>
        <w:fldChar w:fldCharType="separate"/>
      </w:r>
      <w:r>
        <w:rPr>
          <w:color w:val="000000"/>
          <w:highlight w:val="none"/>
        </w:rPr>
        <w:t>29</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_Toc17194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0</w:t>
      </w:r>
      <w:r>
        <w:rPr>
          <w:rFonts w:ascii="Times New Roman" w:hAnsi="Times New Roman"/>
          <w:color w:val="000000"/>
          <w:szCs w:val="24"/>
          <w:highlight w:val="none"/>
        </w:rPr>
        <w:t>.3</w:t>
      </w:r>
      <w:r>
        <w:rPr>
          <w:rFonts w:ascii="宋体" w:hAnsi="宋体" w:eastAsia="宋体"/>
          <w:color w:val="000000"/>
          <w:szCs w:val="24"/>
          <w:highlight w:val="none"/>
        </w:rPr>
        <w:t>估算</w:t>
      </w:r>
      <w:r>
        <w:rPr>
          <w:rFonts w:hint="eastAsia" w:ascii="宋体" w:hAnsi="宋体" w:eastAsia="宋体"/>
          <w:color w:val="000000"/>
          <w:szCs w:val="24"/>
          <w:highlight w:val="none"/>
        </w:rPr>
        <w:t>、</w:t>
      </w:r>
      <w:r>
        <w:rPr>
          <w:rFonts w:ascii="宋体" w:hAnsi="宋体" w:eastAsia="宋体"/>
          <w:color w:val="000000"/>
          <w:szCs w:val="24"/>
          <w:highlight w:val="none"/>
        </w:rPr>
        <w:t>概算</w:t>
      </w:r>
      <w:r>
        <w:rPr>
          <w:rFonts w:hint="eastAsia" w:ascii="宋体" w:hAnsi="宋体" w:eastAsia="宋体"/>
          <w:color w:val="000000"/>
          <w:szCs w:val="24"/>
          <w:highlight w:val="none"/>
        </w:rPr>
        <w:t>及预算</w:t>
      </w:r>
      <w:r>
        <w:rPr>
          <w:color w:val="000000"/>
          <w:highlight w:val="none"/>
        </w:rPr>
        <w:tab/>
      </w:r>
      <w:r>
        <w:rPr>
          <w:color w:val="000000"/>
          <w:highlight w:val="none"/>
        </w:rPr>
        <w:fldChar w:fldCharType="begin"/>
      </w:r>
      <w:r>
        <w:rPr>
          <w:color w:val="000000"/>
          <w:highlight w:val="none"/>
        </w:rPr>
        <w:instrText xml:space="preserve"> PAGEREF _Toc17194 \h </w:instrText>
      </w:r>
      <w:r>
        <w:rPr>
          <w:color w:val="000000"/>
          <w:highlight w:val="none"/>
        </w:rPr>
        <w:fldChar w:fldCharType="separate"/>
      </w:r>
      <w:r>
        <w:rPr>
          <w:color w:val="000000"/>
          <w:highlight w:val="none"/>
        </w:rPr>
        <w:t>29</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_Toc32534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十</w:t>
      </w:r>
      <w:r>
        <w:rPr>
          <w:rFonts w:hint="eastAsia" w:ascii="Times New Roman" w:hAnsi="Times New Roman"/>
          <w:color w:val="000000"/>
          <w:szCs w:val="24"/>
          <w:highlight w:val="none"/>
          <w:lang w:val="en-US" w:eastAsia="zh-CN"/>
        </w:rPr>
        <w:t>一</w:t>
      </w:r>
      <w:r>
        <w:rPr>
          <w:rFonts w:ascii="Times New Roman" w:hAnsi="Times New Roman"/>
          <w:color w:val="000000"/>
          <w:szCs w:val="24"/>
          <w:highlight w:val="none"/>
        </w:rPr>
        <w:t>、服务期限及成果文件的交付</w:t>
      </w:r>
      <w:r>
        <w:rPr>
          <w:color w:val="000000"/>
          <w:highlight w:val="none"/>
        </w:rPr>
        <w:tab/>
      </w:r>
      <w:r>
        <w:rPr>
          <w:color w:val="000000"/>
          <w:highlight w:val="none"/>
        </w:rPr>
        <w:fldChar w:fldCharType="begin"/>
      </w:r>
      <w:r>
        <w:rPr>
          <w:color w:val="000000"/>
          <w:highlight w:val="none"/>
        </w:rPr>
        <w:instrText xml:space="preserve"> PAGEREF _Toc32534 \h </w:instrText>
      </w:r>
      <w:r>
        <w:rPr>
          <w:color w:val="000000"/>
          <w:highlight w:val="none"/>
        </w:rPr>
        <w:fldChar w:fldCharType="separate"/>
      </w:r>
      <w:r>
        <w:rPr>
          <w:color w:val="000000"/>
          <w:highlight w:val="none"/>
        </w:rPr>
        <w:t>30</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_Toc2727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1</w:t>
      </w:r>
      <w:r>
        <w:rPr>
          <w:rFonts w:ascii="Times New Roman" w:hAnsi="Times New Roman"/>
          <w:color w:val="000000"/>
          <w:szCs w:val="24"/>
          <w:highlight w:val="none"/>
        </w:rPr>
        <w:t>.1服务期限</w:t>
      </w:r>
      <w:r>
        <w:rPr>
          <w:color w:val="000000"/>
          <w:highlight w:val="none"/>
        </w:rPr>
        <w:tab/>
      </w:r>
      <w:r>
        <w:rPr>
          <w:color w:val="000000"/>
          <w:highlight w:val="none"/>
        </w:rPr>
        <w:fldChar w:fldCharType="begin"/>
      </w:r>
      <w:r>
        <w:rPr>
          <w:color w:val="000000"/>
          <w:highlight w:val="none"/>
        </w:rPr>
        <w:instrText xml:space="preserve"> PAGEREF _Toc2727 \h </w:instrText>
      </w:r>
      <w:r>
        <w:rPr>
          <w:color w:val="000000"/>
          <w:highlight w:val="none"/>
        </w:rPr>
        <w:fldChar w:fldCharType="separate"/>
      </w:r>
      <w:r>
        <w:rPr>
          <w:color w:val="000000"/>
          <w:highlight w:val="none"/>
        </w:rPr>
        <w:t>30</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_Toc2470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1</w:t>
      </w:r>
      <w:r>
        <w:rPr>
          <w:rFonts w:ascii="Times New Roman" w:hAnsi="Times New Roman"/>
          <w:color w:val="000000"/>
          <w:szCs w:val="24"/>
          <w:highlight w:val="none"/>
        </w:rPr>
        <w:t>.2设计成果文件的交付</w:t>
      </w:r>
      <w:r>
        <w:rPr>
          <w:color w:val="000000"/>
          <w:highlight w:val="none"/>
        </w:rPr>
        <w:tab/>
      </w:r>
      <w:r>
        <w:rPr>
          <w:color w:val="000000"/>
          <w:highlight w:val="none"/>
        </w:rPr>
        <w:fldChar w:fldCharType="begin"/>
      </w:r>
      <w:r>
        <w:rPr>
          <w:color w:val="000000"/>
          <w:highlight w:val="none"/>
        </w:rPr>
        <w:instrText xml:space="preserve"> PAGEREF _Toc2470 \h </w:instrText>
      </w:r>
      <w:r>
        <w:rPr>
          <w:color w:val="000000"/>
          <w:highlight w:val="none"/>
        </w:rPr>
        <w:fldChar w:fldCharType="separate"/>
      </w:r>
      <w:r>
        <w:rPr>
          <w:color w:val="000000"/>
          <w:highlight w:val="none"/>
        </w:rPr>
        <w:t>30</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_Toc18559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1</w:t>
      </w:r>
      <w:r>
        <w:rPr>
          <w:rFonts w:ascii="Times New Roman" w:hAnsi="Times New Roman"/>
          <w:color w:val="000000"/>
          <w:szCs w:val="24"/>
          <w:highlight w:val="none"/>
        </w:rPr>
        <w:t>.3设计工作进度</w:t>
      </w:r>
      <w:r>
        <w:rPr>
          <w:color w:val="000000"/>
          <w:highlight w:val="none"/>
        </w:rPr>
        <w:tab/>
      </w:r>
      <w:r>
        <w:rPr>
          <w:color w:val="000000"/>
          <w:highlight w:val="none"/>
        </w:rPr>
        <w:fldChar w:fldCharType="begin"/>
      </w:r>
      <w:r>
        <w:rPr>
          <w:color w:val="000000"/>
          <w:highlight w:val="none"/>
        </w:rPr>
        <w:instrText xml:space="preserve"> PAGEREF _Toc18559 \h </w:instrText>
      </w:r>
      <w:r>
        <w:rPr>
          <w:color w:val="000000"/>
          <w:highlight w:val="none"/>
        </w:rPr>
        <w:fldChar w:fldCharType="separate"/>
      </w:r>
      <w:r>
        <w:rPr>
          <w:color w:val="000000"/>
          <w:highlight w:val="none"/>
        </w:rPr>
        <w:t>33</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_Toc13733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1</w:t>
      </w:r>
      <w:r>
        <w:rPr>
          <w:rFonts w:ascii="Times New Roman" w:hAnsi="Times New Roman"/>
          <w:color w:val="000000"/>
          <w:szCs w:val="24"/>
          <w:highlight w:val="none"/>
        </w:rPr>
        <w:t>.4设计成果文件的交付</w:t>
      </w:r>
      <w:r>
        <w:rPr>
          <w:color w:val="000000"/>
          <w:highlight w:val="none"/>
        </w:rPr>
        <w:tab/>
      </w:r>
      <w:r>
        <w:rPr>
          <w:color w:val="000000"/>
          <w:highlight w:val="none"/>
        </w:rPr>
        <w:fldChar w:fldCharType="begin"/>
      </w:r>
      <w:r>
        <w:rPr>
          <w:color w:val="000000"/>
          <w:highlight w:val="none"/>
        </w:rPr>
        <w:instrText xml:space="preserve"> PAGEREF _Toc13733 \h </w:instrText>
      </w:r>
      <w:r>
        <w:rPr>
          <w:color w:val="000000"/>
          <w:highlight w:val="none"/>
        </w:rPr>
        <w:fldChar w:fldCharType="separate"/>
      </w:r>
      <w:r>
        <w:rPr>
          <w:color w:val="000000"/>
          <w:highlight w:val="none"/>
        </w:rPr>
        <w:t>34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_Toc6549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十</w:t>
      </w:r>
      <w:r>
        <w:rPr>
          <w:rFonts w:hint="eastAsia" w:ascii="Times New Roman" w:hAnsi="Times New Roman"/>
          <w:color w:val="000000"/>
          <w:szCs w:val="24"/>
          <w:highlight w:val="none"/>
          <w:lang w:val="en-US" w:eastAsia="zh-CN"/>
        </w:rPr>
        <w:t>二</w:t>
      </w:r>
      <w:r>
        <w:rPr>
          <w:rFonts w:ascii="Times New Roman" w:hAnsi="Times New Roman"/>
          <w:color w:val="000000"/>
          <w:szCs w:val="24"/>
          <w:highlight w:val="none"/>
        </w:rPr>
        <w:t>、设计变更管理</w:t>
      </w:r>
      <w:r>
        <w:rPr>
          <w:color w:val="000000"/>
          <w:highlight w:val="none"/>
        </w:rPr>
        <w:tab/>
      </w:r>
      <w:r>
        <w:rPr>
          <w:color w:val="000000"/>
          <w:highlight w:val="none"/>
        </w:rPr>
        <w:fldChar w:fldCharType="begin"/>
      </w:r>
      <w:r>
        <w:rPr>
          <w:color w:val="000000"/>
          <w:highlight w:val="none"/>
        </w:rPr>
        <w:instrText xml:space="preserve"> PAGEREF _Toc6549 \h </w:instrText>
      </w:r>
      <w:r>
        <w:rPr>
          <w:color w:val="000000"/>
          <w:highlight w:val="none"/>
        </w:rPr>
        <w:fldChar w:fldCharType="separate"/>
      </w:r>
      <w:r>
        <w:rPr>
          <w:color w:val="000000"/>
          <w:highlight w:val="none"/>
        </w:rPr>
        <w:t>34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_Toc12877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2</w:t>
      </w:r>
      <w:r>
        <w:rPr>
          <w:rFonts w:ascii="Times New Roman" w:hAnsi="Times New Roman"/>
          <w:color w:val="000000"/>
          <w:szCs w:val="24"/>
          <w:highlight w:val="none"/>
        </w:rPr>
        <w:t>.1基本事项</w:t>
      </w:r>
      <w:r>
        <w:rPr>
          <w:color w:val="000000"/>
          <w:highlight w:val="none"/>
        </w:rPr>
        <w:tab/>
      </w:r>
      <w:r>
        <w:rPr>
          <w:color w:val="000000"/>
          <w:highlight w:val="none"/>
        </w:rPr>
        <w:fldChar w:fldCharType="begin"/>
      </w:r>
      <w:r>
        <w:rPr>
          <w:color w:val="000000"/>
          <w:highlight w:val="none"/>
        </w:rPr>
        <w:instrText xml:space="preserve"> PAGEREF _Toc12877 \h </w:instrText>
      </w:r>
      <w:r>
        <w:rPr>
          <w:color w:val="000000"/>
          <w:highlight w:val="none"/>
        </w:rPr>
        <w:fldChar w:fldCharType="separate"/>
      </w:r>
      <w:r>
        <w:rPr>
          <w:color w:val="000000"/>
          <w:highlight w:val="none"/>
        </w:rPr>
        <w:t>34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_Toc1655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2</w:t>
      </w:r>
      <w:r>
        <w:rPr>
          <w:rFonts w:ascii="Times New Roman" w:hAnsi="Times New Roman"/>
          <w:color w:val="000000"/>
          <w:szCs w:val="24"/>
          <w:highlight w:val="none"/>
        </w:rPr>
        <w:t>.2流程管理</w:t>
      </w:r>
      <w:r>
        <w:rPr>
          <w:color w:val="000000"/>
          <w:highlight w:val="none"/>
        </w:rPr>
        <w:tab/>
      </w:r>
      <w:r>
        <w:rPr>
          <w:color w:val="000000"/>
          <w:highlight w:val="none"/>
        </w:rPr>
        <w:fldChar w:fldCharType="begin"/>
      </w:r>
      <w:r>
        <w:rPr>
          <w:color w:val="000000"/>
          <w:highlight w:val="none"/>
        </w:rPr>
        <w:instrText xml:space="preserve"> PAGEREF _Toc1655 \h </w:instrText>
      </w:r>
      <w:r>
        <w:rPr>
          <w:color w:val="000000"/>
          <w:highlight w:val="none"/>
        </w:rPr>
        <w:fldChar w:fldCharType="separate"/>
      </w:r>
      <w:r>
        <w:rPr>
          <w:color w:val="000000"/>
          <w:highlight w:val="none"/>
        </w:rPr>
        <w:t>34</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_Toc11062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1</w:t>
      </w:r>
      <w:r>
        <w:rPr>
          <w:rFonts w:hint="eastAsia" w:ascii="Times New Roman" w:hAnsi="Times New Roman"/>
          <w:color w:val="000000"/>
          <w:szCs w:val="24"/>
          <w:highlight w:val="none"/>
          <w:lang w:val="en-US" w:eastAsia="zh-CN"/>
        </w:rPr>
        <w:t>2</w:t>
      </w:r>
      <w:r>
        <w:rPr>
          <w:rFonts w:ascii="Times New Roman" w:hAnsi="Times New Roman"/>
          <w:color w:val="000000"/>
          <w:szCs w:val="24"/>
          <w:highlight w:val="none"/>
        </w:rPr>
        <w:t>.3其他</w:t>
      </w:r>
      <w:r>
        <w:rPr>
          <w:color w:val="000000"/>
          <w:highlight w:val="none"/>
        </w:rPr>
        <w:tab/>
      </w:r>
      <w:r>
        <w:rPr>
          <w:color w:val="000000"/>
          <w:highlight w:val="none"/>
        </w:rPr>
        <w:fldChar w:fldCharType="begin"/>
      </w:r>
      <w:r>
        <w:rPr>
          <w:color w:val="000000"/>
          <w:highlight w:val="none"/>
        </w:rPr>
        <w:instrText xml:space="preserve"> PAGEREF _Toc11062 \h </w:instrText>
      </w:r>
      <w:r>
        <w:rPr>
          <w:color w:val="000000"/>
          <w:highlight w:val="none"/>
        </w:rPr>
        <w:fldChar w:fldCharType="separate"/>
      </w:r>
      <w:r>
        <w:rPr>
          <w:color w:val="000000"/>
          <w:highlight w:val="none"/>
        </w:rPr>
        <w:t>35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_Toc9395 </w:instrText>
      </w:r>
      <w:r>
        <w:rPr>
          <w:rFonts w:ascii="Times New Roman" w:hAnsi="Times New Roman" w:cs="Times New Roman"/>
          <w:color w:val="000000"/>
          <w:szCs w:val="20"/>
          <w:highlight w:val="none"/>
        </w:rPr>
        <w:fldChar w:fldCharType="separate"/>
      </w:r>
      <w:r>
        <w:rPr>
          <w:rFonts w:ascii="Times New Roman" w:hAnsi="Times New Roman"/>
          <w:color w:val="000000"/>
          <w:szCs w:val="24"/>
          <w:highlight w:val="none"/>
        </w:rPr>
        <w:t>十</w:t>
      </w:r>
      <w:r>
        <w:rPr>
          <w:rFonts w:hint="eastAsia" w:ascii="Times New Roman" w:hAnsi="Times New Roman"/>
          <w:color w:val="000000"/>
          <w:szCs w:val="24"/>
          <w:highlight w:val="none"/>
          <w:lang w:val="en-US" w:eastAsia="zh-CN"/>
        </w:rPr>
        <w:t>三</w:t>
      </w:r>
      <w:r>
        <w:rPr>
          <w:rFonts w:ascii="Times New Roman" w:hAnsi="Times New Roman"/>
          <w:color w:val="000000"/>
          <w:szCs w:val="24"/>
          <w:highlight w:val="none"/>
        </w:rPr>
        <w:t>、专节论证</w:t>
      </w:r>
      <w:r>
        <w:rPr>
          <w:color w:val="000000"/>
          <w:highlight w:val="none"/>
        </w:rPr>
        <w:tab/>
      </w:r>
      <w:r>
        <w:rPr>
          <w:color w:val="000000"/>
          <w:highlight w:val="none"/>
        </w:rPr>
        <w:fldChar w:fldCharType="begin"/>
      </w:r>
      <w:r>
        <w:rPr>
          <w:color w:val="000000"/>
          <w:highlight w:val="none"/>
        </w:rPr>
        <w:instrText xml:space="preserve"> PAGEREF _Toc9395 \h </w:instrText>
      </w:r>
      <w:r>
        <w:rPr>
          <w:color w:val="000000"/>
          <w:highlight w:val="none"/>
        </w:rPr>
        <w:fldChar w:fldCharType="separate"/>
      </w:r>
      <w:r>
        <w:rPr>
          <w:color w:val="000000"/>
          <w:highlight w:val="none"/>
        </w:rPr>
        <w:t>35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_Toc24249 </w:instrText>
      </w:r>
      <w:r>
        <w:rPr>
          <w:rFonts w:ascii="Times New Roman" w:hAnsi="Times New Roman" w:cs="Times New Roman"/>
          <w:color w:val="000000"/>
          <w:szCs w:val="20"/>
          <w:highlight w:val="none"/>
        </w:rPr>
        <w:fldChar w:fldCharType="separate"/>
      </w:r>
      <w:r>
        <w:rPr>
          <w:rFonts w:hint="default" w:ascii="Times New Roman" w:hAnsi="Times New Roman" w:eastAsia="宋体"/>
          <w:color w:val="000000"/>
          <w:szCs w:val="24"/>
          <w:highlight w:val="none"/>
        </w:rPr>
        <w:t>十</w:t>
      </w:r>
      <w:r>
        <w:rPr>
          <w:rFonts w:hint="eastAsia" w:ascii="Times New Roman" w:hAnsi="Times New Roman" w:eastAsia="宋体"/>
          <w:color w:val="000000"/>
          <w:szCs w:val="24"/>
          <w:highlight w:val="none"/>
          <w:lang w:eastAsia="zh-CN"/>
        </w:rPr>
        <w:t>四</w:t>
      </w:r>
      <w:r>
        <w:rPr>
          <w:rFonts w:hint="default" w:ascii="Times New Roman" w:hAnsi="Times New Roman" w:eastAsia="宋体"/>
          <w:color w:val="000000"/>
          <w:szCs w:val="24"/>
          <w:highlight w:val="none"/>
        </w:rPr>
        <w:t>、设计考核</w:t>
      </w:r>
      <w:r>
        <w:rPr>
          <w:color w:val="000000"/>
          <w:highlight w:val="none"/>
        </w:rPr>
        <w:tab/>
      </w:r>
      <w:r>
        <w:rPr>
          <w:color w:val="000000"/>
          <w:highlight w:val="none"/>
        </w:rPr>
        <w:fldChar w:fldCharType="begin"/>
      </w:r>
      <w:r>
        <w:rPr>
          <w:color w:val="000000"/>
          <w:highlight w:val="none"/>
        </w:rPr>
        <w:instrText xml:space="preserve"> PAGEREF _Toc24249 \h </w:instrText>
      </w:r>
      <w:r>
        <w:rPr>
          <w:color w:val="000000"/>
          <w:highlight w:val="none"/>
        </w:rPr>
        <w:fldChar w:fldCharType="separate"/>
      </w:r>
      <w:r>
        <w:rPr>
          <w:color w:val="000000"/>
          <w:highlight w:val="none"/>
        </w:rPr>
        <w:t>35</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_Toc25633 </w:instrText>
      </w:r>
      <w:r>
        <w:rPr>
          <w:rFonts w:ascii="Times New Roman" w:hAnsi="Times New Roman" w:cs="Times New Roman"/>
          <w:color w:val="000000"/>
          <w:szCs w:val="20"/>
          <w:highlight w:val="none"/>
        </w:rPr>
        <w:fldChar w:fldCharType="separate"/>
      </w:r>
      <w:r>
        <w:rPr>
          <w:rFonts w:hint="default" w:ascii="Times New Roman" w:hAnsi="Times New Roman" w:eastAsia="宋体"/>
          <w:color w:val="000000"/>
          <w:szCs w:val="24"/>
          <w:highlight w:val="none"/>
        </w:rPr>
        <w:t>1</w:t>
      </w:r>
      <w:r>
        <w:rPr>
          <w:rFonts w:hint="eastAsia" w:ascii="Times New Roman" w:hAnsi="Times New Roman" w:eastAsia="宋体"/>
          <w:color w:val="000000"/>
          <w:szCs w:val="24"/>
          <w:highlight w:val="none"/>
          <w:lang w:eastAsia="zh-CN"/>
        </w:rPr>
        <w:t>4</w:t>
      </w:r>
      <w:r>
        <w:rPr>
          <w:rFonts w:hint="default" w:ascii="Times New Roman" w:hAnsi="Times New Roman" w:eastAsia="宋体"/>
          <w:color w:val="000000"/>
          <w:szCs w:val="24"/>
          <w:highlight w:val="none"/>
        </w:rPr>
        <w:t>.1总则</w:t>
      </w:r>
      <w:r>
        <w:rPr>
          <w:color w:val="000000"/>
          <w:highlight w:val="none"/>
        </w:rPr>
        <w:tab/>
      </w:r>
      <w:r>
        <w:rPr>
          <w:color w:val="000000"/>
          <w:highlight w:val="none"/>
        </w:rPr>
        <w:fldChar w:fldCharType="begin"/>
      </w:r>
      <w:r>
        <w:rPr>
          <w:color w:val="000000"/>
          <w:highlight w:val="none"/>
        </w:rPr>
        <w:instrText xml:space="preserve"> PAGEREF _Toc25633 \h </w:instrText>
      </w:r>
      <w:r>
        <w:rPr>
          <w:color w:val="000000"/>
          <w:highlight w:val="none"/>
        </w:rPr>
        <w:fldChar w:fldCharType="separate"/>
      </w:r>
      <w:r>
        <w:rPr>
          <w:color w:val="000000"/>
          <w:highlight w:val="none"/>
        </w:rPr>
        <w:t>36</w:t>
      </w:r>
      <w:r>
        <w:rPr>
          <w:color w:val="000000"/>
          <w:highlight w:val="none"/>
        </w:rPr>
        <w:fldChar w:fldCharType="end"/>
      </w:r>
      <w:r>
        <w:rPr>
          <w:rFonts w:ascii="Times New Roman" w:hAnsi="Times New Roman" w:cs="Times New Roman"/>
          <w:color w:val="000000"/>
          <w:szCs w:val="20"/>
          <w:highlight w:val="none"/>
        </w:rPr>
        <w:fldChar w:fldCharType="end"/>
      </w:r>
    </w:p>
    <w:p>
      <w:pPr>
        <w:pStyle w:val="34"/>
        <w:tabs>
          <w:tab w:val="right" w:leader="dot" w:pos="9298"/>
        </w:tabs>
        <w:rPr>
          <w:color w:val="000000"/>
          <w:highlight w:val="none"/>
        </w:rPr>
      </w:pPr>
      <w:r>
        <w:rPr>
          <w:rFonts w:ascii="Times New Roman" w:hAnsi="Times New Roman" w:cs="Times New Roman"/>
          <w:color w:val="000000"/>
          <w:szCs w:val="20"/>
          <w:highlight w:val="none"/>
        </w:rPr>
        <w:fldChar w:fldCharType="begin"/>
      </w:r>
      <w:r>
        <w:rPr>
          <w:rFonts w:ascii="Times New Roman" w:hAnsi="Times New Roman" w:cs="Times New Roman"/>
          <w:color w:val="000000"/>
          <w:szCs w:val="20"/>
          <w:highlight w:val="none"/>
        </w:rPr>
        <w:instrText xml:space="preserve"> HYPERLINK \l _Toc1197 </w:instrText>
      </w:r>
      <w:r>
        <w:rPr>
          <w:rFonts w:ascii="Times New Roman" w:hAnsi="Times New Roman" w:cs="Times New Roman"/>
          <w:color w:val="000000"/>
          <w:szCs w:val="20"/>
          <w:highlight w:val="none"/>
        </w:rPr>
        <w:fldChar w:fldCharType="separate"/>
      </w:r>
      <w:r>
        <w:rPr>
          <w:rFonts w:hint="default" w:ascii="Times New Roman" w:hAnsi="Times New Roman" w:eastAsia="宋体"/>
          <w:color w:val="000000"/>
          <w:szCs w:val="24"/>
          <w:highlight w:val="none"/>
        </w:rPr>
        <w:t>1</w:t>
      </w:r>
      <w:r>
        <w:rPr>
          <w:rFonts w:hint="eastAsia" w:ascii="Times New Roman" w:hAnsi="Times New Roman" w:eastAsia="宋体"/>
          <w:color w:val="000000"/>
          <w:szCs w:val="24"/>
          <w:highlight w:val="none"/>
          <w:lang w:eastAsia="zh-CN"/>
        </w:rPr>
        <w:t>4</w:t>
      </w:r>
      <w:r>
        <w:rPr>
          <w:rFonts w:hint="default" w:ascii="Times New Roman" w:hAnsi="Times New Roman" w:eastAsia="宋体"/>
          <w:color w:val="000000"/>
          <w:szCs w:val="24"/>
          <w:highlight w:val="none"/>
        </w:rPr>
        <w:t>.2考核内容</w:t>
      </w:r>
      <w:r>
        <w:rPr>
          <w:color w:val="000000"/>
          <w:highlight w:val="none"/>
        </w:rPr>
        <w:tab/>
      </w:r>
      <w:r>
        <w:rPr>
          <w:color w:val="000000"/>
          <w:highlight w:val="none"/>
        </w:rPr>
        <w:fldChar w:fldCharType="begin"/>
      </w:r>
      <w:r>
        <w:rPr>
          <w:color w:val="000000"/>
          <w:highlight w:val="none"/>
        </w:rPr>
        <w:instrText xml:space="preserve"> PAGEREF _Toc1197 \h </w:instrText>
      </w:r>
      <w:r>
        <w:rPr>
          <w:color w:val="000000"/>
          <w:highlight w:val="none"/>
        </w:rPr>
        <w:fldChar w:fldCharType="separate"/>
      </w:r>
      <w:r>
        <w:rPr>
          <w:color w:val="000000"/>
          <w:highlight w:val="none"/>
        </w:rPr>
        <w:t>36</w:t>
      </w:r>
      <w:r>
        <w:rPr>
          <w:color w:val="000000"/>
          <w:highlight w:val="none"/>
        </w:rPr>
        <w:fldChar w:fldCharType="end"/>
      </w:r>
      <w:r>
        <w:rPr>
          <w:rFonts w:ascii="Times New Roman" w:hAnsi="Times New Roman" w:cs="Times New Roman"/>
          <w:color w:val="000000"/>
          <w:szCs w:val="20"/>
          <w:highlight w:val="none"/>
        </w:rPr>
        <w:fldChar w:fldCharType="end"/>
      </w:r>
    </w:p>
    <w:p>
      <w:pPr>
        <w:spacing w:beforeLines="0" w:afterLines="0" w:line="600" w:lineRule="exact"/>
        <w:rPr>
          <w:rFonts w:ascii="Times New Roman" w:hAnsi="Times New Roman" w:cs="Times New Roman"/>
          <w:color w:val="000000"/>
          <w:sz w:val="18"/>
          <w:szCs w:val="18"/>
          <w:highlight w:val="none"/>
        </w:rPr>
      </w:pPr>
      <w:r>
        <w:rPr>
          <w:rFonts w:ascii="Times New Roman" w:hAnsi="Times New Roman" w:cs="Times New Roman"/>
          <w:color w:val="000000"/>
          <w:szCs w:val="20"/>
          <w:highlight w:val="none"/>
        </w:rPr>
        <w:fldChar w:fldCharType="end"/>
      </w:r>
    </w:p>
    <w:p>
      <w:pPr>
        <w:spacing w:beforeLines="0" w:afterLines="0" w:line="600" w:lineRule="exact"/>
        <w:rPr>
          <w:rFonts w:ascii="Times New Roman" w:hAnsi="Times New Roman" w:cs="Times New Roman"/>
          <w:color w:val="000000"/>
          <w:sz w:val="18"/>
          <w:szCs w:val="18"/>
          <w:highlight w:val="none"/>
        </w:rPr>
      </w:pPr>
    </w:p>
    <w:p>
      <w:pPr>
        <w:spacing w:beforeLines="0" w:afterLines="0" w:line="600" w:lineRule="exact"/>
        <w:rPr>
          <w:rFonts w:ascii="Times New Roman" w:hAnsi="Times New Roman" w:cs="Times New Roman"/>
          <w:color w:val="000000"/>
          <w:sz w:val="18"/>
          <w:szCs w:val="18"/>
          <w:highlight w:val="none"/>
        </w:rPr>
      </w:pPr>
    </w:p>
    <w:p>
      <w:pPr>
        <w:pStyle w:val="4"/>
        <w:numPr>
          <w:ilvl w:val="0"/>
          <w:numId w:val="0"/>
        </w:numPr>
        <w:tabs>
          <w:tab w:val="left" w:pos="432"/>
        </w:tabs>
        <w:spacing w:before="0" w:beforeLines="0" w:after="0" w:afterLines="0" w:line="600" w:lineRule="exact"/>
        <w:ind w:left="0" w:hanging="578"/>
        <w:jc w:val="both"/>
        <w:rPr>
          <w:rFonts w:ascii="Times New Roman" w:hAnsi="Times New Roman"/>
          <w:b/>
          <w:color w:val="000000"/>
          <w:sz w:val="24"/>
          <w:szCs w:val="24"/>
          <w:highlight w:val="none"/>
        </w:rPr>
        <w:sectPr>
          <w:footerReference r:id="rId18" w:type="first"/>
          <w:footerReference r:id="rId17" w:type="default"/>
          <w:pgSz w:w="11906" w:h="16838"/>
          <w:pgMar w:top="1134" w:right="1134" w:bottom="1134" w:left="1474" w:header="851" w:footer="567" w:gutter="0"/>
          <w:pgNumType w:fmt="decimal"/>
          <w:cols w:space="720" w:num="1"/>
          <w:titlePg/>
          <w:docGrid w:type="lines" w:linePitch="312" w:charSpace="0"/>
        </w:sectPr>
      </w:pP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一、项目概述</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1</w:t>
      </w:r>
      <w:r>
        <w:rPr>
          <w:rFonts w:ascii="Times New Roman" w:hAnsi="Times New Roman"/>
          <w:b/>
          <w:color w:val="000000"/>
          <w:sz w:val="24"/>
          <w:szCs w:val="24"/>
          <w:highlight w:val="none"/>
        </w:rPr>
        <w:t>项目名称</w:t>
      </w:r>
    </w:p>
    <w:p>
      <w:pPr>
        <w:spacing w:beforeLines="0" w:afterLines="0" w:line="600" w:lineRule="exact"/>
        <w:ind w:firstLine="480" w:firstLineChars="200"/>
        <w:rPr>
          <w:rFonts w:hint="eastAsia" w:ascii="Times New Roman" w:hAnsi="Times New Roman"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动力电池梯次利用项目</w:t>
      </w:r>
    </w:p>
    <w:p>
      <w:pPr>
        <w:pStyle w:val="4"/>
        <w:numPr>
          <w:ilvl w:val="0"/>
          <w:numId w:val="0"/>
        </w:numPr>
        <w:tabs>
          <w:tab w:val="left" w:pos="432"/>
        </w:tabs>
        <w:spacing w:before="0" w:line="600" w:lineRule="exact"/>
        <w:ind w:firstLine="482" w:firstLineChars="200"/>
        <w:jc w:val="both"/>
        <w:rPr>
          <w:rFonts w:hint="default" w:ascii="Times New Roman" w:hAnsi="Times New Roman" w:eastAsia="宋体"/>
          <w:b/>
          <w:bCs/>
          <w:color w:val="000000"/>
          <w:sz w:val="24"/>
          <w:szCs w:val="24"/>
          <w:highlight w:val="none"/>
          <w:lang w:val="en-US" w:eastAsia="zh-CN"/>
        </w:rPr>
      </w:pPr>
      <w:r>
        <w:rPr>
          <w:rFonts w:hint="default" w:ascii="Times New Roman" w:hAnsi="Times New Roman" w:eastAsia="宋体"/>
          <w:b/>
          <w:bCs/>
          <w:color w:val="000000"/>
          <w:sz w:val="24"/>
          <w:szCs w:val="24"/>
          <w:highlight w:val="none"/>
          <w:lang w:val="en-US" w:eastAsia="zh-CN"/>
        </w:rPr>
        <w:t>1.2建设单位</w:t>
      </w:r>
    </w:p>
    <w:p>
      <w:pPr>
        <w:pStyle w:val="2"/>
        <w:spacing w:beforeLines="0" w:after="0" w:afterLines="0" w:line="600" w:lineRule="exact"/>
        <w:ind w:firstLine="480" w:firstLineChars="200"/>
        <w:rPr>
          <w:rFonts w:hint="default"/>
          <w:color w:val="000000"/>
          <w:highlight w:val="none"/>
          <w:lang w:val="en-US" w:eastAsia="zh-CN"/>
        </w:rPr>
      </w:pPr>
      <w:r>
        <w:rPr>
          <w:rFonts w:hint="eastAsia" w:eastAsia="宋体"/>
          <w:color w:val="000000"/>
          <w:kern w:val="2"/>
          <w:sz w:val="24"/>
          <w:szCs w:val="24"/>
          <w:highlight w:val="none"/>
          <w:lang w:val="en-US" w:eastAsia="zh-CN"/>
        </w:rPr>
        <w:t>广州环投恒创科技有限公司</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1.3建设地点</w:t>
      </w:r>
    </w:p>
    <w:p>
      <w:pPr>
        <w:spacing w:beforeLines="0" w:afterLines="0" w:line="600" w:lineRule="exact"/>
        <w:ind w:firstLine="480" w:firstLineChars="200"/>
        <w:rPr>
          <w:rFonts w:ascii="Times New Roman" w:hAnsi="Times New Roman" w:cs="Times New Roman"/>
          <w:color w:val="000000"/>
          <w:kern w:val="0"/>
          <w:sz w:val="24"/>
          <w:highlight w:val="none"/>
        </w:rPr>
      </w:pPr>
      <w:r>
        <w:rPr>
          <w:rFonts w:ascii="Times New Roman" w:hAnsi="Times New Roman" w:cs="Times New Roman"/>
          <w:color w:val="000000"/>
          <w:sz w:val="24"/>
          <w:highlight w:val="none"/>
        </w:rPr>
        <w:t>建设场址位于</w:t>
      </w:r>
      <w:r>
        <w:rPr>
          <w:rFonts w:hint="eastAsia" w:ascii="Times New Roman" w:hAnsi="Times New Roman" w:cs="Times New Roman"/>
          <w:color w:val="000000"/>
          <w:sz w:val="24"/>
          <w:highlight w:val="none"/>
        </w:rPr>
        <w:t>广州市</w:t>
      </w:r>
      <w:r>
        <w:rPr>
          <w:rFonts w:hint="eastAsia" w:ascii="Times New Roman" w:hAnsi="Times New Roman" w:cs="Times New Roman"/>
          <w:color w:val="000000"/>
          <w:sz w:val="24"/>
          <w:highlight w:val="none"/>
          <w:lang w:val="en-US" w:eastAsia="zh-CN"/>
        </w:rPr>
        <w:t>番禺区化龙镇</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1.4项目性质</w:t>
      </w:r>
    </w:p>
    <w:p>
      <w:pPr>
        <w:spacing w:beforeLines="0" w:afterLines="0" w:line="600" w:lineRule="exact"/>
        <w:ind w:firstLine="480" w:firstLineChars="200"/>
        <w:rPr>
          <w:rFonts w:hint="eastAsia" w:ascii="Times New Roman" w:hAnsi="Times New Roman" w:cs="Times New Roman"/>
          <w:color w:val="000000"/>
          <w:sz w:val="24"/>
          <w:highlight w:val="none"/>
          <w:lang w:val="en-US" w:eastAsia="zh-CN"/>
        </w:rPr>
      </w:pPr>
      <w:r>
        <w:rPr>
          <w:rFonts w:ascii="Times New Roman" w:hAnsi="Times New Roman" w:cs="Times New Roman"/>
          <w:color w:val="000000"/>
          <w:sz w:val="24"/>
          <w:highlight w:val="none"/>
        </w:rPr>
        <w:t>新建</w:t>
      </w:r>
      <w:r>
        <w:rPr>
          <w:rFonts w:hint="eastAsia" w:ascii="Times New Roman" w:hAnsi="Times New Roman" w:cs="Times New Roman"/>
          <w:color w:val="000000"/>
          <w:sz w:val="24"/>
          <w:highlight w:val="none"/>
          <w:lang w:val="en-US" w:eastAsia="zh-CN"/>
        </w:rPr>
        <w:t>动力电池梯次利用项目</w:t>
      </w:r>
    </w:p>
    <w:p>
      <w:pPr>
        <w:pStyle w:val="4"/>
        <w:numPr>
          <w:ilvl w:val="0"/>
          <w:numId w:val="0"/>
        </w:numPr>
        <w:tabs>
          <w:tab w:val="left" w:pos="432"/>
        </w:tabs>
        <w:spacing w:before="0" w:beforeLines="0" w:after="0" w:afterLines="0" w:line="600" w:lineRule="exact"/>
        <w:ind w:left="0" w:firstLine="482" w:firstLineChars="200"/>
        <w:jc w:val="both"/>
        <w:rPr>
          <w:rFonts w:hint="eastAsia" w:ascii="Times New Roman" w:hAnsi="Times New Roman" w:eastAsia="宋体"/>
          <w:b/>
          <w:bCs/>
          <w:color w:val="000000"/>
          <w:sz w:val="24"/>
          <w:szCs w:val="24"/>
          <w:highlight w:val="none"/>
          <w:lang w:val="en-US" w:eastAsia="zh-CN"/>
        </w:rPr>
      </w:pPr>
      <w:r>
        <w:rPr>
          <w:rFonts w:hint="eastAsia" w:ascii="Times New Roman" w:hAnsi="Times New Roman" w:eastAsia="宋体"/>
          <w:b/>
          <w:bCs/>
          <w:color w:val="000000"/>
          <w:sz w:val="24"/>
          <w:szCs w:val="24"/>
          <w:highlight w:val="none"/>
          <w:lang w:val="en-US" w:eastAsia="zh-CN"/>
        </w:rPr>
        <w:t>1.5项目计划施工期</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开工时间：202</w:t>
      </w:r>
      <w:r>
        <w:rPr>
          <w:rFonts w:hint="eastAsia" w:ascii="宋体" w:hAnsi="宋体" w:eastAsia="宋体" w:cs="宋体"/>
          <w:b w:val="0"/>
          <w:bCs w:val="0"/>
          <w:color w:val="000000"/>
          <w:sz w:val="24"/>
          <w:szCs w:val="24"/>
          <w:highlight w:val="none"/>
          <w:lang w:eastAsia="zh-CN"/>
        </w:rPr>
        <w:t>3</w:t>
      </w:r>
      <w:r>
        <w:rPr>
          <w:rFonts w:hint="eastAsia" w:ascii="宋体" w:hAnsi="宋体" w:eastAsia="宋体" w:cs="宋体"/>
          <w:b w:val="0"/>
          <w:bCs w:val="0"/>
          <w:color w:val="000000"/>
          <w:sz w:val="24"/>
          <w:szCs w:val="24"/>
          <w:highlight w:val="none"/>
        </w:rPr>
        <w:t>年</w:t>
      </w:r>
      <w:r>
        <w:rPr>
          <w:rFonts w:hint="eastAsia" w:ascii="宋体" w:hAnsi="宋体" w:eastAsia="宋体" w:cs="宋体"/>
          <w:b w:val="0"/>
          <w:bCs w:val="0"/>
          <w:color w:val="000000"/>
          <w:sz w:val="24"/>
          <w:szCs w:val="24"/>
          <w:highlight w:val="none"/>
          <w:lang w:eastAsia="zh-CN"/>
        </w:rPr>
        <w:t>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月（暂定），</w:t>
      </w:r>
      <w:r>
        <w:rPr>
          <w:rFonts w:hint="eastAsia" w:ascii="宋体" w:hAnsi="宋体" w:eastAsia="宋体" w:cs="宋体"/>
          <w:b w:val="0"/>
          <w:bCs w:val="0"/>
          <w:color w:val="000000"/>
          <w:sz w:val="24"/>
          <w:szCs w:val="24"/>
          <w:highlight w:val="none"/>
          <w:lang w:val="en-US" w:eastAsia="zh-CN"/>
        </w:rPr>
        <w:t>试运营</w:t>
      </w:r>
      <w:r>
        <w:rPr>
          <w:rFonts w:hint="eastAsia" w:ascii="宋体" w:hAnsi="宋体" w:eastAsia="宋体" w:cs="宋体"/>
          <w:b w:val="0"/>
          <w:bCs w:val="0"/>
          <w:color w:val="000000"/>
          <w:sz w:val="24"/>
          <w:szCs w:val="24"/>
          <w:highlight w:val="none"/>
        </w:rPr>
        <w:t>时间：202</w:t>
      </w: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年</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2月（暂定），具体时间以施工合同为准。工程地质勘察时间具体以实际工作需求时间而定。</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6</w:t>
      </w:r>
      <w:r>
        <w:rPr>
          <w:rFonts w:ascii="Times New Roman" w:hAnsi="Times New Roman"/>
          <w:b/>
          <w:color w:val="000000"/>
          <w:sz w:val="24"/>
          <w:szCs w:val="24"/>
          <w:highlight w:val="none"/>
        </w:rPr>
        <w:t>建设规模（以项目实际实施情况为准）</w:t>
      </w:r>
    </w:p>
    <w:p>
      <w:pPr>
        <w:spacing w:beforeLines="0" w:afterLines="0" w:line="600" w:lineRule="exact"/>
        <w:ind w:firstLine="480" w:firstLineChars="200"/>
        <w:rPr>
          <w:rFonts w:ascii="Times New Roman" w:hAnsi="Times New Roman" w:cs="Times New Roman"/>
          <w:color w:val="000000"/>
          <w:sz w:val="24"/>
          <w:highlight w:val="none"/>
        </w:rPr>
      </w:pPr>
      <w:r>
        <w:rPr>
          <w:rFonts w:ascii="宋体" w:hAnsi="宋体" w:eastAsia="宋体" w:cs="宋体"/>
          <w:b w:val="0"/>
          <w:bCs w:val="0"/>
          <w:color w:val="000000"/>
          <w:sz w:val="24"/>
          <w:szCs w:val="24"/>
          <w:highlight w:val="none"/>
        </w:rPr>
        <w:t>本项目总用地面积</w:t>
      </w: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lang w:val="en-US" w:eastAsia="zh-CN"/>
        </w:rPr>
        <w:t>6343</w:t>
      </w:r>
      <w:r>
        <w:rPr>
          <w:rFonts w:hint="eastAsia" w:ascii="宋体" w:hAnsi="宋体" w:eastAsia="宋体" w:cs="宋体"/>
          <w:b w:val="0"/>
          <w:bCs w:val="0"/>
          <w:color w:val="000000"/>
          <w:sz w:val="24"/>
          <w:szCs w:val="24"/>
          <w:highlight w:val="none"/>
        </w:rPr>
        <w:t>平</w:t>
      </w:r>
      <w:r>
        <w:rPr>
          <w:rFonts w:ascii="宋体" w:hAnsi="宋体" w:eastAsia="宋体" w:cs="宋体"/>
          <w:b w:val="0"/>
          <w:bCs w:val="0"/>
          <w:color w:val="000000"/>
          <w:sz w:val="24"/>
          <w:szCs w:val="24"/>
          <w:highlight w:val="none"/>
        </w:rPr>
        <w:t>方米，</w:t>
      </w:r>
      <w:r>
        <w:rPr>
          <w:rFonts w:hint="eastAsia" w:ascii="宋体" w:hAnsi="宋体" w:eastAsia="宋体" w:cs="宋体"/>
          <w:b w:val="0"/>
          <w:bCs w:val="0"/>
          <w:color w:val="000000"/>
          <w:sz w:val="24"/>
          <w:szCs w:val="24"/>
          <w:highlight w:val="none"/>
          <w:lang w:val="en-US" w:eastAsia="zh-CN"/>
        </w:rPr>
        <w:t>可建设用地面积24730平方米。项目总投资约4.45亿元。</w:t>
      </w:r>
      <w:r>
        <w:rPr>
          <w:rFonts w:ascii="宋体" w:hAnsi="宋体" w:eastAsia="宋体" w:cs="宋体"/>
          <w:b w:val="0"/>
          <w:bCs w:val="0"/>
          <w:color w:val="000000"/>
          <w:sz w:val="24"/>
          <w:szCs w:val="24"/>
          <w:highlight w:val="none"/>
        </w:rPr>
        <w:t>项目内容包括两部分，一是建设新能源汽车退役动力电池梯次利用产线，年回收处理能力</w:t>
      </w:r>
      <w:r>
        <w:rPr>
          <w:rFonts w:hint="default" w:ascii="TimesNewRomanPSMT" w:hAnsi="TimesNewRomanPSMT" w:eastAsia="TimesNewRomanPSMT" w:cs="TimesNewRomanPSMT"/>
          <w:b w:val="0"/>
          <w:bCs w:val="0"/>
          <w:color w:val="000000"/>
          <w:sz w:val="24"/>
          <w:szCs w:val="24"/>
          <w:highlight w:val="none"/>
        </w:rPr>
        <w:t>1.5</w:t>
      </w:r>
      <w:r>
        <w:rPr>
          <w:rFonts w:ascii="宋体" w:hAnsi="宋体" w:eastAsia="宋体" w:cs="宋体"/>
          <w:b w:val="0"/>
          <w:bCs w:val="0"/>
          <w:color w:val="000000"/>
          <w:sz w:val="24"/>
          <w:szCs w:val="24"/>
          <w:highlight w:val="none"/>
        </w:rPr>
        <w:t>万吨，产品用于储能、备能、充换电等领域；二是开展碳中和节能减排研究和电动化产研孵化</w:t>
      </w:r>
      <w:r>
        <w:rPr>
          <w:rFonts w:hint="eastAsia" w:ascii="Times New Roman" w:hAnsi="Times New Roman" w:cs="Times New Roman"/>
          <w:color w:val="000000"/>
          <w:sz w:val="24"/>
          <w:highlight w:val="none"/>
        </w:rPr>
        <w:t>。</w:t>
      </w:r>
    </w:p>
    <w:p>
      <w:pPr>
        <w:spacing w:beforeLines="0" w:afterLines="0" w:line="600" w:lineRule="exact"/>
        <w:ind w:firstLine="480" w:firstLineChars="200"/>
        <w:rPr>
          <w:rFonts w:ascii="Times New Roman" w:hAnsi="Times New Roman" w:cs="Times New Roman"/>
          <w:color w:val="000000"/>
          <w:sz w:val="24"/>
          <w:highlight w:val="none"/>
        </w:rPr>
      </w:pPr>
      <w:r>
        <w:rPr>
          <w:rFonts w:ascii="Times New Roman" w:hAnsi="Times New Roman" w:cs="Times New Roman"/>
          <w:color w:val="000000"/>
          <w:sz w:val="24"/>
          <w:highlight w:val="none"/>
        </w:rPr>
        <w:t>项目的主要建设内容包括：</w:t>
      </w:r>
      <w:r>
        <w:rPr>
          <w:rFonts w:ascii="宋体" w:hAnsi="宋体" w:eastAsia="宋体" w:cs="宋体"/>
          <w:color w:val="000000"/>
          <w:sz w:val="24"/>
          <w:szCs w:val="24"/>
          <w:highlight w:val="none"/>
        </w:rPr>
        <w:t>1.5</w:t>
      </w:r>
      <w:r>
        <w:rPr>
          <w:rFonts w:hint="eastAsia" w:ascii="宋体" w:hAnsi="宋体" w:eastAsia="宋体" w:cs="宋体"/>
          <w:color w:val="000000"/>
          <w:sz w:val="24"/>
          <w:szCs w:val="24"/>
          <w:highlight w:val="none"/>
        </w:rPr>
        <w:t>万吨/年新能源汽车退役动力电池梯次利用生产</w:t>
      </w:r>
      <w:r>
        <w:rPr>
          <w:rFonts w:hint="eastAsia" w:ascii="宋体" w:hAnsi="宋体" w:eastAsia="宋体" w:cs="宋体"/>
          <w:color w:val="000000"/>
          <w:sz w:val="24"/>
          <w:szCs w:val="24"/>
          <w:highlight w:val="none"/>
          <w:lang w:val="en-US" w:eastAsia="zh-CN"/>
        </w:rPr>
        <w:t>车间一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车间二、仓库及</w:t>
      </w:r>
      <w:r>
        <w:rPr>
          <w:rFonts w:hint="eastAsia" w:ascii="宋体" w:hAnsi="宋体" w:eastAsia="宋体" w:cs="宋体"/>
          <w:color w:val="000000"/>
          <w:sz w:val="24"/>
          <w:szCs w:val="24"/>
          <w:highlight w:val="none"/>
        </w:rPr>
        <w:t>配套建设的附属设施：包括</w:t>
      </w:r>
      <w:r>
        <w:rPr>
          <w:rFonts w:hint="eastAsia" w:ascii="宋体" w:hAnsi="宋体" w:eastAsia="宋体" w:cs="宋体"/>
          <w:color w:val="000000"/>
          <w:sz w:val="24"/>
          <w:szCs w:val="24"/>
          <w:highlight w:val="none"/>
          <w:lang w:val="en-US" w:eastAsia="zh-CN"/>
        </w:rPr>
        <w:t>综合楼（包含办公、宿舍及食堂等）、事故池</w:t>
      </w:r>
      <w:r>
        <w:rPr>
          <w:rFonts w:ascii="宋体" w:hAnsi="宋体" w:eastAsia="宋体"/>
          <w:color w:val="000000"/>
          <w:sz w:val="24"/>
          <w:highlight w:val="none"/>
        </w:rPr>
        <w:t>等</w:t>
      </w:r>
      <w:r>
        <w:rPr>
          <w:rFonts w:hint="eastAsia" w:ascii="宋体" w:hAnsi="宋体" w:eastAsia="宋体"/>
          <w:color w:val="000000"/>
          <w:sz w:val="24"/>
          <w:highlight w:val="none"/>
          <w:lang w:eastAsia="zh-CN"/>
        </w:rPr>
        <w:t>。</w:t>
      </w:r>
      <w:r>
        <w:rPr>
          <w:rFonts w:ascii="Times New Roman" w:hAnsi="Times New Roman" w:cs="Times New Roman"/>
          <w:color w:val="000000"/>
          <w:sz w:val="24"/>
          <w:highlight w:val="none"/>
        </w:rPr>
        <w:t>厂区土建工程、给排水工程、暖通工程、消防工程、变配电及自控工程、厂区管网工程、道路工程、厂区绿化工程、厂区土石方工程、处理工艺及相关工程等。</w:t>
      </w:r>
      <w:r>
        <w:rPr>
          <w:rFonts w:hint="eastAsia" w:cs="Times New Roman"/>
          <w:color w:val="000000"/>
          <w:sz w:val="24"/>
          <w:highlight w:val="none"/>
        </w:rPr>
        <w:t>其中</w:t>
      </w:r>
      <w:r>
        <w:rPr>
          <w:rFonts w:hint="eastAsia" w:cs="Times New Roman"/>
          <w:color w:val="000000"/>
          <w:sz w:val="24"/>
          <w:highlight w:val="none"/>
          <w:lang w:val="en-US" w:eastAsia="zh-CN"/>
        </w:rPr>
        <w:t>梯次利用生产车间一</w:t>
      </w:r>
      <w:r>
        <w:rPr>
          <w:rFonts w:hint="eastAsia" w:cs="Times New Roman"/>
          <w:color w:val="000000"/>
          <w:sz w:val="24"/>
          <w:highlight w:val="none"/>
        </w:rPr>
        <w:t>单体建筑面积约为</w:t>
      </w:r>
      <w:r>
        <w:rPr>
          <w:rFonts w:hint="eastAsia" w:cs="Times New Roman"/>
          <w:color w:val="000000"/>
          <w:sz w:val="24"/>
          <w:highlight w:val="none"/>
          <w:lang w:val="en-US" w:eastAsia="zh-CN"/>
        </w:rPr>
        <w:t>185</w:t>
      </w:r>
      <w:r>
        <w:rPr>
          <w:rFonts w:cs="Times New Roman"/>
          <w:color w:val="000000"/>
          <w:sz w:val="24"/>
          <w:highlight w:val="none"/>
        </w:rPr>
        <w:t>00</w:t>
      </w:r>
      <w:r>
        <w:rPr>
          <w:rFonts w:hint="eastAsia" w:cs="Times New Roman"/>
          <w:color w:val="000000"/>
          <w:sz w:val="24"/>
          <w:highlight w:val="none"/>
        </w:rPr>
        <w:t>平方米，</w:t>
      </w:r>
      <w:r>
        <w:rPr>
          <w:rFonts w:hint="eastAsia" w:cs="Times New Roman"/>
          <w:color w:val="000000"/>
          <w:sz w:val="24"/>
          <w:highlight w:val="none"/>
          <w:lang w:val="en-US" w:eastAsia="zh-CN"/>
        </w:rPr>
        <w:t>综合楼</w:t>
      </w:r>
      <w:r>
        <w:rPr>
          <w:rFonts w:hint="eastAsia" w:cs="Times New Roman"/>
          <w:color w:val="000000"/>
          <w:sz w:val="24"/>
          <w:highlight w:val="none"/>
        </w:rPr>
        <w:t>高度约5</w:t>
      </w:r>
      <w:r>
        <w:rPr>
          <w:rFonts w:cs="Times New Roman"/>
          <w:color w:val="000000"/>
          <w:sz w:val="24"/>
          <w:highlight w:val="none"/>
        </w:rPr>
        <w:t>5</w:t>
      </w:r>
      <w:r>
        <w:rPr>
          <w:rFonts w:hint="eastAsia" w:cs="Times New Roman"/>
          <w:color w:val="000000"/>
          <w:sz w:val="24"/>
          <w:highlight w:val="none"/>
        </w:rPr>
        <w:t>米。本工程设计规模为大型的建设项目。</w:t>
      </w:r>
    </w:p>
    <w:p>
      <w:pPr>
        <w:pStyle w:val="4"/>
        <w:numPr>
          <w:ilvl w:val="0"/>
          <w:numId w:val="0"/>
        </w:numPr>
        <w:tabs>
          <w:tab w:val="left" w:pos="432"/>
        </w:tabs>
        <w:spacing w:before="0" w:beforeLines="0" w:after="0" w:afterLines="0" w:line="600" w:lineRule="exact"/>
        <w:ind w:firstLine="482" w:firstLineChars="200"/>
        <w:jc w:val="both"/>
        <w:rPr>
          <w:rFonts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lang w:val="en-US" w:eastAsia="zh-CN"/>
        </w:rPr>
        <w:t>二、</w:t>
      </w:r>
      <w:r>
        <w:rPr>
          <w:rFonts w:hint="default" w:ascii="Times New Roman" w:hAnsi="Times New Roman" w:eastAsia="宋体"/>
          <w:b/>
          <w:color w:val="000000"/>
          <w:sz w:val="24"/>
          <w:szCs w:val="24"/>
          <w:highlight w:val="none"/>
          <w:lang w:val="en-US" w:eastAsia="zh-CN"/>
        </w:rPr>
        <w:t>工艺</w:t>
      </w:r>
      <w:r>
        <w:rPr>
          <w:rFonts w:ascii="Times New Roman" w:hAnsi="Times New Roman" w:eastAsia="宋体"/>
          <w:b/>
          <w:color w:val="000000"/>
          <w:sz w:val="24"/>
          <w:szCs w:val="24"/>
          <w:highlight w:val="none"/>
        </w:rPr>
        <w:t>技术</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处理工艺本项目梯次利用工艺流程说明如下：</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（1）电池回收：回收退役锂电池；</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（2）分类暂存：退役锂电池进入厂区按照种类及容量分类储存于车间电池暂存区；</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（3）除尘处理：采用压缩空气对退役锂电池进行除尘等；</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（4）信息溯源：然后对电池进行信息对接、录入或更新；</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（5）初检：进行外观检查（是否有可见缺陷）、高时效简易测试（如电压、尺寸、内阻等）；</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（6）拆包：拆开电池组或电池模块，露出内部结构；</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（7）精检：充放电和模型参数识别，精确检测电池性能；</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（8）组装：按电池性能和目标产品需求进行重新组装电池，安装必要的外壳、结构件、功率件和电池管理系统等；</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（9）下线检测：确认主要性能参数和非破坏性可检测参数达到产品标准；</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（10）趋势检测：长程趋势检测电池自放电，排查潜在安全隐患；</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（11）产品编码：按编码要求对电池进行打码、贴标；</w:t>
      </w:r>
    </w:p>
    <w:p>
      <w:pPr>
        <w:spacing w:beforeLines="0" w:afterLines="0" w:line="60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（12）包装出货。</w:t>
      </w:r>
    </w:p>
    <w:p>
      <w:pPr>
        <w:spacing w:beforeLines="0" w:afterLines="0" w:line="600" w:lineRule="exact"/>
        <w:ind w:firstLine="482" w:firstLineChars="200"/>
        <w:rPr>
          <w:rFonts w:hint="eastAsia"/>
          <w:color w:val="000000"/>
          <w:highlight w:val="none"/>
          <w:lang w:val="en-US" w:eastAsia="zh-CN"/>
        </w:rPr>
      </w:pPr>
      <w:r>
        <w:rPr>
          <w:rFonts w:ascii="Times New Roman" w:hAnsi="Times New Roman" w:cs="Times New Roman"/>
          <w:b/>
          <w:color w:val="000000"/>
          <w:sz w:val="24"/>
          <w:highlight w:val="none"/>
        </w:rPr>
        <w:t>工艺技术最终以本项目环评报告</w:t>
      </w:r>
      <w:r>
        <w:rPr>
          <w:rFonts w:hint="eastAsia" w:ascii="Times New Roman" w:hAnsi="Times New Roman" w:cs="Times New Roman"/>
          <w:b/>
          <w:color w:val="000000"/>
          <w:sz w:val="24"/>
          <w:highlight w:val="none"/>
          <w:lang w:val="en-US" w:eastAsia="zh-CN"/>
        </w:rPr>
        <w:t>及</w:t>
      </w:r>
      <w:r>
        <w:rPr>
          <w:rFonts w:ascii="Times New Roman" w:hAnsi="Times New Roman" w:cs="Times New Roman"/>
          <w:b/>
          <w:color w:val="000000"/>
          <w:sz w:val="24"/>
          <w:highlight w:val="none"/>
        </w:rPr>
        <w:t>环评批复为准</w:t>
      </w:r>
      <w:r>
        <w:rPr>
          <w:rFonts w:hint="eastAsia" w:ascii="Times New Roman" w:hAnsi="Times New Roman" w:cs="Times New Roman"/>
          <w:b/>
          <w:color w:val="000000"/>
          <w:sz w:val="24"/>
          <w:highlight w:val="none"/>
          <w:lang w:eastAsia="zh-CN"/>
        </w:rPr>
        <w:t>。</w:t>
      </w:r>
    </w:p>
    <w:p>
      <w:pPr>
        <w:pStyle w:val="4"/>
        <w:numPr>
          <w:ilvl w:val="0"/>
          <w:numId w:val="0"/>
        </w:numPr>
        <w:tabs>
          <w:tab w:val="left" w:pos="432"/>
        </w:tabs>
        <w:spacing w:before="0" w:beforeLines="0" w:after="0" w:afterLines="0" w:line="600" w:lineRule="exact"/>
        <w:ind w:left="420" w:firstLine="0" w:firstLineChars="0"/>
        <w:jc w:val="both"/>
        <w:rPr>
          <w:rFonts w:hint="default" w:ascii="Times New Roman" w:hAnsi="Times New Roman" w:eastAsia="宋体"/>
          <w:b/>
          <w:color w:val="000000"/>
          <w:sz w:val="24"/>
          <w:szCs w:val="24"/>
          <w:highlight w:val="none"/>
          <w:lang w:val="en-US" w:eastAsia="zh-CN"/>
        </w:rPr>
      </w:pPr>
      <w:r>
        <w:rPr>
          <w:rFonts w:hint="eastAsia" w:ascii="Times New Roman" w:hAnsi="Times New Roman"/>
          <w:b/>
          <w:color w:val="000000"/>
          <w:sz w:val="24"/>
          <w:szCs w:val="24"/>
          <w:highlight w:val="none"/>
          <w:lang w:val="en-US" w:eastAsia="zh-CN"/>
        </w:rPr>
        <w:t>三、勘察设计依据</w:t>
      </w:r>
    </w:p>
    <w:p>
      <w:pPr>
        <w:pStyle w:val="4"/>
        <w:numPr>
          <w:ilvl w:val="0"/>
          <w:numId w:val="0"/>
        </w:numPr>
        <w:tabs>
          <w:tab w:val="left" w:pos="432"/>
        </w:tabs>
        <w:spacing w:before="0" w:beforeLines="0" w:after="0" w:afterLines="0" w:line="600" w:lineRule="exact"/>
        <w:ind w:left="0" w:firstLine="482" w:firstLineChars="200"/>
        <w:rPr>
          <w:rFonts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lang w:val="en-US" w:eastAsia="zh-CN"/>
        </w:rPr>
        <w:t>3</w:t>
      </w:r>
      <w:r>
        <w:rPr>
          <w:rFonts w:hint="default" w:ascii="Times New Roman" w:hAnsi="Times New Roman" w:eastAsia="宋体"/>
          <w:b/>
          <w:color w:val="000000"/>
          <w:sz w:val="24"/>
          <w:szCs w:val="24"/>
          <w:highlight w:val="none"/>
        </w:rPr>
        <w:t>.1勘察依据</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（1）《市政工程勘察规范》（CJJ56-2012）</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（2）《岩土工程勘察规范》(GB50021-2001)（2009年版）</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（3）《建筑抗震设计规范》（GB50011-2010）</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（4）《建筑地基基础设计规范》（GB50007-2011）</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（5）《土工试验方法标准》（GB/T50123-1999）</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（6）《建筑地基处理技术规范》（JGJ79-2012）</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（7）《建筑桩基技术规范》（JGJ94-2008）</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（8）《建筑工程地质勘探与取样技术规程》（JGJ/T87-2012）</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（9）《建筑基坑支护技术规范》（JGJ120-2012）</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（10）《城乡规划工程地质勘察规范》（CJJ57-2012）</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（11）《水利水电工程地质勘察规范》（GB50487-2008）</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（12）《软土地区岩土工程勘察规程》(JGJ83-2011)</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（13）《工程岩体分级标准》（GB/T50218-2014）</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（14）《岩土工程勘察安全规范》（GB50585-2010）</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（15）《工程测量规范》（GB50026-2007）</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（16）《城市测量规范》（CJJ/T8-2011）</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（17）《国家三、四等水准测量规范》（GB12898－2009）</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（18）《1:500、1:1000、1:2000 地形图图式》（GB/T20257.1-2007）</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（19）《1:500、1:1000、1:2000外业数字测图技术规程》（GBT 14912-2005）</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（20）《卫星定位城市测量规范》（CJJT73-2010）</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（21）《全球定位系统实时动态测量（RTK）技术规范》（CH/T2009-2010）</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（22）《城市地下管线探测技术规程》（CJJ61-2003）</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（23）《数字测绘成果质量检查与验收》（GB/T 18316-2008）</w:t>
      </w:r>
    </w:p>
    <w:p>
      <w:pPr>
        <w:spacing w:beforeLines="0" w:afterLines="0" w:line="600" w:lineRule="exact"/>
        <w:ind w:firstLine="480" w:firstLineChars="200"/>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根据本工程性质，充分分析场地环境地质勘察资料，结合同类工程建筑经验，按照有关规范、规程和标准的要求，合理布置勘测工作量，在确保预期勘测成果质量、满足规范所需工程地质资料要求的前提下，力求体现勘测费用的经济与合理性。</w:t>
      </w:r>
    </w:p>
    <w:p>
      <w:pPr>
        <w:pStyle w:val="4"/>
        <w:numPr>
          <w:ilvl w:val="0"/>
          <w:numId w:val="0"/>
        </w:numPr>
        <w:tabs>
          <w:tab w:val="left" w:pos="432"/>
        </w:tabs>
        <w:spacing w:before="0" w:beforeLines="0" w:after="0" w:afterLines="0" w:line="600" w:lineRule="exact"/>
        <w:ind w:left="0" w:firstLine="482" w:firstLineChars="200"/>
        <w:rPr>
          <w:rFonts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lang w:val="en-US" w:eastAsia="zh-CN"/>
        </w:rPr>
        <w:t>3</w:t>
      </w:r>
      <w:r>
        <w:rPr>
          <w:rFonts w:hint="default" w:ascii="Times New Roman" w:hAnsi="Times New Roman" w:eastAsia="宋体"/>
          <w:b/>
          <w:color w:val="000000"/>
          <w:sz w:val="24"/>
          <w:szCs w:val="24"/>
          <w:highlight w:val="none"/>
        </w:rPr>
        <w:t>.2设计依据</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《新能源汽车废旧动力蓄电池综合利用行业规范条件(2019年本)》</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《新能源汽车废旧动力蓄电池综合利用行业规范公告暂行办法》</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《电动汽车动力蓄电池回收利用技术政策（2015年版）》</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《电动汽车动力蓄电池回收利用技术条件》（DB31/T 1053-2017）</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《车用动力电池回收利用拆解规范》（GB/T 33598-2017）</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《电动汽车用动力蓄电池产品规格尺寸》（GB/T 34013-2017）</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《车用动力电池回收利用余能检测》（GB/T 34015-2017）</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《新能源汽车动力蓄电池梯次利用管理办法》的通知(工信部联节(2021)114 号);</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《废</w:t>
      </w:r>
      <w:r>
        <w:rPr>
          <w:rFonts w:hint="eastAsia" w:eastAsia="宋体"/>
          <w:color w:val="000000"/>
          <w:kern w:val="2"/>
          <w:sz w:val="24"/>
          <w:szCs w:val="24"/>
          <w:highlight w:val="none"/>
          <w:lang w:val="en-US" w:eastAsia="zh-CN"/>
        </w:rPr>
        <w:t>电</w:t>
      </w:r>
      <w:r>
        <w:rPr>
          <w:rFonts w:hint="eastAsia" w:eastAsia="宋体"/>
          <w:color w:val="000000"/>
          <w:kern w:val="2"/>
          <w:sz w:val="24"/>
          <w:szCs w:val="24"/>
          <w:highlight w:val="none"/>
        </w:rPr>
        <w:t>池污染防治技术政策》(环境保护部公告 2016年第 82号);</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《新能源汽车动力蓄电池回收利用管理暂行办法》(工信部联节(2018)43号);</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《国民经济行业分类》(GB/T 4754-2017)(按第1号修改单修订)。</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《室外排水设计规范》GB50014-2006）（2014年版）</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《地表水环境质量标准》（GB3838-2002）</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《通信基站用磷酸铁锂电池标准》（QB-H-005-2012）</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 xml:space="preserve">《储能用铅酸电池》（GB/T22473-2008） </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《建筑地基基础设计规范》（GB50007-2011）</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《建筑抗震设计规范》（GB50011-2010）（2016版）</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《建筑设计防火规范》（GB50016-2014）（2018版）</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《混凝土结构设计规范》（GB50010-2018）（2018版）</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《建筑结构可靠度设计统一标准》（GB50068-2001）</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《给水排水工程构筑物结构设计规范》（GB50069-2002）</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《供配电系统设计规范》（GB50052-2009）</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《10kV及以下变电所设计规范》（GB50053-2013）</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《低压配电设计规范》（GB50054-2011）</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《建筑物防雷设计规范》（GB50057-2010）</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《民用建筑电气设计规范》（JGJ/16-2008）</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《建筑照明设计标准》（GB50034-2013）</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《分散型控制系统工程设计规范》（HG/T20573-2012）</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《信号报警及联锁系统设计规范》（HG/T20511-2014）</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《工业建筑供暖通风与空气调节设计规范》（GB50019-2015）</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《暖通空调制图标准》（GB/T50114-2010）</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480" w:firstLineChars="200"/>
        <w:jc w:val="left"/>
        <w:textAlignment w:val="auto"/>
        <w:rPr>
          <w:rFonts w:hint="eastAsia" w:eastAsia="宋体"/>
          <w:color w:val="000000"/>
          <w:kern w:val="2"/>
          <w:sz w:val="24"/>
          <w:szCs w:val="24"/>
          <w:highlight w:val="none"/>
        </w:rPr>
      </w:pPr>
      <w:r>
        <w:rPr>
          <w:rFonts w:hint="eastAsia" w:eastAsia="宋体"/>
          <w:color w:val="000000"/>
          <w:kern w:val="2"/>
          <w:sz w:val="24"/>
          <w:szCs w:val="24"/>
          <w:highlight w:val="none"/>
        </w:rPr>
        <w:t>《公共建筑节能设计标准》（GB50189-2015）</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480" w:firstLineChars="200"/>
        <w:textAlignment w:val="auto"/>
        <w:rPr>
          <w:rFonts w:hint="eastAsia" w:eastAsia="宋体"/>
          <w:color w:val="000000"/>
          <w:kern w:val="2"/>
          <w:sz w:val="24"/>
          <w:szCs w:val="24"/>
          <w:highlight w:val="none"/>
          <w:lang w:val="en-US" w:eastAsia="zh-CN"/>
        </w:rPr>
      </w:pPr>
      <w:r>
        <w:rPr>
          <w:rFonts w:hint="eastAsia" w:eastAsia="宋体"/>
          <w:color w:val="000000"/>
          <w:kern w:val="2"/>
          <w:sz w:val="24"/>
          <w:szCs w:val="24"/>
          <w:highlight w:val="none"/>
          <w:lang w:val="en-US" w:eastAsia="zh-CN"/>
        </w:rPr>
        <w:t>《广州市建设用地规划条件（化龙镇HL18BJ-03地块五）穗规划资源业务函[2022]10120号》（附件1）</w:t>
      </w:r>
    </w:p>
    <w:p>
      <w:pPr>
        <w:pStyle w:val="2"/>
        <w:spacing w:after="0" w:line="600" w:lineRule="exact"/>
        <w:ind w:left="0" w:leftChars="0" w:firstLine="480" w:firstLineChars="200"/>
        <w:jc w:val="both"/>
        <w:rPr>
          <w:rFonts w:hint="eastAsia" w:ascii="Times New Roman" w:hAnsi="Times New Roman" w:eastAsia="宋体" w:cs="Times New Roman"/>
          <w:color w:val="000000"/>
          <w:kern w:val="2"/>
          <w:sz w:val="24"/>
          <w:szCs w:val="24"/>
          <w:highlight w:val="none"/>
        </w:rPr>
      </w:pPr>
      <w:r>
        <w:rPr>
          <w:rFonts w:hint="eastAsia" w:eastAsia="宋体"/>
          <w:color w:val="000000"/>
          <w:kern w:val="2"/>
          <w:sz w:val="24"/>
          <w:szCs w:val="24"/>
          <w:highlight w:val="none"/>
          <w:lang w:val="en-US" w:eastAsia="zh-CN"/>
        </w:rPr>
        <w:t>广州市（番禺区园区）工业用地准入指标控制表（化龙镇HL18BJ-03地块五）（附件2）</w:t>
      </w:r>
    </w:p>
    <w:p>
      <w:pPr>
        <w:pStyle w:val="2"/>
        <w:spacing w:after="0" w:line="600" w:lineRule="exact"/>
        <w:ind w:firstLine="480" w:firstLineChars="200"/>
        <w:jc w:val="both"/>
        <w:rPr>
          <w:rFonts w:hint="eastAsia" w:ascii="Times New Roman" w:hAnsi="Times New Roman" w:eastAsia="宋体" w:cs="Times New Roman"/>
          <w:color w:val="000000"/>
          <w:kern w:val="2"/>
          <w:sz w:val="24"/>
          <w:szCs w:val="24"/>
          <w:highlight w:val="none"/>
        </w:rPr>
      </w:pPr>
      <w:r>
        <w:rPr>
          <w:rFonts w:hint="eastAsia" w:ascii="Times New Roman" w:hAnsi="Times New Roman" w:eastAsia="宋体" w:cs="Times New Roman"/>
          <w:color w:val="000000"/>
          <w:kern w:val="2"/>
          <w:sz w:val="24"/>
          <w:szCs w:val="24"/>
          <w:highlight w:val="none"/>
          <w:lang w:val="en-US" w:eastAsia="zh-CN"/>
        </w:rPr>
        <w:t>及其他</w:t>
      </w:r>
      <w:r>
        <w:rPr>
          <w:rFonts w:hint="eastAsia" w:ascii="Times New Roman" w:hAnsi="Times New Roman" w:eastAsia="宋体" w:cs="Times New Roman"/>
          <w:color w:val="000000"/>
          <w:kern w:val="2"/>
          <w:sz w:val="24"/>
          <w:szCs w:val="24"/>
          <w:highlight w:val="none"/>
        </w:rPr>
        <w:t>国家</w:t>
      </w:r>
      <w:r>
        <w:rPr>
          <w:rFonts w:hint="eastAsia" w:ascii="Times New Roman" w:hAnsi="Times New Roman" w:eastAsia="宋体" w:cs="Times New Roman"/>
          <w:color w:val="000000"/>
          <w:kern w:val="2"/>
          <w:sz w:val="24"/>
          <w:szCs w:val="24"/>
          <w:highlight w:val="none"/>
          <w:lang w:eastAsia="zh-CN"/>
        </w:rPr>
        <w:t>、</w:t>
      </w:r>
      <w:r>
        <w:rPr>
          <w:rFonts w:hint="eastAsia" w:ascii="Times New Roman" w:hAnsi="Times New Roman" w:eastAsia="宋体" w:cs="Times New Roman"/>
          <w:color w:val="000000"/>
          <w:kern w:val="2"/>
          <w:sz w:val="24"/>
          <w:szCs w:val="24"/>
          <w:highlight w:val="none"/>
          <w:lang w:val="en-US" w:eastAsia="zh-CN"/>
        </w:rPr>
        <w:t>广东省</w:t>
      </w:r>
      <w:r>
        <w:rPr>
          <w:rFonts w:hint="eastAsia" w:ascii="Times New Roman" w:hAnsi="Times New Roman" w:eastAsia="宋体" w:cs="Times New Roman"/>
          <w:color w:val="000000"/>
          <w:kern w:val="2"/>
          <w:sz w:val="24"/>
          <w:szCs w:val="24"/>
          <w:highlight w:val="none"/>
        </w:rPr>
        <w:t>及</w:t>
      </w:r>
      <w:r>
        <w:rPr>
          <w:rFonts w:hint="eastAsia" w:ascii="Times New Roman" w:hAnsi="Times New Roman" w:eastAsia="宋体" w:cs="Times New Roman"/>
          <w:color w:val="000000"/>
          <w:kern w:val="2"/>
          <w:sz w:val="24"/>
          <w:szCs w:val="24"/>
          <w:highlight w:val="none"/>
          <w:lang w:val="en-US" w:eastAsia="zh-CN"/>
        </w:rPr>
        <w:t>广州</w:t>
      </w:r>
      <w:r>
        <w:rPr>
          <w:rFonts w:hint="eastAsia" w:ascii="Times New Roman" w:hAnsi="Times New Roman" w:eastAsia="宋体" w:cs="Times New Roman"/>
          <w:color w:val="000000"/>
          <w:kern w:val="2"/>
          <w:sz w:val="24"/>
          <w:szCs w:val="24"/>
          <w:highlight w:val="none"/>
        </w:rPr>
        <w:t>市的其他相关行业标准</w:t>
      </w:r>
      <w:r>
        <w:rPr>
          <w:rFonts w:hint="eastAsia" w:ascii="Times New Roman" w:hAnsi="Times New Roman" w:eastAsia="宋体" w:cs="Times New Roman"/>
          <w:color w:val="000000"/>
          <w:kern w:val="2"/>
          <w:sz w:val="24"/>
          <w:szCs w:val="24"/>
          <w:highlight w:val="none"/>
          <w:lang w:val="en-US" w:eastAsia="zh-CN"/>
        </w:rPr>
        <w:t>，</w:t>
      </w:r>
      <w:r>
        <w:rPr>
          <w:rFonts w:hint="eastAsia" w:cs="Times New Roman"/>
          <w:color w:val="000000"/>
          <w:kern w:val="2"/>
          <w:sz w:val="24"/>
          <w:szCs w:val="24"/>
          <w:highlight w:val="none"/>
          <w:lang w:val="en-US" w:eastAsia="zh-CN"/>
        </w:rPr>
        <w:t>甲方</w:t>
      </w:r>
      <w:r>
        <w:rPr>
          <w:rFonts w:hint="eastAsia" w:ascii="Times New Roman" w:hAnsi="Times New Roman" w:eastAsia="宋体" w:cs="Times New Roman"/>
          <w:color w:val="000000"/>
          <w:kern w:val="2"/>
          <w:sz w:val="24"/>
          <w:szCs w:val="24"/>
          <w:highlight w:val="none"/>
          <w:lang w:val="en-US" w:eastAsia="zh-CN"/>
        </w:rPr>
        <w:t>提供的基础资料等。</w:t>
      </w:r>
    </w:p>
    <w:p>
      <w:pPr>
        <w:pStyle w:val="2"/>
        <w:spacing w:after="0" w:line="600" w:lineRule="exact"/>
        <w:ind w:firstLine="480" w:firstLineChars="200"/>
        <w:jc w:val="both"/>
        <w:rPr>
          <w:rFonts w:hint="eastAsia" w:ascii="Times New Roman" w:hAnsi="Times New Roman" w:eastAsia="宋体" w:cs="Times New Roman"/>
          <w:b w:val="0"/>
          <w:color w:val="000000"/>
          <w:kern w:val="2"/>
          <w:sz w:val="24"/>
          <w:szCs w:val="24"/>
          <w:highlight w:val="none"/>
        </w:rPr>
      </w:pPr>
      <w:r>
        <w:rPr>
          <w:rFonts w:hint="eastAsia" w:ascii="Times New Roman" w:hAnsi="Times New Roman" w:eastAsia="宋体" w:cs="Times New Roman"/>
          <w:color w:val="000000"/>
          <w:kern w:val="2"/>
          <w:sz w:val="24"/>
          <w:szCs w:val="24"/>
          <w:highlight w:val="none"/>
        </w:rPr>
        <w:t>设计应符合技术规格参数与要求所述的最新标准。如果没有提及适用标准，则应符合中华人民共和国有关机构发布的最新版本的标准。在设计过程中，如果国家或有关部门颁布了新的技术标准或规范，则设计人应采用新的标准或规范进行设计。</w:t>
      </w:r>
    </w:p>
    <w:p>
      <w:pPr>
        <w:pStyle w:val="4"/>
        <w:numPr>
          <w:ilvl w:val="0"/>
          <w:numId w:val="0"/>
        </w:numPr>
        <w:tabs>
          <w:tab w:val="left" w:pos="432"/>
        </w:tabs>
        <w:spacing w:before="0" w:beforeLines="0" w:after="0" w:afterLines="0" w:line="600" w:lineRule="exact"/>
        <w:ind w:left="0" w:firstLine="482" w:firstLineChars="200"/>
        <w:jc w:val="both"/>
        <w:rPr>
          <w:rFonts w:hint="default" w:ascii="Times New Roman" w:hAnsi="Times New Roman" w:eastAsia="宋体"/>
          <w:b/>
          <w:color w:val="000000"/>
          <w:sz w:val="24"/>
          <w:szCs w:val="24"/>
          <w:highlight w:val="none"/>
          <w:lang w:val="en-US" w:eastAsia="zh-CN"/>
        </w:rPr>
      </w:pPr>
      <w:r>
        <w:rPr>
          <w:rFonts w:hint="eastAsia" w:ascii="Times New Roman" w:hAnsi="Times New Roman"/>
          <w:b/>
          <w:color w:val="000000"/>
          <w:sz w:val="24"/>
          <w:szCs w:val="24"/>
          <w:highlight w:val="none"/>
          <w:lang w:val="en-US" w:eastAsia="zh-CN"/>
        </w:rPr>
        <w:t>四</w:t>
      </w:r>
      <w:r>
        <w:rPr>
          <w:rFonts w:ascii="Times New Roman" w:hAnsi="Times New Roman"/>
          <w:b/>
          <w:color w:val="000000"/>
          <w:sz w:val="24"/>
          <w:szCs w:val="24"/>
          <w:highlight w:val="none"/>
        </w:rPr>
        <w:t>、</w:t>
      </w:r>
      <w:r>
        <w:rPr>
          <w:rFonts w:hint="eastAsia" w:ascii="Times New Roman" w:hAnsi="Times New Roman"/>
          <w:b/>
          <w:color w:val="000000"/>
          <w:sz w:val="24"/>
          <w:szCs w:val="24"/>
          <w:highlight w:val="none"/>
          <w:lang w:val="en-US" w:eastAsia="zh-CN"/>
        </w:rPr>
        <w:t>勘察</w:t>
      </w:r>
      <w:r>
        <w:rPr>
          <w:rFonts w:ascii="Times New Roman" w:hAnsi="Times New Roman"/>
          <w:b/>
          <w:color w:val="000000"/>
          <w:sz w:val="24"/>
          <w:szCs w:val="24"/>
          <w:highlight w:val="none"/>
        </w:rPr>
        <w:t>设计</w:t>
      </w:r>
      <w:r>
        <w:rPr>
          <w:rFonts w:hint="eastAsia" w:ascii="Times New Roman" w:hAnsi="Times New Roman"/>
          <w:b/>
          <w:color w:val="000000"/>
          <w:sz w:val="24"/>
          <w:szCs w:val="24"/>
          <w:highlight w:val="none"/>
          <w:lang w:val="en-US" w:eastAsia="zh-CN"/>
        </w:rPr>
        <w:t>工作范围</w:t>
      </w:r>
    </w:p>
    <w:p>
      <w:pPr>
        <w:pStyle w:val="4"/>
        <w:numPr>
          <w:ilvl w:val="0"/>
          <w:numId w:val="0"/>
        </w:numPr>
        <w:tabs>
          <w:tab w:val="left" w:pos="432"/>
        </w:tabs>
        <w:spacing w:before="0" w:beforeLines="0" w:after="0" w:afterLines="0" w:line="600" w:lineRule="exact"/>
        <w:ind w:left="0" w:firstLine="482" w:firstLineChars="200"/>
        <w:rPr>
          <w:rFonts w:hint="eastAsia" w:ascii="Times New Roman" w:hAnsi="Times New Roman" w:eastAsia="宋体"/>
          <w:b/>
          <w:bCs/>
          <w:color w:val="000000"/>
          <w:sz w:val="24"/>
          <w:szCs w:val="24"/>
          <w:highlight w:val="none"/>
          <w:lang w:val="en-US" w:eastAsia="zh-CN"/>
        </w:rPr>
      </w:pPr>
      <w:r>
        <w:rPr>
          <w:rFonts w:hint="eastAsia" w:ascii="Times New Roman" w:hAnsi="Times New Roman" w:eastAsia="宋体"/>
          <w:b/>
          <w:bCs/>
          <w:color w:val="000000"/>
          <w:sz w:val="24"/>
          <w:szCs w:val="24"/>
          <w:highlight w:val="none"/>
          <w:lang w:val="en-US" w:eastAsia="zh-CN"/>
        </w:rPr>
        <w:t>4.1设计工作范围</w:t>
      </w:r>
    </w:p>
    <w:p>
      <w:pPr>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本项目的招标范围为从签订合同开始到项目竣工验收合格，包括缺陷责任期的整个过程中的所有勘察设计工作及配合服务工作。设计深度严格按照国家有关规范及行业设计规范要求进行，</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应按规划及功能要求、配套设施要求进行设计，同时尊重并充分考虑</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提出的具体需求。包括（但不限于）方案设计与修改、初步设计、施工图设计、现场服务、初步设计概算编制、修建性详细规划、施工图预算和编制竣工图，以及其他配合工作，包括（但不限于）相关</w:t>
      </w:r>
      <w:r>
        <w:rPr>
          <w:rFonts w:hint="eastAsia" w:ascii="Times New Roman" w:hAnsi="Times New Roman"/>
          <w:color w:val="000000"/>
          <w:sz w:val="24"/>
          <w:szCs w:val="24"/>
          <w:highlight w:val="none"/>
          <w:lang w:val="en-US" w:eastAsia="zh-CN"/>
        </w:rPr>
        <w:t>报规</w:t>
      </w:r>
      <w:r>
        <w:rPr>
          <w:rFonts w:hint="eastAsia" w:ascii="Times New Roman" w:hAnsi="Times New Roman"/>
          <w:color w:val="000000"/>
          <w:sz w:val="24"/>
          <w:szCs w:val="24"/>
          <w:highlight w:val="none"/>
        </w:rPr>
        <w:t>报建、建规设计方案审查、规划放线、单体建筑审查、施工及设备招标配合、施工图审查、结算和保修服务，负责规划设计方案及调整规划设计方案（若有）审批、规划许可和规划验收等工作顺利完成。</w:t>
      </w:r>
    </w:p>
    <w:p>
      <w:pPr>
        <w:pStyle w:val="119"/>
        <w:adjustRightInd w:val="0"/>
        <w:snapToGrid w:val="0"/>
        <w:spacing w:beforeLines="0" w:afterLines="0" w:line="600" w:lineRule="exact"/>
        <w:ind w:firstLine="480" w:firstLineChars="200"/>
        <w:rPr>
          <w:rFonts w:ascii="Times New Roman" w:hAnsi="Times New Roman"/>
          <w:color w:val="000000"/>
          <w:sz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.1.1</w:t>
      </w:r>
      <w:r>
        <w:rPr>
          <w:rFonts w:hint="eastAsia"/>
          <w:color w:val="000000"/>
          <w:sz w:val="24"/>
          <w:szCs w:val="24"/>
          <w:highlight w:val="none"/>
          <w:lang w:eastAsia="zh-CN"/>
        </w:rPr>
        <w:t>乙方</w:t>
      </w:r>
      <w:r>
        <w:rPr>
          <w:rFonts w:ascii="Times New Roman" w:hAnsi="Times New Roman"/>
          <w:color w:val="000000"/>
          <w:sz w:val="24"/>
          <w:szCs w:val="24"/>
          <w:highlight w:val="none"/>
        </w:rPr>
        <w:t>负责整个</w:t>
      </w:r>
      <w:r>
        <w:rPr>
          <w:rFonts w:hint="eastAsia" w:ascii="Times New Roman" w:hAnsi="Times New Roman"/>
          <w:color w:val="000000"/>
          <w:sz w:val="24"/>
          <w:szCs w:val="24"/>
          <w:highlight w:val="none"/>
          <w:lang w:val="en-US" w:eastAsia="zh-CN"/>
        </w:rPr>
        <w:t>项目</w:t>
      </w:r>
      <w:r>
        <w:rPr>
          <w:rFonts w:ascii="Times New Roman" w:hAnsi="Times New Roman"/>
          <w:color w:val="000000"/>
          <w:sz w:val="24"/>
          <w:szCs w:val="24"/>
          <w:highlight w:val="none"/>
        </w:rPr>
        <w:t>的所有工程设计，</w:t>
      </w:r>
      <w:r>
        <w:rPr>
          <w:rFonts w:hint="eastAsia" w:ascii="Times New Roman" w:hAnsi="Times New Roman"/>
          <w:color w:val="000000"/>
          <w:sz w:val="24"/>
          <w:szCs w:val="24"/>
          <w:highlight w:val="none"/>
          <w:lang w:val="en-US" w:eastAsia="zh-CN"/>
        </w:rPr>
        <w:t>主要包括并不限于厂区内、外</w:t>
      </w:r>
      <w:r>
        <w:rPr>
          <w:rFonts w:ascii="Times New Roman" w:hAnsi="Times New Roman"/>
          <w:color w:val="000000"/>
          <w:sz w:val="24"/>
          <w:szCs w:val="24"/>
          <w:highlight w:val="none"/>
        </w:rPr>
        <w:t>（包括给排水、供气、供电、电气、照明、通讯、进厂道路等，含接驳设计）、</w:t>
      </w:r>
      <w:r>
        <w:rPr>
          <w:rFonts w:hint="eastAsia" w:ascii="Times New Roman" w:hAnsi="Times New Roman"/>
          <w:color w:val="000000"/>
          <w:sz w:val="24"/>
          <w:szCs w:val="24"/>
          <w:highlight w:val="none"/>
          <w:lang w:val="en-US" w:eastAsia="zh-CN"/>
        </w:rPr>
        <w:t>地质勘察（初勘、详勘）、</w:t>
      </w:r>
      <w:r>
        <w:rPr>
          <w:rFonts w:ascii="Times New Roman" w:hAnsi="Times New Roman"/>
          <w:color w:val="000000"/>
          <w:sz w:val="24"/>
          <w:szCs w:val="24"/>
          <w:highlight w:val="none"/>
        </w:rPr>
        <w:t>主厂房及辅助建（构）筑物、辅助设施、全厂工艺系统、厂区景观绿化、参观通道等的方案设计、工程初步设计、初步设计概算、</w:t>
      </w:r>
      <w:r>
        <w:rPr>
          <w:rFonts w:hint="eastAsia" w:ascii="Times New Roman" w:hAnsi="Times New Roman"/>
          <w:color w:val="000000"/>
          <w:sz w:val="24"/>
          <w:szCs w:val="24"/>
          <w:highlight w:val="none"/>
          <w:lang w:val="en-US" w:eastAsia="zh-CN"/>
        </w:rPr>
        <w:t>招标图纸、</w:t>
      </w:r>
      <w:r>
        <w:rPr>
          <w:rFonts w:ascii="Times New Roman" w:hAnsi="Times New Roman"/>
          <w:color w:val="000000"/>
          <w:sz w:val="24"/>
          <w:szCs w:val="24"/>
          <w:highlight w:val="none"/>
        </w:rPr>
        <w:t>技术规格书、</w:t>
      </w:r>
      <w:r>
        <w:rPr>
          <w:rFonts w:hint="eastAsia" w:ascii="Times New Roman" w:hAnsi="Times New Roman"/>
          <w:color w:val="000000"/>
          <w:sz w:val="24"/>
          <w:szCs w:val="24"/>
          <w:highlight w:val="none"/>
        </w:rPr>
        <w:t>工程量清单和预算、施工图设计、施工图预算、设计变更预算、</w:t>
      </w:r>
      <w:r>
        <w:rPr>
          <w:rFonts w:hint="eastAsia" w:ascii="宋体" w:hAnsi="宋体" w:eastAsia="宋体"/>
          <w:color w:val="000000"/>
          <w:sz w:val="24"/>
          <w:szCs w:val="24"/>
          <w:highlight w:val="none"/>
        </w:rPr>
        <w:t>竣工图的编（绘）制和修正</w:t>
      </w:r>
      <w:r>
        <w:rPr>
          <w:rFonts w:ascii="Times New Roman" w:hAnsi="Times New Roman"/>
          <w:color w:val="000000"/>
          <w:sz w:val="24"/>
          <w:szCs w:val="24"/>
          <w:highlight w:val="none"/>
        </w:rPr>
        <w:t>等工作，以及全厂建（构）筑物装饰装修设计（重点区域：如办公区域、入口门厅、参观及展示区域和相关通道、配套设施器具等，须按照</w:t>
      </w:r>
      <w:r>
        <w:rPr>
          <w:rFonts w:hint="eastAsia"/>
          <w:color w:val="000000"/>
          <w:sz w:val="24"/>
          <w:szCs w:val="24"/>
          <w:highlight w:val="none"/>
          <w:lang w:eastAsia="zh-CN"/>
        </w:rPr>
        <w:t>甲方</w:t>
      </w:r>
      <w:r>
        <w:rPr>
          <w:rFonts w:ascii="Times New Roman" w:hAnsi="Times New Roman"/>
          <w:color w:val="000000"/>
          <w:sz w:val="24"/>
          <w:szCs w:val="24"/>
          <w:highlight w:val="none"/>
        </w:rPr>
        <w:t>的要求进行精装修设计）</w:t>
      </w:r>
      <w:r>
        <w:rPr>
          <w:rFonts w:hint="eastAsia" w:ascii="Times New Roman" w:hAnsi="Times New Roman"/>
          <w:color w:val="000000"/>
          <w:sz w:val="24"/>
          <w:szCs w:val="24"/>
          <w:highlight w:val="none"/>
          <w:lang w:eastAsia="zh-CN"/>
        </w:rPr>
        <w:t>，负责构建</w:t>
      </w:r>
      <w:r>
        <w:rPr>
          <w:rFonts w:hint="eastAsia" w:ascii="Times New Roman" w:hAnsi="Times New Roman"/>
          <w:color w:val="000000"/>
          <w:sz w:val="24"/>
          <w:szCs w:val="24"/>
          <w:highlight w:val="none"/>
          <w:lang w:val="en-US" w:eastAsia="zh-CN"/>
        </w:rPr>
        <w:t>设计BIM</w:t>
      </w:r>
      <w:r>
        <w:rPr>
          <w:rFonts w:hint="eastAsia" w:ascii="Times New Roman" w:hAnsi="Times New Roman"/>
          <w:color w:val="000000"/>
          <w:sz w:val="24"/>
          <w:szCs w:val="24"/>
          <w:highlight w:val="none"/>
          <w:lang w:eastAsia="zh-CN"/>
        </w:rPr>
        <w:t>模型及</w:t>
      </w:r>
      <w:r>
        <w:rPr>
          <w:rFonts w:hint="eastAsia" w:ascii="Times New Roman" w:hAnsi="Times New Roman"/>
          <w:color w:val="000000"/>
          <w:sz w:val="24"/>
          <w:szCs w:val="24"/>
          <w:highlight w:val="none"/>
          <w:lang w:val="en-US" w:eastAsia="zh-CN"/>
        </w:rPr>
        <w:t>在设计各阶段的应用</w:t>
      </w:r>
      <w:r>
        <w:rPr>
          <w:rFonts w:hint="eastAsia" w:ascii="Times New Roman" w:hAnsi="Times New Roman"/>
          <w:color w:val="000000"/>
          <w:sz w:val="24"/>
          <w:szCs w:val="24"/>
          <w:highlight w:val="none"/>
          <w:lang w:eastAsia="zh-CN"/>
        </w:rPr>
        <w:t>，</w:t>
      </w:r>
      <w:r>
        <w:rPr>
          <w:rFonts w:hint="eastAsia" w:ascii="宋体" w:hAnsi="宋体" w:eastAsia="宋体"/>
          <w:color w:val="000000"/>
          <w:sz w:val="24"/>
          <w:szCs w:val="24"/>
          <w:highlight w:val="none"/>
        </w:rPr>
        <w:t>并</w:t>
      </w:r>
      <w:r>
        <w:rPr>
          <w:rFonts w:hint="eastAsia" w:ascii="宋体" w:hAnsi="宋体" w:eastAsia="宋体"/>
          <w:color w:val="000000"/>
          <w:sz w:val="24"/>
          <w:szCs w:val="24"/>
          <w:highlight w:val="none"/>
          <w:lang w:val="en-US" w:eastAsia="zh-CN"/>
        </w:rPr>
        <w:t>根据</w:t>
      </w:r>
      <w:r>
        <w:rPr>
          <w:rFonts w:hint="eastAsia" w:ascii="宋体" w:hAnsi="宋体"/>
          <w:color w:val="000000"/>
          <w:sz w:val="24"/>
          <w:szCs w:val="24"/>
          <w:highlight w:val="none"/>
          <w:lang w:eastAsia="zh-CN"/>
        </w:rPr>
        <w:t>甲方</w:t>
      </w:r>
      <w:r>
        <w:rPr>
          <w:rFonts w:hint="eastAsia" w:ascii="宋体" w:hAnsi="宋体" w:eastAsia="宋体"/>
          <w:color w:val="000000"/>
          <w:sz w:val="24"/>
          <w:szCs w:val="24"/>
          <w:highlight w:val="none"/>
          <w:lang w:val="en-US" w:eastAsia="zh-CN"/>
        </w:rPr>
        <w:t>需求</w:t>
      </w:r>
      <w:r>
        <w:rPr>
          <w:rFonts w:hint="eastAsia" w:ascii="宋体" w:hAnsi="宋体" w:eastAsia="宋体"/>
          <w:color w:val="000000"/>
          <w:sz w:val="24"/>
          <w:szCs w:val="24"/>
          <w:highlight w:val="none"/>
        </w:rPr>
        <w:t>，提交</w:t>
      </w:r>
      <w:r>
        <w:rPr>
          <w:rFonts w:hint="default" w:ascii="宋体" w:hAnsi="宋体" w:eastAsia="宋体"/>
          <w:color w:val="000000"/>
          <w:sz w:val="24"/>
          <w:szCs w:val="24"/>
          <w:highlight w:val="none"/>
          <w:lang w:val="en-US"/>
        </w:rPr>
        <w:t>三维</w:t>
      </w:r>
      <w:r>
        <w:rPr>
          <w:rFonts w:hint="eastAsia" w:ascii="宋体" w:hAnsi="宋体" w:eastAsia="宋体"/>
          <w:color w:val="000000"/>
          <w:sz w:val="24"/>
          <w:szCs w:val="24"/>
          <w:highlight w:val="none"/>
          <w:lang w:val="en-US" w:eastAsia="zh-CN"/>
        </w:rPr>
        <w:t>BIM</w:t>
      </w:r>
      <w:r>
        <w:rPr>
          <w:rFonts w:hint="eastAsia" w:ascii="宋体" w:hAnsi="宋体" w:eastAsia="宋体"/>
          <w:color w:val="000000"/>
          <w:sz w:val="24"/>
          <w:szCs w:val="24"/>
          <w:highlight w:val="none"/>
        </w:rPr>
        <w:t>设计成果展示</w:t>
      </w:r>
      <w:r>
        <w:rPr>
          <w:rFonts w:hint="eastAsia" w:ascii="宋体" w:hAnsi="宋体" w:eastAsia="宋体"/>
          <w:color w:val="000000"/>
          <w:sz w:val="24"/>
          <w:szCs w:val="24"/>
          <w:highlight w:val="none"/>
          <w:lang w:eastAsia="zh-CN"/>
        </w:rPr>
        <w:t>；</w:t>
      </w:r>
      <w:r>
        <w:rPr>
          <w:rFonts w:ascii="Times New Roman" w:hAnsi="Times New Roman"/>
          <w:color w:val="000000"/>
          <w:sz w:val="24"/>
          <w:szCs w:val="24"/>
          <w:highlight w:val="none"/>
        </w:rPr>
        <w:t>另外，根据工程建设需要，</w:t>
      </w:r>
      <w:r>
        <w:rPr>
          <w:rFonts w:hint="eastAsia"/>
          <w:color w:val="000000"/>
          <w:sz w:val="24"/>
          <w:szCs w:val="24"/>
          <w:highlight w:val="none"/>
          <w:lang w:eastAsia="zh-CN"/>
        </w:rPr>
        <w:t>乙方</w:t>
      </w:r>
      <w:r>
        <w:rPr>
          <w:rFonts w:ascii="Times New Roman" w:hAnsi="Times New Roman"/>
          <w:color w:val="000000"/>
          <w:sz w:val="24"/>
          <w:szCs w:val="24"/>
          <w:highlight w:val="none"/>
        </w:rPr>
        <w:t>还应负责完成</w:t>
      </w:r>
      <w:r>
        <w:rPr>
          <w:rFonts w:hint="eastAsia"/>
          <w:color w:val="000000"/>
          <w:sz w:val="24"/>
          <w:szCs w:val="24"/>
          <w:highlight w:val="none"/>
          <w:lang w:eastAsia="zh-CN"/>
        </w:rPr>
        <w:t>甲方</w:t>
      </w:r>
      <w:r>
        <w:rPr>
          <w:rFonts w:ascii="Times New Roman" w:hAnsi="Times New Roman"/>
          <w:color w:val="000000"/>
          <w:sz w:val="24"/>
          <w:szCs w:val="24"/>
          <w:highlight w:val="none"/>
        </w:rPr>
        <w:t>指令或委托的其它设计项目</w:t>
      </w:r>
      <w:r>
        <w:rPr>
          <w:rFonts w:ascii="Times New Roman" w:hAnsi="Times New Roman"/>
          <w:color w:val="000000"/>
          <w:sz w:val="24"/>
          <w:highlight w:val="none"/>
        </w:rPr>
        <w:t>（</w:t>
      </w:r>
      <w:r>
        <w:rPr>
          <w:rFonts w:hint="eastAsia" w:ascii="宋体" w:hAnsi="宋体" w:eastAsia="宋体"/>
          <w:color w:val="000000"/>
          <w:sz w:val="24"/>
          <w:highlight w:val="none"/>
        </w:rPr>
        <w:t>包括构建数字化系统）和设计咨询服务等</w:t>
      </w:r>
      <w:r>
        <w:rPr>
          <w:rFonts w:ascii="Times New Roman" w:hAnsi="Times New Roman"/>
          <w:color w:val="000000"/>
          <w:sz w:val="24"/>
          <w:highlight w:val="none"/>
        </w:rPr>
        <w:t>。</w:t>
      </w:r>
    </w:p>
    <w:p>
      <w:pPr>
        <w:pStyle w:val="119"/>
        <w:adjustRightInd w:val="0"/>
        <w:snapToGrid w:val="0"/>
        <w:spacing w:beforeLines="0" w:afterLines="0" w:line="600" w:lineRule="exact"/>
        <w:ind w:firstLine="480" w:firstLineChars="200"/>
        <w:rPr>
          <w:rFonts w:ascii="Times New Roman" w:hAnsi="Times New Roman"/>
          <w:color w:val="000000"/>
          <w:sz w:val="24"/>
          <w:highlight w:val="none"/>
        </w:rPr>
      </w:pPr>
      <w:r>
        <w:rPr>
          <w:rFonts w:hint="eastAsia"/>
          <w:color w:val="000000"/>
          <w:sz w:val="24"/>
          <w:szCs w:val="24"/>
          <w:highlight w:val="none"/>
          <w:lang w:eastAsia="zh-CN"/>
        </w:rPr>
        <w:t>乙方</w:t>
      </w:r>
      <w:r>
        <w:rPr>
          <w:rFonts w:ascii="Times New Roman" w:hAnsi="Times New Roman"/>
          <w:color w:val="000000"/>
          <w:sz w:val="24"/>
          <w:szCs w:val="24"/>
          <w:highlight w:val="none"/>
        </w:rPr>
        <w:t>负责</w:t>
      </w:r>
      <w:r>
        <w:rPr>
          <w:rFonts w:ascii="Times New Roman" w:hAnsi="Times New Roman"/>
          <w:color w:val="000000"/>
          <w:sz w:val="24"/>
          <w:highlight w:val="none"/>
        </w:rPr>
        <w:t>钢结构设计，设计深度达到施工图标准。</w:t>
      </w:r>
    </w:p>
    <w:p>
      <w:pPr>
        <w:pStyle w:val="119"/>
        <w:adjustRightInd w:val="0"/>
        <w:snapToGrid w:val="0"/>
        <w:spacing w:beforeLines="0" w:afterLines="0" w:line="600" w:lineRule="exact"/>
        <w:ind w:firstLine="480" w:firstLineChars="200"/>
        <w:rPr>
          <w:rFonts w:hint="eastAsia" w:ascii="Times New Roman" w:hAnsi="Times New Roman"/>
          <w:strike w:val="0"/>
          <w:dstrike w:val="0"/>
          <w:color w:val="000000"/>
          <w:sz w:val="24"/>
          <w:highlight w:val="none"/>
        </w:rPr>
      </w:pPr>
      <w:r>
        <w:rPr>
          <w:rFonts w:hint="eastAsia"/>
          <w:strike w:val="0"/>
          <w:dstrike w:val="0"/>
          <w:color w:val="000000"/>
          <w:sz w:val="24"/>
          <w:szCs w:val="21"/>
          <w:highlight w:val="none"/>
          <w:lang w:eastAsia="zh-CN"/>
        </w:rPr>
        <w:t>乙方</w:t>
      </w:r>
      <w:r>
        <w:rPr>
          <w:rFonts w:hint="eastAsia" w:ascii="Times New Roman" w:hAnsi="Times New Roman"/>
          <w:strike w:val="0"/>
          <w:dstrike w:val="0"/>
          <w:color w:val="000000"/>
          <w:sz w:val="24"/>
          <w:szCs w:val="21"/>
          <w:highlight w:val="none"/>
        </w:rPr>
        <w:t>负责</w:t>
      </w:r>
      <w:r>
        <w:rPr>
          <w:rFonts w:hint="eastAsia" w:ascii="Times New Roman" w:hAnsi="Times New Roman"/>
          <w:strike w:val="0"/>
          <w:dstrike w:val="0"/>
          <w:color w:val="000000"/>
          <w:sz w:val="24"/>
          <w:szCs w:val="21"/>
          <w:highlight w:val="none"/>
          <w:lang w:val="en-US" w:eastAsia="zh-CN"/>
        </w:rPr>
        <w:t>桩基础、</w:t>
      </w:r>
      <w:r>
        <w:rPr>
          <w:rFonts w:hint="eastAsia" w:ascii="Times New Roman" w:hAnsi="Times New Roman"/>
          <w:strike w:val="0"/>
          <w:dstrike w:val="0"/>
          <w:color w:val="000000"/>
          <w:sz w:val="24"/>
          <w:highlight w:val="none"/>
        </w:rPr>
        <w:t>地基基础</w:t>
      </w:r>
      <w:r>
        <w:rPr>
          <w:rFonts w:hint="eastAsia" w:ascii="Times New Roman" w:hAnsi="Times New Roman"/>
          <w:strike w:val="0"/>
          <w:dstrike w:val="0"/>
          <w:color w:val="000000"/>
          <w:sz w:val="24"/>
          <w:highlight w:val="none"/>
          <w:lang w:eastAsia="zh-CN"/>
        </w:rPr>
        <w:t>、</w:t>
      </w:r>
      <w:r>
        <w:rPr>
          <w:rFonts w:hint="eastAsia" w:ascii="Times New Roman" w:hAnsi="Times New Roman"/>
          <w:strike w:val="0"/>
          <w:dstrike w:val="0"/>
          <w:color w:val="000000"/>
          <w:sz w:val="24"/>
          <w:highlight w:val="none"/>
          <w:lang w:val="en-US" w:eastAsia="zh-CN"/>
        </w:rPr>
        <w:t>基坑支护等</w:t>
      </w:r>
      <w:r>
        <w:rPr>
          <w:rFonts w:hint="eastAsia" w:ascii="Times New Roman" w:hAnsi="Times New Roman"/>
          <w:strike w:val="0"/>
          <w:dstrike w:val="0"/>
          <w:color w:val="000000"/>
          <w:sz w:val="24"/>
          <w:highlight w:val="none"/>
        </w:rPr>
        <w:t>的设计。</w:t>
      </w:r>
    </w:p>
    <w:p>
      <w:pPr>
        <w:pStyle w:val="119"/>
        <w:adjustRightInd w:val="0"/>
        <w:snapToGrid w:val="0"/>
        <w:spacing w:beforeLines="0" w:afterLines="0" w:line="600" w:lineRule="exact"/>
        <w:ind w:firstLine="480" w:firstLineChars="200"/>
        <w:rPr>
          <w:rFonts w:ascii="Times New Roman" w:hAnsi="Times New Roman"/>
          <w:color w:val="000000"/>
          <w:sz w:val="24"/>
          <w:highlight w:val="none"/>
        </w:rPr>
      </w:pPr>
      <w:r>
        <w:rPr>
          <w:rFonts w:hint="eastAsia"/>
          <w:color w:val="000000"/>
          <w:sz w:val="24"/>
          <w:szCs w:val="24"/>
          <w:highlight w:val="none"/>
          <w:lang w:eastAsia="zh-CN"/>
        </w:rPr>
        <w:t>乙方</w:t>
      </w:r>
      <w:r>
        <w:rPr>
          <w:rFonts w:ascii="Times New Roman" w:hAnsi="Times New Roman"/>
          <w:color w:val="000000"/>
          <w:sz w:val="24"/>
          <w:szCs w:val="24"/>
          <w:highlight w:val="none"/>
        </w:rPr>
        <w:t>负责</w:t>
      </w:r>
      <w:r>
        <w:rPr>
          <w:rFonts w:ascii="Times New Roman" w:hAnsi="Times New Roman"/>
          <w:color w:val="000000"/>
          <w:sz w:val="24"/>
          <w:highlight w:val="none"/>
        </w:rPr>
        <w:t>地质勘察、地形测量，满足项目初步设计和施工图设计的需要，包括但不限于：负责整体厂区的岩土工程勘察工作，含岩土工程勘察、取样与原位测试、室内试验、工程测量等。</w:t>
      </w:r>
    </w:p>
    <w:p>
      <w:pPr>
        <w:pStyle w:val="119"/>
        <w:adjustRightInd w:val="0"/>
        <w:snapToGrid w:val="0"/>
        <w:spacing w:beforeLines="0" w:afterLines="0" w:line="600" w:lineRule="exact"/>
        <w:ind w:firstLine="480" w:firstLineChars="200"/>
        <w:rPr>
          <w:rFonts w:ascii="Times New Roman" w:hAnsi="Times New Roman"/>
          <w:color w:val="000000"/>
          <w:sz w:val="24"/>
          <w:highlight w:val="none"/>
        </w:rPr>
      </w:pPr>
      <w:r>
        <w:rPr>
          <w:rFonts w:hint="eastAsia"/>
          <w:color w:val="000000"/>
          <w:sz w:val="24"/>
          <w:szCs w:val="24"/>
          <w:highlight w:val="none"/>
          <w:lang w:eastAsia="zh-CN"/>
        </w:rPr>
        <w:t>乙方</w:t>
      </w:r>
      <w:r>
        <w:rPr>
          <w:rFonts w:ascii="Times New Roman" w:hAnsi="Times New Roman"/>
          <w:color w:val="000000"/>
          <w:sz w:val="24"/>
          <w:szCs w:val="24"/>
          <w:highlight w:val="none"/>
        </w:rPr>
        <w:t>负责</w:t>
      </w:r>
      <w:r>
        <w:rPr>
          <w:rFonts w:ascii="Times New Roman" w:hAnsi="Times New Roman"/>
          <w:color w:val="000000"/>
          <w:sz w:val="24"/>
          <w:highlight w:val="none"/>
        </w:rPr>
        <w:t>所有设计、专项方案等专家评审，</w:t>
      </w:r>
      <w:r>
        <w:rPr>
          <w:rFonts w:hint="eastAsia"/>
          <w:color w:val="000000"/>
          <w:sz w:val="24"/>
          <w:highlight w:val="none"/>
          <w:lang w:eastAsia="zh-CN"/>
        </w:rPr>
        <w:t>甲方</w:t>
      </w:r>
      <w:r>
        <w:rPr>
          <w:rFonts w:ascii="Times New Roman" w:hAnsi="Times New Roman"/>
          <w:color w:val="000000"/>
          <w:sz w:val="24"/>
          <w:highlight w:val="none"/>
        </w:rPr>
        <w:t>需要时配合。</w:t>
      </w:r>
    </w:p>
    <w:p>
      <w:pPr>
        <w:pStyle w:val="119"/>
        <w:adjustRightInd w:val="0"/>
        <w:snapToGrid w:val="0"/>
        <w:spacing w:beforeLines="0" w:afterLines="0" w:line="600" w:lineRule="exact"/>
        <w:ind w:firstLine="480" w:firstLineChars="200"/>
        <w:rPr>
          <w:rFonts w:ascii="Times New Roman" w:hAnsi="Times New Roman"/>
          <w:color w:val="000000"/>
          <w:sz w:val="24"/>
          <w:highlight w:val="none"/>
        </w:rPr>
      </w:pPr>
      <w:r>
        <w:rPr>
          <w:rFonts w:hint="eastAsia"/>
          <w:color w:val="000000"/>
          <w:sz w:val="24"/>
          <w:highlight w:val="none"/>
          <w:lang w:eastAsia="zh-CN"/>
        </w:rPr>
        <w:t>乙方</w:t>
      </w:r>
      <w:r>
        <w:rPr>
          <w:rFonts w:ascii="Times New Roman" w:hAnsi="Times New Roman"/>
          <w:color w:val="000000"/>
          <w:sz w:val="24"/>
          <w:highlight w:val="none"/>
        </w:rPr>
        <w:t>负责关键、重大、重要的设计方案，含总平、主要工艺、</w:t>
      </w:r>
      <w:r>
        <w:rPr>
          <w:rFonts w:ascii="Times New Roman" w:hAnsi="Times New Roman"/>
          <w:strike w:val="0"/>
          <w:dstrike w:val="0"/>
          <w:color w:val="000000"/>
          <w:sz w:val="24"/>
          <w:highlight w:val="none"/>
        </w:rPr>
        <w:t>景观、</w:t>
      </w:r>
      <w:r>
        <w:rPr>
          <w:rFonts w:ascii="Times New Roman" w:hAnsi="Times New Roman"/>
          <w:color w:val="000000"/>
          <w:sz w:val="24"/>
          <w:highlight w:val="none"/>
        </w:rPr>
        <w:t>外立面、建筑风格等均需提供</w:t>
      </w:r>
      <w:r>
        <w:rPr>
          <w:rFonts w:hint="eastAsia" w:ascii="Times New Roman" w:hAnsi="Times New Roman"/>
          <w:color w:val="000000"/>
          <w:sz w:val="24"/>
          <w:highlight w:val="none"/>
          <w:lang w:val="en-US" w:eastAsia="zh-CN"/>
        </w:rPr>
        <w:t>3</w:t>
      </w:r>
      <w:r>
        <w:rPr>
          <w:rFonts w:ascii="Times New Roman" w:hAnsi="Times New Roman"/>
          <w:color w:val="000000"/>
          <w:sz w:val="24"/>
          <w:highlight w:val="none"/>
        </w:rPr>
        <w:t>个及以上方案设计，并提交</w:t>
      </w:r>
      <w:r>
        <w:rPr>
          <w:rFonts w:hint="eastAsia"/>
          <w:color w:val="000000"/>
          <w:sz w:val="24"/>
          <w:highlight w:val="none"/>
          <w:lang w:eastAsia="zh-CN"/>
        </w:rPr>
        <w:t>甲方</w:t>
      </w:r>
      <w:r>
        <w:rPr>
          <w:rFonts w:ascii="Times New Roman" w:hAnsi="Times New Roman"/>
          <w:color w:val="000000"/>
          <w:sz w:val="24"/>
          <w:highlight w:val="none"/>
        </w:rPr>
        <w:t>确认、讨论及最终确定。</w:t>
      </w:r>
      <w:r>
        <w:rPr>
          <w:rFonts w:hint="eastAsia"/>
          <w:color w:val="000000"/>
          <w:sz w:val="24"/>
          <w:highlight w:val="none"/>
          <w:lang w:eastAsia="zh-CN"/>
        </w:rPr>
        <w:t>甲方</w:t>
      </w:r>
      <w:r>
        <w:rPr>
          <w:rFonts w:ascii="Times New Roman" w:hAnsi="Times New Roman"/>
          <w:color w:val="000000"/>
          <w:sz w:val="24"/>
          <w:highlight w:val="none"/>
        </w:rPr>
        <w:t>在各阶段提出多种设计方案的要求，</w:t>
      </w:r>
      <w:r>
        <w:rPr>
          <w:rFonts w:hint="eastAsia"/>
          <w:color w:val="000000"/>
          <w:sz w:val="24"/>
          <w:highlight w:val="none"/>
          <w:lang w:eastAsia="zh-CN"/>
        </w:rPr>
        <w:t>乙方</w:t>
      </w:r>
      <w:r>
        <w:rPr>
          <w:rFonts w:ascii="Times New Roman" w:hAnsi="Times New Roman"/>
          <w:color w:val="000000"/>
          <w:sz w:val="24"/>
          <w:highlight w:val="none"/>
        </w:rPr>
        <w:t>必须执行，并提交</w:t>
      </w:r>
      <w:r>
        <w:rPr>
          <w:rFonts w:hint="eastAsia"/>
          <w:color w:val="000000"/>
          <w:sz w:val="24"/>
          <w:highlight w:val="none"/>
          <w:lang w:eastAsia="zh-CN"/>
        </w:rPr>
        <w:t>甲方</w:t>
      </w:r>
      <w:r>
        <w:rPr>
          <w:rFonts w:ascii="Times New Roman" w:hAnsi="Times New Roman"/>
          <w:color w:val="000000"/>
          <w:sz w:val="24"/>
          <w:highlight w:val="none"/>
        </w:rPr>
        <w:t>确认、讨论及最终确定。</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.1.2配合项目建设的各项报建（含电子报建通、验收通等）和各项验收（</w:t>
      </w:r>
      <w:r>
        <w:rPr>
          <w:rFonts w:ascii="Times New Roman" w:hAnsi="Times New Roman"/>
          <w:color w:val="000000"/>
          <w:sz w:val="24"/>
          <w:highlight w:val="none"/>
        </w:rPr>
        <w:t>消防备案和竣工验收、规划许可和规划验收、环保备案和竣工验收等工程整体验收</w:t>
      </w:r>
      <w:r>
        <w:rPr>
          <w:rFonts w:ascii="Times New Roman" w:hAnsi="Times New Roman"/>
          <w:color w:val="000000"/>
          <w:sz w:val="24"/>
          <w:szCs w:val="24"/>
          <w:highlight w:val="none"/>
        </w:rPr>
        <w:t>）工作，配合施工图审查，</w:t>
      </w:r>
      <w:r>
        <w:rPr>
          <w:rFonts w:hint="eastAsia" w:ascii="宋体" w:hAnsi="宋体" w:eastAsia="宋体"/>
          <w:color w:val="000000"/>
          <w:sz w:val="24"/>
          <w:szCs w:val="24"/>
          <w:highlight w:val="none"/>
        </w:rPr>
        <w:t>编制设计变更工程量清单及预算、</w:t>
      </w:r>
      <w:r>
        <w:rPr>
          <w:rFonts w:ascii="Times New Roman" w:hAnsi="Times New Roman"/>
          <w:color w:val="000000"/>
          <w:sz w:val="24"/>
          <w:szCs w:val="24"/>
          <w:highlight w:val="none"/>
        </w:rPr>
        <w:t>提供本项目所有设计成果给设计咨询单位进行审核优化，配合项目施工、设备</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lang w:val="en-US" w:eastAsia="zh-CN"/>
        </w:rPr>
        <w:t>材料</w:t>
      </w:r>
      <w:r>
        <w:rPr>
          <w:rFonts w:ascii="Times New Roman" w:hAnsi="Times New Roman"/>
          <w:color w:val="000000"/>
          <w:sz w:val="24"/>
          <w:szCs w:val="24"/>
          <w:highlight w:val="none"/>
        </w:rPr>
        <w:t>和服务类等招标工作，</w:t>
      </w:r>
      <w:r>
        <w:rPr>
          <w:rFonts w:hint="eastAsia" w:ascii="宋体" w:hAnsi="宋体" w:eastAsia="宋体"/>
          <w:color w:val="000000"/>
          <w:sz w:val="24"/>
          <w:szCs w:val="24"/>
          <w:highlight w:val="none"/>
        </w:rPr>
        <w:t>技术规范书、配合招标工程量清单和控制价的评审工作，</w:t>
      </w:r>
      <w:r>
        <w:rPr>
          <w:rFonts w:ascii="Times New Roman" w:hAnsi="Times New Roman"/>
          <w:color w:val="000000"/>
          <w:sz w:val="24"/>
          <w:szCs w:val="24"/>
          <w:highlight w:val="none"/>
        </w:rPr>
        <w:t>配合竣工结算和保修期服务，配合项目决算及评审工作，配合</w:t>
      </w:r>
      <w:r>
        <w:rPr>
          <w:rFonts w:hint="eastAsia"/>
          <w:color w:val="000000"/>
          <w:sz w:val="24"/>
          <w:szCs w:val="24"/>
          <w:highlight w:val="none"/>
          <w:lang w:eastAsia="zh-CN"/>
        </w:rPr>
        <w:t>甲方</w:t>
      </w:r>
      <w:r>
        <w:rPr>
          <w:rFonts w:ascii="Times New Roman" w:hAnsi="Times New Roman"/>
          <w:color w:val="000000"/>
          <w:sz w:val="24"/>
          <w:szCs w:val="24"/>
          <w:highlight w:val="none"/>
        </w:rPr>
        <w:t>其他要求配合的工作</w:t>
      </w:r>
      <w:r>
        <w:rPr>
          <w:rFonts w:hint="eastAsia" w:ascii="Times New Roman" w:hAnsi="Times New Roman"/>
          <w:color w:val="000000"/>
          <w:sz w:val="24"/>
          <w:szCs w:val="24"/>
          <w:highlight w:val="none"/>
          <w:lang w:eastAsia="zh-CN"/>
        </w:rPr>
        <w:t>。</w:t>
      </w:r>
      <w:r>
        <w:rPr>
          <w:rFonts w:ascii="Times New Roman" w:hAnsi="Times New Roman"/>
          <w:color w:val="000000"/>
          <w:sz w:val="24"/>
          <w:szCs w:val="24"/>
          <w:highlight w:val="none"/>
        </w:rPr>
        <w:t>并</w:t>
      </w:r>
      <w:r>
        <w:rPr>
          <w:rFonts w:hint="eastAsia" w:ascii="Times New Roman" w:hAnsi="Times New Roman"/>
          <w:color w:val="000000"/>
          <w:sz w:val="24"/>
          <w:szCs w:val="24"/>
          <w:highlight w:val="none"/>
          <w:lang w:val="en-US" w:eastAsia="zh-CN"/>
        </w:rPr>
        <w:t>负责</w:t>
      </w:r>
      <w:r>
        <w:rPr>
          <w:rFonts w:ascii="Times New Roman" w:hAnsi="Times New Roman"/>
          <w:color w:val="000000"/>
          <w:sz w:val="24"/>
          <w:szCs w:val="24"/>
          <w:highlight w:val="none"/>
        </w:rPr>
        <w:t>竣工图编制、修正，提供电子CAD图纸。</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.1.3设计应涵盖整个</w:t>
      </w:r>
      <w:r>
        <w:rPr>
          <w:rFonts w:hint="default" w:ascii="Times New Roman" w:hAnsi="Times New Roman"/>
          <w:color w:val="000000"/>
          <w:sz w:val="24"/>
          <w:szCs w:val="24"/>
          <w:highlight w:val="none"/>
          <w:lang w:val="en-US" w:eastAsia="zh-CN"/>
        </w:rPr>
        <w:t>项目</w:t>
      </w:r>
      <w:r>
        <w:rPr>
          <w:rFonts w:ascii="宋体" w:hAnsi="宋体" w:eastAsia="宋体"/>
          <w:color w:val="000000"/>
          <w:sz w:val="24"/>
          <w:szCs w:val="24"/>
          <w:highlight w:val="none"/>
        </w:rPr>
        <w:t>地质勘察</w:t>
      </w:r>
      <w:r>
        <w:rPr>
          <w:rFonts w:hint="eastAsia" w:ascii="宋体" w:hAnsi="宋体" w:eastAsia="宋体"/>
          <w:color w:val="000000"/>
          <w:sz w:val="24"/>
          <w:szCs w:val="24"/>
          <w:highlight w:val="none"/>
          <w:lang w:eastAsia="zh-CN"/>
        </w:rPr>
        <w:t>、</w:t>
      </w:r>
      <w:r>
        <w:rPr>
          <w:rFonts w:ascii="Times New Roman" w:hAnsi="Times New Roman"/>
          <w:color w:val="000000"/>
          <w:sz w:val="24"/>
          <w:szCs w:val="24"/>
          <w:highlight w:val="none"/>
        </w:rPr>
        <w:t>厂区规划、总平布置、</w:t>
      </w:r>
      <w:r>
        <w:rPr>
          <w:rFonts w:ascii="Times New Roman" w:hAnsi="Times New Roman"/>
          <w:strike w:val="0"/>
          <w:dstrike w:val="0"/>
          <w:color w:val="000000"/>
          <w:sz w:val="24"/>
          <w:szCs w:val="24"/>
          <w:highlight w:val="none"/>
        </w:rPr>
        <w:t>园林绿化、</w:t>
      </w:r>
      <w:r>
        <w:rPr>
          <w:rFonts w:ascii="Times New Roman" w:hAnsi="Times New Roman"/>
          <w:color w:val="000000"/>
          <w:sz w:val="24"/>
          <w:szCs w:val="24"/>
          <w:highlight w:val="none"/>
        </w:rPr>
        <w:t>建筑、结构、工艺流程、热力系统、高低压电气系统、控制系统、环境保护、给排水、钢结构、防雷接地系统、通风空调、消防、劳动保护、节能</w:t>
      </w:r>
      <w:r>
        <w:rPr>
          <w:rFonts w:hint="eastAsia" w:ascii="Times New Roman" w:hAnsi="Times New Roman"/>
          <w:color w:val="000000"/>
          <w:sz w:val="24"/>
          <w:szCs w:val="24"/>
          <w:highlight w:val="none"/>
        </w:rPr>
        <w:t>、修建性详细规划编制、修详通及报建通编制</w:t>
      </w:r>
      <w:r>
        <w:rPr>
          <w:rFonts w:ascii="Times New Roman" w:hAnsi="Times New Roman"/>
          <w:color w:val="000000"/>
          <w:sz w:val="24"/>
          <w:szCs w:val="24"/>
          <w:highlight w:val="none"/>
        </w:rPr>
        <w:t>等。</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.1.4初步设计内容（包括但不限于以下内容）：厂内范围外1米以内的建、构筑物布置和全厂总平面设计、外立面图、</w:t>
      </w:r>
      <w:r>
        <w:rPr>
          <w:rFonts w:ascii="Times New Roman" w:hAnsi="Times New Roman"/>
          <w:strike w:val="0"/>
          <w:dstrike w:val="0"/>
          <w:color w:val="000000"/>
          <w:sz w:val="24"/>
          <w:szCs w:val="24"/>
          <w:highlight w:val="none"/>
        </w:rPr>
        <w:t>外景观方案、厂区园林景观方案（含有景观照明设计在内的平面以及立体效果图）、</w:t>
      </w:r>
      <w:r>
        <w:rPr>
          <w:rFonts w:ascii="Times New Roman" w:hAnsi="Times New Roman"/>
          <w:color w:val="000000"/>
          <w:sz w:val="24"/>
          <w:szCs w:val="24"/>
          <w:highlight w:val="none"/>
        </w:rPr>
        <w:t>厂区管线汇总图（</w:t>
      </w:r>
      <w:r>
        <w:rPr>
          <w:rFonts w:ascii="Times New Roman" w:hAnsi="Times New Roman"/>
          <w:strike w:val="0"/>
          <w:dstrike w:val="0"/>
          <w:color w:val="000000"/>
          <w:sz w:val="24"/>
          <w:szCs w:val="24"/>
          <w:highlight w:val="none"/>
        </w:rPr>
        <w:t>充分考虑去工业化设计）</w:t>
      </w:r>
      <w:r>
        <w:rPr>
          <w:rFonts w:ascii="Times New Roman" w:hAnsi="Times New Roman"/>
          <w:color w:val="000000"/>
          <w:sz w:val="24"/>
          <w:szCs w:val="24"/>
          <w:highlight w:val="none"/>
        </w:rPr>
        <w:t>、自来水驳接方案、主要工艺系统设计和厂房布置、各层平面布置和剖面布置图、设备、主要材料清单及选型（含技术规格书）、设计计算书、物料平衡计算和能量平衡计算、水量平衡图（含设计每个用水点水量计量仪表/装置）、进场道路、自来水驳接工程、停车场、主要技术经济指标、工程投资概算和技经分析、资金筹措计划、工程设计进度计划安排；各系统工艺论证及比选等；设备技术规格书的编制；其他初步设计规定应该提供的资料。</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.1.5施工图设计（包括但不限于以下内容）</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设计院及时提供各类型设备的招标施工图，含厂内范围外1米以内的建、构筑物布置和全厂总平面设计、外立面图、</w:t>
      </w:r>
      <w:r>
        <w:rPr>
          <w:rFonts w:ascii="Times New Roman" w:hAnsi="Times New Roman"/>
          <w:strike w:val="0"/>
          <w:dstrike w:val="0"/>
          <w:color w:val="000000"/>
          <w:sz w:val="24"/>
          <w:szCs w:val="24"/>
          <w:highlight w:val="none"/>
        </w:rPr>
        <w:t>外景观、厂区园林景观（含有景观照明设计在内的平面以及立体效果图）、</w:t>
      </w:r>
      <w:r>
        <w:rPr>
          <w:rFonts w:ascii="Times New Roman" w:hAnsi="Times New Roman"/>
          <w:color w:val="000000"/>
          <w:sz w:val="24"/>
          <w:szCs w:val="24"/>
          <w:highlight w:val="none"/>
        </w:rPr>
        <w:t>围墙及界桩、厂区管线汇总图（充分考虑去工业化设计）、各工艺系统设计和厂房布置、各层平面布置和剖面布置图、设备、主要材料清单及选型（含技术规格书）、进场道路、自来水驳接工程、停车场、主要技术经济指标等等，其他施工图设计规定应该提供的资料。</w:t>
      </w:r>
    </w:p>
    <w:p>
      <w:pPr>
        <w:pStyle w:val="119"/>
        <w:adjustRightInd w:val="0"/>
        <w:snapToGrid w:val="0"/>
        <w:spacing w:beforeLines="0" w:afterLines="0" w:line="600" w:lineRule="exact"/>
        <w:ind w:firstLine="480" w:firstLineChars="200"/>
        <w:rPr>
          <w:rFonts w:hint="eastAsia" w:ascii="Times New Roman" w:hAnsi="Times New Roman" w:eastAsia="宋体"/>
          <w:color w:val="000000"/>
          <w:sz w:val="24"/>
          <w:szCs w:val="24"/>
          <w:highlight w:val="none"/>
        </w:rPr>
      </w:pPr>
      <w:r>
        <w:rPr>
          <w:rFonts w:ascii="Times New Roman" w:hAnsi="Times New Roman" w:eastAsia="宋体"/>
          <w:color w:val="000000"/>
          <w:sz w:val="24"/>
          <w:szCs w:val="24"/>
          <w:highlight w:val="none"/>
        </w:rPr>
        <w:t>厂区范围外1米以内的建、构筑物施工图（幕墙及钢结构深化设计，设计满足制造及施工标准）；</w:t>
      </w:r>
      <w:r>
        <w:rPr>
          <w:rFonts w:hint="default" w:ascii="Times New Roman" w:hAnsi="Times New Roman" w:eastAsia="宋体"/>
          <w:color w:val="000000"/>
          <w:sz w:val="24"/>
          <w:szCs w:val="24"/>
          <w:highlight w:val="none"/>
        </w:rPr>
        <w:t>各层平面布置和剖面布置图</w:t>
      </w:r>
      <w:r>
        <w:rPr>
          <w:rFonts w:hint="default" w:ascii="Times New Roman" w:hAnsi="Times New Roman" w:eastAsia="宋体"/>
          <w:color w:val="000000"/>
          <w:sz w:val="24"/>
          <w:szCs w:val="24"/>
          <w:highlight w:val="none"/>
          <w:lang w:eastAsia="zh-CN"/>
        </w:rPr>
        <w:t>；</w:t>
      </w:r>
      <w:r>
        <w:rPr>
          <w:rFonts w:hint="default" w:ascii="Times New Roman" w:hAnsi="Times New Roman" w:eastAsia="宋体"/>
          <w:color w:val="000000"/>
          <w:sz w:val="24"/>
          <w:szCs w:val="24"/>
          <w:highlight w:val="none"/>
        </w:rPr>
        <w:t>管线布置图</w:t>
      </w:r>
      <w:r>
        <w:rPr>
          <w:rFonts w:hint="default" w:ascii="Times New Roman" w:hAnsi="Times New Roman" w:eastAsia="宋体"/>
          <w:color w:val="000000"/>
          <w:sz w:val="24"/>
          <w:szCs w:val="24"/>
          <w:highlight w:val="none"/>
          <w:lang w:eastAsia="zh-CN"/>
        </w:rPr>
        <w:t>；</w:t>
      </w:r>
      <w:r>
        <w:rPr>
          <w:rFonts w:hint="default" w:ascii="Times New Roman" w:hAnsi="Times New Roman" w:eastAsia="宋体"/>
          <w:color w:val="000000"/>
          <w:sz w:val="24"/>
          <w:szCs w:val="24"/>
          <w:highlight w:val="none"/>
        </w:rPr>
        <w:t>电缆敷设图</w:t>
      </w:r>
      <w:r>
        <w:rPr>
          <w:rFonts w:hint="default" w:ascii="Times New Roman" w:hAnsi="Times New Roman" w:eastAsia="宋体"/>
          <w:color w:val="000000"/>
          <w:sz w:val="24"/>
          <w:szCs w:val="24"/>
          <w:highlight w:val="none"/>
          <w:lang w:eastAsia="zh-CN"/>
        </w:rPr>
        <w:t>；</w:t>
      </w:r>
      <w:r>
        <w:rPr>
          <w:rFonts w:hint="default" w:ascii="Times New Roman" w:hAnsi="Times New Roman" w:eastAsia="宋体"/>
          <w:color w:val="000000"/>
          <w:sz w:val="24"/>
          <w:szCs w:val="24"/>
          <w:highlight w:val="none"/>
        </w:rPr>
        <w:t>电气接线图</w:t>
      </w:r>
      <w:r>
        <w:rPr>
          <w:rFonts w:hint="default" w:ascii="Times New Roman" w:hAnsi="Times New Roman" w:eastAsia="宋体"/>
          <w:color w:val="000000"/>
          <w:sz w:val="24"/>
          <w:szCs w:val="24"/>
          <w:highlight w:val="none"/>
          <w:lang w:eastAsia="zh-CN"/>
        </w:rPr>
        <w:t>；</w:t>
      </w:r>
      <w:r>
        <w:rPr>
          <w:rFonts w:hint="default" w:ascii="Times New Roman" w:hAnsi="Times New Roman" w:eastAsia="宋体"/>
          <w:color w:val="000000"/>
          <w:sz w:val="24"/>
          <w:szCs w:val="24"/>
          <w:highlight w:val="none"/>
        </w:rPr>
        <w:t>电气设备负荷一览表；控制逻辑图；自控设备一览表；仪表回路图，仪表接线图；全厂的照明、防雷接地系统；给、排水系统；电信、安防及火灾报警系统、视频监视系统、综合布线系统等；设备、材料清单（含技术规格书）；其他满足施工所需的资料或图纸</w:t>
      </w:r>
      <w:r>
        <w:rPr>
          <w:rFonts w:hint="eastAsia" w:ascii="Times New Roman" w:hAnsi="Times New Roman" w:eastAsia="宋体"/>
          <w:color w:val="000000"/>
          <w:sz w:val="24"/>
          <w:szCs w:val="24"/>
          <w:highlight w:val="none"/>
          <w:lang w:val="en-US" w:eastAsia="zh-CN"/>
        </w:rPr>
        <w:t>等。</w:t>
      </w:r>
    </w:p>
    <w:p>
      <w:pPr>
        <w:pStyle w:val="119"/>
        <w:adjustRightInd w:val="0"/>
        <w:snapToGrid w:val="0"/>
        <w:spacing w:beforeLines="0" w:afterLines="0" w:line="600" w:lineRule="exact"/>
        <w:ind w:firstLine="480" w:firstLineChars="200"/>
        <w:rPr>
          <w:rFonts w:hint="default" w:ascii="Times New Roman" w:hAnsi="Times New Roman" w:eastAsia="宋体"/>
          <w:color w:val="000000"/>
          <w:sz w:val="24"/>
          <w:szCs w:val="24"/>
          <w:highlight w:val="none"/>
          <w:lang w:eastAsia="zh-CN"/>
        </w:rPr>
      </w:pPr>
      <w:r>
        <w:rPr>
          <w:rFonts w:hint="default" w:ascii="Times New Roman" w:hAnsi="Times New Roman" w:eastAsia="宋体"/>
          <w:color w:val="000000"/>
          <w:sz w:val="24"/>
          <w:szCs w:val="24"/>
          <w:highlight w:val="none"/>
        </w:rPr>
        <w:t>设备采购技术协议谈判</w:t>
      </w:r>
      <w:r>
        <w:rPr>
          <w:rFonts w:hint="default" w:ascii="Times New Roman" w:hAnsi="Times New Roman" w:eastAsia="宋体"/>
          <w:color w:val="000000"/>
          <w:sz w:val="24"/>
          <w:szCs w:val="24"/>
          <w:highlight w:val="none"/>
          <w:lang w:eastAsia="zh-CN"/>
        </w:rPr>
        <w:t>；</w:t>
      </w:r>
      <w:r>
        <w:rPr>
          <w:rFonts w:hint="default" w:ascii="Times New Roman" w:hAnsi="Times New Roman" w:eastAsia="宋体"/>
          <w:color w:val="000000"/>
          <w:sz w:val="24"/>
          <w:szCs w:val="24"/>
          <w:highlight w:val="none"/>
        </w:rPr>
        <w:t>设计代表驻厂；施工图预算、设计变更预算；竣工图的编制和出图、晒图，提供全过程的电子版CAD图纸（所有设计变更应体现）；</w:t>
      </w:r>
      <w:r>
        <w:rPr>
          <w:rFonts w:hint="eastAsia" w:ascii="Times New Roman" w:hAnsi="Times New Roman" w:eastAsia="宋体"/>
          <w:color w:val="000000"/>
          <w:sz w:val="24"/>
          <w:szCs w:val="24"/>
          <w:highlight w:val="none"/>
          <w:lang w:val="en-US" w:eastAsia="zh-CN"/>
        </w:rPr>
        <w:t>根据</w:t>
      </w:r>
      <w:r>
        <w:rPr>
          <w:rFonts w:hint="eastAsia"/>
          <w:color w:val="000000"/>
          <w:sz w:val="24"/>
          <w:szCs w:val="24"/>
          <w:highlight w:val="none"/>
          <w:lang w:val="en-US" w:eastAsia="zh-CN"/>
        </w:rPr>
        <w:t>甲方</w:t>
      </w:r>
      <w:r>
        <w:rPr>
          <w:rFonts w:hint="eastAsia" w:ascii="Times New Roman" w:hAnsi="Times New Roman" w:eastAsia="宋体"/>
          <w:color w:val="000000"/>
          <w:sz w:val="24"/>
          <w:szCs w:val="24"/>
          <w:highlight w:val="none"/>
          <w:lang w:val="en-US" w:eastAsia="zh-CN"/>
        </w:rPr>
        <w:t>需求，</w:t>
      </w:r>
      <w:r>
        <w:rPr>
          <w:rFonts w:hint="default" w:ascii="Times New Roman" w:hAnsi="Times New Roman" w:eastAsia="宋体"/>
          <w:color w:val="000000"/>
          <w:sz w:val="24"/>
          <w:szCs w:val="24"/>
          <w:highlight w:val="none"/>
        </w:rPr>
        <w:t>提供三维设计的成果。</w:t>
      </w:r>
    </w:p>
    <w:p>
      <w:pPr>
        <w:pStyle w:val="119"/>
        <w:adjustRightInd w:val="0"/>
        <w:snapToGrid w:val="0"/>
        <w:spacing w:beforeLines="0" w:afterLines="0" w:line="600" w:lineRule="exact"/>
        <w:ind w:firstLine="480" w:firstLineChars="200"/>
        <w:rPr>
          <w:rFonts w:hint="eastAsia" w:ascii="宋体" w:hAnsi="宋体" w:eastAsia="宋体" w:cs="宋体"/>
          <w:color w:val="000000"/>
          <w:kern w:val="0"/>
          <w:sz w:val="24"/>
          <w:szCs w:val="24"/>
          <w:highlight w:val="none"/>
          <w:lang w:val="en-US" w:eastAsia="zh-CN" w:bidi="ar"/>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1.6</w:t>
      </w:r>
      <w:r>
        <w:rPr>
          <w:rFonts w:hint="eastAsia" w:ascii="Times New Roman" w:hAnsi="Times New Roman"/>
          <w:color w:val="000000"/>
          <w:sz w:val="24"/>
          <w:szCs w:val="24"/>
          <w:highlight w:val="none"/>
          <w:lang w:val="en-US" w:eastAsia="zh-CN"/>
        </w:rPr>
        <w:t>施工图预算应</w:t>
      </w:r>
      <w:r>
        <w:rPr>
          <w:rFonts w:ascii="Times New Roman" w:hAnsi="Times New Roman"/>
          <w:color w:val="000000"/>
          <w:sz w:val="24"/>
          <w:szCs w:val="24"/>
          <w:highlight w:val="none"/>
        </w:rPr>
        <w:t>包括</w:t>
      </w:r>
      <w:r>
        <w:rPr>
          <w:rFonts w:hint="eastAsia" w:ascii="Times New Roman" w:hAnsi="Times New Roman"/>
          <w:color w:val="000000"/>
          <w:sz w:val="24"/>
          <w:szCs w:val="24"/>
          <w:highlight w:val="none"/>
          <w:lang w:eastAsia="zh-CN"/>
        </w:rPr>
        <w:t>（</w:t>
      </w:r>
      <w:r>
        <w:rPr>
          <w:rFonts w:ascii="Times New Roman" w:hAnsi="Times New Roman"/>
          <w:color w:val="000000"/>
          <w:sz w:val="24"/>
          <w:szCs w:val="24"/>
          <w:highlight w:val="none"/>
        </w:rPr>
        <w:t>不限于</w:t>
      </w:r>
      <w:r>
        <w:rPr>
          <w:rFonts w:hint="eastAsia" w:ascii="Times New Roman" w:hAnsi="Times New Roman"/>
          <w:color w:val="000000"/>
          <w:sz w:val="24"/>
          <w:szCs w:val="24"/>
          <w:highlight w:val="none"/>
          <w:lang w:eastAsia="zh-CN"/>
        </w:rPr>
        <w:t>）</w:t>
      </w:r>
      <w:r>
        <w:rPr>
          <w:rFonts w:ascii="Times New Roman" w:hAnsi="Times New Roman"/>
          <w:color w:val="000000"/>
          <w:sz w:val="24"/>
          <w:szCs w:val="24"/>
          <w:highlight w:val="none"/>
        </w:rPr>
        <w:t>以下内容</w:t>
      </w:r>
      <w:r>
        <w:rPr>
          <w:rFonts w:hint="eastAsia" w:ascii="Times New Roman" w:hAnsi="Times New Roman"/>
          <w:color w:val="000000"/>
          <w:sz w:val="24"/>
          <w:szCs w:val="24"/>
          <w:highlight w:val="none"/>
          <w:lang w:eastAsia="zh-CN"/>
        </w:rPr>
        <w:t>：</w:t>
      </w:r>
      <w:r>
        <w:rPr>
          <w:rFonts w:ascii="宋体" w:hAnsi="宋体" w:eastAsia="宋体" w:cs="宋体"/>
          <w:color w:val="000000"/>
          <w:sz w:val="24"/>
          <w:szCs w:val="24"/>
          <w:highlight w:val="none"/>
        </w:rPr>
        <w:t>（1）统一要求用广联达计价和计量软件计算；（2）要求分工程、分期/分地块、分业态、分单体、分专业、分部位（地上、地下/室内、室外）、分层计算；（3）要有清晰完整的计算底稿，包括：工程量计算底稿、钢筋料单及预算文件、相关计算说明及广联达版的计价和计量计算最终软件版底稿等；（4）施工图预算要完整：封面、编制说明（工程概况、预算的范围/界面、使用的定额、取费标准、材料价格取定依据、暂定金额、重大设备、特别事项等详细说明）、施工图预算汇总表和明细表、施工图预算书、经济指标分析（本钱汇总分析和指标分析请过程组设计统一表格）、编制单位和人员签字盖章。（5）工程量计算和定额套用准确，材料价格合理，取费依据明确。</w:t>
      </w:r>
    </w:p>
    <w:p>
      <w:pPr>
        <w:pStyle w:val="119"/>
        <w:adjustRightInd w:val="0"/>
        <w:snapToGrid w:val="0"/>
        <w:spacing w:beforeLines="0" w:afterLines="0" w:line="600" w:lineRule="exact"/>
        <w:ind w:firstLine="480" w:firstLineChars="200"/>
        <w:rPr>
          <w:rFonts w:hint="eastAsia" w:ascii="Times New Roman" w:hAnsi="Times New Roman" w:eastAsia="宋体"/>
          <w:color w:val="000000"/>
          <w:sz w:val="24"/>
          <w:szCs w:val="24"/>
          <w:highlight w:val="none"/>
          <w:lang w:val="en-US" w:eastAsia="zh-CN"/>
        </w:rPr>
      </w:pPr>
      <w:r>
        <w:rPr>
          <w:rFonts w:ascii="宋体" w:hAnsi="宋体" w:eastAsia="宋体" w:cs="宋体"/>
          <w:color w:val="000000"/>
          <w:sz w:val="24"/>
          <w:szCs w:val="24"/>
          <w:highlight w:val="none"/>
        </w:rPr>
        <w:t>施工图总预算应控制在</w:t>
      </w:r>
      <w:r>
        <w:rPr>
          <w:rFonts w:hint="eastAsia" w:ascii="宋体" w:hAnsi="宋体" w:cs="宋体"/>
          <w:color w:val="000000"/>
          <w:sz w:val="24"/>
          <w:szCs w:val="24"/>
          <w:highlight w:val="none"/>
          <w:lang w:val="en-US" w:eastAsia="zh-CN"/>
        </w:rPr>
        <w:t>甲方</w:t>
      </w:r>
      <w:r>
        <w:rPr>
          <w:rFonts w:ascii="宋体" w:hAnsi="宋体" w:eastAsia="宋体" w:cs="宋体"/>
          <w:color w:val="000000"/>
          <w:sz w:val="24"/>
          <w:szCs w:val="24"/>
          <w:highlight w:val="none"/>
        </w:rPr>
        <w:t>已批准的设计总概算投资范围以内</w:t>
      </w:r>
      <w:r>
        <w:rPr>
          <w:rFonts w:hint="eastAsia" w:ascii="宋体" w:hAnsi="宋体" w:eastAsia="宋体" w:cs="宋体"/>
          <w:color w:val="000000"/>
          <w:sz w:val="24"/>
          <w:szCs w:val="24"/>
          <w:highlight w:val="none"/>
          <w:lang w:eastAsia="zh-CN"/>
        </w:rPr>
        <w:t>。</w:t>
      </w:r>
      <w:r>
        <w:rPr>
          <w:rFonts w:ascii="宋体" w:hAnsi="宋体" w:eastAsia="宋体" w:cs="宋体"/>
          <w:color w:val="000000"/>
          <w:sz w:val="24"/>
          <w:szCs w:val="24"/>
          <w:highlight w:val="none"/>
        </w:rPr>
        <w:t>施工图预算总投资包含建筑工程费、设备及工器具购置费、安装工程费、工程建设其他费用、预备费、建设期贷款利息、固定资产投资方向调节税及铺底流动资金</w:t>
      </w:r>
      <w:r>
        <w:rPr>
          <w:rFonts w:hint="eastAsia" w:ascii="宋体" w:hAnsi="宋体" w:eastAsia="宋体" w:cs="宋体"/>
          <w:color w:val="000000"/>
          <w:sz w:val="24"/>
          <w:szCs w:val="24"/>
          <w:highlight w:val="none"/>
          <w:lang w:val="en-US" w:eastAsia="zh-CN"/>
        </w:rPr>
        <w:t>等</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为提高工程预算质量、合理确定工程造价，在预算编制后，必须对其进行认真审查。重点审查工程量计算、定额使用、设备材料、人工、机械价格的确定以及相关费用选取和确定等方面</w:t>
      </w:r>
      <w:r>
        <w:rPr>
          <w:rFonts w:hint="eastAsia" w:ascii="宋体" w:hAnsi="宋体" w:eastAsia="宋体" w:cs="宋体"/>
          <w:color w:val="000000"/>
          <w:sz w:val="24"/>
          <w:szCs w:val="24"/>
          <w:highlight w:val="none"/>
          <w:lang w:eastAsia="zh-CN"/>
        </w:rPr>
        <w:t>。</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lang w:val="en-US" w:eastAsia="zh-CN"/>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1.6</w:t>
      </w:r>
      <w:r>
        <w:rPr>
          <w:rFonts w:hint="eastAsia" w:ascii="Times New Roman" w:hAnsi="Times New Roman"/>
          <w:color w:val="000000"/>
          <w:sz w:val="24"/>
          <w:szCs w:val="24"/>
          <w:highlight w:val="none"/>
          <w:lang w:val="en-US" w:eastAsia="zh-CN"/>
        </w:rPr>
        <w:t>编制竣工图</w:t>
      </w:r>
    </w:p>
    <w:p>
      <w:pPr>
        <w:pStyle w:val="119"/>
        <w:adjustRightInd w:val="0"/>
        <w:snapToGrid w:val="0"/>
        <w:spacing w:beforeLines="0" w:afterLines="0" w:line="600" w:lineRule="exact"/>
        <w:ind w:firstLine="480" w:firstLineChars="200"/>
        <w:rPr>
          <w:rFonts w:hint="default" w:ascii="Times New Roman" w:hAnsi="Times New Roman"/>
          <w:color w:val="000000"/>
          <w:sz w:val="24"/>
          <w:szCs w:val="24"/>
          <w:highlight w:val="none"/>
          <w:lang w:val="en-US" w:eastAsia="zh-CN"/>
        </w:rPr>
      </w:pPr>
      <w:r>
        <w:rPr>
          <w:rFonts w:hint="eastAsia" w:ascii="宋体" w:hAnsi="宋体" w:eastAsia="宋体"/>
          <w:color w:val="000000"/>
          <w:sz w:val="24"/>
          <w:highlight w:val="none"/>
        </w:rPr>
        <w:t>负责竣工图编制、修正，提供电子CAD图纸，提供并满足消防备案和竣工验收、规划许可和规划验收所需要的资料。</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7</w:t>
      </w:r>
      <w:r>
        <w:rPr>
          <w:rFonts w:ascii="Times New Roman" w:hAnsi="Times New Roman"/>
          <w:color w:val="000000"/>
          <w:sz w:val="24"/>
          <w:szCs w:val="24"/>
          <w:highlight w:val="none"/>
        </w:rPr>
        <w:t>设计深度</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1）初步设计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初步设计的内容和深度以经</w:t>
      </w:r>
      <w:r>
        <w:rPr>
          <w:rFonts w:hint="eastAsia"/>
          <w:color w:val="000000"/>
          <w:sz w:val="24"/>
          <w:szCs w:val="24"/>
          <w:highlight w:val="none"/>
          <w:lang w:eastAsia="zh-CN"/>
        </w:rPr>
        <w:t>甲方</w:t>
      </w:r>
      <w:r>
        <w:rPr>
          <w:rFonts w:ascii="Times New Roman" w:hAnsi="Times New Roman"/>
          <w:color w:val="000000"/>
          <w:sz w:val="24"/>
          <w:szCs w:val="24"/>
          <w:highlight w:val="none"/>
        </w:rPr>
        <w:t>审核认可并通过有关部门的初步设计评审为准。</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2）施工图设计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满足有关施工图设计编制文件深度要求，配合编制工程预算分析，</w:t>
      </w:r>
      <w:r>
        <w:rPr>
          <w:rFonts w:ascii="Times New Roman" w:hAnsi="Times New Roman"/>
          <w:color w:val="000000"/>
          <w:sz w:val="24"/>
          <w:highlight w:val="none"/>
        </w:rPr>
        <w:t>钢结构设计深度达到施工图标准</w:t>
      </w:r>
      <w:r>
        <w:rPr>
          <w:rFonts w:ascii="Times New Roman" w:hAnsi="Times New Roman"/>
          <w:color w:val="000000"/>
          <w:sz w:val="24"/>
          <w:szCs w:val="24"/>
          <w:highlight w:val="none"/>
        </w:rPr>
        <w:t>。</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8</w:t>
      </w:r>
      <w:r>
        <w:rPr>
          <w:rFonts w:ascii="Times New Roman" w:hAnsi="Times New Roman"/>
          <w:color w:val="000000"/>
          <w:sz w:val="24"/>
          <w:szCs w:val="24"/>
          <w:highlight w:val="none"/>
        </w:rPr>
        <w:t>设计目标</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1）项目功能与定位</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本项目拟按照“国内一流、国际先进”的目标高标准建设。</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2）设计目标：</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1．施工图出图必须能满足工程连续施工的需求。</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2．本项目的</w:t>
      </w:r>
      <w:r>
        <w:rPr>
          <w:rFonts w:hint="eastAsia" w:ascii="Times New Roman" w:hAnsi="Times New Roman"/>
          <w:color w:val="000000"/>
          <w:sz w:val="24"/>
          <w:szCs w:val="24"/>
          <w:highlight w:val="none"/>
          <w:lang w:val="en-US" w:eastAsia="zh-CN"/>
        </w:rPr>
        <w:t>废水废气</w:t>
      </w:r>
      <w:r>
        <w:rPr>
          <w:rFonts w:ascii="Times New Roman" w:hAnsi="Times New Roman"/>
          <w:color w:val="000000"/>
          <w:sz w:val="24"/>
          <w:szCs w:val="24"/>
          <w:highlight w:val="none"/>
        </w:rPr>
        <w:t>排放标准</w:t>
      </w:r>
      <w:r>
        <w:rPr>
          <w:rFonts w:hint="eastAsia" w:ascii="Times New Roman" w:hAnsi="Times New Roman"/>
          <w:color w:val="000000"/>
          <w:sz w:val="24"/>
          <w:szCs w:val="24"/>
          <w:highlight w:val="none"/>
          <w:lang w:val="en-US" w:eastAsia="zh-CN"/>
        </w:rPr>
        <w:t>须满足环评批复</w:t>
      </w:r>
      <w:r>
        <w:rPr>
          <w:rFonts w:ascii="Times New Roman" w:hAnsi="Times New Roman"/>
          <w:color w:val="000000"/>
          <w:sz w:val="24"/>
          <w:szCs w:val="24"/>
          <w:highlight w:val="none"/>
        </w:rPr>
        <w:t>，厂区无噪声、</w:t>
      </w:r>
      <w:r>
        <w:rPr>
          <w:rFonts w:hint="eastAsia" w:ascii="Times New Roman" w:hAnsi="Times New Roman"/>
          <w:color w:val="000000"/>
          <w:sz w:val="24"/>
          <w:szCs w:val="24"/>
          <w:highlight w:val="none"/>
          <w:lang w:val="en-US" w:eastAsia="zh-CN"/>
        </w:rPr>
        <w:t>废水废气</w:t>
      </w:r>
      <w:r>
        <w:rPr>
          <w:rFonts w:ascii="Times New Roman" w:hAnsi="Times New Roman"/>
          <w:color w:val="000000"/>
          <w:sz w:val="24"/>
          <w:szCs w:val="24"/>
          <w:highlight w:val="none"/>
        </w:rPr>
        <w:t>污染。</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3．本项目工艺应力争全国先进水平，运行平稳，环保达到国内一流、国际先进的要求。</w:t>
      </w:r>
    </w:p>
    <w:p>
      <w:pPr>
        <w:pStyle w:val="119"/>
        <w:adjustRightInd w:val="0"/>
        <w:snapToGrid w:val="0"/>
        <w:spacing w:beforeLines="0" w:afterLines="0" w:line="600" w:lineRule="exact"/>
        <w:ind w:firstLine="480" w:firstLineChars="200"/>
        <w:rPr>
          <w:rFonts w:hint="default" w:ascii="Times New Roman" w:hAnsi="Times New Roman" w:eastAsia="宋体"/>
          <w:color w:val="000000"/>
          <w:sz w:val="24"/>
          <w:szCs w:val="24"/>
          <w:highlight w:val="none"/>
          <w:lang w:val="en-US" w:eastAsia="zh-CN"/>
        </w:rPr>
      </w:pPr>
      <w:r>
        <w:rPr>
          <w:rFonts w:ascii="Times New Roman" w:hAnsi="Times New Roman"/>
          <w:color w:val="000000"/>
          <w:sz w:val="24"/>
          <w:szCs w:val="24"/>
          <w:highlight w:val="none"/>
        </w:rPr>
        <w:t>4．充分考虑去工业化设计，打造一个融合自然、人文特性，体现</w:t>
      </w:r>
      <w:r>
        <w:rPr>
          <w:rFonts w:hint="eastAsia"/>
          <w:color w:val="000000"/>
          <w:sz w:val="24"/>
          <w:szCs w:val="24"/>
          <w:highlight w:val="none"/>
          <w:lang w:eastAsia="zh-CN"/>
        </w:rPr>
        <w:t>甲方</w:t>
      </w:r>
      <w:r>
        <w:rPr>
          <w:rFonts w:ascii="Times New Roman" w:hAnsi="Times New Roman"/>
          <w:color w:val="000000"/>
          <w:sz w:val="24"/>
          <w:szCs w:val="24"/>
          <w:highlight w:val="none"/>
        </w:rPr>
        <w:t>集团文化的</w:t>
      </w:r>
      <w:r>
        <w:rPr>
          <w:rFonts w:hint="eastAsia" w:ascii="Times New Roman" w:hAnsi="Times New Roman"/>
          <w:color w:val="000000"/>
          <w:sz w:val="24"/>
          <w:szCs w:val="24"/>
          <w:highlight w:val="none"/>
          <w:lang w:val="en-US" w:eastAsia="zh-CN"/>
        </w:rPr>
        <w:t>项目</w:t>
      </w:r>
      <w:r>
        <w:rPr>
          <w:rFonts w:ascii="Times New Roman" w:hAnsi="Times New Roman"/>
          <w:color w:val="000000"/>
          <w:sz w:val="24"/>
          <w:szCs w:val="24"/>
          <w:highlight w:val="none"/>
        </w:rPr>
        <w:t>。</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4.1.9配合</w:t>
      </w:r>
      <w:r>
        <w:rPr>
          <w:rFonts w:hint="eastAsia"/>
          <w:color w:val="000000"/>
          <w:sz w:val="24"/>
          <w:szCs w:val="24"/>
          <w:highlight w:val="none"/>
          <w:lang w:val="en-US" w:eastAsia="zh-CN"/>
        </w:rPr>
        <w:t>甲方</w:t>
      </w:r>
      <w:r>
        <w:rPr>
          <w:rFonts w:hint="eastAsia" w:ascii="Times New Roman" w:hAnsi="Times New Roman"/>
          <w:color w:val="000000"/>
          <w:sz w:val="24"/>
          <w:szCs w:val="24"/>
          <w:highlight w:val="none"/>
        </w:rPr>
        <w:t>负责组织工艺系统设备招标，并统筹做好各工艺系统的设计提资与联络。</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4.1.10</w:t>
      </w:r>
      <w:r>
        <w:rPr>
          <w:rFonts w:hint="eastAsia" w:ascii="Times New Roman" w:hAnsi="Times New Roman"/>
          <w:color w:val="000000"/>
          <w:sz w:val="24"/>
          <w:szCs w:val="24"/>
          <w:highlight w:val="none"/>
        </w:rPr>
        <w:t>招标人有权在投标人中标后对设计范围，涉及内容作适当的调整（最终以签订合同内容为准），方案修改及施工过程的施工图修改都必需注明前后造价对比，方便招标人决策。</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4.1.11</w:t>
      </w:r>
      <w:r>
        <w:rPr>
          <w:rFonts w:hint="eastAsia" w:ascii="Times New Roman" w:hAnsi="Times New Roman"/>
          <w:color w:val="000000"/>
          <w:sz w:val="24"/>
          <w:szCs w:val="24"/>
          <w:highlight w:val="none"/>
        </w:rPr>
        <w:t>本项目的“安全设施设计专篇”、“职业病防护设施设计专篇”、“消防设计专篇”、</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lang w:val="en-US" w:eastAsia="zh-CN"/>
        </w:rPr>
        <w:t>环保专篇</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rPr>
        <w:t>“节能设计专篇”等报批文件</w:t>
      </w:r>
      <w:r>
        <w:rPr>
          <w:rFonts w:hint="eastAsia" w:ascii="Times New Roman" w:hAnsi="Times New Roman"/>
          <w:color w:val="000000"/>
          <w:sz w:val="24"/>
          <w:szCs w:val="24"/>
          <w:highlight w:val="none"/>
          <w:lang w:val="en-US" w:eastAsia="zh-CN"/>
        </w:rPr>
        <w:t>及“绿色建筑设计”、“海绵城市设计”、“装配式设计”等</w:t>
      </w:r>
      <w:r>
        <w:rPr>
          <w:rFonts w:hint="eastAsia" w:ascii="Times New Roman" w:hAnsi="Times New Roman"/>
          <w:color w:val="000000"/>
          <w:sz w:val="24"/>
          <w:szCs w:val="24"/>
          <w:highlight w:val="none"/>
        </w:rPr>
        <w:t>由投标人负责编制，</w:t>
      </w:r>
      <w:r>
        <w:rPr>
          <w:rFonts w:hint="eastAsia" w:ascii="Times New Roman" w:hAnsi="Times New Roman"/>
          <w:color w:val="000000"/>
          <w:sz w:val="24"/>
          <w:szCs w:val="24"/>
          <w:highlight w:val="none"/>
          <w:lang w:val="en-US" w:eastAsia="zh-CN"/>
        </w:rPr>
        <w:t>根据项目实际需要</w:t>
      </w:r>
      <w:r>
        <w:rPr>
          <w:rFonts w:hint="eastAsia" w:ascii="Times New Roman" w:hAnsi="Times New Roman"/>
          <w:color w:val="000000"/>
          <w:sz w:val="24"/>
          <w:szCs w:val="24"/>
          <w:highlight w:val="none"/>
        </w:rPr>
        <w:t>组织评审等，并配合招标人开展报批工作，所产生费用应一概含括。</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4.1.12</w:t>
      </w:r>
      <w:r>
        <w:rPr>
          <w:rFonts w:ascii="Times New Roman" w:hAnsi="Times New Roman"/>
          <w:color w:val="000000"/>
          <w:sz w:val="24"/>
          <w:szCs w:val="24"/>
          <w:highlight w:val="none"/>
        </w:rPr>
        <w:t>本项目</w:t>
      </w:r>
      <w:r>
        <w:rPr>
          <w:rFonts w:hint="eastAsia" w:ascii="Times New Roman" w:hAnsi="Times New Roman"/>
          <w:color w:val="000000"/>
          <w:sz w:val="24"/>
          <w:szCs w:val="24"/>
          <w:highlight w:val="none"/>
        </w:rPr>
        <w:t>建（构）筑物结构的设计</w:t>
      </w:r>
      <w:r>
        <w:rPr>
          <w:rFonts w:ascii="Times New Roman" w:hAnsi="Times New Roman"/>
          <w:color w:val="000000"/>
          <w:sz w:val="24"/>
          <w:szCs w:val="24"/>
          <w:highlight w:val="none"/>
        </w:rPr>
        <w:t>使用年限为</w:t>
      </w:r>
      <w:r>
        <w:rPr>
          <w:rFonts w:hint="eastAsia" w:ascii="Times New Roman" w:hAnsi="Times New Roman"/>
          <w:color w:val="000000"/>
          <w:sz w:val="24"/>
          <w:szCs w:val="24"/>
          <w:highlight w:val="none"/>
          <w:lang w:val="en-US" w:eastAsia="zh-CN"/>
        </w:rPr>
        <w:t>5</w:t>
      </w:r>
      <w:r>
        <w:rPr>
          <w:rFonts w:ascii="Times New Roman" w:hAnsi="Times New Roman"/>
          <w:color w:val="000000"/>
          <w:sz w:val="24"/>
          <w:szCs w:val="24"/>
          <w:highlight w:val="none"/>
        </w:rPr>
        <w:t>0年。</w:t>
      </w:r>
    </w:p>
    <w:p>
      <w:pPr>
        <w:pStyle w:val="4"/>
        <w:numPr>
          <w:ilvl w:val="0"/>
          <w:numId w:val="0"/>
        </w:numPr>
        <w:tabs>
          <w:tab w:val="left" w:pos="432"/>
        </w:tabs>
        <w:spacing w:before="0" w:beforeLines="0" w:after="0" w:afterLines="0" w:line="600" w:lineRule="exact"/>
        <w:ind w:left="0" w:firstLine="482" w:firstLineChars="200"/>
        <w:rPr>
          <w:rFonts w:hint="eastAsia" w:ascii="Times New Roman" w:hAnsi="Times New Roman" w:eastAsia="宋体"/>
          <w:b/>
          <w:bCs/>
          <w:color w:val="000000"/>
          <w:sz w:val="24"/>
          <w:szCs w:val="24"/>
          <w:highlight w:val="none"/>
          <w:lang w:val="en-US" w:eastAsia="zh-CN"/>
        </w:rPr>
      </w:pPr>
      <w:r>
        <w:rPr>
          <w:rFonts w:hint="eastAsia" w:ascii="Times New Roman" w:hAnsi="Times New Roman" w:eastAsia="宋体"/>
          <w:b/>
          <w:bCs/>
          <w:color w:val="000000"/>
          <w:sz w:val="24"/>
          <w:szCs w:val="24"/>
          <w:highlight w:val="none"/>
          <w:lang w:val="en-US" w:eastAsia="zh-CN"/>
        </w:rPr>
        <w:t>4.2工程勘察测量要求</w:t>
      </w:r>
    </w:p>
    <w:p>
      <w:pPr>
        <w:spacing w:beforeLines="0" w:afterLines="0" w:line="600" w:lineRule="exact"/>
        <w:ind w:firstLine="480" w:firstLineChars="200"/>
        <w:rPr>
          <w:rFonts w:hint="default"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4.2.1工作内容</w:t>
      </w:r>
    </w:p>
    <w:p>
      <w:pPr>
        <w:tabs>
          <w:tab w:val="left" w:pos="2940"/>
        </w:tabs>
        <w:spacing w:beforeLines="0" w:afterLines="0" w:line="600" w:lineRule="exact"/>
        <w:ind w:firstLine="480" w:firstLineChars="200"/>
        <w:rPr>
          <w:color w:val="000000"/>
          <w:sz w:val="24"/>
          <w:highlight w:val="none"/>
        </w:rPr>
      </w:pPr>
      <w:r>
        <w:rPr>
          <w:rFonts w:hint="eastAsia" w:ascii="Times New Roman" w:hAnsi="Times New Roman" w:cs="Times New Roman"/>
          <w:color w:val="000000"/>
          <w:sz w:val="24"/>
          <w:highlight w:val="none"/>
        </w:rPr>
        <w:t>工程勘察</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lang w:val="en-US" w:eastAsia="zh-CN"/>
        </w:rPr>
        <w:t>测量</w:t>
      </w:r>
      <w:r>
        <w:rPr>
          <w:rFonts w:hint="eastAsia" w:ascii="Times New Roman" w:hAnsi="Times New Roman" w:cs="Times New Roman"/>
          <w:color w:val="000000"/>
          <w:sz w:val="24"/>
          <w:highlight w:val="none"/>
        </w:rPr>
        <w:t>范围：地质勘察</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lang w:val="en-US" w:eastAsia="zh-CN"/>
        </w:rPr>
        <w:t>初勘、详勘）</w:t>
      </w:r>
      <w:r>
        <w:rPr>
          <w:rFonts w:hint="eastAsia" w:ascii="Times New Roman" w:hAnsi="Times New Roman" w:cs="Times New Roman"/>
          <w:color w:val="000000"/>
          <w:sz w:val="24"/>
          <w:highlight w:val="none"/>
        </w:rPr>
        <w:t>、地形测量，满足项目初步设计和施工图设计的需要，包括但不限于：负责整体厂区的岩土工程勘察工作，含岩土工程勘察、取样与原位测试、室内试验、工程测量等。</w:t>
      </w:r>
      <w:r>
        <w:rPr>
          <w:rFonts w:hint="eastAsia" w:ascii="Times New Roman" w:hAnsi="Times New Roman" w:cs="Times New Roman"/>
          <w:color w:val="000000"/>
          <w:sz w:val="24"/>
          <w:highlight w:val="none"/>
          <w:lang w:val="en-US" w:eastAsia="zh-CN"/>
        </w:rPr>
        <w:t>本次勘察钻孔总进尺暂定</w:t>
      </w:r>
      <w:r>
        <w:rPr>
          <w:rFonts w:hint="eastAsia" w:ascii="Times New Roman" w:hAnsi="Times New Roman" w:eastAsia="宋体"/>
          <w:color w:val="000000"/>
          <w:sz w:val="24"/>
          <w:highlight w:val="none"/>
          <w:lang w:val="en-US" w:eastAsia="zh-CN"/>
        </w:rPr>
        <w:t>为2300米（</w:t>
      </w:r>
      <w:r>
        <w:rPr>
          <w:rFonts w:hint="eastAsia" w:ascii="Times New Roman" w:hAnsi="Times New Roman" w:eastAsia="宋体"/>
          <w:color w:val="000000"/>
          <w:sz w:val="24"/>
          <w:highlight w:val="none"/>
        </w:rPr>
        <w:t>单价控制，工程量按实结算</w:t>
      </w:r>
      <w:r>
        <w:rPr>
          <w:rFonts w:hint="eastAsia" w:ascii="Times New Roman" w:hAnsi="Times New Roman" w:eastAsia="宋体"/>
          <w:color w:val="000000"/>
          <w:sz w:val="24"/>
          <w:highlight w:val="none"/>
          <w:lang w:val="en-US" w:eastAsia="zh-CN"/>
        </w:rPr>
        <w:t>），</w:t>
      </w:r>
      <w:r>
        <w:rPr>
          <w:rFonts w:hint="eastAsia" w:ascii="Times New Roman" w:hAnsi="Times New Roman" w:eastAsia="宋体"/>
          <w:color w:val="000000"/>
          <w:sz w:val="24"/>
          <w:highlight w:val="none"/>
        </w:rPr>
        <w:t>正式钻孔平面布置图及有关技术要求由项目设计单位提供的技</w:t>
      </w:r>
      <w:r>
        <w:rPr>
          <w:rFonts w:hint="eastAsia"/>
          <w:color w:val="000000"/>
          <w:sz w:val="24"/>
          <w:highlight w:val="none"/>
        </w:rPr>
        <w:t>术文件为准。</w:t>
      </w:r>
      <w:r>
        <w:rPr>
          <w:rFonts w:hint="eastAsia" w:ascii="宋体" w:hAnsi="宋体" w:eastAsia="宋体" w:cs="宋体"/>
          <w:color w:val="000000"/>
          <w:sz w:val="24"/>
          <w:szCs w:val="24"/>
          <w:highlight w:val="none"/>
        </w:rPr>
        <w:t>本项目的地质勘探及测量（初勘、详勘），满足项目初步设计和施工图设计的需要，负责整体厂区的岩土工程勘察工作，含岩土工程勘察、取样与原位测试、室内试验、工程测量等内容。</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1、勘察报告要求提供详细的岩土工程资料和设计、施工所需的岩土参数及岩芯照片。</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2、查明不良地质作用的类型、成因、分布范围、发展趋势和危害程度，提出整治方案的建议。</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3、要求查明场地各层岩土的类型、深度、分布、工程特性、分析和评价地基的稳定性、均匀性；并提供地基变形计算参数，预测建筑物的变形特征。</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4、要求划分场地土类型和场地类别，划分对建筑有利和不利或危险的地段，提供场地土液化可能性及其等级。</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5、要求提供各岩土层的物理力学性质指标及地基土承载力，并对地基类型、基础形式、地基处理、基坑支护、工程降水等提出建议。</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6、查明地下水的类型、埋藏条件，提供初见地下水位、稳定地下水位及其变化幅度,应论证地下水在施工期间对环境的影响；确定抗浮设计的相关水位，以及水的渗透系数等；判定地下水和土对建筑材料的腐蚀性；季节性冻土地区，提供场地土的标准冻结深度；</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7、勘察孔深度应满足岩土工程勘察规范（GB50021-2001(2009版)）等相关要求。</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8、当相邻两勘探点土层及性能差异较大时应在其间补充钻点，并在取得2~3个勘察孔资料时，及时将资料知会设计人，钻孔数量及位置在钻探过程可根据现场实际情况作适当调整。</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9、要求测出各孔口的标高。</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10、除上述外尚应满足地方及国家相关规范及规定要求。</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11、按项目的建筑规划根据国家的法律、法规及有关主管部门的要求进行相关检测并出具报告书。</w:t>
      </w:r>
    </w:p>
    <w:p>
      <w:pPr>
        <w:spacing w:beforeLines="0" w:afterLines="0" w:line="600" w:lineRule="exact"/>
        <w:ind w:firstLine="480" w:firstLineChars="20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4.2.2勘察、测量工期</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工程初步勘察开工日期暂定202</w:t>
      </w:r>
      <w:r>
        <w:rPr>
          <w:rFonts w:hint="eastAsia" w:ascii="Times New Roman" w:hAnsi="Times New Roman" w:cs="Times New Roman"/>
          <w:color w:val="000000"/>
          <w:sz w:val="24"/>
          <w:highlight w:val="none"/>
          <w:lang w:val="en-US" w:eastAsia="zh-CN"/>
        </w:rPr>
        <w:t>3</w:t>
      </w:r>
      <w:r>
        <w:rPr>
          <w:rFonts w:hint="eastAsia" w:ascii="Times New Roman" w:hAnsi="Times New Roman" w:cs="Times New Roman"/>
          <w:color w:val="000000"/>
          <w:sz w:val="24"/>
          <w:highlight w:val="none"/>
        </w:rPr>
        <w:t>年  月  日（具体以甲方指定开工日期为准），工程详细勘察以甲方指定开工日期为准。</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（1）工期起计时间为</w:t>
      </w:r>
      <w:r>
        <w:rPr>
          <w:rFonts w:hint="eastAsia" w:ascii="Times New Roman" w:hAnsi="Times New Roman" w:cs="Times New Roman"/>
          <w:color w:val="000000"/>
          <w:sz w:val="24"/>
          <w:highlight w:val="none"/>
          <w:lang w:eastAsia="zh-CN"/>
        </w:rPr>
        <w:t>甲方</w:t>
      </w:r>
      <w:r>
        <w:rPr>
          <w:rFonts w:hint="eastAsia" w:ascii="Times New Roman" w:hAnsi="Times New Roman" w:cs="Times New Roman"/>
          <w:color w:val="000000"/>
          <w:sz w:val="24"/>
          <w:highlight w:val="none"/>
        </w:rPr>
        <w:t>下达开工通知当天</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lang w:val="en-US" w:eastAsia="zh-CN"/>
        </w:rPr>
        <w:t>初步</w:t>
      </w:r>
      <w:r>
        <w:rPr>
          <w:rFonts w:hint="eastAsia" w:ascii="Times New Roman" w:hAnsi="Times New Roman" w:cs="Times New Roman"/>
          <w:color w:val="000000"/>
          <w:sz w:val="24"/>
          <w:highlight w:val="none"/>
        </w:rPr>
        <w:t>勘察应在</w:t>
      </w:r>
      <w:r>
        <w:rPr>
          <w:rFonts w:hint="eastAsia" w:ascii="Times New Roman" w:hAnsi="Times New Roman" w:cs="Times New Roman"/>
          <w:color w:val="000000"/>
          <w:sz w:val="24"/>
          <w:highlight w:val="none"/>
          <w:lang w:val="en-US" w:eastAsia="zh-CN"/>
        </w:rPr>
        <w:t>5</w:t>
      </w:r>
      <w:r>
        <w:rPr>
          <w:rFonts w:hint="eastAsia" w:ascii="Times New Roman" w:hAnsi="Times New Roman" w:cs="Times New Roman"/>
          <w:color w:val="000000"/>
          <w:sz w:val="24"/>
          <w:highlight w:val="none"/>
        </w:rPr>
        <w:t>个日历日内完成</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rPr>
        <w:t>详细勘察应在场区土方平整后</w:t>
      </w:r>
      <w:r>
        <w:rPr>
          <w:rFonts w:hint="eastAsia" w:ascii="Times New Roman" w:hAnsi="Times New Roman" w:cs="Times New Roman"/>
          <w:color w:val="000000"/>
          <w:sz w:val="24"/>
          <w:highlight w:val="none"/>
          <w:lang w:val="en-US" w:eastAsia="zh-CN"/>
        </w:rPr>
        <w:t>15</w:t>
      </w:r>
      <w:r>
        <w:rPr>
          <w:rFonts w:hint="eastAsia" w:ascii="Times New Roman" w:hAnsi="Times New Roman" w:cs="Times New Roman"/>
          <w:color w:val="000000"/>
          <w:sz w:val="24"/>
          <w:highlight w:val="none"/>
        </w:rPr>
        <w:t>个日历日内完成</w:t>
      </w:r>
      <w:r>
        <w:rPr>
          <w:rFonts w:hint="eastAsia" w:ascii="Times New Roman" w:hAnsi="Times New Roman" w:cs="Times New Roman"/>
          <w:color w:val="000000"/>
          <w:sz w:val="24"/>
          <w:highlight w:val="none"/>
          <w:lang w:val="en-US" w:eastAsia="zh-CN"/>
        </w:rPr>
        <w:t>并退场</w:t>
      </w:r>
      <w:r>
        <w:rPr>
          <w:rFonts w:hint="eastAsia" w:ascii="Times New Roman" w:hAnsi="Times New Roman" w:cs="Times New Roman"/>
          <w:color w:val="000000"/>
          <w:sz w:val="24"/>
          <w:highlight w:val="none"/>
        </w:rPr>
        <w:t>。</w:t>
      </w:r>
    </w:p>
    <w:p>
      <w:pPr>
        <w:spacing w:beforeLines="0" w:afterLines="0" w:line="600" w:lineRule="exact"/>
        <w:ind w:firstLine="480" w:firstLineChars="200"/>
        <w:rPr>
          <w:rFonts w:hint="eastAsia" w:ascii="Times New Roman" w:hAnsi="Times New Roman" w:eastAsia="宋体" w:cs="Times New Roman"/>
          <w:color w:val="000000"/>
          <w:sz w:val="24"/>
          <w:highlight w:val="none"/>
          <w:lang w:val="en-US" w:eastAsia="zh-CN"/>
        </w:rPr>
      </w:pPr>
      <w:r>
        <w:rPr>
          <w:rFonts w:hint="eastAsia" w:ascii="Times New Roman" w:hAnsi="Times New Roman" w:cs="Times New Roman"/>
          <w:color w:val="000000"/>
          <w:sz w:val="24"/>
          <w:highlight w:val="none"/>
        </w:rPr>
        <w:t>（2）勘察人退场前应清理现场</w:t>
      </w:r>
      <w:r>
        <w:rPr>
          <w:rFonts w:hint="eastAsia" w:ascii="Times New Roman" w:hAnsi="Times New Roman" w:cs="Times New Roman"/>
          <w:color w:val="000000"/>
          <w:sz w:val="24"/>
          <w:highlight w:val="none"/>
          <w:lang w:val="en-US" w:eastAsia="zh-CN"/>
        </w:rPr>
        <w:t>堆</w:t>
      </w:r>
      <w:r>
        <w:rPr>
          <w:rFonts w:hint="eastAsia" w:ascii="Times New Roman" w:hAnsi="Times New Roman" w:cs="Times New Roman"/>
          <w:color w:val="000000"/>
          <w:sz w:val="24"/>
          <w:highlight w:val="none"/>
        </w:rPr>
        <w:t>土、淤泥、废弃物等垃圾，并平整恢复施工场地，勘察成果和试验报告应于</w:t>
      </w:r>
      <w:r>
        <w:rPr>
          <w:rFonts w:hint="eastAsia" w:ascii="Times New Roman" w:hAnsi="Times New Roman" w:cs="Times New Roman"/>
          <w:color w:val="000000"/>
          <w:sz w:val="24"/>
          <w:highlight w:val="none"/>
          <w:lang w:val="en-US" w:eastAsia="zh-CN"/>
        </w:rPr>
        <w:t>现场工作完成</w:t>
      </w:r>
      <w:r>
        <w:rPr>
          <w:rFonts w:hint="eastAsia" w:ascii="Times New Roman" w:hAnsi="Times New Roman" w:cs="Times New Roman"/>
          <w:color w:val="000000"/>
          <w:sz w:val="24"/>
          <w:highlight w:val="none"/>
        </w:rPr>
        <w:t>后</w:t>
      </w:r>
      <w:r>
        <w:rPr>
          <w:rFonts w:hint="eastAsia" w:ascii="Times New Roman" w:hAnsi="Times New Roman" w:cs="Times New Roman"/>
          <w:color w:val="000000"/>
          <w:sz w:val="24"/>
          <w:highlight w:val="none"/>
          <w:lang w:val="en-US" w:eastAsia="zh-CN"/>
        </w:rPr>
        <w:t>15</w:t>
      </w:r>
      <w:r>
        <w:rPr>
          <w:rFonts w:hint="eastAsia" w:ascii="Times New Roman" w:hAnsi="Times New Roman" w:cs="Times New Roman"/>
          <w:color w:val="000000"/>
          <w:sz w:val="24"/>
          <w:highlight w:val="none"/>
        </w:rPr>
        <w:t>日历天内提交，并确保勘察成果和试验报告的完整和真实性。合同服务期限为本合同生效之日起至本工程全厂竣工验收合格后满2年止。</w:t>
      </w:r>
    </w:p>
    <w:p>
      <w:pPr>
        <w:spacing w:beforeLines="0" w:afterLines="0" w:line="600" w:lineRule="exact"/>
        <w:ind w:firstLine="480" w:firstLineChars="20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4.2.3技术要求</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1.深度</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本阶段勘测应对各勘测区方案的稳定性做出最终评价，对勘测区的场地稳定性和岩土工程条件做出评价，预测工程建设可能引起的环境地质问题；确定地基类型；对地基处理方案或桩型进行论证。并提出详细的岩土工程资料和设计、施工所需的岩土参数，对地基做出岩土工程评价，并对地基类型、基础形式、地基处理、基坑支护、工程降水和不良地质作用的防治等提出建议。</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同时，勘察成果应须满足相关规范及设计要求。</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2.方法要求</w:t>
      </w:r>
    </w:p>
    <w:p>
      <w:pPr>
        <w:spacing w:beforeLines="0" w:afterLines="0" w:line="600" w:lineRule="exact"/>
        <w:ind w:firstLine="480" w:firstLineChars="200"/>
        <w:rPr>
          <w:rFonts w:hint="eastAsia" w:ascii="Times New Roman" w:hAnsi="Times New Roman" w:eastAsia="宋体" w:cs="Times New Roman"/>
          <w:color w:val="000000"/>
          <w:sz w:val="24"/>
          <w:highlight w:val="none"/>
          <w:lang w:eastAsia="zh-CN"/>
        </w:rPr>
      </w:pPr>
      <w:r>
        <w:rPr>
          <w:rFonts w:hint="eastAsia" w:ascii="Times New Roman" w:hAnsi="Times New Roman" w:cs="Times New Roman"/>
          <w:color w:val="000000"/>
          <w:sz w:val="24"/>
          <w:highlight w:val="none"/>
        </w:rPr>
        <w:t>应根据勘测区或场地的复杂程度结合岩土工程需要，有针对性地采用或综合采用各种勘测方法。本阶段勘测方法至少应有：工程物探</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rPr>
        <w:t>勘探与取样</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rPr>
        <w:t>室内实验与原位测试</w:t>
      </w:r>
      <w:r>
        <w:rPr>
          <w:rFonts w:hint="eastAsia" w:ascii="Times New Roman" w:hAnsi="Times New Roman" w:cs="Times New Roman"/>
          <w:color w:val="000000"/>
          <w:sz w:val="24"/>
          <w:highlight w:val="none"/>
          <w:lang w:eastAsia="zh-CN"/>
        </w:rPr>
        <w:t>、</w:t>
      </w:r>
      <w:r>
        <w:rPr>
          <w:rFonts w:hint="eastAsia" w:ascii="Times New Roman" w:hAnsi="Times New Roman" w:cs="Times New Roman"/>
          <w:color w:val="000000"/>
          <w:sz w:val="24"/>
          <w:highlight w:val="none"/>
        </w:rPr>
        <w:t>原体试验</w:t>
      </w:r>
      <w:r>
        <w:rPr>
          <w:rFonts w:hint="eastAsia" w:ascii="Times New Roman" w:hAnsi="Times New Roman" w:cs="Times New Roman"/>
          <w:color w:val="000000"/>
          <w:sz w:val="24"/>
          <w:highlight w:val="none"/>
          <w:lang w:eastAsia="zh-CN"/>
        </w:rPr>
        <w:t>。</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3.勘探点布置要求</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勘探点布置主要以设计院出具的《岩土勘察任务委托书》为准，同时可根据建筑场地的复杂程度、建筑物平面布置图确定勘探点的位置及数量。复杂地基的勘探点布置应适当加密。当采用岩石地基时，对基岩起伏较大或可溶岩分布的场地，宜选择代表性地段布置适量的探井或探槽。</w:t>
      </w:r>
    </w:p>
    <w:p>
      <w:pPr>
        <w:numPr>
          <w:ilvl w:val="0"/>
          <w:numId w:val="0"/>
        </w:num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lang w:val="en-US" w:eastAsia="zh-CN"/>
        </w:rPr>
        <w:t>4.</w:t>
      </w:r>
      <w:r>
        <w:rPr>
          <w:rFonts w:hint="eastAsia" w:ascii="Times New Roman" w:hAnsi="Times New Roman" w:cs="Times New Roman"/>
          <w:color w:val="000000"/>
          <w:sz w:val="24"/>
          <w:highlight w:val="none"/>
        </w:rPr>
        <w:t>勘察施工过程中须对周边及地下管网保护：在施工前进行管网探测，施工留够保护距离，同时施工过程中注意观察，一旦发现异常，立即停止钻进并采取相关措施，在确实得到有效保护后再恢复施工，不得野蛮施工。</w:t>
      </w:r>
    </w:p>
    <w:p>
      <w:pPr>
        <w:spacing w:beforeLines="0" w:afterLines="0" w:line="600" w:lineRule="exact"/>
        <w:ind w:firstLine="480" w:firstLineChars="200"/>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4.2.4成果要求</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乙方负责向甲方提交的勘察成果文件须满足以下要求：</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（1）根据勘察范围编制勘察成果（勘察报告）；</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（2）勘察成果需通过甲方、设计、施工图审查单位审查，并根据审查意见修改完善；</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（3）勘察成果终稿要求</w:t>
      </w:r>
      <w:r>
        <w:rPr>
          <w:rFonts w:ascii="Times New Roman" w:hAnsi="Times New Roman"/>
          <w:color w:val="000000"/>
          <w:sz w:val="24"/>
          <w:szCs w:val="24"/>
          <w:highlight w:val="none"/>
        </w:rPr>
        <w:t>装订成册，同时数量不少于</w:t>
      </w:r>
      <w:r>
        <w:rPr>
          <w:rFonts w:hint="eastAsia" w:ascii="Times New Roman" w:hAnsi="Times New Roman"/>
          <w:color w:val="000000"/>
          <w:sz w:val="24"/>
          <w:szCs w:val="24"/>
          <w:highlight w:val="none"/>
          <w:lang w:val="en-US" w:eastAsia="zh-CN"/>
        </w:rPr>
        <w:t>15</w:t>
      </w:r>
      <w:r>
        <w:rPr>
          <w:rFonts w:ascii="Times New Roman" w:hAnsi="Times New Roman"/>
          <w:color w:val="000000"/>
          <w:sz w:val="24"/>
          <w:szCs w:val="24"/>
          <w:highlight w:val="none"/>
        </w:rPr>
        <w:t>份，能满足施工需要及相关要求</w:t>
      </w:r>
      <w:r>
        <w:rPr>
          <w:rFonts w:hint="eastAsia" w:ascii="Times New Roman" w:hAnsi="Times New Roman"/>
          <w:color w:val="000000"/>
          <w:sz w:val="24"/>
          <w:szCs w:val="24"/>
          <w:highlight w:val="none"/>
          <w:lang w:eastAsia="zh-CN"/>
        </w:rPr>
        <w:t>，</w:t>
      </w:r>
      <w:r>
        <w:rPr>
          <w:rFonts w:hint="eastAsia" w:ascii="Times New Roman" w:hAnsi="Times New Roman" w:cs="Times New Roman"/>
          <w:color w:val="000000"/>
          <w:sz w:val="24"/>
          <w:highlight w:val="none"/>
        </w:rPr>
        <w:t>装订要求按照甲方的图档管理办法</w:t>
      </w:r>
      <w:r>
        <w:rPr>
          <w:rFonts w:hint="eastAsia" w:ascii="Times New Roman" w:hAnsi="Times New Roman" w:cs="Times New Roman"/>
          <w:color w:val="000000"/>
          <w:sz w:val="24"/>
          <w:highlight w:val="none"/>
          <w:lang w:eastAsia="zh-CN"/>
        </w:rPr>
        <w:t>；</w:t>
      </w:r>
      <w:r>
        <w:rPr>
          <w:rFonts w:ascii="Times New Roman" w:hAnsi="Times New Roman"/>
          <w:color w:val="000000"/>
          <w:sz w:val="24"/>
          <w:szCs w:val="24"/>
          <w:highlight w:val="none"/>
        </w:rPr>
        <w:t>电子文件</w:t>
      </w: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套（电子文件须包含dwg</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lang w:val="en-US" w:eastAsia="zh-CN"/>
        </w:rPr>
        <w:t>word</w:t>
      </w:r>
      <w:r>
        <w:rPr>
          <w:rFonts w:ascii="Times New Roman" w:hAnsi="Times New Roman"/>
          <w:color w:val="000000"/>
          <w:sz w:val="24"/>
          <w:szCs w:val="24"/>
          <w:highlight w:val="none"/>
        </w:rPr>
        <w:t>和pdf文件</w:t>
      </w:r>
      <w:r>
        <w:rPr>
          <w:rFonts w:hint="eastAsia" w:ascii="Times New Roman" w:hAnsi="Times New Roman"/>
          <w:color w:val="000000"/>
          <w:sz w:val="24"/>
          <w:szCs w:val="24"/>
          <w:highlight w:val="none"/>
          <w:lang w:val="en-US" w:eastAsia="zh-CN"/>
        </w:rPr>
        <w:t>格式</w:t>
      </w:r>
      <w:r>
        <w:rPr>
          <w:rFonts w:ascii="Times New Roman" w:hAnsi="Times New Roman"/>
          <w:color w:val="000000"/>
          <w:sz w:val="24"/>
          <w:szCs w:val="24"/>
          <w:highlight w:val="none"/>
        </w:rPr>
        <w:t>）</w:t>
      </w:r>
      <w:r>
        <w:rPr>
          <w:rFonts w:hint="eastAsia" w:ascii="Times New Roman" w:hAnsi="Times New Roman" w:cs="Times New Roman"/>
          <w:color w:val="000000"/>
          <w:sz w:val="24"/>
          <w:highlight w:val="none"/>
        </w:rPr>
        <w:t>；</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（4）勘察控制点复印件需作为成果附件编录；</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（5）以下资料属于勘察成果文件的组成部分，均须有项目负责人签名及身份证号码，同时作为申请支付勘察费用的支持材料，包括：</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①勘察机械设备进出场时间记录；</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②勘察工作的全过程勘察记录，包含全过程作业现场录像资料（光盘）；</w:t>
      </w:r>
    </w:p>
    <w:p>
      <w:pPr>
        <w:spacing w:beforeLines="0" w:afterLines="0" w:line="600" w:lineRule="exact"/>
        <w:ind w:firstLine="480" w:firstLineChars="200"/>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③每个勘探钻孔及钻孔岩土样本的照片。</w:t>
      </w:r>
    </w:p>
    <w:p>
      <w:pPr>
        <w:pStyle w:val="41"/>
        <w:widowControl w:val="0"/>
        <w:numPr>
          <w:ilvl w:val="0"/>
          <w:numId w:val="0"/>
        </w:numPr>
        <w:spacing w:beforeLines="0" w:after="0" w:afterLines="0" w:line="600" w:lineRule="exact"/>
        <w:ind w:left="0" w:leftChars="0" w:firstLine="0"/>
        <w:jc w:val="both"/>
        <w:rPr>
          <w:rFonts w:hint="eastAsia" w:ascii="Times New Roman" w:hAnsi="Times New Roman" w:cs="Times New Roman"/>
          <w:color w:val="000000"/>
          <w:sz w:val="24"/>
          <w:highlight w:val="none"/>
        </w:rPr>
      </w:pPr>
      <w:r>
        <w:rPr>
          <w:rFonts w:hint="eastAsia" w:ascii="Times New Roman" w:hAnsi="Times New Roman" w:cs="Times New Roman"/>
          <w:color w:val="000000"/>
          <w:sz w:val="24"/>
          <w:highlight w:val="none"/>
        </w:rPr>
        <w:t>其他需要的</w:t>
      </w:r>
      <w:r>
        <w:rPr>
          <w:rFonts w:hint="eastAsia" w:ascii="Times New Roman" w:hAnsi="Times New Roman" w:cs="Times New Roman"/>
          <w:color w:val="000000"/>
          <w:sz w:val="24"/>
          <w:highlight w:val="none"/>
          <w:lang w:val="en-US" w:eastAsia="zh-CN"/>
        </w:rPr>
        <w:t>相关资料</w:t>
      </w:r>
      <w:r>
        <w:rPr>
          <w:rFonts w:hint="eastAsia" w:ascii="Times New Roman" w:hAnsi="Times New Roman" w:cs="Times New Roman"/>
          <w:color w:val="000000"/>
          <w:sz w:val="24"/>
          <w:highlight w:val="none"/>
        </w:rPr>
        <w:t>。</w:t>
      </w:r>
    </w:p>
    <w:p>
      <w:pPr>
        <w:pStyle w:val="4"/>
        <w:numPr>
          <w:ilvl w:val="0"/>
          <w:numId w:val="0"/>
        </w:numPr>
        <w:tabs>
          <w:tab w:val="left" w:pos="432"/>
        </w:tabs>
        <w:spacing w:before="0" w:beforeLines="0" w:after="0" w:afterLines="0" w:line="600" w:lineRule="exact"/>
        <w:ind w:left="0" w:firstLine="482" w:firstLineChars="200"/>
        <w:jc w:val="both"/>
        <w:rPr>
          <w:rFonts w:hint="eastAsia" w:ascii="Times New Roman" w:hAnsi="Times New Roman" w:eastAsia="宋体"/>
          <w:b/>
          <w:bCs/>
          <w:color w:val="000000"/>
          <w:sz w:val="24"/>
          <w:szCs w:val="24"/>
          <w:highlight w:val="none"/>
          <w:lang w:val="en-US" w:eastAsia="zh-CN"/>
        </w:rPr>
      </w:pPr>
      <w:r>
        <w:rPr>
          <w:rFonts w:hint="eastAsia" w:ascii="Times New Roman" w:hAnsi="Times New Roman" w:eastAsia="宋体"/>
          <w:b/>
          <w:bCs/>
          <w:color w:val="000000"/>
          <w:sz w:val="24"/>
          <w:szCs w:val="24"/>
          <w:highlight w:val="none"/>
          <w:lang w:val="en-US" w:eastAsia="zh-CN"/>
        </w:rPr>
        <w:t>五、设计原则</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5.1基本原则</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5.1.1总体设计达到综合技术水平、厂区环境达到国内一流、国际先进；采用技术先进、环保达标、安全卫生、运行可靠、经济合理设计理念，打造先进、具有特色的</w:t>
      </w:r>
      <w:r>
        <w:rPr>
          <w:rFonts w:hint="eastAsia" w:ascii="Times New Roman" w:hAnsi="Times New Roman"/>
          <w:color w:val="000000"/>
          <w:sz w:val="24"/>
          <w:szCs w:val="24"/>
          <w:highlight w:val="none"/>
          <w:lang w:val="en-US" w:eastAsia="zh-CN"/>
        </w:rPr>
        <w:t>动力电池梯次利用项目</w:t>
      </w:r>
      <w:r>
        <w:rPr>
          <w:rFonts w:ascii="Times New Roman" w:hAnsi="Times New Roman"/>
          <w:color w:val="000000"/>
          <w:sz w:val="24"/>
          <w:szCs w:val="24"/>
          <w:highlight w:val="none"/>
        </w:rPr>
        <w:t>。</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5.1.2厂房外观设计上需与</w:t>
      </w:r>
      <w:r>
        <w:rPr>
          <w:rFonts w:hint="eastAsia" w:ascii="Times New Roman" w:hAnsi="Times New Roman"/>
          <w:color w:val="000000"/>
          <w:sz w:val="24"/>
          <w:szCs w:val="24"/>
          <w:highlight w:val="none"/>
          <w:lang w:val="en-US" w:eastAsia="zh-CN"/>
        </w:rPr>
        <w:t>番禺</w:t>
      </w:r>
      <w:r>
        <w:rPr>
          <w:rFonts w:ascii="Times New Roman" w:hAnsi="Times New Roman"/>
          <w:color w:val="000000"/>
          <w:sz w:val="24"/>
          <w:szCs w:val="24"/>
          <w:highlight w:val="none"/>
        </w:rPr>
        <w:t>园区整体规划设计和谐统一、有机结合，</w:t>
      </w:r>
      <w:r>
        <w:rPr>
          <w:rFonts w:hint="eastAsia"/>
          <w:color w:val="000000"/>
          <w:sz w:val="24"/>
          <w:szCs w:val="28"/>
          <w:highlight w:val="none"/>
        </w:rPr>
        <w:t>考虑去工业化的设计元素。</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5.1.3限额设计，在拟定的投标设计额度内对本项目进行设计，确保本工程竣工验收结算后的</w:t>
      </w:r>
      <w:r>
        <w:rPr>
          <w:rFonts w:hint="eastAsia"/>
          <w:color w:val="000000"/>
          <w:sz w:val="24"/>
          <w:szCs w:val="24"/>
          <w:highlight w:val="none"/>
          <w:lang w:eastAsia="zh-CN"/>
        </w:rPr>
        <w:t>甲方</w:t>
      </w:r>
      <w:r>
        <w:rPr>
          <w:rFonts w:ascii="Times New Roman" w:hAnsi="Times New Roman"/>
          <w:color w:val="000000"/>
          <w:sz w:val="24"/>
          <w:szCs w:val="24"/>
          <w:highlight w:val="none"/>
        </w:rPr>
        <w:t>最终总投资不突破</w:t>
      </w:r>
      <w:r>
        <w:rPr>
          <w:rFonts w:hint="eastAsia" w:ascii="Times New Roman" w:hAnsi="Times New Roman"/>
          <w:color w:val="000000"/>
          <w:sz w:val="24"/>
          <w:szCs w:val="24"/>
          <w:highlight w:val="none"/>
          <w:lang w:val="en-US" w:eastAsia="zh-CN"/>
        </w:rPr>
        <w:t>备案</w:t>
      </w:r>
      <w:r>
        <w:rPr>
          <w:rFonts w:ascii="Times New Roman" w:hAnsi="Times New Roman"/>
          <w:color w:val="000000"/>
          <w:sz w:val="24"/>
          <w:szCs w:val="24"/>
          <w:highlight w:val="none"/>
        </w:rPr>
        <w:t>的</w:t>
      </w:r>
      <w:r>
        <w:rPr>
          <w:rFonts w:hint="eastAsia" w:ascii="Times New Roman" w:hAnsi="Times New Roman"/>
          <w:color w:val="000000"/>
          <w:sz w:val="24"/>
          <w:szCs w:val="24"/>
          <w:highlight w:val="none"/>
          <w:lang w:val="en-US" w:eastAsia="zh-CN"/>
        </w:rPr>
        <w:t>项目</w:t>
      </w:r>
      <w:r>
        <w:rPr>
          <w:rFonts w:ascii="Times New Roman" w:hAnsi="Times New Roman"/>
          <w:color w:val="000000"/>
          <w:sz w:val="24"/>
          <w:szCs w:val="24"/>
          <w:highlight w:val="none"/>
        </w:rPr>
        <w:t>总投资。</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5.1.4结合各工程的具体情况，重点遵循以下原则：</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1）符合</w:t>
      </w:r>
      <w:r>
        <w:rPr>
          <w:rFonts w:hint="eastAsia" w:ascii="Times New Roman" w:hAnsi="Times New Roman"/>
          <w:color w:val="000000"/>
          <w:sz w:val="24"/>
          <w:szCs w:val="24"/>
          <w:highlight w:val="none"/>
          <w:lang w:val="en-US" w:eastAsia="zh-CN"/>
        </w:rPr>
        <w:t>项目地块</w:t>
      </w:r>
      <w:r>
        <w:rPr>
          <w:rFonts w:ascii="Times New Roman" w:hAnsi="Times New Roman"/>
          <w:color w:val="000000"/>
          <w:sz w:val="24"/>
          <w:szCs w:val="24"/>
          <w:highlight w:val="none"/>
        </w:rPr>
        <w:t>规划</w:t>
      </w:r>
      <w:r>
        <w:rPr>
          <w:rFonts w:hint="eastAsia" w:ascii="Times New Roman" w:hAnsi="Times New Roman"/>
          <w:color w:val="000000"/>
          <w:sz w:val="24"/>
          <w:szCs w:val="24"/>
          <w:highlight w:val="none"/>
          <w:lang w:val="en-US" w:eastAsia="zh-CN"/>
        </w:rPr>
        <w:t>条件</w:t>
      </w:r>
      <w:r>
        <w:rPr>
          <w:rFonts w:ascii="Times New Roman" w:hAnsi="Times New Roman"/>
          <w:color w:val="000000"/>
          <w:sz w:val="24"/>
          <w:szCs w:val="24"/>
          <w:highlight w:val="none"/>
        </w:rPr>
        <w:t>，与</w:t>
      </w:r>
      <w:r>
        <w:rPr>
          <w:rFonts w:hint="eastAsia" w:ascii="Times New Roman" w:hAnsi="Times New Roman"/>
          <w:color w:val="000000"/>
          <w:sz w:val="24"/>
          <w:szCs w:val="24"/>
          <w:highlight w:val="none"/>
          <w:lang w:val="en-US" w:eastAsia="zh-CN"/>
        </w:rPr>
        <w:t>番禺园区环境</w:t>
      </w:r>
      <w:r>
        <w:rPr>
          <w:rFonts w:ascii="Times New Roman" w:hAnsi="Times New Roman"/>
          <w:color w:val="000000"/>
          <w:sz w:val="24"/>
          <w:szCs w:val="24"/>
          <w:highlight w:val="none"/>
        </w:rPr>
        <w:t>和谐统一。</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优选国内外经生产实践考验的新工艺、新技术和新设备，生产工艺简单、安全可靠、技术先进、自动化程度高、全流程监控、投资经济合理，使该厂在综合技术水平方面达到较高水平，以达到提高生产效率、减轻劳动强度、改善工作环境的效果，确保安全、文明生产。</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2）保护环境、防止二次污染。污染物排放指标满足国家排放标准，并考虑未来发展的需要。</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3）厂区建筑以现代风格为主，力求简洁、明快；外立面设计须与园区工程和谐统一，有机结合。</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4）合理利用土地，在满足生产工艺要求的情况下，尽量少占地，建筑物尽量集中布置，留出</w:t>
      </w:r>
      <w:r>
        <w:rPr>
          <w:rFonts w:hint="eastAsia" w:ascii="Times New Roman" w:hAnsi="Times New Roman"/>
          <w:color w:val="000000"/>
          <w:sz w:val="24"/>
          <w:szCs w:val="24"/>
          <w:highlight w:val="none"/>
          <w:lang w:val="en-US" w:eastAsia="zh-CN"/>
        </w:rPr>
        <w:t>合理</w:t>
      </w:r>
      <w:r>
        <w:rPr>
          <w:rFonts w:ascii="Times New Roman" w:hAnsi="Times New Roman"/>
          <w:color w:val="000000"/>
          <w:sz w:val="24"/>
          <w:szCs w:val="24"/>
          <w:highlight w:val="none"/>
        </w:rPr>
        <w:t>的绿化用地，即美化了环境，又可降低环境噪音。</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5）系统设计要节约用水、用电、提高能源的再利用率、降低运行成本，使本项目在取得环境效益、社会效益的同时，还能取得较好的经济效益。</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6</w:t>
      </w:r>
      <w:r>
        <w:rPr>
          <w:rFonts w:ascii="Times New Roman" w:hAnsi="Times New Roman"/>
          <w:color w:val="000000"/>
          <w:sz w:val="24"/>
          <w:szCs w:val="24"/>
          <w:highlight w:val="none"/>
        </w:rPr>
        <w:t>）厂房外墙的设计必须美观且具良好的隔音、隔热及易维护的特性。厂房内设计必须具有良好的散热、通风和采光，符合国家现行的节能减排的规范要求。</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厂房通风散热及采光，以自然通风散热为主，机械通风为辅。采用以自然采光主，灯光为辅。</w:t>
      </w:r>
    </w:p>
    <w:p>
      <w:pPr>
        <w:pStyle w:val="119"/>
        <w:adjustRightInd w:val="0"/>
        <w:snapToGrid w:val="0"/>
        <w:spacing w:beforeLines="0" w:afterLines="0" w:line="600" w:lineRule="exact"/>
        <w:ind w:firstLine="480" w:firstLineChars="200"/>
        <w:rPr>
          <w:rFonts w:ascii="Times New Roman" w:hAnsi="Times New Roman" w:eastAsia="宋体"/>
          <w:color w:val="000000"/>
          <w:sz w:val="24"/>
          <w:szCs w:val="24"/>
          <w:highlight w:val="none"/>
        </w:rPr>
      </w:pPr>
      <w:r>
        <w:rPr>
          <w:rFonts w:hint="default" w:ascii="Times New Roman" w:hAnsi="Times New Roman" w:eastAsia="宋体"/>
          <w:color w:val="000000"/>
          <w:sz w:val="24"/>
          <w:szCs w:val="24"/>
          <w:highlight w:val="none"/>
          <w:lang w:val="en-US" w:eastAsia="zh-CN"/>
        </w:rPr>
        <w:t>考虑本项目行业特点，需考虑屋面预留荷载布置光伏发电及储能设备，停车场布置一定数量的充电桩及光储设施，以便开展实际应用场景的研究。</w:t>
      </w:r>
    </w:p>
    <w:p>
      <w:pPr>
        <w:pStyle w:val="119"/>
        <w:adjustRightInd w:val="0"/>
        <w:snapToGrid w:val="0"/>
        <w:spacing w:beforeLines="0" w:afterLines="0" w:line="600" w:lineRule="exact"/>
        <w:ind w:firstLine="480" w:firstLineChars="200"/>
        <w:rPr>
          <w:rFonts w:hint="eastAsia" w:ascii="Times New Roman" w:hAnsi="Times New Roman" w:eastAsia="宋体"/>
          <w:color w:val="000000"/>
          <w:sz w:val="24"/>
          <w:szCs w:val="24"/>
          <w:highlight w:val="none"/>
          <w:lang w:eastAsia="zh-CN"/>
        </w:rPr>
      </w:pPr>
      <w:r>
        <w:rPr>
          <w:rFonts w:hint="eastAsia" w:ascii="Times New Roman" w:hAnsi="Times New Roman"/>
          <w:color w:val="000000"/>
          <w:sz w:val="24"/>
          <w:szCs w:val="24"/>
          <w:highlight w:val="none"/>
          <w:lang w:val="en-US" w:eastAsia="zh-CN"/>
        </w:rPr>
        <w:t>7</w:t>
      </w:r>
      <w:r>
        <w:rPr>
          <w:rFonts w:ascii="Times New Roman" w:hAnsi="Times New Roman"/>
          <w:color w:val="000000"/>
          <w:sz w:val="24"/>
          <w:szCs w:val="24"/>
          <w:highlight w:val="none"/>
        </w:rPr>
        <w:t>）其他要求（具体在项目实施时确定）</w:t>
      </w:r>
      <w:r>
        <w:rPr>
          <w:rFonts w:hint="eastAsia" w:ascii="Times New Roman" w:hAnsi="Times New Roman"/>
          <w:color w:val="000000"/>
          <w:sz w:val="24"/>
          <w:szCs w:val="24"/>
          <w:highlight w:val="none"/>
          <w:lang w:eastAsia="zh-CN"/>
        </w:rPr>
        <w:t>。</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5.2项目的总平面布置</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（1）总平面规划:符合</w:t>
      </w:r>
      <w:r>
        <w:rPr>
          <w:rFonts w:hint="eastAsia" w:ascii="Times New Roman" w:hAnsi="Times New Roman"/>
          <w:color w:val="000000"/>
          <w:sz w:val="24"/>
          <w:szCs w:val="24"/>
          <w:highlight w:val="none"/>
          <w:lang w:val="en-US" w:eastAsia="zh-CN"/>
        </w:rPr>
        <w:t>地块</w:t>
      </w:r>
      <w:r>
        <w:rPr>
          <w:rFonts w:hint="eastAsia" w:ascii="Times New Roman" w:hAnsi="Times New Roman"/>
          <w:color w:val="000000"/>
          <w:sz w:val="24"/>
          <w:szCs w:val="24"/>
          <w:highlight w:val="none"/>
        </w:rPr>
        <w:t>规划条件，</w:t>
      </w:r>
      <w:r>
        <w:rPr>
          <w:rFonts w:ascii="Times New Roman" w:hAnsi="Times New Roman"/>
          <w:color w:val="000000"/>
          <w:sz w:val="24"/>
          <w:szCs w:val="24"/>
          <w:highlight w:val="none"/>
        </w:rPr>
        <w:t>满足</w:t>
      </w:r>
      <w:r>
        <w:rPr>
          <w:rFonts w:hint="eastAsia" w:ascii="Times New Roman" w:hAnsi="Times New Roman"/>
          <w:color w:val="000000"/>
          <w:sz w:val="24"/>
          <w:szCs w:val="24"/>
          <w:highlight w:val="none"/>
          <w:lang w:val="en-US" w:eastAsia="zh-CN"/>
        </w:rPr>
        <w:t>项目</w:t>
      </w:r>
      <w:r>
        <w:rPr>
          <w:rFonts w:ascii="Times New Roman" w:hAnsi="Times New Roman"/>
          <w:color w:val="000000"/>
          <w:sz w:val="24"/>
          <w:szCs w:val="24"/>
          <w:highlight w:val="none"/>
        </w:rPr>
        <w:t>的工艺流程，从实际情况出发，</w:t>
      </w:r>
      <w:r>
        <w:rPr>
          <w:rFonts w:hint="eastAsia" w:ascii="Times New Roman" w:hAnsi="Times New Roman"/>
          <w:color w:val="000000"/>
          <w:sz w:val="24"/>
          <w:szCs w:val="24"/>
          <w:highlight w:val="none"/>
        </w:rPr>
        <w:t>合理利用土地，因地制宜、充分考虑地域环境条件，减少对周围环境损害的原则，合理规划功能区分区，</w:t>
      </w:r>
      <w:r>
        <w:rPr>
          <w:rFonts w:ascii="Times New Roman" w:hAnsi="Times New Roman"/>
          <w:color w:val="000000"/>
          <w:sz w:val="24"/>
          <w:szCs w:val="24"/>
          <w:highlight w:val="none"/>
        </w:rPr>
        <w:t>平面布局合理</w:t>
      </w:r>
      <w:r>
        <w:rPr>
          <w:rFonts w:hint="eastAsia" w:ascii="Times New Roman" w:hAnsi="Times New Roman"/>
          <w:color w:val="000000"/>
          <w:sz w:val="24"/>
          <w:szCs w:val="24"/>
          <w:highlight w:val="none"/>
          <w:lang w:eastAsia="zh-CN"/>
        </w:rPr>
        <w:t>，</w:t>
      </w:r>
      <w:r>
        <w:rPr>
          <w:rFonts w:hint="eastAsia" w:ascii="Times New Roman" w:hAnsi="Times New Roman"/>
          <w:color w:val="000000"/>
          <w:sz w:val="24"/>
          <w:szCs w:val="24"/>
          <w:highlight w:val="none"/>
        </w:rPr>
        <w:t>满足安全、消防、物料运输</w:t>
      </w:r>
      <w:r>
        <w:rPr>
          <w:rFonts w:hint="eastAsia" w:ascii="Times New Roman" w:hAnsi="Times New Roman"/>
          <w:color w:val="000000"/>
          <w:sz w:val="24"/>
          <w:szCs w:val="24"/>
          <w:highlight w:val="none"/>
          <w:lang w:val="en-US" w:eastAsia="zh-CN"/>
        </w:rPr>
        <w:t>便捷、</w:t>
      </w:r>
      <w:r>
        <w:rPr>
          <w:rFonts w:ascii="Times New Roman" w:hAnsi="Times New Roman"/>
          <w:color w:val="000000"/>
          <w:sz w:val="24"/>
          <w:szCs w:val="24"/>
          <w:highlight w:val="none"/>
        </w:rPr>
        <w:t>生产管理方便</w:t>
      </w:r>
      <w:r>
        <w:rPr>
          <w:rFonts w:hint="eastAsia" w:ascii="Times New Roman" w:hAnsi="Times New Roman"/>
          <w:color w:val="000000"/>
          <w:sz w:val="24"/>
          <w:szCs w:val="24"/>
          <w:highlight w:val="none"/>
        </w:rPr>
        <w:t>的要求；</w:t>
      </w:r>
    </w:p>
    <w:p>
      <w:pPr>
        <w:pStyle w:val="119"/>
        <w:adjustRightInd w:val="0"/>
        <w:snapToGrid w:val="0"/>
        <w:spacing w:beforeLines="0" w:afterLines="0" w:line="600" w:lineRule="exact"/>
        <w:ind w:firstLine="480" w:firstLineChars="200"/>
        <w:rPr>
          <w:rFonts w:hint="default" w:ascii="Times New Roman" w:hAnsi="Times New Roman" w:eastAsia="宋体"/>
          <w:color w:val="000000"/>
          <w:sz w:val="24"/>
          <w:szCs w:val="24"/>
          <w:highlight w:val="none"/>
          <w:lang w:val="en-US" w:eastAsia="zh-CN"/>
        </w:rPr>
      </w:pPr>
      <w:r>
        <w:rPr>
          <w:rFonts w:hint="eastAsia" w:ascii="Times New Roman" w:hAnsi="Times New Roman"/>
          <w:color w:val="000000"/>
          <w:sz w:val="24"/>
          <w:szCs w:val="24"/>
          <w:highlight w:val="none"/>
        </w:rPr>
        <w:t>（2）工艺及物流组织：车间布局符合工艺要求，合理组织生产物流、成品车流线、人流的关系，保证生产的安全、高效；满足交通流线及开口要求；</w:t>
      </w:r>
      <w:r>
        <w:rPr>
          <w:rFonts w:hint="eastAsia" w:ascii="Times New Roman" w:hAnsi="Times New Roman"/>
          <w:color w:val="000000"/>
          <w:sz w:val="24"/>
          <w:szCs w:val="24"/>
          <w:highlight w:val="none"/>
          <w:lang w:val="en-US" w:eastAsia="zh-CN"/>
        </w:rPr>
        <w:t>满足办公区和生活区分开要求；</w:t>
      </w:r>
    </w:p>
    <w:p>
      <w:pPr>
        <w:pStyle w:val="119"/>
        <w:adjustRightInd w:val="0"/>
        <w:snapToGrid w:val="0"/>
        <w:spacing w:beforeLines="0" w:afterLines="0" w:line="600" w:lineRule="exact"/>
        <w:ind w:firstLine="480" w:firstLineChars="200"/>
        <w:rPr>
          <w:rFonts w:hint="eastAsia" w:ascii="Times New Roman" w:hAnsi="Times New Roman" w:eastAsia="宋体"/>
          <w:color w:val="000000"/>
          <w:sz w:val="24"/>
          <w:szCs w:val="24"/>
          <w:highlight w:val="none"/>
        </w:rPr>
      </w:pPr>
      <w:r>
        <w:rPr>
          <w:rFonts w:hint="eastAsia" w:ascii="Times New Roman" w:hAnsi="Times New Roman"/>
          <w:color w:val="000000"/>
          <w:sz w:val="24"/>
          <w:szCs w:val="24"/>
          <w:highlight w:val="none"/>
        </w:rPr>
        <w:t>（3）新建道路应与项目所在园区路网协调，标准统一，新设人流、物流入口及道路应</w:t>
      </w:r>
      <w:r>
        <w:rPr>
          <w:rFonts w:hint="eastAsia" w:ascii="Times New Roman" w:hAnsi="Times New Roman" w:eastAsia="宋体"/>
          <w:color w:val="000000"/>
          <w:sz w:val="24"/>
          <w:szCs w:val="24"/>
          <w:highlight w:val="none"/>
        </w:rPr>
        <w:t>符合规划要求。</w:t>
      </w:r>
    </w:p>
    <w:p>
      <w:pPr>
        <w:pStyle w:val="119"/>
        <w:adjustRightInd w:val="0"/>
        <w:snapToGrid w:val="0"/>
        <w:spacing w:beforeLines="0" w:afterLines="0" w:line="600" w:lineRule="exact"/>
        <w:ind w:firstLine="480" w:firstLineChars="200"/>
        <w:rPr>
          <w:rFonts w:hint="eastAsia" w:ascii="Times New Roman" w:hAnsi="Times New Roman" w:eastAsia="宋体"/>
          <w:color w:val="000000"/>
          <w:sz w:val="24"/>
          <w:szCs w:val="24"/>
          <w:highlight w:val="none"/>
        </w:rPr>
      </w:pPr>
      <w:r>
        <w:rPr>
          <w:rFonts w:hint="eastAsia" w:ascii="Times New Roman" w:hAnsi="Times New Roman" w:eastAsia="宋体"/>
          <w:color w:val="000000"/>
          <w:sz w:val="24"/>
          <w:szCs w:val="24"/>
          <w:highlight w:val="none"/>
          <w:lang w:val="en-US" w:eastAsia="zh-CN"/>
        </w:rPr>
        <w:t>（4）</w:t>
      </w:r>
      <w:r>
        <w:rPr>
          <w:rFonts w:hint="eastAsia" w:ascii="Times New Roman" w:hAnsi="Times New Roman" w:eastAsia="宋体"/>
          <w:color w:val="000000"/>
          <w:sz w:val="24"/>
          <w:szCs w:val="24"/>
          <w:highlight w:val="none"/>
        </w:rPr>
        <w:t>根据地形特点，充分考虑防洪防涝等设计。</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5.3厂内道路</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根据项目的运输量，实现场内道路洁污分流、人货分流。充分考虑与园区道路规划的结合，物料运输要避开园区人流量较大的区域。</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5.4工艺设计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color w:val="000000"/>
          <w:sz w:val="24"/>
          <w:szCs w:val="24"/>
          <w:highlight w:val="none"/>
          <w:lang w:eastAsia="zh-CN"/>
        </w:rPr>
        <w:t>乙方</w:t>
      </w:r>
      <w:r>
        <w:rPr>
          <w:rFonts w:ascii="Times New Roman" w:hAnsi="Times New Roman"/>
          <w:color w:val="000000"/>
          <w:sz w:val="24"/>
          <w:szCs w:val="24"/>
          <w:highlight w:val="none"/>
        </w:rPr>
        <w:t>在做整体设计时必须采用目前世界先进、成熟的工艺技术，设备运行稳定性要高于国内现有</w:t>
      </w:r>
      <w:r>
        <w:rPr>
          <w:rFonts w:hint="eastAsia" w:ascii="Times New Roman" w:hAnsi="Times New Roman"/>
          <w:color w:val="000000"/>
          <w:sz w:val="24"/>
          <w:szCs w:val="24"/>
          <w:highlight w:val="none"/>
          <w:lang w:val="en-US" w:eastAsia="zh-CN"/>
        </w:rPr>
        <w:t>标准</w:t>
      </w:r>
      <w:r>
        <w:rPr>
          <w:rFonts w:ascii="Times New Roman" w:hAnsi="Times New Roman"/>
          <w:color w:val="000000"/>
          <w:sz w:val="24"/>
          <w:szCs w:val="24"/>
          <w:highlight w:val="none"/>
        </w:rPr>
        <w:t>，各项污染物排放指标采用较高标准，并在一定程度上满足未来发展需要。</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5.5建筑与结构</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ascii="Times New Roman" w:hAnsi="Times New Roman"/>
          <w:color w:val="000000"/>
          <w:sz w:val="24"/>
          <w:szCs w:val="24"/>
          <w:highlight w:val="none"/>
        </w:rPr>
        <w:t>主体结构采用钢筋混凝土结构和钢结构设计，</w:t>
      </w:r>
      <w:r>
        <w:rPr>
          <w:rFonts w:hint="eastAsia" w:ascii="Times New Roman" w:hAnsi="Times New Roman"/>
          <w:color w:val="000000"/>
          <w:sz w:val="24"/>
          <w:szCs w:val="24"/>
          <w:highlight w:val="none"/>
          <w:lang w:val="en-US" w:eastAsia="zh-CN"/>
        </w:rPr>
        <w:t>满足装配式的要求（实施装配式建筑的面积比例不低于总建筑面积的40%）。</w:t>
      </w:r>
      <w:r>
        <w:rPr>
          <w:rFonts w:ascii="Times New Roman" w:hAnsi="Times New Roman"/>
          <w:color w:val="000000"/>
          <w:sz w:val="24"/>
          <w:szCs w:val="24"/>
          <w:highlight w:val="none"/>
        </w:rPr>
        <w:t>厂房应依据工艺布置及建筑功能的不同进行合理设计，同时应考虑防腐蚀、密闭性、除臭、通风采光等的要求，并满足厂房柱距大、跨度大、厂房高度高等工艺要求。</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lang w:val="en-US" w:eastAsia="zh-CN"/>
        </w:rPr>
        <w:t>2</w:t>
      </w:r>
      <w:r>
        <w:rPr>
          <w:rFonts w:hint="eastAsia" w:ascii="Times New Roman" w:hAnsi="Times New Roman"/>
          <w:color w:val="000000"/>
          <w:sz w:val="24"/>
          <w:szCs w:val="24"/>
          <w:highlight w:val="none"/>
        </w:rPr>
        <w:t>）建筑外观:建筑形式清晰、细腻、简洁，视觉效果良好，建筑外观与已有建筑及周边环境整体和谐，体现项目的特色。</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lang w:val="en-US" w:eastAsia="zh-CN"/>
        </w:rPr>
        <w:t>3</w:t>
      </w:r>
      <w:r>
        <w:rPr>
          <w:rFonts w:hint="eastAsia" w:ascii="Times New Roman" w:hAnsi="Times New Roman"/>
          <w:color w:val="000000"/>
          <w:sz w:val="24"/>
          <w:szCs w:val="24"/>
          <w:highlight w:val="none"/>
        </w:rPr>
        <w:t>）本项目的设计应符合相关规范要求及项目所在园区的总体规划，本项目设计范围内的道路及地坪、绿化、围墙、沟道盖板材质及外观应与</w:t>
      </w:r>
      <w:r>
        <w:rPr>
          <w:rFonts w:hint="eastAsia" w:ascii="Times New Roman" w:hAnsi="Times New Roman"/>
          <w:color w:val="000000"/>
          <w:sz w:val="24"/>
          <w:szCs w:val="24"/>
          <w:highlight w:val="none"/>
          <w:lang w:val="en-US" w:eastAsia="zh-CN"/>
        </w:rPr>
        <w:t>周边环境</w:t>
      </w:r>
      <w:r>
        <w:rPr>
          <w:rFonts w:hint="eastAsia" w:ascii="Times New Roman" w:hAnsi="Times New Roman"/>
          <w:color w:val="000000"/>
          <w:sz w:val="24"/>
          <w:szCs w:val="24"/>
          <w:highlight w:val="none"/>
        </w:rPr>
        <w:t>保持总体协调统一。</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）对产生噪声较大的生产厂房采取防噪措施。</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lang w:val="en-US" w:eastAsia="zh-CN"/>
        </w:rPr>
        <w:t>5</w:t>
      </w:r>
      <w:r>
        <w:rPr>
          <w:rFonts w:hint="eastAsia" w:ascii="Times New Roman" w:hAnsi="Times New Roman"/>
          <w:color w:val="000000"/>
          <w:sz w:val="24"/>
          <w:szCs w:val="24"/>
          <w:highlight w:val="none"/>
        </w:rPr>
        <w:t>）根据建筑物类型及耐火极限做防火措施的设计。</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w:t>
      </w:r>
      <w:r>
        <w:rPr>
          <w:rFonts w:hint="eastAsia" w:ascii="Times New Roman" w:hAnsi="Times New Roman"/>
          <w:color w:val="000000"/>
          <w:sz w:val="24"/>
          <w:szCs w:val="24"/>
          <w:highlight w:val="none"/>
          <w:lang w:val="en-US" w:eastAsia="zh-CN"/>
        </w:rPr>
        <w:t>6</w:t>
      </w:r>
      <w:r>
        <w:rPr>
          <w:rFonts w:hint="eastAsia" w:ascii="Times New Roman" w:hAnsi="Times New Roman"/>
          <w:color w:val="000000"/>
          <w:sz w:val="24"/>
          <w:szCs w:val="24"/>
          <w:highlight w:val="none"/>
        </w:rPr>
        <w:t>）根据建筑物用途做防腐措施的设计。</w:t>
      </w:r>
    </w:p>
    <w:p>
      <w:pPr>
        <w:spacing w:beforeLines="0" w:afterLines="0" w:line="600" w:lineRule="exact"/>
        <w:ind w:firstLine="480" w:firstLineChars="200"/>
        <w:rPr>
          <w:rFonts w:hint="eastAsia"/>
          <w:color w:val="000000"/>
          <w:sz w:val="24"/>
          <w:szCs w:val="28"/>
          <w:highlight w:val="none"/>
        </w:rPr>
      </w:pPr>
      <w:r>
        <w:rPr>
          <w:rFonts w:hint="eastAsia"/>
          <w:color w:val="000000"/>
          <w:sz w:val="24"/>
          <w:szCs w:val="28"/>
          <w:highlight w:val="none"/>
        </w:rPr>
        <w:t>（</w:t>
      </w:r>
      <w:r>
        <w:rPr>
          <w:rFonts w:hint="eastAsia"/>
          <w:color w:val="000000"/>
          <w:sz w:val="24"/>
          <w:szCs w:val="28"/>
          <w:highlight w:val="none"/>
          <w:lang w:val="en-US" w:eastAsia="zh-CN"/>
        </w:rPr>
        <w:t>7</w:t>
      </w:r>
      <w:r>
        <w:rPr>
          <w:rFonts w:hint="eastAsia"/>
          <w:color w:val="000000"/>
          <w:sz w:val="24"/>
          <w:szCs w:val="28"/>
          <w:highlight w:val="none"/>
        </w:rPr>
        <w:t>）结构形式、材料及设备的选用需经济合理，设计模数协调，符合设计标准、规范，造价合理，材料与构造符合国情并适用于华南地区，建成后节省管理和维护费用。</w:t>
      </w:r>
    </w:p>
    <w:p>
      <w:pPr>
        <w:spacing w:beforeLines="0" w:afterLines="0" w:line="600" w:lineRule="exact"/>
        <w:ind w:firstLine="480" w:firstLineChars="200"/>
        <w:rPr>
          <w:rFonts w:hint="eastAsia"/>
          <w:color w:val="000000"/>
          <w:sz w:val="24"/>
          <w:szCs w:val="28"/>
          <w:highlight w:val="none"/>
        </w:rPr>
      </w:pPr>
      <w:r>
        <w:rPr>
          <w:rFonts w:hint="eastAsia"/>
          <w:color w:val="000000"/>
          <w:sz w:val="24"/>
          <w:szCs w:val="28"/>
          <w:highlight w:val="none"/>
        </w:rPr>
        <w:t>（</w:t>
      </w:r>
      <w:r>
        <w:rPr>
          <w:rFonts w:hint="eastAsia"/>
          <w:color w:val="000000"/>
          <w:sz w:val="24"/>
          <w:szCs w:val="28"/>
          <w:highlight w:val="none"/>
          <w:lang w:val="en-US" w:eastAsia="zh-CN"/>
        </w:rPr>
        <w:t>8</w:t>
      </w:r>
      <w:r>
        <w:rPr>
          <w:rFonts w:hint="eastAsia"/>
          <w:color w:val="000000"/>
          <w:sz w:val="24"/>
          <w:szCs w:val="28"/>
          <w:highlight w:val="none"/>
        </w:rPr>
        <w:t>）本工程依据国家现行规范及相关专业资料，确保结构方案合理，满足使用要求，并选择环保型，经济型建筑材料，达到业主的满意。在满足国家规范的情况下，尽可能结合当地实行情况，采用地方标准、规范和习惯作法。</w:t>
      </w:r>
    </w:p>
    <w:p>
      <w:pPr>
        <w:ind w:firstLineChars="200"/>
        <w:rPr>
          <w:rFonts w:hint="eastAsia" w:ascii="Times New Roman" w:hAnsi="Times New Roman"/>
          <w:color w:val="000000"/>
          <w:sz w:val="24"/>
          <w:szCs w:val="24"/>
          <w:highlight w:val="none"/>
        </w:rPr>
      </w:pPr>
      <w:r>
        <w:rPr>
          <w:rFonts w:hint="eastAsia"/>
          <w:color w:val="000000"/>
          <w:sz w:val="24"/>
          <w:szCs w:val="28"/>
          <w:highlight w:val="none"/>
        </w:rPr>
        <w:t>（</w:t>
      </w:r>
      <w:r>
        <w:rPr>
          <w:rFonts w:hint="eastAsia"/>
          <w:color w:val="000000"/>
          <w:sz w:val="24"/>
          <w:szCs w:val="28"/>
          <w:highlight w:val="none"/>
          <w:lang w:val="en-US" w:eastAsia="zh-CN"/>
        </w:rPr>
        <w:t>9</w:t>
      </w:r>
      <w:r>
        <w:rPr>
          <w:rFonts w:hint="eastAsia"/>
          <w:color w:val="000000"/>
          <w:sz w:val="24"/>
          <w:szCs w:val="28"/>
          <w:highlight w:val="none"/>
        </w:rPr>
        <w:t>）该工程的各建（构）筑物结构的设计使用年限50年</w:t>
      </w:r>
      <w:r>
        <w:rPr>
          <w:rFonts w:hint="eastAsia"/>
          <w:color w:val="000000"/>
          <w:sz w:val="24"/>
          <w:szCs w:val="28"/>
          <w:highlight w:val="none"/>
          <w:lang w:val="en-US" w:eastAsia="zh-CN"/>
        </w:rPr>
        <w:t>。</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5.6景观绿化</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设计需充分考虑景观绿化及设计参观通道；例如植被采用适合广东气候的本地植物，整体设计具有广州地方特色。</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5.7厂</w:t>
      </w:r>
      <w:r>
        <w:rPr>
          <w:rFonts w:hint="eastAsia" w:ascii="Times New Roman" w:hAnsi="Times New Roman"/>
          <w:b/>
          <w:color w:val="000000"/>
          <w:sz w:val="24"/>
          <w:szCs w:val="24"/>
          <w:highlight w:val="none"/>
          <w:lang w:val="en-US" w:eastAsia="zh-CN"/>
        </w:rPr>
        <w:t>内</w:t>
      </w:r>
      <w:r>
        <w:rPr>
          <w:rFonts w:ascii="Times New Roman" w:hAnsi="Times New Roman"/>
          <w:b/>
          <w:color w:val="000000"/>
          <w:sz w:val="24"/>
          <w:szCs w:val="24"/>
          <w:highlight w:val="none"/>
        </w:rPr>
        <w:t>外市政配套工程</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color w:val="000000"/>
          <w:sz w:val="24"/>
          <w:szCs w:val="24"/>
          <w:highlight w:val="none"/>
          <w:lang w:eastAsia="zh-CN"/>
        </w:rPr>
        <w:t>乙方</w:t>
      </w:r>
      <w:r>
        <w:rPr>
          <w:rFonts w:ascii="Times New Roman" w:hAnsi="Times New Roman"/>
          <w:color w:val="000000"/>
          <w:sz w:val="24"/>
          <w:szCs w:val="24"/>
          <w:highlight w:val="none"/>
        </w:rPr>
        <w:t>负责厂区</w:t>
      </w:r>
      <w:r>
        <w:rPr>
          <w:rFonts w:hint="eastAsia" w:ascii="Times New Roman" w:hAnsi="Times New Roman"/>
          <w:color w:val="000000"/>
          <w:sz w:val="24"/>
          <w:szCs w:val="24"/>
          <w:highlight w:val="none"/>
          <w:lang w:val="en-US" w:eastAsia="zh-CN"/>
        </w:rPr>
        <w:t>红线</w:t>
      </w:r>
      <w:r>
        <w:rPr>
          <w:rFonts w:ascii="Times New Roman" w:hAnsi="Times New Roman"/>
          <w:color w:val="000000"/>
          <w:sz w:val="24"/>
          <w:szCs w:val="24"/>
          <w:highlight w:val="none"/>
        </w:rPr>
        <w:t>范围外1米以内的市政配套工程设计（包括</w:t>
      </w:r>
      <w:r>
        <w:rPr>
          <w:rFonts w:hint="eastAsia"/>
          <w:color w:val="000000"/>
          <w:sz w:val="24"/>
          <w:szCs w:val="28"/>
          <w:highlight w:val="none"/>
        </w:rPr>
        <w:t>电气、路灯、</w:t>
      </w:r>
      <w:r>
        <w:rPr>
          <w:rFonts w:ascii="Times New Roman" w:hAnsi="Times New Roman"/>
          <w:color w:val="000000"/>
          <w:sz w:val="24"/>
          <w:szCs w:val="24"/>
          <w:highlight w:val="none"/>
        </w:rPr>
        <w:t>给排水、供气、供电、</w:t>
      </w:r>
      <w:r>
        <w:rPr>
          <w:rFonts w:hint="eastAsia" w:ascii="Times New Roman" w:hAnsi="Times New Roman"/>
          <w:color w:val="000000"/>
          <w:sz w:val="24"/>
          <w:szCs w:val="24"/>
          <w:highlight w:val="none"/>
          <w:lang w:val="en-US" w:eastAsia="zh-CN"/>
        </w:rPr>
        <w:t>弱</w:t>
      </w:r>
      <w:r>
        <w:rPr>
          <w:rFonts w:ascii="Times New Roman" w:hAnsi="Times New Roman"/>
          <w:color w:val="000000"/>
          <w:sz w:val="24"/>
          <w:szCs w:val="24"/>
          <w:highlight w:val="none"/>
        </w:rPr>
        <w:t>电、通讯、进厂道路、供生活水</w:t>
      </w:r>
      <w:r>
        <w:rPr>
          <w:rFonts w:hint="eastAsia"/>
          <w:color w:val="000000"/>
          <w:sz w:val="24"/>
          <w:szCs w:val="28"/>
          <w:highlight w:val="none"/>
        </w:rPr>
        <w:t>、仪表及自动控制、监控、运输等系统的布置</w:t>
      </w:r>
      <w:r>
        <w:rPr>
          <w:rFonts w:ascii="Times New Roman" w:hAnsi="Times New Roman"/>
          <w:color w:val="000000"/>
          <w:sz w:val="24"/>
          <w:szCs w:val="24"/>
          <w:highlight w:val="none"/>
        </w:rPr>
        <w:t>），厂区公用配套工程设计及厂外（厂界至周边市政接入点范围）</w:t>
      </w:r>
      <w:r>
        <w:rPr>
          <w:rFonts w:hint="eastAsia" w:ascii="Times New Roman" w:hAnsi="Times New Roman"/>
          <w:color w:val="000000"/>
          <w:sz w:val="24"/>
          <w:szCs w:val="24"/>
          <w:highlight w:val="none"/>
          <w:lang w:val="en-US" w:eastAsia="zh-CN"/>
        </w:rPr>
        <w:t>。地块内应当预留移动通信设施的建设空间、建设位置、用电容量及其配套资源。</w:t>
      </w:r>
      <w:r>
        <w:rPr>
          <w:rFonts w:hint="eastAsia"/>
          <w:color w:val="000000"/>
          <w:sz w:val="24"/>
          <w:szCs w:val="28"/>
          <w:highlight w:val="none"/>
        </w:rPr>
        <w:t>各公用管线布置</w:t>
      </w:r>
      <w:r>
        <w:rPr>
          <w:rFonts w:hint="eastAsia"/>
          <w:color w:val="000000"/>
          <w:sz w:val="24"/>
          <w:szCs w:val="28"/>
          <w:highlight w:val="none"/>
          <w:lang w:val="en-US" w:eastAsia="zh-CN"/>
        </w:rPr>
        <w:t>应</w:t>
      </w:r>
      <w:r>
        <w:rPr>
          <w:rFonts w:hint="eastAsia"/>
          <w:color w:val="000000"/>
          <w:sz w:val="24"/>
          <w:szCs w:val="28"/>
          <w:highlight w:val="none"/>
        </w:rPr>
        <w:t>科学组织</w:t>
      </w:r>
      <w:r>
        <w:rPr>
          <w:rFonts w:hint="eastAsia"/>
          <w:color w:val="000000"/>
          <w:sz w:val="24"/>
          <w:szCs w:val="28"/>
          <w:highlight w:val="none"/>
          <w:lang w:eastAsia="zh-CN"/>
        </w:rPr>
        <w:t>，</w:t>
      </w:r>
      <w:r>
        <w:rPr>
          <w:rFonts w:hint="eastAsia"/>
          <w:color w:val="000000"/>
          <w:sz w:val="24"/>
          <w:szCs w:val="28"/>
          <w:highlight w:val="none"/>
        </w:rPr>
        <w:t>统一协调，</w:t>
      </w:r>
      <w:r>
        <w:rPr>
          <w:rFonts w:ascii="Times New Roman" w:hAnsi="Times New Roman"/>
          <w:color w:val="000000"/>
          <w:sz w:val="24"/>
          <w:szCs w:val="24"/>
          <w:highlight w:val="none"/>
        </w:rPr>
        <w:t>设计标准符合国家最新的工程设计规范，</w:t>
      </w:r>
      <w:r>
        <w:rPr>
          <w:rFonts w:ascii="Times New Roman" w:hAnsi="Times New Roman"/>
          <w:b/>
          <w:color w:val="000000"/>
          <w:sz w:val="24"/>
          <w:szCs w:val="24"/>
          <w:highlight w:val="none"/>
        </w:rPr>
        <w:t>具体以项目最终的市政接入系统设计接口为准。</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5.8室内装饰</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全厂建筑物须进行室内装饰装修设计（重点区域，如办公区域、入口门厅、参观及展示区域和相关通道、配套设施器具等，须进行精装修详细设计）。</w:t>
      </w:r>
      <w:r>
        <w:rPr>
          <w:rFonts w:hint="eastAsia"/>
          <w:color w:val="000000"/>
          <w:sz w:val="24"/>
          <w:szCs w:val="24"/>
          <w:highlight w:val="none"/>
          <w:lang w:eastAsia="zh-CN"/>
        </w:rPr>
        <w:t>乙方</w:t>
      </w:r>
      <w:r>
        <w:rPr>
          <w:rFonts w:ascii="Times New Roman" w:hAnsi="Times New Roman"/>
          <w:color w:val="000000"/>
          <w:sz w:val="24"/>
          <w:szCs w:val="24"/>
          <w:highlight w:val="none"/>
        </w:rPr>
        <w:t>需考虑厂内人员的感官，要求</w:t>
      </w:r>
      <w:r>
        <w:rPr>
          <w:rFonts w:hint="eastAsia" w:ascii="Times New Roman" w:hAnsi="Times New Roman"/>
          <w:color w:val="000000"/>
          <w:sz w:val="24"/>
          <w:szCs w:val="24"/>
          <w:highlight w:val="none"/>
          <w:lang w:val="en-US" w:eastAsia="zh-CN"/>
        </w:rPr>
        <w:t>检验</w:t>
      </w:r>
      <w:r>
        <w:rPr>
          <w:rFonts w:ascii="Times New Roman" w:hAnsi="Times New Roman"/>
          <w:color w:val="000000"/>
          <w:sz w:val="24"/>
          <w:szCs w:val="24"/>
          <w:highlight w:val="none"/>
        </w:rPr>
        <w:t>室、办公室、</w:t>
      </w:r>
      <w:r>
        <w:rPr>
          <w:rFonts w:hint="eastAsia" w:ascii="Times New Roman" w:hAnsi="Times New Roman"/>
          <w:color w:val="000000"/>
          <w:sz w:val="24"/>
          <w:szCs w:val="24"/>
          <w:highlight w:val="none"/>
          <w:lang w:val="en-US" w:eastAsia="zh-CN"/>
        </w:rPr>
        <w:t>研究院</w:t>
      </w:r>
      <w:r>
        <w:rPr>
          <w:rFonts w:ascii="Times New Roman" w:hAnsi="Times New Roman"/>
          <w:color w:val="000000"/>
          <w:sz w:val="24"/>
          <w:szCs w:val="24"/>
          <w:highlight w:val="none"/>
        </w:rPr>
        <w:t>等要求有隔声和吸音措施。内部装饰设计应与全厂整体的设计风格保持一致，建造要体现出科技和环保的理念。在装饰选材方面应考虑其空间、色彩、环境等诸多因素，装修材料必须符合国家相关规范，充分把控装饰材料的特性，尤其对放射性核甲醛含量的限制和控制要达到国家技术标准。内部装饰设计应符合国家、行业、地方的法律、法规、标准、规范，符合消防、节能、环保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w:t>
      </w:r>
      <w:r>
        <w:rPr>
          <w:rFonts w:hint="eastAsia" w:ascii="Times New Roman" w:hAnsi="Times New Roman"/>
          <w:b/>
          <w:color w:val="000000"/>
          <w:sz w:val="24"/>
          <w:szCs w:val="24"/>
          <w:highlight w:val="none"/>
          <w:lang w:val="en-US" w:eastAsia="zh-CN"/>
        </w:rPr>
        <w:t>9</w:t>
      </w:r>
      <w:r>
        <w:rPr>
          <w:rFonts w:ascii="Times New Roman" w:hAnsi="Times New Roman"/>
          <w:b/>
          <w:color w:val="000000"/>
          <w:sz w:val="24"/>
          <w:szCs w:val="24"/>
          <w:highlight w:val="none"/>
        </w:rPr>
        <w:t>通风、空调</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按照广东地区的气候特点，合理设置通风、空调系统，设置新风机组（配套有离子新风等措施），通风、空调系统达到人员工作舒适、设备运行环境良好的要求。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5.1</w:t>
      </w:r>
      <w:r>
        <w:rPr>
          <w:rFonts w:hint="eastAsia" w:ascii="Times New Roman" w:hAnsi="Times New Roman"/>
          <w:b/>
          <w:color w:val="000000"/>
          <w:sz w:val="24"/>
          <w:szCs w:val="24"/>
          <w:highlight w:val="none"/>
          <w:lang w:val="en-US" w:eastAsia="zh-CN"/>
        </w:rPr>
        <w:t>0</w:t>
      </w:r>
      <w:r>
        <w:rPr>
          <w:rFonts w:ascii="Times New Roman" w:hAnsi="Times New Roman"/>
          <w:b/>
          <w:color w:val="000000"/>
          <w:sz w:val="24"/>
          <w:szCs w:val="24"/>
          <w:highlight w:val="none"/>
        </w:rPr>
        <w:t>消防</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消防设计应符合现行的国家标准</w:t>
      </w:r>
      <w:r>
        <w:rPr>
          <w:rFonts w:hint="eastAsia" w:ascii="Times New Roman" w:hAnsi="Times New Roman"/>
          <w:color w:val="000000"/>
          <w:sz w:val="24"/>
          <w:szCs w:val="24"/>
          <w:highlight w:val="none"/>
          <w:lang w:val="en-US" w:eastAsia="zh-CN"/>
        </w:rPr>
        <w:t>等的</w:t>
      </w:r>
      <w:r>
        <w:rPr>
          <w:rFonts w:ascii="Times New Roman" w:hAnsi="Times New Roman"/>
          <w:color w:val="000000"/>
          <w:sz w:val="24"/>
          <w:szCs w:val="24"/>
          <w:highlight w:val="none"/>
        </w:rPr>
        <w:t>有关规定。根据相关规范设置消防栓箱，消防栓箱采用内嵌式，标志明显。</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消防设计深度须满足报批报建、备案及现场施工要求。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Cs w:val="0"/>
          <w:color w:val="000000"/>
          <w:sz w:val="24"/>
          <w:szCs w:val="24"/>
          <w:highlight w:val="none"/>
        </w:rPr>
      </w:pPr>
      <w:r>
        <w:rPr>
          <w:rFonts w:ascii="Times New Roman" w:hAnsi="Times New Roman"/>
          <w:b/>
          <w:color w:val="000000"/>
          <w:sz w:val="24"/>
          <w:szCs w:val="24"/>
          <w:highlight w:val="none"/>
        </w:rPr>
        <w:t>5.1</w:t>
      </w:r>
      <w:r>
        <w:rPr>
          <w:rFonts w:hint="eastAsia" w:ascii="Times New Roman" w:hAnsi="Times New Roman"/>
          <w:b/>
          <w:color w:val="000000"/>
          <w:sz w:val="24"/>
          <w:szCs w:val="24"/>
          <w:highlight w:val="none"/>
          <w:lang w:val="en-US" w:eastAsia="zh-CN"/>
        </w:rPr>
        <w:t>1</w:t>
      </w:r>
      <w:r>
        <w:rPr>
          <w:rFonts w:ascii="Times New Roman" w:hAnsi="Times New Roman"/>
          <w:b/>
          <w:color w:val="000000"/>
          <w:sz w:val="24"/>
          <w:szCs w:val="24"/>
          <w:highlight w:val="none"/>
        </w:rPr>
        <w:t>环境保护</w:t>
      </w:r>
    </w:p>
    <w:p>
      <w:pPr>
        <w:pStyle w:val="119"/>
        <w:adjustRightInd w:val="0"/>
        <w:snapToGrid w:val="0"/>
        <w:spacing w:before="0" w:beforeLines="0" w:after="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根据环境影响评价报告书及其批复的要求，对</w:t>
      </w:r>
      <w:r>
        <w:rPr>
          <w:rFonts w:hint="eastAsia" w:ascii="Times New Roman" w:hAnsi="Times New Roman"/>
          <w:color w:val="000000"/>
          <w:sz w:val="24"/>
          <w:szCs w:val="24"/>
          <w:highlight w:val="none"/>
          <w:lang w:val="en-US" w:eastAsia="zh-CN"/>
        </w:rPr>
        <w:t>废气、</w:t>
      </w:r>
      <w:r>
        <w:rPr>
          <w:rFonts w:ascii="Times New Roman" w:hAnsi="Times New Roman"/>
          <w:color w:val="000000"/>
          <w:sz w:val="24"/>
          <w:szCs w:val="24"/>
          <w:highlight w:val="none"/>
        </w:rPr>
        <w:t>污水、固废、噪音等环保控制指标设计应达到环评批复的要求。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5.1</w:t>
      </w:r>
      <w:r>
        <w:rPr>
          <w:rFonts w:hint="eastAsia" w:ascii="Times New Roman" w:hAnsi="Times New Roman"/>
          <w:b/>
          <w:color w:val="000000"/>
          <w:sz w:val="24"/>
          <w:szCs w:val="24"/>
          <w:highlight w:val="none"/>
          <w:lang w:val="en-US" w:eastAsia="zh-CN"/>
        </w:rPr>
        <w:t>2</w:t>
      </w:r>
      <w:r>
        <w:rPr>
          <w:rFonts w:ascii="Times New Roman" w:hAnsi="Times New Roman"/>
          <w:b/>
          <w:color w:val="000000"/>
          <w:sz w:val="24"/>
          <w:szCs w:val="24"/>
          <w:highlight w:val="none"/>
        </w:rPr>
        <w:t>节能</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需采用高效节能型设备，对大型电动机等采用变频控制，厂用电采用就近供电方式，减少线损。</w:t>
      </w:r>
      <w:r>
        <w:rPr>
          <w:rFonts w:hint="eastAsia" w:ascii="Times New Roman" w:hAnsi="Times New Roman"/>
          <w:color w:val="000000"/>
          <w:sz w:val="24"/>
          <w:szCs w:val="24"/>
          <w:highlight w:val="none"/>
        </w:rPr>
        <w:t>全厂建筑按照国家最新标准，结合广州地区温暖潮湿、日照充足的气候特点进行建筑设计，节约能源。</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5.1</w:t>
      </w:r>
      <w:r>
        <w:rPr>
          <w:rFonts w:hint="eastAsia" w:ascii="Times New Roman" w:hAnsi="Times New Roman"/>
          <w:b/>
          <w:color w:val="000000"/>
          <w:sz w:val="24"/>
          <w:szCs w:val="24"/>
          <w:highlight w:val="none"/>
          <w:lang w:val="en-US" w:eastAsia="zh-CN"/>
        </w:rPr>
        <w:t>3</w:t>
      </w:r>
      <w:r>
        <w:rPr>
          <w:rFonts w:ascii="Times New Roman" w:hAnsi="Times New Roman"/>
          <w:b/>
          <w:color w:val="000000"/>
          <w:sz w:val="24"/>
          <w:szCs w:val="24"/>
          <w:highlight w:val="none"/>
        </w:rPr>
        <w:t>应急措施</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设计应包括环境污染事故应急措施、全厂停电事故应急措施、触电应对措施、机械伤害事故应急措施等措施。</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5.1</w:t>
      </w:r>
      <w:r>
        <w:rPr>
          <w:rFonts w:hint="eastAsia" w:ascii="Times New Roman" w:hAnsi="Times New Roman"/>
          <w:b/>
          <w:color w:val="000000"/>
          <w:sz w:val="24"/>
          <w:szCs w:val="24"/>
          <w:highlight w:val="none"/>
          <w:lang w:val="en-US" w:eastAsia="zh-CN"/>
        </w:rPr>
        <w:t>4</w:t>
      </w:r>
      <w:r>
        <w:rPr>
          <w:rFonts w:ascii="Times New Roman" w:hAnsi="Times New Roman"/>
          <w:b/>
          <w:color w:val="000000"/>
          <w:sz w:val="24"/>
          <w:szCs w:val="24"/>
          <w:highlight w:val="none"/>
        </w:rPr>
        <w:t>劳动保护与安全</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对</w:t>
      </w:r>
      <w:r>
        <w:rPr>
          <w:rFonts w:hint="eastAsia" w:ascii="Times New Roman" w:hAnsi="Times New Roman"/>
          <w:strike w:val="0"/>
          <w:dstrike w:val="0"/>
          <w:color w:val="000000"/>
          <w:sz w:val="24"/>
          <w:szCs w:val="24"/>
          <w:highlight w:val="none"/>
          <w:lang w:val="en-US" w:eastAsia="zh-CN"/>
        </w:rPr>
        <w:t>厂房</w:t>
      </w:r>
      <w:r>
        <w:rPr>
          <w:rFonts w:ascii="Times New Roman" w:hAnsi="Times New Roman"/>
          <w:strike w:val="0"/>
          <w:dstrike w:val="0"/>
          <w:color w:val="000000"/>
          <w:sz w:val="24"/>
          <w:szCs w:val="24"/>
          <w:highlight w:val="none"/>
        </w:rPr>
        <w:t>的</w:t>
      </w:r>
      <w:r>
        <w:rPr>
          <w:rFonts w:ascii="Times New Roman" w:hAnsi="Times New Roman"/>
          <w:color w:val="000000"/>
          <w:sz w:val="24"/>
          <w:szCs w:val="24"/>
          <w:highlight w:val="none"/>
        </w:rPr>
        <w:t>粉尘、有害气体、腐蚀性物质、噪声等，必须设计相应的监测、控制装置和应对措施，保证人员和设备的安全。</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5.1</w:t>
      </w:r>
      <w:r>
        <w:rPr>
          <w:rFonts w:hint="eastAsia" w:ascii="Times New Roman" w:hAnsi="Times New Roman"/>
          <w:b/>
          <w:color w:val="000000"/>
          <w:sz w:val="24"/>
          <w:szCs w:val="24"/>
          <w:highlight w:val="none"/>
          <w:lang w:val="en-US" w:eastAsia="zh-CN"/>
        </w:rPr>
        <w:t>5</w:t>
      </w:r>
      <w:r>
        <w:rPr>
          <w:rFonts w:ascii="Times New Roman" w:hAnsi="Times New Roman"/>
          <w:b/>
          <w:color w:val="000000"/>
          <w:sz w:val="24"/>
          <w:szCs w:val="24"/>
          <w:highlight w:val="none"/>
        </w:rPr>
        <w:t>限额设计</w:t>
      </w:r>
    </w:p>
    <w:p>
      <w:pPr>
        <w:pStyle w:val="119"/>
        <w:adjustRightInd w:val="0"/>
        <w:snapToGrid w:val="0"/>
        <w:spacing w:beforeLines="0" w:afterLines="0" w:line="600" w:lineRule="exact"/>
        <w:ind w:left="0" w:leftChars="0"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本项目设计须控制在核准投资金额内。工程竣工验收结算后的最终总投资不突破</w:t>
      </w:r>
      <w:r>
        <w:rPr>
          <w:rFonts w:hint="eastAsia" w:ascii="Times New Roman" w:hAnsi="Times New Roman"/>
          <w:color w:val="000000"/>
          <w:sz w:val="24"/>
          <w:szCs w:val="24"/>
          <w:highlight w:val="none"/>
          <w:lang w:val="en-US" w:eastAsia="zh-CN"/>
        </w:rPr>
        <w:t>备案</w:t>
      </w:r>
      <w:r>
        <w:rPr>
          <w:rFonts w:ascii="Times New Roman" w:hAnsi="Times New Roman"/>
          <w:color w:val="000000"/>
          <w:sz w:val="24"/>
          <w:szCs w:val="24"/>
          <w:highlight w:val="none"/>
        </w:rPr>
        <w:t>的</w:t>
      </w:r>
      <w:r>
        <w:rPr>
          <w:rFonts w:hint="eastAsia" w:ascii="Times New Roman" w:hAnsi="Times New Roman"/>
          <w:color w:val="000000"/>
          <w:sz w:val="24"/>
          <w:szCs w:val="24"/>
          <w:highlight w:val="none"/>
          <w:lang w:val="en-US" w:eastAsia="zh-CN"/>
        </w:rPr>
        <w:t>项目总投资</w:t>
      </w:r>
      <w:r>
        <w:rPr>
          <w:rFonts w:ascii="Times New Roman" w:hAnsi="Times New Roman"/>
          <w:color w:val="000000"/>
          <w:sz w:val="24"/>
          <w:szCs w:val="24"/>
          <w:highlight w:val="none"/>
        </w:rPr>
        <w:t>为准。</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六、设计的具体要求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6.1总平面布置</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6.1.1对全厂进行总体规划，按照生产、道路、绿化、生活、</w:t>
      </w:r>
      <w:r>
        <w:rPr>
          <w:rFonts w:hint="eastAsia" w:ascii="Times New Roman" w:hAnsi="Times New Roman"/>
          <w:color w:val="000000"/>
          <w:sz w:val="24"/>
          <w:szCs w:val="24"/>
          <w:highlight w:val="none"/>
          <w:lang w:val="en-US" w:eastAsia="zh-CN"/>
        </w:rPr>
        <w:t>办公等</w:t>
      </w:r>
      <w:r>
        <w:rPr>
          <w:rFonts w:ascii="Times New Roman" w:hAnsi="Times New Roman"/>
          <w:color w:val="000000"/>
          <w:sz w:val="24"/>
          <w:szCs w:val="24"/>
          <w:highlight w:val="none"/>
        </w:rPr>
        <w:t>进行功能分区，考虑远期项目规划，计算厂区总平主要经济技术指标（占地面积、建筑面积、容积率、绿化率、绿地率等），场地平整设计（如有）应做到土石方平衡。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6.1.2</w:t>
      </w:r>
      <w:r>
        <w:rPr>
          <w:rFonts w:hint="eastAsia"/>
          <w:color w:val="000000"/>
          <w:sz w:val="24"/>
          <w:szCs w:val="24"/>
          <w:highlight w:val="none"/>
          <w:lang w:eastAsia="zh-CN"/>
        </w:rPr>
        <w:t>乙方</w:t>
      </w:r>
      <w:r>
        <w:rPr>
          <w:rFonts w:ascii="Times New Roman" w:hAnsi="Times New Roman"/>
          <w:color w:val="000000"/>
          <w:sz w:val="24"/>
          <w:szCs w:val="24"/>
          <w:highlight w:val="none"/>
        </w:rPr>
        <w:t>负责厂区内外及市政配套工程设计（包括</w:t>
      </w:r>
      <w:r>
        <w:rPr>
          <w:rFonts w:hint="eastAsia"/>
          <w:color w:val="000000"/>
          <w:sz w:val="24"/>
          <w:szCs w:val="28"/>
          <w:highlight w:val="none"/>
        </w:rPr>
        <w:t>电气、路灯、</w:t>
      </w:r>
      <w:r>
        <w:rPr>
          <w:rFonts w:ascii="Times New Roman" w:hAnsi="Times New Roman"/>
          <w:color w:val="000000"/>
          <w:sz w:val="24"/>
          <w:szCs w:val="24"/>
          <w:highlight w:val="none"/>
        </w:rPr>
        <w:t>给排水、供气、供电、</w:t>
      </w:r>
      <w:r>
        <w:rPr>
          <w:rFonts w:hint="eastAsia" w:ascii="Times New Roman" w:hAnsi="Times New Roman"/>
          <w:color w:val="000000"/>
          <w:sz w:val="24"/>
          <w:szCs w:val="24"/>
          <w:highlight w:val="none"/>
          <w:lang w:val="en-US" w:eastAsia="zh-CN"/>
        </w:rPr>
        <w:t>弱</w:t>
      </w:r>
      <w:r>
        <w:rPr>
          <w:rFonts w:ascii="Times New Roman" w:hAnsi="Times New Roman"/>
          <w:color w:val="000000"/>
          <w:sz w:val="24"/>
          <w:szCs w:val="24"/>
          <w:highlight w:val="none"/>
        </w:rPr>
        <w:t>电、通讯、进厂道路、供生活水</w:t>
      </w:r>
      <w:r>
        <w:rPr>
          <w:rFonts w:hint="eastAsia"/>
          <w:color w:val="000000"/>
          <w:sz w:val="24"/>
          <w:szCs w:val="28"/>
          <w:highlight w:val="none"/>
        </w:rPr>
        <w:t>、仪表及自动控制、监控、运输等系统的布置</w:t>
      </w:r>
      <w:r>
        <w:rPr>
          <w:rFonts w:ascii="Times New Roman" w:hAnsi="Times New Roman"/>
          <w:color w:val="000000"/>
          <w:sz w:val="24"/>
          <w:szCs w:val="24"/>
          <w:highlight w:val="none"/>
        </w:rPr>
        <w:t>），总体设计应使物流、人流通畅，综合技术水平、给排水、供气、供电、电气、通讯、绿化达到国内一流为目标，充分利用现有地形地貌与周边自然融合。</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6.1.3根据自然地形、建(构）筑物与建设场地在高程上的相互关系、50年一遇的防洪标高、园区道路规划等因素，经过综合考虑进行竖向设计。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6.1.4具体要求如下：</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●满足城市控制性规划的要求。</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●设计应考虑场地高差，进行土方量的计算，尽量节约土方挖填的造价。</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●总平面布置方案应满足考量安全性、经济性、景观性、分期建设的要求等，并满足厂区内物流的要求，合理用地，因地制宜，营造一个功能分区明确、环境协调、平面布局合理、交通运输短捷的</w:t>
      </w:r>
      <w:r>
        <w:rPr>
          <w:rFonts w:hint="eastAsia" w:ascii="Times New Roman" w:hAnsi="Times New Roman"/>
          <w:color w:val="000000"/>
          <w:sz w:val="24"/>
          <w:szCs w:val="24"/>
          <w:highlight w:val="none"/>
          <w:lang w:val="en-US" w:eastAsia="zh-CN"/>
        </w:rPr>
        <w:t>梯次利用</w:t>
      </w:r>
      <w:r>
        <w:rPr>
          <w:rFonts w:ascii="Times New Roman" w:hAnsi="Times New Roman"/>
          <w:color w:val="000000"/>
          <w:sz w:val="24"/>
          <w:szCs w:val="24"/>
          <w:highlight w:val="none"/>
        </w:rPr>
        <w:t>厂。</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●总平面布置方案在道路、给排水、输变电、绿化等应与园区整体规划及周边环境相统一。在建筑布局设计时，综合考虑节约用地、自然通风、减轻异味等因素。</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●总平面布局在考虑风向、防火、卫生等条件下，应满足工艺流程的合理性。</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●总平面及工艺系统布置上尽量采取联合、合并等布置手法，减少各功能区的占地面积。</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●总平面布置应保证主厂房主立面完整没有其他建筑物遮挡，保障主厂房的通风和采光良好。</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●合理组织交通流线，要求人流、物流组织高效、合理，达到动静分开、洁污分开、人货分流。合理设计停车场</w:t>
      </w:r>
      <w:r>
        <w:rPr>
          <w:rFonts w:hint="eastAsia" w:ascii="Times New Roman" w:hAnsi="Times New Roman"/>
          <w:color w:val="000000"/>
          <w:sz w:val="24"/>
          <w:szCs w:val="24"/>
          <w:highlight w:val="none"/>
          <w:lang w:eastAsia="zh-CN"/>
        </w:rPr>
        <w:t>，停车场泊位符合</w:t>
      </w:r>
      <w:r>
        <w:rPr>
          <w:rFonts w:hint="eastAsia" w:ascii="Times New Roman" w:hAnsi="Times New Roman"/>
          <w:color w:val="000000"/>
          <w:sz w:val="24"/>
          <w:szCs w:val="24"/>
          <w:highlight w:val="none"/>
          <w:lang w:val="en-US" w:eastAsia="zh-CN"/>
        </w:rPr>
        <w:t>本项目</w:t>
      </w:r>
      <w:r>
        <w:rPr>
          <w:rFonts w:hint="eastAsia" w:ascii="Times New Roman" w:hAnsi="Times New Roman"/>
          <w:color w:val="000000"/>
          <w:sz w:val="24"/>
          <w:szCs w:val="24"/>
          <w:highlight w:val="none"/>
          <w:lang w:eastAsia="zh-CN"/>
        </w:rPr>
        <w:t>规划要求</w:t>
      </w:r>
      <w:r>
        <w:rPr>
          <w:rFonts w:ascii="Times New Roman" w:hAnsi="Times New Roman"/>
          <w:color w:val="000000"/>
          <w:sz w:val="24"/>
          <w:szCs w:val="24"/>
          <w:highlight w:val="none"/>
        </w:rPr>
        <w:t>。</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●设计在充分论证后考虑工程造价，降低工程投资。</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●在总平面设计中，注重体现生态、节能、可持续发展的特点。</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●须考虑参观人群、厂内员工及周边居民的观赏休闲需要，在厂区配套合适的休闲设施。在本项目考虑预留社区配套的设施接口如供热等。</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●总平面布置需满足</w:t>
      </w:r>
      <w:r>
        <w:rPr>
          <w:rFonts w:hint="eastAsia" w:ascii="Times New Roman" w:hAnsi="Times New Roman"/>
          <w:color w:val="000000"/>
          <w:sz w:val="24"/>
          <w:szCs w:val="24"/>
          <w:highlight w:val="none"/>
          <w:lang w:val="en-US" w:eastAsia="zh-CN"/>
        </w:rPr>
        <w:t>废旧电池梯次利用</w:t>
      </w:r>
      <w:r>
        <w:rPr>
          <w:rFonts w:ascii="Times New Roman" w:hAnsi="Times New Roman"/>
          <w:color w:val="000000"/>
          <w:sz w:val="24"/>
          <w:szCs w:val="24"/>
          <w:highlight w:val="none"/>
        </w:rPr>
        <w:t>厂建设要求。</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●根据项目地形特点，应考虑防洪涝等设计。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●各系统系统隔音设计（满足环评要求）。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6.2厂内道路</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道路的整体设计须结合专用道路的规划，园区的整体规划及道路现状，通过对办公车、物料车、消防车、生产辅助用车及人行等的流向、流量分析，结合各功能区域划分，对厂内道路进行平面设计、竖向设计、场地雨排水设计、道路防护设施设计、道路冲洗设施设计以及道路下管线、电缆、沟道总体设计、厂内外道路衔接设计等。根据对道路的承载量、美化、亮化、维护等合理设计道路。</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具体要求如下：</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●结合专用道路的规划，园区的整体规划及道路现状，设计厂内道路，即满足厂内运输、参观要求，又与园区道路有效衔接。</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●满足人流、货物运输及消防要求，厂区内需规划环形道路系统，道路两侧设计人行便道及绿化，人流、物流出入口应分开设置，控制人流与物流共用道路的长度。</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●运输道路应采取可靠的耐磨、抗渗措施，并设置道路冲洗装置。</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●结合厂区景观设计，合理设计厂内外道路的绿化景观。</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●根据对道路的承载量、美化、亮化、维护等合理设计道路铺面材料。</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6.3工艺设计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设计应按照技术先进、</w:t>
      </w:r>
      <w:r>
        <w:rPr>
          <w:rFonts w:hint="eastAsia" w:ascii="Times New Roman" w:hAnsi="Times New Roman"/>
          <w:color w:val="000000"/>
          <w:sz w:val="24"/>
          <w:szCs w:val="24"/>
          <w:highlight w:val="none"/>
          <w:lang w:val="en-US" w:eastAsia="zh-CN"/>
        </w:rPr>
        <w:t>高自动化、</w:t>
      </w:r>
      <w:r>
        <w:rPr>
          <w:rFonts w:ascii="Times New Roman" w:hAnsi="Times New Roman"/>
          <w:color w:val="000000"/>
          <w:sz w:val="24"/>
          <w:szCs w:val="24"/>
          <w:highlight w:val="none"/>
        </w:rPr>
        <w:t>环保达标、安全卫生、运行可靠、经济适用的原则确定建设方案，结合本工程的具体情况。体现以人为本的原则，以人的健康为首要宗旨。注重设备的安全稳定运行，制定严格的污染物排放标准。设计须更合理、更科学地考虑工艺技术、去工业化。</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根据广州地区日照充足、温暖潮湿的气候特点，在设计上充分利用自然采光、通风，采取合理有效的隔热保暖技术，尽力降低能源消耗，体现节能环保理念。</w:t>
      </w:r>
    </w:p>
    <w:p>
      <w:pPr>
        <w:pStyle w:val="4"/>
        <w:numPr>
          <w:ilvl w:val="0"/>
          <w:numId w:val="0"/>
        </w:numPr>
        <w:tabs>
          <w:tab w:val="left" w:pos="432"/>
        </w:tabs>
        <w:spacing w:before="0" w:beforeLines="0" w:after="0" w:afterLines="0" w:line="600" w:lineRule="exact"/>
        <w:ind w:left="0" w:firstLine="482"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6.4控制系统设计</w:t>
      </w:r>
    </w:p>
    <w:p>
      <w:pPr>
        <w:pStyle w:val="119"/>
        <w:adjustRightInd w:val="0"/>
        <w:snapToGrid w:val="0"/>
        <w:spacing w:beforeLines="0" w:afterLines="0" w:line="600" w:lineRule="exact"/>
        <w:ind w:firstLine="482" w:firstLineChars="200"/>
        <w:rPr>
          <w:rFonts w:ascii="Times New Roman" w:hAnsi="Times New Roman"/>
          <w:color w:val="000000"/>
          <w:sz w:val="24"/>
          <w:szCs w:val="24"/>
          <w:highlight w:val="none"/>
        </w:rPr>
      </w:pPr>
      <w:r>
        <w:rPr>
          <w:rFonts w:ascii="Times New Roman" w:hAnsi="Times New Roman"/>
          <w:b/>
          <w:bCs/>
          <w:color w:val="000000"/>
          <w:sz w:val="24"/>
          <w:szCs w:val="24"/>
          <w:highlight w:val="none"/>
        </w:rPr>
        <w:t>工作范围：</w:t>
      </w:r>
      <w:r>
        <w:rPr>
          <w:rFonts w:ascii="Times New Roman" w:hAnsi="Times New Roman"/>
          <w:color w:val="000000"/>
          <w:sz w:val="24"/>
          <w:szCs w:val="24"/>
          <w:highlight w:val="none"/>
        </w:rPr>
        <w:t>各工程仪表与控制专业的设计范围主要是对</w:t>
      </w:r>
      <w:r>
        <w:rPr>
          <w:rFonts w:hint="eastAsia" w:ascii="Times New Roman" w:hAnsi="Times New Roman"/>
          <w:color w:val="000000"/>
          <w:sz w:val="24"/>
          <w:szCs w:val="24"/>
          <w:highlight w:val="none"/>
          <w:lang w:val="en-US" w:eastAsia="zh-CN"/>
        </w:rPr>
        <w:t>梯次利用厂</w:t>
      </w:r>
      <w:r>
        <w:rPr>
          <w:rFonts w:ascii="Times New Roman" w:hAnsi="Times New Roman"/>
          <w:color w:val="000000"/>
          <w:sz w:val="24"/>
          <w:szCs w:val="24"/>
          <w:highlight w:val="none"/>
        </w:rPr>
        <w:t>装设一整套包括检测显示、模拟控制、开关控制、信号及联锁保护等功能的监控设备和厂级自动化系统，以确项目的安全、经济运行。每个项目主要包括：</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1）车间仪表和控制系统；</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2）生产视频监视系统；</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3</w:t>
      </w:r>
      <w:r>
        <w:rPr>
          <w:rFonts w:ascii="Times New Roman" w:hAnsi="Times New Roman"/>
          <w:color w:val="000000"/>
          <w:sz w:val="24"/>
          <w:szCs w:val="24"/>
          <w:highlight w:val="none"/>
        </w:rPr>
        <w:t>）空调及暖通控制系统</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）仪表与控制试验室</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5</w:t>
      </w:r>
      <w:r>
        <w:rPr>
          <w:rFonts w:ascii="Times New Roman" w:hAnsi="Times New Roman"/>
          <w:color w:val="000000"/>
          <w:sz w:val="24"/>
          <w:szCs w:val="24"/>
          <w:highlight w:val="none"/>
        </w:rPr>
        <w:t>）门禁系统；</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6</w:t>
      </w:r>
      <w:r>
        <w:rPr>
          <w:rFonts w:ascii="Times New Roman" w:hAnsi="Times New Roman"/>
          <w:color w:val="000000"/>
          <w:sz w:val="24"/>
          <w:szCs w:val="24"/>
          <w:highlight w:val="none"/>
        </w:rPr>
        <w:t>）有毒有害气体在线监测及报警系统；</w:t>
      </w:r>
    </w:p>
    <w:p>
      <w:pPr>
        <w:pStyle w:val="119"/>
        <w:adjustRightInd w:val="0"/>
        <w:snapToGrid w:val="0"/>
        <w:spacing w:beforeLines="0" w:afterLines="0" w:line="600" w:lineRule="exact"/>
        <w:ind w:firstLine="480" w:firstLineChars="200"/>
        <w:rPr>
          <w:rFonts w:hint="eastAsia" w:ascii="Times New Roman" w:hAnsi="Times New Roman"/>
          <w:color w:val="000000"/>
          <w:sz w:val="24"/>
          <w:szCs w:val="24"/>
          <w:highlight w:val="none"/>
          <w:lang w:val="en-US" w:eastAsia="zh-CN"/>
        </w:rPr>
      </w:pPr>
      <w:r>
        <w:rPr>
          <w:rFonts w:hint="eastAsia" w:ascii="Times New Roman" w:hAnsi="Times New Roman"/>
          <w:color w:val="000000"/>
          <w:sz w:val="24"/>
          <w:szCs w:val="24"/>
          <w:highlight w:val="none"/>
          <w:lang w:val="en-US" w:eastAsia="zh-CN"/>
        </w:rPr>
        <w:t>须满足梯次利用厂的其他相关规定。</w:t>
      </w:r>
    </w:p>
    <w:p>
      <w:pPr>
        <w:pStyle w:val="4"/>
        <w:numPr>
          <w:ilvl w:val="0"/>
          <w:numId w:val="0"/>
        </w:numPr>
        <w:tabs>
          <w:tab w:val="left" w:pos="432"/>
        </w:tabs>
        <w:ind w:firstLine="482" w:firstLineChars="200"/>
        <w:rPr>
          <w:rFonts w:hint="default" w:ascii="Times New Roman" w:hAnsi="Times New Roman" w:eastAsia="宋体"/>
          <w:b/>
          <w:color w:val="000000"/>
          <w:sz w:val="24"/>
          <w:szCs w:val="24"/>
          <w:highlight w:val="none"/>
          <w:lang w:val="en-US" w:eastAsia="zh-CN"/>
        </w:rPr>
      </w:pPr>
      <w:r>
        <w:rPr>
          <w:rFonts w:hint="default" w:ascii="Times New Roman" w:hAnsi="Times New Roman" w:eastAsia="宋体"/>
          <w:b/>
          <w:color w:val="000000"/>
          <w:sz w:val="24"/>
          <w:szCs w:val="24"/>
          <w:highlight w:val="none"/>
          <w:lang w:val="en-US" w:eastAsia="zh-CN"/>
        </w:rPr>
        <w:t>6.5其他设计</w:t>
      </w:r>
    </w:p>
    <w:p>
      <w:pPr>
        <w:pStyle w:val="119"/>
        <w:spacing w:line="600" w:lineRule="exact"/>
        <w:ind w:firstLine="480" w:firstLineChars="200"/>
        <w:rPr>
          <w:rFonts w:hint="default" w:ascii="Times New Roman" w:hAnsi="Times New Roman" w:eastAsia="宋体"/>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各专业设计符合现行的国家或地区有效的行业标准和法规；节能</w:t>
      </w:r>
      <w:r>
        <w:rPr>
          <w:rFonts w:hint="default" w:ascii="Times New Roman" w:hAnsi="Times New Roman" w:eastAsia="宋体" w:cs="Times New Roman"/>
          <w:color w:val="000000"/>
          <w:sz w:val="24"/>
          <w:szCs w:val="24"/>
          <w:highlight w:val="none"/>
          <w:lang w:val="en-US" w:eastAsia="zh-CN"/>
        </w:rPr>
        <w:t>设计</w:t>
      </w:r>
      <w:r>
        <w:rPr>
          <w:rFonts w:hint="default"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绿色设计</w:t>
      </w:r>
      <w:r>
        <w:rPr>
          <w:rFonts w:hint="default" w:ascii="Times New Roman" w:hAnsi="Times New Roman" w:eastAsia="宋体" w:cs="Times New Roman"/>
          <w:color w:val="000000"/>
          <w:sz w:val="24"/>
          <w:szCs w:val="24"/>
          <w:highlight w:val="none"/>
          <w:lang w:val="en-US" w:eastAsia="zh-CN"/>
        </w:rPr>
        <w:t>及海绵城市设计</w:t>
      </w:r>
      <w:r>
        <w:rPr>
          <w:rFonts w:ascii="Times New Roman" w:hAnsi="Times New Roman" w:eastAsia="宋体" w:cs="Times New Roman"/>
          <w:color w:val="000000"/>
          <w:sz w:val="24"/>
          <w:szCs w:val="24"/>
          <w:highlight w:val="none"/>
        </w:rPr>
        <w:t>要求符合广东</w:t>
      </w:r>
      <w:r>
        <w:rPr>
          <w:rFonts w:hint="default" w:ascii="Times New Roman" w:hAnsi="Times New Roman" w:eastAsia="宋体" w:cs="Times New Roman"/>
          <w:color w:val="000000"/>
          <w:sz w:val="24"/>
          <w:szCs w:val="24"/>
          <w:highlight w:val="none"/>
          <w:lang w:val="en-US" w:eastAsia="zh-CN"/>
        </w:rPr>
        <w:t>省、广州市等</w:t>
      </w:r>
      <w:r>
        <w:rPr>
          <w:rFonts w:ascii="Times New Roman" w:hAnsi="Times New Roman" w:eastAsia="宋体" w:cs="Times New Roman"/>
          <w:color w:val="000000"/>
          <w:sz w:val="24"/>
          <w:szCs w:val="24"/>
          <w:highlight w:val="none"/>
        </w:rPr>
        <w:t>设计规范要求</w:t>
      </w:r>
      <w:r>
        <w:rPr>
          <w:rFonts w:hint="default" w:ascii="Times New Roman" w:hAnsi="Times New Roman" w:eastAsia="宋体" w:cs="Times New Roman"/>
          <w:color w:val="000000"/>
          <w:sz w:val="24"/>
          <w:szCs w:val="24"/>
          <w:highlight w:val="none"/>
        </w:rPr>
        <w:t>。</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七、设计服务</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7.1设计技术服务</w:t>
      </w:r>
    </w:p>
    <w:p>
      <w:pPr>
        <w:pStyle w:val="119"/>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color w:val="000000"/>
          <w:sz w:val="24"/>
          <w:szCs w:val="24"/>
          <w:highlight w:val="none"/>
          <w:lang w:eastAsia="zh-CN"/>
        </w:rPr>
        <w:t>乙方</w:t>
      </w:r>
      <w:r>
        <w:rPr>
          <w:rFonts w:ascii="Times New Roman" w:hAnsi="Times New Roman"/>
          <w:color w:val="000000"/>
          <w:sz w:val="24"/>
          <w:szCs w:val="24"/>
          <w:highlight w:val="none"/>
        </w:rPr>
        <w:t>的主要工作包括但不限于：</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7.1.1参加项目协调会，做好设计交底工作，配合施工图审查工作等相关工作。</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7.1.2各施工阶段开始前，按</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分工，参与设计交底、重大技术问题专家论证会、图纸会审、答复有关设计问题。在技术复杂的分项工程施工前，</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要进行专项技术交底，提出质量控制要求；特殊材料的性能要求；质量检验的特定方法。根据工程进展情况和需要，对一些特殊工程，承包方</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需针对</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提供的施工组织及工艺提出书面建议。</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7.1.3配合</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进行施工招标和设备、材料采购招标工作，要考虑工程实施的需要，在计划、工期上要根据工程总体策划考虑工程招投标、设备采购、施工组织所需要的时间，提前交付设计文件。其招标文件技术部分由</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负责编写，并配合</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进行合同技术条款的谈判工作。</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7.1.4对设备、材料订货有关性能、参数、规格的技术确认，以及协助参与对己订设备、材料的验收工作。</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7.1.5协助制订设备系统的调试计划和参与设备试车调试。</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7.1.6配合工程竣工验收工作，负责编写设计总结。</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7.1.7参与建设工程质量事故分析，并对因设计造成的质量事故，提出相应的技术处理方案。</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7.1.8</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承诺在交付项目的部分或全部设计文件后，如有更好的新工艺、新技术、新材料、新设备等适用于本项目，将及时向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推荐并提供科学的评估并提供来源证明。</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7.2现场服务</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应根据设计任务建立项目组织，从组织上保证投入的人力、物力能满足设计开展的需要，保证不同设计时段设计工作的连续性和外部条件接口衔接的连贯性。</w:t>
      </w:r>
    </w:p>
    <w:p>
      <w:pPr>
        <w:spacing w:beforeLines="0" w:afterLines="0" w:line="600" w:lineRule="exact"/>
        <w:ind w:firstLine="480" w:firstLineChars="200"/>
        <w:rPr>
          <w:rFonts w:hint="eastAsia"/>
          <w:color w:val="000000"/>
          <w:sz w:val="24"/>
          <w:szCs w:val="28"/>
          <w:highlight w:val="none"/>
        </w:rPr>
      </w:pPr>
      <w:r>
        <w:rPr>
          <w:color w:val="000000"/>
          <w:sz w:val="24"/>
          <w:highlight w:val="none"/>
        </w:rPr>
        <w:t>7.2.2</w:t>
      </w:r>
      <w:r>
        <w:rPr>
          <w:rFonts w:hint="eastAsia"/>
          <w:color w:val="000000"/>
          <w:sz w:val="24"/>
          <w:highlight w:val="none"/>
          <w:lang w:eastAsia="zh-CN"/>
        </w:rPr>
        <w:t>乙方</w:t>
      </w:r>
      <w:r>
        <w:rPr>
          <w:color w:val="000000"/>
          <w:sz w:val="24"/>
          <w:highlight w:val="none"/>
        </w:rPr>
        <w:t>应指派满足现场需求</w:t>
      </w:r>
      <w:r>
        <w:rPr>
          <w:color w:val="000000"/>
          <w:sz w:val="24"/>
          <w:highlight w:val="none"/>
          <w:lang w:eastAsia="zh-CN"/>
        </w:rPr>
        <w:t>的</w:t>
      </w:r>
      <w:r>
        <w:rPr>
          <w:rFonts w:hint="eastAsia"/>
          <w:color w:val="000000"/>
          <w:sz w:val="24"/>
          <w:highlight w:val="none"/>
          <w:lang w:eastAsia="zh-CN"/>
        </w:rPr>
        <w:t>甲方</w:t>
      </w:r>
      <w:r>
        <w:rPr>
          <w:color w:val="000000"/>
          <w:sz w:val="24"/>
          <w:highlight w:val="none"/>
          <w:lang w:eastAsia="zh-CN"/>
        </w:rPr>
        <w:t>认可的</w:t>
      </w:r>
      <w:r>
        <w:rPr>
          <w:color w:val="000000"/>
          <w:sz w:val="24"/>
          <w:highlight w:val="none"/>
        </w:rPr>
        <w:t>的驻场代表常驻工地现场，</w:t>
      </w:r>
      <w:r>
        <w:rPr>
          <w:rFonts w:hint="eastAsia"/>
          <w:color w:val="000000"/>
          <w:sz w:val="24"/>
          <w:szCs w:val="28"/>
          <w:highlight w:val="none"/>
        </w:rPr>
        <w:t>驻场人员需要有5年以上</w:t>
      </w:r>
      <w:r>
        <w:rPr>
          <w:rFonts w:hint="eastAsia"/>
          <w:color w:val="000000"/>
          <w:sz w:val="24"/>
          <w:szCs w:val="28"/>
          <w:highlight w:val="none"/>
          <w:lang w:val="en-US" w:eastAsia="zh-CN"/>
        </w:rPr>
        <w:t>设计工作</w:t>
      </w:r>
      <w:r>
        <w:rPr>
          <w:rFonts w:hint="eastAsia"/>
          <w:color w:val="000000"/>
          <w:sz w:val="24"/>
          <w:szCs w:val="28"/>
          <w:highlight w:val="none"/>
        </w:rPr>
        <w:t>经验。</w:t>
      </w:r>
      <w:r>
        <w:rPr>
          <w:color w:val="000000"/>
          <w:sz w:val="24"/>
          <w:highlight w:val="none"/>
        </w:rPr>
        <w:t>按</w:t>
      </w:r>
      <w:r>
        <w:rPr>
          <w:rFonts w:hint="eastAsia"/>
          <w:color w:val="000000"/>
          <w:sz w:val="24"/>
          <w:highlight w:val="none"/>
          <w:lang w:eastAsia="zh-CN"/>
        </w:rPr>
        <w:t>乙方</w:t>
      </w:r>
      <w:r>
        <w:rPr>
          <w:color w:val="000000"/>
          <w:sz w:val="24"/>
          <w:highlight w:val="none"/>
        </w:rPr>
        <w:t>责任配合</w:t>
      </w:r>
      <w:r>
        <w:rPr>
          <w:rFonts w:hint="eastAsia"/>
          <w:color w:val="000000"/>
          <w:sz w:val="24"/>
          <w:highlight w:val="none"/>
          <w:lang w:eastAsia="zh-CN"/>
        </w:rPr>
        <w:t>甲方</w:t>
      </w:r>
      <w:r>
        <w:rPr>
          <w:color w:val="000000"/>
          <w:sz w:val="24"/>
          <w:highlight w:val="none"/>
        </w:rPr>
        <w:t>解决现场技术问题，若现场技术人员无法解决，</w:t>
      </w:r>
      <w:r>
        <w:rPr>
          <w:rFonts w:hint="eastAsia"/>
          <w:color w:val="000000"/>
          <w:sz w:val="24"/>
          <w:highlight w:val="none"/>
          <w:lang w:eastAsia="zh-CN"/>
        </w:rPr>
        <w:t>乙方</w:t>
      </w:r>
      <w:r>
        <w:rPr>
          <w:color w:val="000000"/>
          <w:sz w:val="24"/>
          <w:highlight w:val="none"/>
        </w:rPr>
        <w:t>应及时派出专业工程师在12小时内到达现场并提出解决方案。</w:t>
      </w:r>
      <w:r>
        <w:rPr>
          <w:rFonts w:hint="eastAsia"/>
          <w:color w:val="000000"/>
          <w:sz w:val="24"/>
          <w:highlight w:val="none"/>
          <w:lang w:val="en-US" w:eastAsia="zh-CN"/>
        </w:rPr>
        <w:t>对于</w:t>
      </w:r>
      <w:r>
        <w:rPr>
          <w:rFonts w:hint="eastAsia" w:ascii="Times New Roman" w:hAnsi="Times New Roman"/>
          <w:color w:val="000000"/>
          <w:sz w:val="24"/>
          <w:szCs w:val="24"/>
          <w:highlight w:val="none"/>
          <w:lang w:val="en-US" w:eastAsia="zh-CN"/>
        </w:rPr>
        <w:t>各关联方同设计联络的文书、函件等，应及时给出反馈意见。</w:t>
      </w:r>
      <w:r>
        <w:rPr>
          <w:color w:val="000000"/>
          <w:sz w:val="24"/>
          <w:highlight w:val="none"/>
        </w:rPr>
        <w:t>同时应当会同监理和</w:t>
      </w:r>
      <w:r>
        <w:rPr>
          <w:rFonts w:hint="eastAsia"/>
          <w:color w:val="000000"/>
          <w:sz w:val="24"/>
          <w:highlight w:val="none"/>
          <w:lang w:eastAsia="zh-CN"/>
        </w:rPr>
        <w:t>甲方</w:t>
      </w:r>
      <w:r>
        <w:rPr>
          <w:color w:val="000000"/>
          <w:sz w:val="24"/>
          <w:highlight w:val="none"/>
        </w:rPr>
        <w:t>定期巡视工</w:t>
      </w:r>
      <w:r>
        <w:rPr>
          <w:rFonts w:hint="eastAsia"/>
          <w:color w:val="000000"/>
          <w:sz w:val="24"/>
          <w:highlight w:val="none"/>
          <w:lang w:val="en-US" w:eastAsia="zh-CN"/>
        </w:rPr>
        <w:t>地</w:t>
      </w:r>
      <w:r>
        <w:rPr>
          <w:rFonts w:hint="eastAsia"/>
          <w:color w:val="000000"/>
          <w:sz w:val="24"/>
          <w:szCs w:val="28"/>
          <w:highlight w:val="none"/>
        </w:rPr>
        <w:t>，并形成书面记录。遇到现场重大质量问题，需当天向业主提出，并形成记录。</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7.2.3</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将指定一名具有相应资质的技术人员作为工程现场的总代表，负责合同范围内的总的技术指导，并与</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总代表一起解决与合同有关的技术和其它问题。但是双方总代表均无权修改合同。</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7.2.4</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必须按照</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工程施工进度，派出有经验的</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认可的、满足现场需求相应专业技术人员常驻工程施工现场进行技术服务，保证及时、高效地处理施工中出现的设计问题。</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在施工现场服务的设计代表的考勤情况需经</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确认，并每周向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书面报告。</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7.2.5</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现场技术人员将对技术文件、图纸给出详细说明，并答复和解决协议范围内由</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提出的技术问题。</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7.2.6</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技术人员在现场工作中发现施工单位工作失误时，可以书面形式通知</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，但是</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的现场技术人员不对未发现的施工单位工作失误负责，其责任应由施工单位和监理单位负责。</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应在3天内签字确认回复，延期将视</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已同意</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的修改意见。</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7.2.7当建设过程中对设计文件有疑问，</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在接到通知后，应及时派出技术人员解决。属于重大设计问题，若无特殊情况，应在1天内具有高级职称的专业人员到工地现场解决，并在</w:t>
      </w:r>
      <w:r>
        <w:rPr>
          <w:rFonts w:hint="eastAsia" w:ascii="Times New Roman" w:hAnsi="Times New Roman"/>
          <w:color w:val="000000"/>
          <w:sz w:val="24"/>
          <w:szCs w:val="24"/>
          <w:highlight w:val="none"/>
          <w:lang w:val="en-US" w:eastAsia="zh-CN"/>
        </w:rPr>
        <w:t>3</w:t>
      </w:r>
      <w:r>
        <w:rPr>
          <w:rFonts w:ascii="Times New Roman" w:hAnsi="Times New Roman"/>
          <w:color w:val="000000"/>
          <w:sz w:val="24"/>
          <w:szCs w:val="24"/>
          <w:highlight w:val="none"/>
        </w:rPr>
        <w:t>天内提出书面解决意见；属于一般设计问题，应由工地设计代表于</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天内书面提出解决意见。对设计图纸与现场不符之处，应及时提出解决办法。</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7.2.8</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必须集中人员确保设计进度，凡因人员不到位而影响设计工作的，</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有权根据实际情况扣减设计费、解除合同等。</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7.2.9</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须在广州有固定的办公场所或驻点管理机构，办公场所或驻点机构在职人员须含建筑、结构、电气、暖通等含各专业至少一人。并随项目的推进，</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应派现场代表驻现场。本项目总设计师应按照</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要求参与相关会议和现场解决相关设计问题。驻场人员与</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同步执行</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考勤制度。</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7.2.10</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承诺派现场代表，若非</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要求需离开驻地2工作日以上需经</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批准。总请假天数每月不得超过3工作日。在其请假离开的时间段内应书面委托其它现场代表全权代表其行使职权。</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7.2.11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必须加强</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人员职业操守的教育，本项目</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人员需共同遵守</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人员职业道德守则。</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现场人员应严格遵守工程实施安全规定。</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应为现场人员购买商业意外保险。</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不对</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现场人员的人身安全承担责任。</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7.2.12接获</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的投诉时，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的公司负责人和技术总负责人应当亲自过问并监督解决。</w:t>
      </w:r>
    </w:p>
    <w:p>
      <w:pPr>
        <w:pStyle w:val="104"/>
        <w:adjustRightInd w:val="0"/>
        <w:snapToGrid w:val="0"/>
        <w:spacing w:beforeLines="0" w:afterLines="0" w:line="600" w:lineRule="exact"/>
        <w:ind w:firstLine="480" w:firstLineChars="200"/>
        <w:rPr>
          <w:rFonts w:hint="eastAsia" w:ascii="Times New Roman" w:hAnsi="Times New Roman"/>
          <w:color w:val="000000"/>
          <w:sz w:val="24"/>
          <w:szCs w:val="24"/>
          <w:highlight w:val="none"/>
          <w:lang w:val="en-US" w:eastAsia="zh-CN"/>
        </w:rPr>
      </w:pPr>
      <w:r>
        <w:rPr>
          <w:rFonts w:hint="eastAsia" w:ascii="Times New Roman" w:hAnsi="Times New Roman"/>
          <w:color w:val="000000"/>
          <w:sz w:val="24"/>
          <w:szCs w:val="24"/>
          <w:highlight w:val="none"/>
          <w:lang w:val="en-US" w:eastAsia="zh-CN"/>
        </w:rPr>
        <w:t>7.2.13设计定期驻场时间从设计开始至现场项目施工完成。如中途需要更换驻场设计师，必须提出书面要求，并征得业主同意后方可更换。新的设计法律、法规变化，必须第一时间以书面的形式，向业主进行通报。</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7.2.1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在施工现场提供临时办公场所及网络、电讯、水、电等接口，</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自带办公设备、车辆、生活和办公家具等物品，</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承担自身人员的水、电、网络、通讯、食宿、卫生等日常费用及维护费用，</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负责勘察作业机械设备进出场、施工临时水电敷设、施工用水用电、安全文明措施等费用。</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7.3项目采购技术需求、建筑材料和设备的选用</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7.3.1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应负责编制设备、材料采购的技术文件，内容包括设备、材料采购清单、技术要求、必要的附图、技术参数表和采购说明等。</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7.3.2设计所选用的建筑材料及设备（包括各专业选用的材料、设备），原则上要求所采用的设备和系统技术是成熟的，在进行性能价格比的分析后，优先选用国内的产品。但对一些关系到建筑物的形象、功能档次的建筑材料、设备，国内没有的或国内材料、设备性能（功能）不能达到设计要求或价格高时，应选用进口材料、设备。设计中选用的材料、设备均须按中国、广东省、广州市、项目所在区有关法律和行政法规、规章的要求，提供明确的技术数据（包括性能指针、规格、型号等方面的数据）。</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要求以国外标准执行的，涉及到以外国文字为编制语言的文件、规定或其他材料，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应向</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提供经翻译成为中华人民共和国汉语简体字版本的材料，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对材料翻译的准确性负责，相关标准按照中文翻译版的理解执行。</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7.3.3</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设计时应书面将拟选用设备和重要材料的选型、功能和技术参数等意见提交</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审核，</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的审查并不代表能减轻</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对其所应承担的相应责任</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负责确定选用设备和重要材料的品牌清单，对于本项目候选的建筑材料和设备，</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应根据</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的要求鉴别其优劣并提供相关咨询意见（包括与本项目各工艺设备的配套、市场询价、功能、型号、技术参数、售后服务等），咨询意见不能含有倾向性和排它性。</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应按</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最终确定的拟选用品牌的设备和重要材料进行设计，不得拒绝推诿拖延。</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7.3.4从国外进口的建筑材料、设备等，</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原则上须向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推荐三家以上可满足工程进度要求供货的国外厂商名称、产品质量标准、价格数据等，并提出评估意见。</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7.3.5进口设备与材料的规格必须采用国际标准计量单位，能与国内材料、设备零件相配套。</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7.3.6设计资料及文件中，建筑材料、建筑构配件和设备，应当注明其规格、型号、性能等技术指标，</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不得指定生产厂、供应商。</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需要</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配合加工定货时，</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仅承担货物采购费用和运输费用，其他费用均由</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负责。</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八、设计管理</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8.1派驻满足</w:t>
      </w:r>
      <w:r>
        <w:rPr>
          <w:rFonts w:hint="eastAsia" w:ascii="Times New Roman" w:hAnsi="Times New Roman"/>
          <w:b/>
          <w:color w:val="000000"/>
          <w:sz w:val="24"/>
          <w:szCs w:val="24"/>
          <w:highlight w:val="none"/>
          <w:lang w:eastAsia="zh-CN"/>
        </w:rPr>
        <w:t>甲方</w:t>
      </w:r>
      <w:r>
        <w:rPr>
          <w:rFonts w:ascii="Times New Roman" w:hAnsi="Times New Roman"/>
          <w:b/>
          <w:color w:val="000000"/>
          <w:sz w:val="24"/>
          <w:szCs w:val="24"/>
          <w:highlight w:val="none"/>
        </w:rPr>
        <w:t>要求的团队及人员</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8.1.1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必须在委托协作场地派驻满足</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要求，且满足现场需求的技术管理人员，按照约定的时间和质量完成设计任务，并协调好各单位之间的设计工作，同时对相关单位提交的设计成果数据进行审核，经确认无误后签字提交</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对</w:t>
      </w:r>
      <w:r>
        <w:rPr>
          <w:rFonts w:hint="eastAsia" w:ascii="Times New Roman" w:hAnsi="Times New Roman"/>
          <w:color w:val="000000"/>
          <w:sz w:val="24"/>
          <w:szCs w:val="24"/>
          <w:highlight w:val="none"/>
          <w:lang w:val="en-US" w:eastAsia="zh-CN"/>
        </w:rPr>
        <w:t>本项目</w:t>
      </w:r>
      <w:r>
        <w:rPr>
          <w:rFonts w:ascii="Times New Roman" w:hAnsi="Times New Roman"/>
          <w:color w:val="000000"/>
          <w:sz w:val="24"/>
          <w:szCs w:val="24"/>
          <w:highlight w:val="none"/>
        </w:rPr>
        <w:t>全部设计</w:t>
      </w:r>
      <w:r>
        <w:rPr>
          <w:rFonts w:hint="eastAsia" w:ascii="Times New Roman" w:hAnsi="Times New Roman"/>
          <w:color w:val="000000"/>
          <w:sz w:val="24"/>
          <w:szCs w:val="24"/>
          <w:highlight w:val="none"/>
          <w:lang w:val="en-US" w:eastAsia="zh-CN"/>
        </w:rPr>
        <w:t>工作</w:t>
      </w:r>
      <w:r>
        <w:rPr>
          <w:rFonts w:ascii="Times New Roman" w:hAnsi="Times New Roman"/>
          <w:color w:val="000000"/>
          <w:sz w:val="24"/>
          <w:szCs w:val="24"/>
          <w:highlight w:val="none"/>
        </w:rPr>
        <w:t>总协调、总负责。</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8.1.2</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须派驻设计团队完成本项目设计任务。</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承诺向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提供</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组织机构数据，提供承担本项目设计的项目组织架构和人员数据，承诺参与本项目设计的人员，均为在册的正式员工。除</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同意的专项分包内容外，不得以任何形式将工程分解分包。</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8.1.3</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按</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现场管理要求派遣现场代表驻现场。</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承诺本项目指定的各专业设计负责人须具备注册执业资格，未实行注册执业制度的专业，须具有本专业（含相近专业）高级技术职称或者中级技术职称从事本专业工作</w:t>
      </w:r>
      <w:r>
        <w:rPr>
          <w:rFonts w:hint="eastAsia" w:ascii="Times New Roman" w:hAnsi="Times New Roman"/>
          <w:color w:val="000000"/>
          <w:sz w:val="24"/>
          <w:szCs w:val="24"/>
          <w:highlight w:val="none"/>
          <w:lang w:val="en-US" w:eastAsia="zh-CN"/>
        </w:rPr>
        <w:t>5</w:t>
      </w:r>
      <w:r>
        <w:rPr>
          <w:rFonts w:hint="eastAsia" w:ascii="Times New Roman" w:hAnsi="Times New Roman"/>
          <w:color w:val="000000"/>
          <w:sz w:val="24"/>
          <w:szCs w:val="24"/>
          <w:highlight w:val="none"/>
        </w:rPr>
        <w:t>年以上，且经</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确认。</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8.1.4</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应分阶段、有计划的派相关设计人员在现场配合与解决初步设计、施工图设计中出现的有关问题；工程施工阶段</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应派遣的设计代表驻现场办公，设计代表应按时参加每周工程例会并根据工程需要进行现场服务（按</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现场管理要求）。</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8.1.5</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应分阶段、有计划的派相关人员在现场配合与解决工程施工中出现的有关地质方面的问题；本工程验槽、基础验收、主体验收、竣工验收，以及现场涉及地基问题的处理等，须派专业岩土工程师按</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通知的时间到场。根据政府的有关规定，积极做好项目工程竣工前的各项验收配合工作。</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8.2通信交流</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8.2.1无论在任何场合给予或颁发批准、证明、同意、确定、通知和请求时，这些通信信息都应采用书面形式，并交付、传送或传输到合同中注明的收件人地址；如果收件人通知了另外地址时，随后通信信息应按新址发送。无论在任何场合给予或办法批准、证明、同意、确定和请求时，这些通信信息都应采用书面形式，并交付、传送或传输到以下地址或由指定的本项目联系负责人签收。若实际情况不便于采用书面形式的，可使用电子邮件方式交付，一方电子邮件发出之日视为另一方收到该信息之日。</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指定本项目联系负责人为</w:t>
      </w:r>
      <w:r>
        <w:rPr>
          <w:rFonts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u w:val="single"/>
          <w:lang w:val="en-US" w:eastAsia="zh-CN"/>
        </w:rPr>
        <w:t xml:space="preserve">   </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（联系方式：</w:t>
      </w:r>
      <w:r>
        <w:rPr>
          <w:rFonts w:hint="eastAsia" w:ascii="Times New Roman" w:hAnsi="Times New Roman"/>
          <w:color w:val="000000"/>
          <w:sz w:val="24"/>
          <w:szCs w:val="24"/>
          <w:highlight w:val="none"/>
          <w:u w:val="single"/>
          <w:lang w:val="en-US" w:eastAsia="zh-CN"/>
        </w:rPr>
        <w:t xml:space="preserve">     </w:t>
      </w:r>
      <w:r>
        <w:rPr>
          <w:rFonts w:ascii="Times New Roman" w:hAnsi="Times New Roman"/>
          <w:color w:val="000000"/>
          <w:sz w:val="24"/>
          <w:szCs w:val="24"/>
          <w:highlight w:val="none"/>
        </w:rPr>
        <w:t>），指定邮箱</w:t>
      </w:r>
      <w:r>
        <w:rPr>
          <w:rFonts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u w:val="single"/>
          <w:lang w:val="en-US" w:eastAsia="zh-CN"/>
        </w:rPr>
        <w:t xml:space="preserve">      </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为本项目联系邮箱，指定</w:t>
      </w:r>
      <w:r>
        <w:rPr>
          <w:rFonts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u w:val="single"/>
          <w:lang w:val="en-US" w:eastAsia="zh-CN"/>
        </w:rPr>
        <w:t xml:space="preserve">        </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为本项目书面资料接收地址。</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指定本项目联系负责人为</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（联系方式：</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），指定邮箱</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为本项目联系邮箱，指定</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为本项目书面资料接收地址。</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ascii="Times New Roman" w:hAnsi="Times New Roman"/>
          <w:color w:val="000000"/>
          <w:sz w:val="24"/>
          <w:szCs w:val="24"/>
          <w:highlight w:val="none"/>
        </w:rPr>
        <w:t>任一方变更任何联系信息的，应书面告知另一方。</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8.2.2批准、证明、同意、确定不得无故被扣押或拖延。</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8.2.3</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负责保存和照管每份</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文件，直到被</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接收为止。</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8.2.4</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负责保存和照管每份</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文件，直到被</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接收为止。</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hint="eastAsia" w:ascii="Times New Roman" w:hAnsi="Times New Roman"/>
          <w:b/>
          <w:color w:val="000000"/>
          <w:sz w:val="24"/>
          <w:szCs w:val="24"/>
          <w:highlight w:val="none"/>
          <w:lang w:val="en-US" w:eastAsia="zh-CN"/>
        </w:rPr>
        <w:t>九</w:t>
      </w:r>
      <w:r>
        <w:rPr>
          <w:rFonts w:ascii="Times New Roman" w:hAnsi="Times New Roman"/>
          <w:b/>
          <w:color w:val="000000"/>
          <w:sz w:val="24"/>
          <w:szCs w:val="24"/>
          <w:highlight w:val="none"/>
        </w:rPr>
        <w:t>、质量要求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hint="eastAsia" w:ascii="Times New Roman" w:hAnsi="Times New Roman"/>
          <w:b/>
          <w:color w:val="000000"/>
          <w:sz w:val="24"/>
          <w:szCs w:val="24"/>
          <w:highlight w:val="none"/>
          <w:lang w:val="en-US" w:eastAsia="zh-CN"/>
        </w:rPr>
        <w:t>9</w:t>
      </w:r>
      <w:r>
        <w:rPr>
          <w:rFonts w:ascii="Times New Roman" w:hAnsi="Times New Roman"/>
          <w:b/>
          <w:color w:val="000000"/>
          <w:sz w:val="24"/>
          <w:szCs w:val="24"/>
          <w:highlight w:val="none"/>
        </w:rPr>
        <w:t>.1对设计与法律、法规、规章、规范、标准符合性的要求</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.1.1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交付的设计文件应符合中国有关法律、行政法规和相关的工程设计技术规范、规定及标准的要求，且必须执行中国国家规定的工程建设标准强制性条文要求。</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.1.2</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应在设计文件中列出设计所采用的主要技术规范、技术标准名称、编号与版本。</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.1.3如果工程某部分设计中遇到国内地区无相应的工程设计技术规范、标准、依据的，</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应与</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协商，推荐国内外成熟、先进的工程设计技术规范、标准给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，由</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组织专家论证确定所采用的国际标准；若出现各国均没有明确规范、标准的设计分项，由</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提请</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，且协助</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组织专家专题研讨，并按经</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确认的专家评审书面意见作为设计指导标准。</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.1.4由于工程设计的特殊需要对设计规范、规程中非强制性的条文，允许稍有选择和突破，但</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必须提出充分的理由，提交充分的质量保证措施，并经</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论证同意后以文件形式认可。</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.1.5在</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进行设计过程中，遇到国内设计规范、规定、标准等条款发生修订与变更而失效时，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要按新的（修订后的）规范、规定和标准执行，并进行必要的设计修改。</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hint="eastAsia" w:ascii="Times New Roman" w:hAnsi="Times New Roman"/>
          <w:b/>
          <w:color w:val="000000"/>
          <w:sz w:val="24"/>
          <w:szCs w:val="24"/>
          <w:highlight w:val="none"/>
          <w:lang w:val="en-US" w:eastAsia="zh-CN"/>
        </w:rPr>
        <w:t>9</w:t>
      </w:r>
      <w:r>
        <w:rPr>
          <w:rFonts w:ascii="Times New Roman" w:hAnsi="Times New Roman"/>
          <w:b/>
          <w:color w:val="000000"/>
          <w:sz w:val="24"/>
          <w:szCs w:val="24"/>
          <w:highlight w:val="none"/>
        </w:rPr>
        <w:t>.2对各阶段设计文件设计深度的要求</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ascii="Times New Roman" w:hAnsi="Times New Roman"/>
          <w:color w:val="000000"/>
          <w:sz w:val="24"/>
          <w:szCs w:val="24"/>
          <w:highlight w:val="none"/>
        </w:rPr>
        <w:t>设计文件的设计深度，应符合现行的</w:t>
      </w:r>
      <w:r>
        <w:rPr>
          <w:rFonts w:hint="eastAsia" w:ascii="Times New Roman" w:hAnsi="Times New Roman"/>
          <w:color w:val="000000"/>
          <w:sz w:val="24"/>
          <w:szCs w:val="24"/>
          <w:highlight w:val="none"/>
          <w:lang w:val="en-US" w:eastAsia="zh-CN"/>
        </w:rPr>
        <w:t>技术规范和标准</w:t>
      </w:r>
      <w:r>
        <w:rPr>
          <w:rFonts w:ascii="Times New Roman" w:hAnsi="Times New Roman"/>
          <w:color w:val="000000"/>
          <w:sz w:val="24"/>
          <w:szCs w:val="24"/>
          <w:highlight w:val="none"/>
        </w:rPr>
        <w:t>等对各阶段、各专业设计文件编制深度的要求以及其他本项目涉及相关设施的国家、地方及行业所要求的设计深度等有关规定；如</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要求以国外标准执行的，</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应向</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提供该标准切实可行的依据，涉及到以外国文字为编制语言的文件、规定或其他材料，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应向</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提供经翻译成为中华人民共和国汉语简体字版本的材料，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对材料翻译的准确性负责，相关标准按照</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对中文翻译版的理解执行。</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hint="eastAsia" w:ascii="Times New Roman" w:hAnsi="Times New Roman"/>
          <w:b/>
          <w:color w:val="000000"/>
          <w:sz w:val="24"/>
          <w:szCs w:val="24"/>
          <w:highlight w:val="none"/>
          <w:lang w:val="en-US" w:eastAsia="zh-CN"/>
        </w:rPr>
        <w:t>9</w:t>
      </w:r>
      <w:r>
        <w:rPr>
          <w:rFonts w:ascii="Times New Roman" w:hAnsi="Times New Roman"/>
          <w:b/>
          <w:color w:val="000000"/>
          <w:sz w:val="24"/>
          <w:szCs w:val="24"/>
          <w:highlight w:val="none"/>
        </w:rPr>
        <w:t>.3对设计质量的要求</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.3.1本项目的设计应符合国际通用的ISO－9001质量认证体系对于工程设计所规定的标准及质量。</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.3.2设计应体现</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的建设意图，满足本项目的功能需求，在控制投资的同时，做到美观、适用、安全、经济、环保，取得良好的社会效益。</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.3.3</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保证每次交付的勘察设计文件是完整的、正确的、清晰的。</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rPr>
        <w:t>“完整”是指每次交付的设计文件是合同及附件中规定的全部设计文件。</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rPr>
        <w:t>“正确”是指每次交付的勘察设计文件均符合法律、法规、标准、规范的规定；关于各阶段设计文件内容与设计深度的规定；同时保证设计输入的基础数据完整、正确，设计方法、计算方法与结果、技术参数的选用正确，构造合理，图面表达清楚、文字叙述准确，各专业设计协调统一。</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rPr>
        <w:t>“清晰”是指每次交付的设计文件中的图样、线条、术语、符号、尺寸标准、文字说明等清楚准确。</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.3.4</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应根据政府主管部门及</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对设计文件的审查意见，对设计进行必要的修改。</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.3.5如果</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交付的勘察设计文件或图纸不符合约定和要求，</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有权拒收，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应在收到</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通知后按照双方约定的时间内免费将所有符合规定的勘察设计文件交付给</w:t>
      </w:r>
      <w:r>
        <w:rPr>
          <w:rFonts w:hint="eastAsia" w:ascii="Times New Roman" w:hAnsi="Times New Roman"/>
          <w:color w:val="000000"/>
          <w:sz w:val="24"/>
          <w:szCs w:val="24"/>
          <w:highlight w:val="none"/>
          <w:lang w:eastAsia="zh-CN"/>
        </w:rPr>
        <w:t>甲方</w:t>
      </w:r>
      <w:r>
        <w:rPr>
          <w:rFonts w:hint="eastAsia" w:ascii="宋体" w:hAnsi="宋体" w:eastAsia="宋体"/>
          <w:color w:val="000000"/>
          <w:sz w:val="24"/>
          <w:szCs w:val="24"/>
          <w:highlight w:val="none"/>
        </w:rPr>
        <w:t>，且文件交付时间仍应符合合同要求，否则承担相关违约责任</w:t>
      </w:r>
      <w:r>
        <w:rPr>
          <w:rFonts w:ascii="Times New Roman" w:hAnsi="Times New Roman"/>
          <w:color w:val="000000"/>
          <w:sz w:val="24"/>
          <w:szCs w:val="24"/>
          <w:highlight w:val="none"/>
        </w:rPr>
        <w:t>。</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.3.6本项目建设质量目标为符合国家质量标准，设计质量必须符合本工程质量目标要求。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hint="eastAsia" w:ascii="Times New Roman" w:hAnsi="Times New Roman"/>
          <w:b/>
          <w:color w:val="000000"/>
          <w:sz w:val="24"/>
          <w:szCs w:val="24"/>
          <w:highlight w:val="none"/>
          <w:lang w:val="en-US" w:eastAsia="zh-CN"/>
        </w:rPr>
        <w:t>9</w:t>
      </w:r>
      <w:r>
        <w:rPr>
          <w:rFonts w:ascii="Times New Roman" w:hAnsi="Times New Roman"/>
          <w:b/>
          <w:color w:val="000000"/>
          <w:sz w:val="24"/>
          <w:szCs w:val="24"/>
          <w:highlight w:val="none"/>
        </w:rPr>
        <w:t>.4其它</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.4.1设计必须体现政府和</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的意图，针对本项目特点编制完善的设计管理体制，制订严谨可行的项目设计进度安排计划，保证按期、按质、按量完成双方商定的各项工作内容，并对设计质量负责。</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.4.2</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应对</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提供的文件、数据进行认真研究，对本项目的特点和不确定因素进行认真考虑，并提出合理建议和评价，对影响设计质量的重大问题要进行多方案比较选择。</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.4.3对涉及建筑安全或对投资影响重大的有关资料，在</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提出要求时，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必须提供设计输入条件、基础数据、计算原理和方法以及计算成果，方便</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在必要时用其它计算程序进行验算。</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有解释的义务，不得以专利和知识产权为借口拒绝配合。</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.4.4本项目设计的计算机文件要求：设计文本文件采用Microsoft Word软件制作的doc格式文件，设计图形文件采用AutoCAD 2010年及以上中文版软件制作的dwg格式文件。其它使用特殊软件编制的设计成果计算机文件（如建筑效果图、结构计算书和估算、概预算成果等），应用国内相关行业的通用软件，且提交时应注明软件名称、版本。所有电子文件均不能进行加密设置。</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.4.5</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应进行项目设计策划，建立质量目标，规定质量要求，编制质量计划，安排应开展的各项活动，并向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提交设计策划文件。保证不因各种因素使设计进度、质量与施工服务的完整性、连贯性和可靠性受到影响，因自然灾害、军事行动、政府行为等不可抗拒力原因造成的影响除外。</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.4.6设计质量必须符合本工程的设计原则，</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应积极配合</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申请各类奖项。如果因</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原因构成申报奖项障碍，造成</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损失的，</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应承担相应违约责任。</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.4.7</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在设计过程中应考虑工程的可实施性，对方案的实施工序提出相应的技术要求，特别是关键工序，应明确提出工艺要求、质量控制要求。超越目前国内施工单位技术水平的设计方案、施工方法，</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应提出合理理由和可行的实施方案，报</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同意后方可采用，否则，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有权要求</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修改设计。</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.4.8</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应加强设计标准化工作，组织采用统一的模数、参数和标准构配件，推广标准设计的运用，针对本工程的特点提出标准化设计建议，如标准平面、标准断面、标准设备选用等，将</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积累的经验加以总结，提高设计水平和工作效率。</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9</w:t>
      </w:r>
      <w:r>
        <w:rPr>
          <w:rFonts w:ascii="Times New Roman" w:hAnsi="Times New Roman"/>
          <w:color w:val="000000"/>
          <w:sz w:val="24"/>
          <w:szCs w:val="24"/>
          <w:highlight w:val="none"/>
        </w:rPr>
        <w:t>设计图纸必须依照工程图纸规格的规定绘制，保持同类图纸规格统一。</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十、投资控制的要求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0</w:t>
      </w:r>
      <w:r>
        <w:rPr>
          <w:rFonts w:ascii="Times New Roman" w:hAnsi="Times New Roman"/>
          <w:b/>
          <w:color w:val="000000"/>
          <w:sz w:val="24"/>
          <w:szCs w:val="24"/>
          <w:highlight w:val="none"/>
        </w:rPr>
        <w:t>.1限额设计</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ascii="Times New Roman" w:hAnsi="Times New Roman"/>
          <w:color w:val="000000"/>
          <w:sz w:val="24"/>
          <w:szCs w:val="24"/>
          <w:highlight w:val="none"/>
        </w:rPr>
        <w:t>本项目设计须控制在</w:t>
      </w:r>
      <w:r>
        <w:rPr>
          <w:rFonts w:hint="eastAsia" w:ascii="Times New Roman" w:hAnsi="Times New Roman"/>
          <w:color w:val="000000"/>
          <w:sz w:val="24"/>
          <w:szCs w:val="24"/>
          <w:highlight w:val="none"/>
          <w:lang w:val="en-US" w:eastAsia="zh-CN"/>
        </w:rPr>
        <w:t>备案</w:t>
      </w:r>
      <w:r>
        <w:rPr>
          <w:rFonts w:ascii="Times New Roman" w:hAnsi="Times New Roman"/>
          <w:color w:val="000000"/>
          <w:sz w:val="24"/>
          <w:szCs w:val="24"/>
          <w:highlight w:val="none"/>
        </w:rPr>
        <w:t>金额内。工程竣工验收结算后的最终总投资不突破</w:t>
      </w:r>
      <w:r>
        <w:rPr>
          <w:rFonts w:hint="eastAsia" w:ascii="Times New Roman" w:hAnsi="Times New Roman"/>
          <w:color w:val="000000"/>
          <w:sz w:val="24"/>
          <w:szCs w:val="24"/>
          <w:highlight w:val="none"/>
          <w:lang w:val="en-US" w:eastAsia="zh-CN"/>
        </w:rPr>
        <w:t>备案</w:t>
      </w:r>
      <w:r>
        <w:rPr>
          <w:rFonts w:ascii="Times New Roman" w:hAnsi="Times New Roman"/>
          <w:color w:val="000000"/>
          <w:sz w:val="24"/>
          <w:szCs w:val="24"/>
          <w:highlight w:val="none"/>
        </w:rPr>
        <w:t>的</w:t>
      </w:r>
      <w:r>
        <w:rPr>
          <w:rFonts w:hint="eastAsia" w:ascii="Times New Roman" w:hAnsi="Times New Roman"/>
          <w:color w:val="000000"/>
          <w:sz w:val="24"/>
          <w:szCs w:val="24"/>
          <w:highlight w:val="none"/>
          <w:lang w:val="en-US" w:eastAsia="zh-CN"/>
        </w:rPr>
        <w:t>项目总投资</w:t>
      </w:r>
      <w:r>
        <w:rPr>
          <w:rFonts w:ascii="Times New Roman" w:hAnsi="Times New Roman"/>
          <w:color w:val="000000"/>
          <w:sz w:val="24"/>
          <w:szCs w:val="24"/>
          <w:highlight w:val="none"/>
        </w:rPr>
        <w:t>为准。</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0</w:t>
      </w:r>
      <w:r>
        <w:rPr>
          <w:rFonts w:ascii="Times New Roman" w:hAnsi="Times New Roman"/>
          <w:b/>
          <w:color w:val="000000"/>
          <w:sz w:val="24"/>
          <w:szCs w:val="24"/>
          <w:highlight w:val="none"/>
        </w:rPr>
        <w:t>.2设计优化和技术经济分析论证</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.2.1设计方案必须进行技术经济分析。通过对设计方案、工艺、设备等进行全面的评价，在满足功能要求的前提下，采用技术经济优化、可以有效控制工程投资的方案。</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.2.2在保证方案的可实施和可操作性前提下，设计中凡能进行定量分析的设计内容，应通过计算，用数据说明其技术经济的合理性。同时向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提供各阶段技术经济分析数据，以力求各阶段设计成果能充分体现设计优化的原则。</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.2.3为确保设计优化和投资控制，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对整体设计方案、主要基础形式、主体结构选型、建筑装修方案、大宗建材（单项总投资额100万元以上）使用、主要设备选型等对建成使用和建设投资有重大影响的因素进行经济技术多方案比选和性价比分析，在</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有需要时交付正式的书面报告报设计咨询（监理）单位和</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确认。</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.2.4</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未经</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审批，不得随意突破限额。</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lang w:eastAsia="zh-CN"/>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0</w:t>
      </w:r>
      <w:r>
        <w:rPr>
          <w:rFonts w:ascii="Times New Roman" w:hAnsi="Times New Roman"/>
          <w:b/>
          <w:color w:val="000000"/>
          <w:sz w:val="24"/>
          <w:szCs w:val="24"/>
          <w:highlight w:val="none"/>
        </w:rPr>
        <w:t>.3</w:t>
      </w:r>
      <w:r>
        <w:rPr>
          <w:rFonts w:ascii="宋体" w:hAnsi="宋体" w:eastAsia="宋体"/>
          <w:b/>
          <w:color w:val="000000"/>
          <w:sz w:val="24"/>
          <w:szCs w:val="24"/>
          <w:highlight w:val="none"/>
        </w:rPr>
        <w:t>估算</w:t>
      </w:r>
      <w:r>
        <w:rPr>
          <w:rFonts w:hint="eastAsia" w:ascii="宋体" w:hAnsi="宋体" w:eastAsia="宋体"/>
          <w:b/>
          <w:color w:val="000000"/>
          <w:sz w:val="24"/>
          <w:szCs w:val="24"/>
          <w:highlight w:val="none"/>
        </w:rPr>
        <w:t>、</w:t>
      </w:r>
      <w:r>
        <w:rPr>
          <w:rFonts w:ascii="宋体" w:hAnsi="宋体" w:eastAsia="宋体"/>
          <w:b/>
          <w:color w:val="000000"/>
          <w:sz w:val="24"/>
          <w:szCs w:val="24"/>
          <w:highlight w:val="none"/>
        </w:rPr>
        <w:t>概算</w:t>
      </w:r>
      <w:r>
        <w:rPr>
          <w:rFonts w:hint="eastAsia" w:ascii="宋体" w:hAnsi="宋体" w:eastAsia="宋体"/>
          <w:b/>
          <w:color w:val="000000"/>
          <w:sz w:val="24"/>
          <w:szCs w:val="24"/>
          <w:highlight w:val="none"/>
        </w:rPr>
        <w:t>及预算</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.3.1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必须在方案设计审查、初步设计审查</w:t>
      </w:r>
      <w:r>
        <w:rPr>
          <w:rFonts w:hint="eastAsia" w:ascii="Times New Roman" w:hAnsi="Times New Roman"/>
          <w:color w:val="000000"/>
          <w:sz w:val="24"/>
          <w:szCs w:val="24"/>
          <w:highlight w:val="none"/>
        </w:rPr>
        <w:t>、施工图设计审查阶段</w:t>
      </w:r>
      <w:r>
        <w:rPr>
          <w:rFonts w:ascii="Times New Roman" w:hAnsi="Times New Roman"/>
          <w:color w:val="000000"/>
          <w:sz w:val="24"/>
          <w:szCs w:val="24"/>
          <w:highlight w:val="none"/>
        </w:rPr>
        <w:t>提交相应深度的投资估算、</w:t>
      </w:r>
      <w:r>
        <w:rPr>
          <w:rFonts w:hint="eastAsia" w:ascii="Times New Roman" w:hAnsi="Times New Roman"/>
          <w:color w:val="000000"/>
          <w:sz w:val="24"/>
          <w:szCs w:val="24"/>
          <w:highlight w:val="none"/>
        </w:rPr>
        <w:t>初步设计</w:t>
      </w:r>
      <w:r>
        <w:rPr>
          <w:rFonts w:ascii="Times New Roman" w:hAnsi="Times New Roman"/>
          <w:color w:val="000000"/>
          <w:sz w:val="24"/>
          <w:szCs w:val="24"/>
          <w:highlight w:val="none"/>
        </w:rPr>
        <w:t>概算</w:t>
      </w:r>
      <w:r>
        <w:rPr>
          <w:rFonts w:hint="eastAsia" w:ascii="Times New Roman" w:hAnsi="Times New Roman"/>
          <w:color w:val="000000"/>
          <w:sz w:val="24"/>
          <w:szCs w:val="24"/>
          <w:highlight w:val="none"/>
        </w:rPr>
        <w:t>、施工图预算及设计变更预算</w:t>
      </w:r>
      <w:r>
        <w:rPr>
          <w:rFonts w:ascii="Times New Roman" w:hAnsi="Times New Roman"/>
          <w:color w:val="000000"/>
          <w:sz w:val="24"/>
          <w:szCs w:val="24"/>
          <w:highlight w:val="none"/>
        </w:rPr>
        <w:t>，对投资限额目标作进一步的细化。</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.3.2</w:t>
      </w:r>
      <w:r>
        <w:rPr>
          <w:rFonts w:hint="eastAsia" w:ascii="Times New Roman" w:hAnsi="Times New Roman"/>
          <w:color w:val="000000"/>
          <w:sz w:val="24"/>
          <w:szCs w:val="24"/>
          <w:highlight w:val="none"/>
        </w:rPr>
        <w:t>按《广东省建设工程概算编制办法（</w:t>
      </w:r>
      <w:r>
        <w:rPr>
          <w:rFonts w:ascii="Times New Roman" w:hAnsi="Times New Roman"/>
          <w:color w:val="000000"/>
          <w:sz w:val="24"/>
          <w:szCs w:val="24"/>
          <w:highlight w:val="none"/>
        </w:rPr>
        <w:t>2014）》、《建设工程工程量清单计价规范》（2013）、《市政工程设计概算编制办法》（建标[2011]1号）、</w:t>
      </w:r>
      <w:r>
        <w:rPr>
          <w:rFonts w:hint="eastAsia" w:ascii="Times New Roman" w:hAnsi="Times New Roman"/>
          <w:color w:val="000000"/>
          <w:sz w:val="24"/>
          <w:szCs w:val="24"/>
          <w:highlight w:val="none"/>
        </w:rPr>
        <w:t>《广东省建设过程综合定额（2018版）及国家、行业、广东省、广州市最新颁布的《建设工程工程量清单计价规范》</w:t>
      </w:r>
      <w:r>
        <w:rPr>
          <w:rFonts w:ascii="Times New Roman" w:hAnsi="Times New Roman"/>
          <w:color w:val="000000"/>
          <w:sz w:val="24"/>
          <w:szCs w:val="24"/>
          <w:highlight w:val="none"/>
        </w:rPr>
        <w:t>编制初步设计概算和施工图预算</w:t>
      </w:r>
      <w:r>
        <w:rPr>
          <w:rFonts w:hint="eastAsia" w:ascii="Times New Roman" w:hAnsi="Times New Roman"/>
          <w:color w:val="000000"/>
          <w:sz w:val="24"/>
          <w:szCs w:val="24"/>
          <w:highlight w:val="none"/>
        </w:rPr>
        <w:t>及设计变更预算</w:t>
      </w:r>
      <w:r>
        <w:rPr>
          <w:rFonts w:ascii="Times New Roman" w:hAnsi="Times New Roman"/>
          <w:color w:val="000000"/>
          <w:sz w:val="24"/>
          <w:szCs w:val="24"/>
          <w:highlight w:val="none"/>
        </w:rPr>
        <w:t>。</w:t>
      </w:r>
      <w:r>
        <w:rPr>
          <w:rFonts w:hint="eastAsia" w:ascii="Times New Roman" w:hAnsi="Times New Roman"/>
          <w:color w:val="000000"/>
          <w:sz w:val="24"/>
          <w:szCs w:val="24"/>
          <w:highlight w:val="none"/>
        </w:rPr>
        <w:t>初步</w:t>
      </w:r>
      <w:r>
        <w:rPr>
          <w:rFonts w:ascii="Times New Roman" w:hAnsi="Times New Roman"/>
          <w:color w:val="000000"/>
          <w:sz w:val="24"/>
          <w:szCs w:val="24"/>
          <w:highlight w:val="none"/>
        </w:rPr>
        <w:t>设计概算</w:t>
      </w:r>
      <w:r>
        <w:rPr>
          <w:rFonts w:hint="eastAsia" w:ascii="Times New Roman" w:hAnsi="Times New Roman"/>
          <w:color w:val="000000"/>
          <w:sz w:val="24"/>
          <w:szCs w:val="24"/>
          <w:highlight w:val="none"/>
        </w:rPr>
        <w:t>、</w:t>
      </w:r>
      <w:r>
        <w:rPr>
          <w:rFonts w:ascii="Times New Roman" w:hAnsi="Times New Roman"/>
          <w:color w:val="000000"/>
          <w:sz w:val="24"/>
          <w:szCs w:val="24"/>
          <w:highlight w:val="none"/>
        </w:rPr>
        <w:t>施工图预算</w:t>
      </w:r>
      <w:r>
        <w:rPr>
          <w:rFonts w:hint="eastAsia" w:ascii="Times New Roman" w:hAnsi="Times New Roman"/>
          <w:color w:val="000000"/>
          <w:sz w:val="24"/>
          <w:szCs w:val="24"/>
          <w:highlight w:val="none"/>
        </w:rPr>
        <w:t>、设计变更预算</w:t>
      </w:r>
      <w:r>
        <w:rPr>
          <w:rFonts w:ascii="Times New Roman" w:hAnsi="Times New Roman"/>
          <w:color w:val="000000"/>
          <w:sz w:val="24"/>
          <w:szCs w:val="24"/>
          <w:highlight w:val="none"/>
        </w:rPr>
        <w:t>的计算指标分析应提供依据，计算资料应经有关部门或人员确认，确认后不得随意修改。没有定额的指标必须进行指标分析，针对本工程的特点合理确定，杜绝机械性地套用广州其它类似工程指标的做法。</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.3.3</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应对概</w:t>
      </w:r>
      <w:r>
        <w:rPr>
          <w:rFonts w:hint="eastAsia" w:ascii="Times New Roman" w:hAnsi="Times New Roman"/>
          <w:color w:val="000000"/>
          <w:sz w:val="24"/>
          <w:szCs w:val="24"/>
          <w:highlight w:val="none"/>
        </w:rPr>
        <w:t>算、施工图预</w:t>
      </w:r>
      <w:r>
        <w:rPr>
          <w:rFonts w:ascii="Times New Roman" w:hAnsi="Times New Roman"/>
          <w:color w:val="000000"/>
          <w:sz w:val="24"/>
          <w:szCs w:val="24"/>
          <w:highlight w:val="none"/>
        </w:rPr>
        <w:t>算</w:t>
      </w:r>
      <w:r>
        <w:rPr>
          <w:rFonts w:hint="eastAsia" w:ascii="Times New Roman" w:hAnsi="Times New Roman"/>
          <w:color w:val="000000"/>
          <w:sz w:val="24"/>
          <w:szCs w:val="24"/>
          <w:highlight w:val="none"/>
        </w:rPr>
        <w:t>、设计变更预算</w:t>
      </w:r>
      <w:r>
        <w:rPr>
          <w:rFonts w:ascii="Times New Roman" w:hAnsi="Times New Roman"/>
          <w:color w:val="000000"/>
          <w:sz w:val="24"/>
          <w:szCs w:val="24"/>
          <w:highlight w:val="none"/>
        </w:rPr>
        <w:t>的准确性负责，认真分析可能影响造价的各种因素（如自然条件、生产工艺和施工条件等），准确选用定额、费用和价格等各项编制依据，使概</w:t>
      </w:r>
      <w:r>
        <w:rPr>
          <w:rFonts w:hint="eastAsia" w:ascii="Times New Roman" w:hAnsi="Times New Roman"/>
          <w:color w:val="000000"/>
          <w:sz w:val="24"/>
          <w:szCs w:val="24"/>
          <w:highlight w:val="none"/>
        </w:rPr>
        <w:t>算、施工图预</w:t>
      </w:r>
      <w:r>
        <w:rPr>
          <w:rFonts w:ascii="Times New Roman" w:hAnsi="Times New Roman"/>
          <w:color w:val="000000"/>
          <w:sz w:val="24"/>
          <w:szCs w:val="24"/>
          <w:highlight w:val="none"/>
        </w:rPr>
        <w:t>算</w:t>
      </w:r>
      <w:r>
        <w:rPr>
          <w:rFonts w:hint="eastAsia" w:ascii="Times New Roman" w:hAnsi="Times New Roman"/>
          <w:color w:val="000000"/>
          <w:sz w:val="24"/>
          <w:szCs w:val="24"/>
          <w:highlight w:val="none"/>
        </w:rPr>
        <w:t>、设计变更预算</w:t>
      </w:r>
      <w:r>
        <w:rPr>
          <w:rFonts w:ascii="Times New Roman" w:hAnsi="Times New Roman"/>
          <w:color w:val="000000"/>
          <w:sz w:val="24"/>
          <w:szCs w:val="24"/>
          <w:highlight w:val="none"/>
        </w:rPr>
        <w:t>能够完整地反映设计内容，合理地反映施工条件，准确地确定工程造价。</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.3.4设计概</w:t>
      </w:r>
      <w:r>
        <w:rPr>
          <w:rFonts w:hint="eastAsia" w:ascii="Times New Roman" w:hAnsi="Times New Roman"/>
          <w:color w:val="000000"/>
          <w:sz w:val="24"/>
          <w:szCs w:val="24"/>
          <w:highlight w:val="none"/>
        </w:rPr>
        <w:t>算、施工图预</w:t>
      </w:r>
      <w:r>
        <w:rPr>
          <w:rFonts w:ascii="Times New Roman" w:hAnsi="Times New Roman"/>
          <w:color w:val="000000"/>
          <w:sz w:val="24"/>
          <w:szCs w:val="24"/>
          <w:highlight w:val="none"/>
        </w:rPr>
        <w:t>算应结合工程招投标的需要编制，单项工程、单位工程、分部、分项工程的划分原则必须统一，编码必须一致，便于投资分析和验工计价时的检索。编制单元及章节划分应符合投资控制的需要，方便</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根据工程招投标灵活组合。</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0</w:t>
      </w:r>
      <w:r>
        <w:rPr>
          <w:rFonts w:ascii="Times New Roman" w:hAnsi="Times New Roman"/>
          <w:color w:val="000000"/>
          <w:sz w:val="24"/>
          <w:szCs w:val="24"/>
          <w:highlight w:val="none"/>
        </w:rPr>
        <w:t>.3.5如果工程概</w:t>
      </w:r>
      <w:r>
        <w:rPr>
          <w:rFonts w:hint="eastAsia" w:ascii="Times New Roman" w:hAnsi="Times New Roman"/>
          <w:color w:val="000000"/>
          <w:sz w:val="24"/>
          <w:szCs w:val="24"/>
          <w:highlight w:val="none"/>
        </w:rPr>
        <w:t>算、施工图预</w:t>
      </w:r>
      <w:r>
        <w:rPr>
          <w:rFonts w:ascii="Times New Roman" w:hAnsi="Times New Roman"/>
          <w:color w:val="000000"/>
          <w:sz w:val="24"/>
          <w:szCs w:val="24"/>
          <w:highlight w:val="none"/>
        </w:rPr>
        <w:t>算</w:t>
      </w:r>
      <w:r>
        <w:rPr>
          <w:rFonts w:hint="eastAsia" w:ascii="Times New Roman" w:hAnsi="Times New Roman"/>
          <w:color w:val="000000"/>
          <w:sz w:val="24"/>
          <w:szCs w:val="24"/>
          <w:highlight w:val="none"/>
        </w:rPr>
        <w:t>、设计变更预算</w:t>
      </w:r>
      <w:r>
        <w:rPr>
          <w:rFonts w:ascii="Times New Roman" w:hAnsi="Times New Roman"/>
          <w:color w:val="000000"/>
          <w:sz w:val="24"/>
          <w:szCs w:val="24"/>
          <w:highlight w:val="none"/>
        </w:rPr>
        <w:t>超出限定的工程造价，</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必须对设计进行修改，并承诺该修改不改变有关设计和规划的原则、内容与要求，不改变原方案设计的构思，不降低使用功能与设计质量标准，不增加设计费用。</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十</w:t>
      </w:r>
      <w:r>
        <w:rPr>
          <w:rFonts w:hint="eastAsia" w:ascii="Times New Roman" w:hAnsi="Times New Roman"/>
          <w:b/>
          <w:color w:val="000000"/>
          <w:sz w:val="24"/>
          <w:szCs w:val="24"/>
          <w:highlight w:val="none"/>
          <w:lang w:val="en-US" w:eastAsia="zh-CN"/>
        </w:rPr>
        <w:t>一</w:t>
      </w:r>
      <w:r>
        <w:rPr>
          <w:rFonts w:ascii="Times New Roman" w:hAnsi="Times New Roman"/>
          <w:b/>
          <w:color w:val="000000"/>
          <w:sz w:val="24"/>
          <w:szCs w:val="24"/>
          <w:highlight w:val="none"/>
        </w:rPr>
        <w:t>、服务期限及成果文件的交付</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1</w:t>
      </w:r>
      <w:r>
        <w:rPr>
          <w:rFonts w:ascii="Times New Roman" w:hAnsi="Times New Roman"/>
          <w:b/>
          <w:color w:val="000000"/>
          <w:sz w:val="24"/>
          <w:szCs w:val="24"/>
          <w:highlight w:val="none"/>
        </w:rPr>
        <w:t>.1服务期限</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ascii="Times New Roman" w:hAnsi="Times New Roman"/>
          <w:color w:val="000000"/>
          <w:sz w:val="24"/>
          <w:szCs w:val="24"/>
          <w:highlight w:val="none"/>
        </w:rPr>
        <w:t>本项目以生效之日起至工程竣工验收合格后质保期满止为服务期限。工程投入使用后，若发现工程设计未能满足</w:t>
      </w:r>
      <w:r>
        <w:rPr>
          <w:rFonts w:hint="eastAsia" w:ascii="Times New Roman" w:hAnsi="Times New Roman"/>
          <w:color w:val="000000"/>
          <w:sz w:val="24"/>
          <w:szCs w:val="24"/>
          <w:highlight w:val="none"/>
          <w:lang w:val="en-US" w:eastAsia="zh-CN"/>
        </w:rPr>
        <w:t>甲方</w:t>
      </w:r>
      <w:r>
        <w:rPr>
          <w:rFonts w:ascii="Times New Roman" w:hAnsi="Times New Roman"/>
          <w:color w:val="000000"/>
          <w:sz w:val="24"/>
          <w:szCs w:val="24"/>
          <w:highlight w:val="none"/>
        </w:rPr>
        <w:t>的要求，</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必须继续提供服务，直至满足要求为止，对此</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不额外支付费用。</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1</w:t>
      </w:r>
      <w:r>
        <w:rPr>
          <w:rFonts w:ascii="Times New Roman" w:hAnsi="Times New Roman"/>
          <w:b/>
          <w:color w:val="000000"/>
          <w:sz w:val="24"/>
          <w:szCs w:val="24"/>
          <w:highlight w:val="none"/>
        </w:rPr>
        <w:t>.2设计成果文件的交付</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 xml:space="preserve">必须严格按照以下表格所确定的完成时间提交设计文件（注：设计时间包含各阶段设计文件的审批、报建期限）： </w:t>
      </w:r>
    </w:p>
    <w:tbl>
      <w:tblPr>
        <w:tblStyle w:val="42"/>
        <w:tblW w:w="9356" w:type="dxa"/>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8"/>
        <w:gridCol w:w="1094"/>
        <w:gridCol w:w="1984"/>
        <w:gridCol w:w="2410"/>
        <w:gridCol w:w="32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8" w:hRule="atLeast"/>
          <w:tblHeader/>
        </w:trPr>
        <w:tc>
          <w:tcPr>
            <w:tcW w:w="608" w:type="dxa"/>
            <w:noWrap w:val="0"/>
            <w:vAlign w:val="center"/>
          </w:tcPr>
          <w:p>
            <w:pPr>
              <w:adjustRightInd w:val="0"/>
              <w:snapToGrid w:val="0"/>
              <w:jc w:val="center"/>
              <w:rPr>
                <w:rFonts w:ascii="Times New Roman" w:hAnsi="Times New Roman" w:cs="Times New Roman"/>
                <w:b/>
                <w:color w:val="000000"/>
                <w:sz w:val="24"/>
                <w:highlight w:val="none"/>
              </w:rPr>
            </w:pPr>
            <w:r>
              <w:rPr>
                <w:rFonts w:ascii="Times New Roman" w:hAnsi="Times New Roman" w:cs="Times New Roman"/>
                <w:b/>
                <w:color w:val="000000"/>
                <w:sz w:val="24"/>
                <w:highlight w:val="none"/>
              </w:rPr>
              <w:t>序号</w:t>
            </w:r>
          </w:p>
        </w:tc>
        <w:tc>
          <w:tcPr>
            <w:tcW w:w="1094" w:type="dxa"/>
            <w:noWrap w:val="0"/>
            <w:vAlign w:val="center"/>
          </w:tcPr>
          <w:p>
            <w:pPr>
              <w:adjustRightInd w:val="0"/>
              <w:snapToGrid w:val="0"/>
              <w:jc w:val="center"/>
              <w:rPr>
                <w:rFonts w:ascii="Times New Roman" w:hAnsi="Times New Roman" w:cs="Times New Roman"/>
                <w:b/>
                <w:color w:val="000000"/>
                <w:sz w:val="24"/>
                <w:highlight w:val="none"/>
              </w:rPr>
            </w:pPr>
            <w:r>
              <w:rPr>
                <w:rFonts w:ascii="Times New Roman" w:hAnsi="Times New Roman" w:cs="Times New Roman"/>
                <w:b/>
                <w:color w:val="000000"/>
                <w:sz w:val="24"/>
                <w:highlight w:val="none"/>
              </w:rPr>
              <w:t>设计文件内容</w:t>
            </w:r>
          </w:p>
        </w:tc>
        <w:tc>
          <w:tcPr>
            <w:tcW w:w="1984" w:type="dxa"/>
            <w:noWrap w:val="0"/>
            <w:vAlign w:val="center"/>
          </w:tcPr>
          <w:p>
            <w:pPr>
              <w:adjustRightInd w:val="0"/>
              <w:snapToGrid w:val="0"/>
              <w:jc w:val="center"/>
              <w:rPr>
                <w:rFonts w:ascii="Times New Roman" w:hAnsi="Times New Roman" w:cs="Times New Roman"/>
                <w:b/>
                <w:color w:val="000000"/>
                <w:sz w:val="24"/>
                <w:highlight w:val="none"/>
              </w:rPr>
            </w:pPr>
            <w:r>
              <w:rPr>
                <w:rFonts w:ascii="Times New Roman" w:hAnsi="Times New Roman" w:cs="Times New Roman"/>
                <w:b/>
                <w:color w:val="000000"/>
                <w:sz w:val="24"/>
                <w:highlight w:val="none"/>
              </w:rPr>
              <w:t>设计时间</w:t>
            </w:r>
          </w:p>
        </w:tc>
        <w:tc>
          <w:tcPr>
            <w:tcW w:w="2410" w:type="dxa"/>
            <w:noWrap w:val="0"/>
            <w:vAlign w:val="center"/>
          </w:tcPr>
          <w:p>
            <w:pPr>
              <w:pStyle w:val="104"/>
              <w:adjustRightInd w:val="0"/>
              <w:snapToGrid w:val="0"/>
              <w:ind w:firstLine="0" w:firstLineChars="0"/>
              <w:jc w:val="center"/>
              <w:rPr>
                <w:rFonts w:ascii="Times New Roman" w:hAnsi="Times New Roman"/>
                <w:b/>
                <w:color w:val="000000"/>
                <w:sz w:val="24"/>
                <w:szCs w:val="24"/>
                <w:highlight w:val="none"/>
              </w:rPr>
            </w:pPr>
            <w:r>
              <w:rPr>
                <w:rFonts w:ascii="Times New Roman" w:hAnsi="Times New Roman"/>
                <w:b/>
                <w:color w:val="000000"/>
                <w:sz w:val="24"/>
                <w:szCs w:val="24"/>
                <w:highlight w:val="none"/>
              </w:rPr>
              <w:t>交付设计成果数量和规格</w:t>
            </w:r>
          </w:p>
        </w:tc>
        <w:tc>
          <w:tcPr>
            <w:tcW w:w="3260" w:type="dxa"/>
            <w:noWrap w:val="0"/>
            <w:vAlign w:val="center"/>
          </w:tcPr>
          <w:p>
            <w:pPr>
              <w:pStyle w:val="104"/>
              <w:adjustRightInd w:val="0"/>
              <w:snapToGrid w:val="0"/>
              <w:ind w:firstLine="0" w:firstLineChars="0"/>
              <w:jc w:val="center"/>
              <w:rPr>
                <w:rFonts w:ascii="Times New Roman" w:hAnsi="Times New Roman"/>
                <w:b/>
                <w:color w:val="000000"/>
                <w:sz w:val="24"/>
                <w:szCs w:val="24"/>
                <w:highlight w:val="none"/>
              </w:rPr>
            </w:pPr>
            <w:r>
              <w:rPr>
                <w:rFonts w:ascii="Times New Roman" w:hAnsi="Times New Roman"/>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b/>
                <w:bCs/>
                <w:color w:val="000000"/>
                <w:sz w:val="24"/>
                <w:highlight w:val="none"/>
              </w:rPr>
              <w:t>1</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勘察设计文件</w:t>
            </w:r>
          </w:p>
        </w:tc>
        <w:tc>
          <w:tcPr>
            <w:tcW w:w="1984" w:type="dxa"/>
            <w:noWrap w:val="0"/>
            <w:vAlign w:val="center"/>
          </w:tcPr>
          <w:p>
            <w:pPr>
              <w:adjustRightInd w:val="0"/>
              <w:snapToGrid w:val="0"/>
              <w:jc w:val="left"/>
              <w:rPr>
                <w:rFonts w:hint="default" w:ascii="Times New Roman" w:hAnsi="Times New Roman" w:eastAsia="宋体" w:cs="Times New Roman"/>
                <w:color w:val="000000"/>
                <w:sz w:val="24"/>
                <w:highlight w:val="none"/>
                <w:lang w:val="en-US" w:eastAsia="zh-CN"/>
              </w:rPr>
            </w:pPr>
            <w:r>
              <w:rPr>
                <w:rFonts w:ascii="Times New Roman" w:hAnsi="Times New Roman" w:cs="Times New Roman"/>
                <w:color w:val="000000"/>
                <w:sz w:val="24"/>
                <w:highlight w:val="none"/>
              </w:rPr>
              <w:t>中标通知书发出之日起30个日历日内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设计成果20份和电子文件4套（电子文件须包含word、dwg和pdf文件）</w:t>
            </w:r>
          </w:p>
        </w:tc>
        <w:tc>
          <w:tcPr>
            <w:tcW w:w="326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highlight w:val="none"/>
              </w:rPr>
              <w:t>勘察设计文件</w:t>
            </w:r>
            <w:r>
              <w:rPr>
                <w:rFonts w:ascii="Times New Roman" w:hAnsi="Times New Roman"/>
                <w:color w:val="000000"/>
                <w:sz w:val="24"/>
                <w:szCs w:val="24"/>
                <w:highlight w:val="none"/>
              </w:rPr>
              <w:t>的纸质版和电子版要求装订成册，同时数量不少于20份，能满足施工需要及相关要求。其中，勘察技术需求书纸质版3份和电子文件1套（电子文件须包含dwg和pdf文件）。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b/>
                <w:bCs/>
                <w:color w:val="000000"/>
                <w:sz w:val="24"/>
                <w:highlight w:val="none"/>
              </w:rPr>
              <w:t>2</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初步设计图纸</w:t>
            </w:r>
            <w:r>
              <w:rPr>
                <w:rFonts w:hint="eastAsia" w:cs="宋体"/>
                <w:color w:val="000000"/>
                <w:sz w:val="24"/>
                <w:highlight w:val="none"/>
              </w:rPr>
              <w:t>及初步设计说明文件</w:t>
            </w:r>
            <w:r>
              <w:rPr>
                <w:rFonts w:ascii="Times New Roman" w:hAnsi="Times New Roman" w:cs="Times New Roman"/>
                <w:color w:val="000000"/>
                <w:sz w:val="24"/>
                <w:highlight w:val="none"/>
              </w:rPr>
              <w:t>（全套）</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中标通知书发出之日起30个日历日内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设计成果20份和电子文件4套（电子文件须包含word、dwg和pdf文件）</w:t>
            </w:r>
          </w:p>
        </w:tc>
        <w:tc>
          <w:tcPr>
            <w:tcW w:w="3260" w:type="dxa"/>
            <w:vMerge w:val="restart"/>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初步设计及概算文件的纸质版和电子版要求装订成册，同时数量不少于20份，能满足</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及相关部门审核的需要。概算的编制要求用相关专业计价软件编制。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b/>
                <w:bCs/>
                <w:color w:val="000000"/>
                <w:sz w:val="24"/>
                <w:highlight w:val="none"/>
              </w:rPr>
              <w:t>3</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初步设计概算</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中标通知书发出之日起30个日历日内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设计成果20份和电子文件4套（电子文件须包含word、dwg和pdf文件）</w:t>
            </w:r>
          </w:p>
        </w:tc>
        <w:tc>
          <w:tcPr>
            <w:tcW w:w="3260" w:type="dxa"/>
            <w:vMerge w:val="continue"/>
            <w:noWrap w:val="0"/>
            <w:vAlign w:val="center"/>
          </w:tcPr>
          <w:p>
            <w:pPr>
              <w:pStyle w:val="104"/>
              <w:adjustRightInd w:val="0"/>
              <w:snapToGrid w:val="0"/>
              <w:ind w:firstLine="0" w:firstLineChars="0"/>
              <w:rPr>
                <w:rFonts w:ascii="Times New Roman" w:hAnsi="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b/>
                <w:bCs/>
                <w:color w:val="000000"/>
                <w:sz w:val="24"/>
                <w:highlight w:val="none"/>
              </w:rPr>
              <w:t>4</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设备技术规格书</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中标通知书发出之日起</w:t>
            </w:r>
            <w:r>
              <w:rPr>
                <w:rFonts w:hint="eastAsia" w:ascii="Times New Roman" w:hAnsi="Times New Roman" w:cs="Times New Roman"/>
                <w:color w:val="000000"/>
                <w:sz w:val="24"/>
                <w:highlight w:val="none"/>
                <w:lang w:val="en-US" w:eastAsia="zh-CN"/>
              </w:rPr>
              <w:t>2</w:t>
            </w:r>
            <w:r>
              <w:rPr>
                <w:rFonts w:ascii="Times New Roman" w:hAnsi="Times New Roman" w:cs="Times New Roman"/>
                <w:color w:val="000000"/>
                <w:sz w:val="24"/>
                <w:highlight w:val="none"/>
              </w:rPr>
              <w:t>0个日历日内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设计成果3份和电子文件1套（电子文件须包含word、dwg和pdf文件）</w:t>
            </w:r>
          </w:p>
        </w:tc>
        <w:tc>
          <w:tcPr>
            <w:tcW w:w="326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主要包括设备技术规格书。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b/>
                <w:bCs/>
                <w:color w:val="000000"/>
                <w:sz w:val="24"/>
                <w:highlight w:val="none"/>
              </w:rPr>
              <w:t>5</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hint="eastAsia" w:ascii="Times New Roman" w:hAnsi="Times New Roman" w:cs="Times New Roman"/>
                <w:color w:val="000000"/>
                <w:sz w:val="24"/>
                <w:highlight w:val="none"/>
                <w:lang w:val="en-US" w:eastAsia="zh-CN"/>
              </w:rPr>
              <w:t>基坑支护及</w:t>
            </w:r>
            <w:r>
              <w:rPr>
                <w:rFonts w:ascii="Times New Roman" w:hAnsi="Times New Roman" w:cs="Times New Roman"/>
                <w:color w:val="000000"/>
                <w:sz w:val="24"/>
                <w:highlight w:val="none"/>
              </w:rPr>
              <w:t>桩基础施工图</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中标通知书发出之日起</w:t>
            </w:r>
            <w:r>
              <w:rPr>
                <w:rFonts w:hint="eastAsia" w:ascii="Times New Roman" w:hAnsi="Times New Roman" w:cs="Times New Roman"/>
                <w:color w:val="000000"/>
                <w:sz w:val="24"/>
                <w:highlight w:val="none"/>
                <w:lang w:val="en-US" w:eastAsia="zh-CN"/>
              </w:rPr>
              <w:t>6</w:t>
            </w:r>
            <w:r>
              <w:rPr>
                <w:rFonts w:ascii="Times New Roman" w:hAnsi="Times New Roman" w:cs="Times New Roman"/>
                <w:color w:val="000000"/>
                <w:sz w:val="24"/>
                <w:highlight w:val="none"/>
              </w:rPr>
              <w:t>0个日历日内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设计成果16份和电子文件4套（电子文件须包含dwg和pdf文件）</w:t>
            </w:r>
          </w:p>
        </w:tc>
        <w:tc>
          <w:tcPr>
            <w:tcW w:w="326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设备依</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自身设计经验。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b/>
                <w:bCs/>
                <w:color w:val="000000"/>
                <w:sz w:val="24"/>
                <w:highlight w:val="none"/>
              </w:rPr>
              <w:t>6</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土建施工图</w:t>
            </w:r>
          </w:p>
        </w:tc>
        <w:tc>
          <w:tcPr>
            <w:tcW w:w="1984" w:type="dxa"/>
            <w:vMerge w:val="restart"/>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中标通知书发出之日起</w:t>
            </w:r>
            <w:r>
              <w:rPr>
                <w:rFonts w:hint="eastAsia" w:ascii="Times New Roman" w:hAnsi="Times New Roman" w:cs="Times New Roman"/>
                <w:color w:val="000000"/>
                <w:sz w:val="24"/>
                <w:highlight w:val="none"/>
                <w:lang w:val="en-US" w:eastAsia="zh-CN"/>
              </w:rPr>
              <w:t>6</w:t>
            </w:r>
            <w:r>
              <w:rPr>
                <w:rFonts w:ascii="Times New Roman" w:hAnsi="Times New Roman" w:cs="Times New Roman"/>
                <w:color w:val="000000"/>
                <w:sz w:val="24"/>
                <w:highlight w:val="none"/>
              </w:rPr>
              <w:t>0个日历日内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设计成果16份和电子文件4套（电子文件须包含dwg和pdf文件）；包括但不限于建筑（含精装修）、结构、给排水消防、暖通新风、电气照明、防雷接地等。</w:t>
            </w:r>
          </w:p>
        </w:tc>
        <w:tc>
          <w:tcPr>
            <w:tcW w:w="3260" w:type="dxa"/>
            <w:vMerge w:val="restart"/>
            <w:noWrap w:val="0"/>
            <w:vAlign w:val="center"/>
          </w:tcPr>
          <w:p>
            <w:pPr>
              <w:pStyle w:val="104"/>
              <w:adjustRightInd w:val="0"/>
              <w:snapToGrid w:val="0"/>
              <w:ind w:firstLine="0" w:firstLineChars="0"/>
              <w:rPr>
                <w:rFonts w:ascii="Times New Roman" w:hAnsi="Times New Roman"/>
                <w:color w:val="000000"/>
                <w:sz w:val="24"/>
                <w:szCs w:val="24"/>
                <w:highlight w:val="none"/>
              </w:rPr>
            </w:pPr>
          </w:p>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施工图设计及预算文件的纸质版和电子版要求装订成册，同时数量不少于16份，能满足</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及相关部门审核的需要。预算的编制要求用相关专业计价软件编制。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b/>
                <w:bCs/>
                <w:color w:val="000000"/>
                <w:sz w:val="24"/>
                <w:highlight w:val="none"/>
              </w:rPr>
              <w:t>7</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工艺施工图</w:t>
            </w:r>
          </w:p>
        </w:tc>
        <w:tc>
          <w:tcPr>
            <w:tcW w:w="1984" w:type="dxa"/>
            <w:vMerge w:val="continue"/>
            <w:noWrap w:val="0"/>
            <w:vAlign w:val="center"/>
          </w:tcPr>
          <w:p>
            <w:pPr>
              <w:adjustRightInd w:val="0"/>
              <w:snapToGrid w:val="0"/>
              <w:jc w:val="left"/>
              <w:rPr>
                <w:rFonts w:ascii="Times New Roman" w:hAnsi="Times New Roman" w:cs="Times New Roman"/>
                <w:color w:val="000000"/>
                <w:sz w:val="24"/>
                <w:highlight w:val="none"/>
              </w:rPr>
            </w:pP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设计成果16份和电子文件4套（电子文件须包含dwg和pdf文件）</w:t>
            </w:r>
          </w:p>
        </w:tc>
        <w:tc>
          <w:tcPr>
            <w:tcW w:w="3260" w:type="dxa"/>
            <w:vMerge w:val="continue"/>
            <w:noWrap w:val="0"/>
            <w:vAlign w:val="center"/>
          </w:tcPr>
          <w:p>
            <w:pPr>
              <w:pStyle w:val="104"/>
              <w:adjustRightInd w:val="0"/>
              <w:snapToGrid w:val="0"/>
              <w:ind w:firstLine="0" w:firstLineChars="0"/>
              <w:rPr>
                <w:rFonts w:ascii="Times New Roman" w:hAnsi="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hint="eastAsia" w:ascii="Times New Roman" w:hAnsi="Times New Roman" w:eastAsia="宋体" w:cs="Times New Roman"/>
                <w:b/>
                <w:bCs/>
                <w:color w:val="000000"/>
                <w:sz w:val="24"/>
                <w:highlight w:val="none"/>
                <w:lang w:val="en-US" w:eastAsia="zh-CN"/>
              </w:rPr>
            </w:pPr>
            <w:r>
              <w:rPr>
                <w:rFonts w:hint="eastAsia" w:ascii="Times New Roman" w:hAnsi="Times New Roman" w:cs="Times New Roman"/>
                <w:b/>
                <w:bCs/>
                <w:color w:val="000000"/>
                <w:sz w:val="24"/>
                <w:highlight w:val="none"/>
                <w:lang w:val="en-US" w:eastAsia="zh-CN"/>
              </w:rPr>
              <w:t>8</w:t>
            </w:r>
          </w:p>
        </w:tc>
        <w:tc>
          <w:tcPr>
            <w:tcW w:w="1094" w:type="dxa"/>
            <w:noWrap w:val="0"/>
            <w:vAlign w:val="center"/>
          </w:tcPr>
          <w:p>
            <w:pPr>
              <w:adjustRightInd w:val="0"/>
              <w:snapToGrid w:val="0"/>
              <w:jc w:val="left"/>
              <w:rPr>
                <w:rFonts w:hint="eastAsia" w:ascii="Times New Roman" w:hAnsi="Times New Roman" w:eastAsia="宋体"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三维设计</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hint="eastAsia" w:ascii="宋体" w:hAnsi="宋体" w:eastAsia="宋体"/>
                <w:color w:val="000000"/>
                <w:sz w:val="24"/>
                <w:highlight w:val="none"/>
              </w:rPr>
              <w:t>与施工图纸同步提供</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根据招标人需求</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设计成果16份和电子文件4套（电子文件须包含dwg和pdf文件）</w:t>
            </w:r>
          </w:p>
        </w:tc>
        <w:tc>
          <w:tcPr>
            <w:tcW w:w="3260" w:type="dxa"/>
            <w:noWrap w:val="0"/>
            <w:vAlign w:val="center"/>
          </w:tcPr>
          <w:p>
            <w:pPr>
              <w:pStyle w:val="104"/>
              <w:adjustRightInd w:val="0"/>
              <w:snapToGrid w:val="0"/>
              <w:ind w:firstLine="0" w:firstLineChars="0"/>
              <w:rPr>
                <w:rFonts w:ascii="Times New Roman" w:hAnsi="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hint="eastAsia" w:ascii="Times New Roman" w:hAnsi="Times New Roman" w:eastAsia="宋体" w:cs="Times New Roman"/>
                <w:b/>
                <w:bCs/>
                <w:color w:val="000000"/>
                <w:sz w:val="24"/>
                <w:highlight w:val="none"/>
                <w:lang w:eastAsia="zh-CN"/>
              </w:rPr>
            </w:pPr>
            <w:r>
              <w:rPr>
                <w:rFonts w:hint="eastAsia" w:ascii="Times New Roman" w:hAnsi="Times New Roman" w:cs="Times New Roman"/>
                <w:b/>
                <w:bCs/>
                <w:color w:val="000000"/>
                <w:sz w:val="24"/>
                <w:highlight w:val="none"/>
                <w:lang w:val="en-US" w:eastAsia="zh-CN"/>
              </w:rPr>
              <w:t>9</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园林绿化、厂区道路设计图</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中标通知书发出之日起</w:t>
            </w:r>
            <w:r>
              <w:rPr>
                <w:rFonts w:hint="eastAsia" w:ascii="Times New Roman" w:hAnsi="Times New Roman" w:cs="Times New Roman"/>
                <w:color w:val="000000"/>
                <w:sz w:val="24"/>
                <w:highlight w:val="none"/>
                <w:lang w:val="en-US" w:eastAsia="zh-CN"/>
              </w:rPr>
              <w:t>6</w:t>
            </w:r>
            <w:r>
              <w:rPr>
                <w:rFonts w:ascii="Times New Roman" w:hAnsi="Times New Roman" w:cs="Times New Roman"/>
                <w:color w:val="000000"/>
                <w:sz w:val="24"/>
                <w:highlight w:val="none"/>
              </w:rPr>
              <w:t>0个日历日内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设计成果16份和电子文件4套（电子文件须包含dwg和pdf文件）</w:t>
            </w:r>
          </w:p>
        </w:tc>
        <w:tc>
          <w:tcPr>
            <w:tcW w:w="3260" w:type="dxa"/>
            <w:noWrap w:val="0"/>
            <w:vAlign w:val="center"/>
          </w:tcPr>
          <w:p>
            <w:pPr>
              <w:pStyle w:val="104"/>
              <w:adjustRightInd w:val="0"/>
              <w:snapToGrid w:val="0"/>
              <w:ind w:firstLine="480"/>
              <w:rPr>
                <w:rFonts w:ascii="Times New Roman" w:hAnsi="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hint="default" w:ascii="Times New Roman" w:hAnsi="Times New Roman" w:cs="Times New Roman"/>
                <w:b/>
                <w:bCs/>
                <w:color w:val="000000"/>
                <w:sz w:val="24"/>
                <w:highlight w:val="none"/>
                <w:lang w:val="en-US" w:eastAsia="zh-CN"/>
              </w:rPr>
            </w:pPr>
            <w:r>
              <w:rPr>
                <w:rFonts w:hint="eastAsia" w:ascii="Times New Roman" w:hAnsi="Times New Roman" w:cs="Times New Roman"/>
                <w:b/>
                <w:bCs/>
                <w:color w:val="000000"/>
                <w:sz w:val="24"/>
                <w:highlight w:val="none"/>
                <w:lang w:val="en-US" w:eastAsia="zh-CN"/>
              </w:rPr>
              <w:t>10</w:t>
            </w:r>
          </w:p>
        </w:tc>
        <w:tc>
          <w:tcPr>
            <w:tcW w:w="1094" w:type="dxa"/>
            <w:noWrap w:val="0"/>
            <w:vAlign w:val="center"/>
          </w:tcPr>
          <w:p>
            <w:pPr>
              <w:adjustRightInd w:val="0"/>
              <w:snapToGrid w:val="0"/>
              <w:jc w:val="left"/>
              <w:rPr>
                <w:rFonts w:hint="eastAsia" w:ascii="Times New Roman" w:hAnsi="Times New Roman" w:eastAsia="宋体"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竣工图</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各单体或系统完工后</w:t>
            </w:r>
            <w:r>
              <w:rPr>
                <w:rFonts w:ascii="Times New Roman" w:hAnsi="Times New Roman" w:eastAsia="宋体" w:cs="Times New Roman"/>
                <w:color w:val="000000"/>
                <w:sz w:val="24"/>
                <w:highlight w:val="none"/>
              </w:rPr>
              <w:t>15个日历日内</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hint="eastAsia" w:ascii="Times New Roman" w:hAnsi="Times New Roman" w:cs="宋体"/>
                <w:color w:val="000000"/>
                <w:sz w:val="24"/>
                <w:szCs w:val="24"/>
                <w:highlight w:val="none"/>
              </w:rPr>
              <w:t>竣工资料16份和电子文件4套（电子文件须包含dwg和pdf文件）</w:t>
            </w:r>
          </w:p>
        </w:tc>
        <w:tc>
          <w:tcPr>
            <w:tcW w:w="3260" w:type="dxa"/>
            <w:noWrap w:val="0"/>
            <w:vAlign w:val="center"/>
          </w:tcPr>
          <w:p>
            <w:pPr>
              <w:pStyle w:val="104"/>
              <w:adjustRightInd w:val="0"/>
              <w:snapToGrid w:val="0"/>
              <w:ind w:firstLine="0" w:firstLineChars="0"/>
              <w:rPr>
                <w:rFonts w:ascii="Times New Roman" w:hAnsi="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hint="default" w:ascii="Times New Roman" w:hAnsi="Times New Roman" w:eastAsia="宋体" w:cs="Times New Roman"/>
                <w:b/>
                <w:bCs/>
                <w:color w:val="000000"/>
                <w:sz w:val="24"/>
                <w:highlight w:val="none"/>
                <w:lang w:val="en-US" w:eastAsia="zh-CN"/>
              </w:rPr>
            </w:pPr>
            <w:r>
              <w:rPr>
                <w:rFonts w:hint="eastAsia" w:ascii="Times New Roman" w:hAnsi="Times New Roman" w:cs="Times New Roman"/>
                <w:b/>
                <w:bCs/>
                <w:color w:val="000000"/>
                <w:sz w:val="24"/>
                <w:highlight w:val="none"/>
                <w:lang w:val="en-US" w:eastAsia="zh-CN"/>
              </w:rPr>
              <w:t>11</w:t>
            </w:r>
          </w:p>
        </w:tc>
        <w:tc>
          <w:tcPr>
            <w:tcW w:w="109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其它需配合的工作</w:t>
            </w:r>
          </w:p>
        </w:tc>
        <w:tc>
          <w:tcPr>
            <w:tcW w:w="1984" w:type="dxa"/>
            <w:noWrap w:val="0"/>
            <w:vAlign w:val="center"/>
          </w:tcPr>
          <w:p>
            <w:pPr>
              <w:adjustRightInd w:val="0"/>
              <w:snapToGrid w:val="0"/>
              <w:jc w:val="left"/>
              <w:rPr>
                <w:rFonts w:ascii="Times New Roman" w:hAnsi="Times New Roman" w:cs="Times New Roman"/>
                <w:color w:val="000000"/>
                <w:sz w:val="24"/>
                <w:highlight w:val="none"/>
              </w:rPr>
            </w:pPr>
            <w:r>
              <w:rPr>
                <w:rFonts w:ascii="Times New Roman" w:hAnsi="Times New Roman" w:cs="Times New Roman"/>
                <w:color w:val="000000"/>
                <w:sz w:val="24"/>
                <w:highlight w:val="none"/>
              </w:rPr>
              <w:t>依项目整体进度，招投标双方协商</w:t>
            </w:r>
          </w:p>
        </w:tc>
        <w:tc>
          <w:tcPr>
            <w:tcW w:w="2410" w:type="dxa"/>
            <w:noWrap w:val="0"/>
            <w:vAlign w:val="center"/>
          </w:tcPr>
          <w:p>
            <w:pPr>
              <w:pStyle w:val="104"/>
              <w:adjustRightInd w:val="0"/>
              <w:snapToGrid w:val="0"/>
              <w:ind w:firstLine="0" w:firstLineChars="0"/>
              <w:rPr>
                <w:rFonts w:ascii="Times New Roman" w:hAnsi="Times New Roman"/>
                <w:color w:val="000000"/>
                <w:sz w:val="24"/>
                <w:szCs w:val="24"/>
                <w:highlight w:val="none"/>
              </w:rPr>
            </w:pPr>
          </w:p>
        </w:tc>
        <w:tc>
          <w:tcPr>
            <w:tcW w:w="3260" w:type="dxa"/>
            <w:noWrap w:val="0"/>
            <w:vAlign w:val="center"/>
          </w:tcPr>
          <w:p>
            <w:pPr>
              <w:pStyle w:val="104"/>
              <w:adjustRightInd w:val="0"/>
              <w:snapToGrid w:val="0"/>
              <w:ind w:firstLine="0" w:firstLineChars="0"/>
              <w:rPr>
                <w:rFonts w:ascii="Times New Roman" w:hAnsi="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3" w:hRule="atLeast"/>
        </w:trPr>
        <w:tc>
          <w:tcPr>
            <w:tcW w:w="608" w:type="dxa"/>
            <w:noWrap w:val="0"/>
            <w:vAlign w:val="center"/>
          </w:tcPr>
          <w:p>
            <w:pPr>
              <w:adjustRightInd w:val="0"/>
              <w:snapToGrid w:val="0"/>
              <w:jc w:val="center"/>
              <w:rPr>
                <w:rFonts w:ascii="Times New Roman" w:hAnsi="Times New Roman" w:cs="Times New Roman"/>
                <w:b/>
                <w:bCs/>
                <w:color w:val="000000"/>
                <w:sz w:val="24"/>
                <w:highlight w:val="none"/>
              </w:rPr>
            </w:pPr>
            <w:r>
              <w:rPr>
                <w:rFonts w:ascii="Times New Roman" w:hAnsi="Times New Roman" w:cs="Times New Roman"/>
                <w:color w:val="000000"/>
                <w:sz w:val="24"/>
                <w:highlight w:val="none"/>
              </w:rPr>
              <w:t>注：</w:t>
            </w:r>
          </w:p>
        </w:tc>
        <w:tc>
          <w:tcPr>
            <w:tcW w:w="8748" w:type="dxa"/>
            <w:gridSpan w:val="4"/>
            <w:noWrap w:val="0"/>
            <w:vAlign w:val="center"/>
          </w:tcPr>
          <w:p>
            <w:pPr>
              <w:pStyle w:val="104"/>
              <w:adjustRightInd w:val="0"/>
              <w:snapToGrid w:val="0"/>
              <w:ind w:firstLine="0" w:firstLineChars="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必须按双方约定的时间完成所要求的设计内容，合同以完成时间界定违约；</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保留对设计工期进行调整的权力。</w:t>
            </w:r>
          </w:p>
        </w:tc>
      </w:tr>
    </w:tbl>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1</w:t>
      </w:r>
      <w:r>
        <w:rPr>
          <w:rFonts w:ascii="Times New Roman" w:hAnsi="Times New Roman"/>
          <w:b/>
          <w:color w:val="000000"/>
          <w:sz w:val="24"/>
          <w:szCs w:val="24"/>
          <w:highlight w:val="none"/>
        </w:rPr>
        <w:t>.3设计工作进度</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.3.1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应按上表的设计期限要求，在开展各阶段设计工作前7日将该阶段（含后续相关阶段）的设计详细进度计划（一式四份）提交</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并抄送监理单位。</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.3.2设计进度计划应确定其中的关键点，有工作流程、进度控制措施、组织措施、技术措施等内容，必须考虑工程招标、设备采购、物料准备等因素，提供满足上述工作所需要的有关设计文件。</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.3.3</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对关键点设计进度的关注或根据项目实施进度的需要而提出的要求，</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必须采取相应的组织措施、技术措施予以执行，并接受</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的检查。若实际进度与经确认的进度计划不符时，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应按</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的要求提出改进措施，经</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确认后执行。</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不得因此提出追加合同价款。</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.3.4</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分期分批提供各阶段设计所需的基础数据。</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提供的文件和数据如有延误，</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承诺将尽力减轻延误影响并确保在设计期限内完成设计工作。如果对设计文件交付时限影响超过7天，则另行协商解决。</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应向</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提交的有关文件见下表：</w:t>
      </w:r>
    </w:p>
    <w:tbl>
      <w:tblPr>
        <w:tblStyle w:val="42"/>
        <w:tblW w:w="91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25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资料及文件名称</w:t>
            </w:r>
          </w:p>
        </w:tc>
        <w:tc>
          <w:tcPr>
            <w:tcW w:w="492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425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设计条件及要求（设计任务书）</w:t>
            </w:r>
          </w:p>
        </w:tc>
        <w:tc>
          <w:tcPr>
            <w:tcW w:w="492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各阶段开始前5个工作日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规划设计条件（以广州市规划局批复为准）（非必须）</w:t>
            </w:r>
          </w:p>
        </w:tc>
        <w:tc>
          <w:tcPr>
            <w:tcW w:w="492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初步设计开展前5个工作日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25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用地红线图</w:t>
            </w:r>
          </w:p>
        </w:tc>
        <w:tc>
          <w:tcPr>
            <w:tcW w:w="492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初步设计开展前5个工作日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425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各阶段政府主管部门有关批文</w:t>
            </w:r>
          </w:p>
        </w:tc>
        <w:tc>
          <w:tcPr>
            <w:tcW w:w="4923" w:type="dxa"/>
            <w:noWrap w:val="0"/>
            <w:vAlign w:val="center"/>
          </w:tcPr>
          <w:p>
            <w:pPr>
              <w:adjustRightInd w:val="0"/>
              <w:snapToGrid w:val="0"/>
              <w:spacing w:beforeLines="0" w:afterLines="0" w:line="600" w:lineRule="exact"/>
              <w:ind w:firstLine="480" w:firstLineChars="200"/>
              <w:jc w:val="center"/>
              <w:rPr>
                <w:rFonts w:ascii="Times New Roman" w:hAnsi="Times New Roman" w:cs="Times New Roman"/>
                <w:color w:val="000000"/>
                <w:sz w:val="24"/>
                <w:highlight w:val="none"/>
              </w:rPr>
            </w:pPr>
            <w:r>
              <w:rPr>
                <w:rFonts w:ascii="Times New Roman" w:hAnsi="Times New Roman" w:cs="Times New Roman"/>
                <w:color w:val="000000"/>
                <w:sz w:val="24"/>
                <w:highlight w:val="none"/>
              </w:rPr>
              <w:t>按</w:t>
            </w:r>
            <w:r>
              <w:rPr>
                <w:rFonts w:hint="eastAsia" w:ascii="Times New Roman" w:hAnsi="Times New Roman" w:cs="Times New Roman"/>
                <w:color w:val="000000"/>
                <w:sz w:val="24"/>
                <w:highlight w:val="none"/>
                <w:lang w:eastAsia="zh-CN"/>
              </w:rPr>
              <w:t>甲方</w:t>
            </w:r>
            <w:r>
              <w:rPr>
                <w:rFonts w:ascii="Times New Roman" w:hAnsi="Times New Roman" w:cs="Times New Roman"/>
                <w:color w:val="000000"/>
                <w:sz w:val="24"/>
                <w:highlight w:val="none"/>
              </w:rPr>
              <w:t>收到政府相关批文后7个工作日内</w:t>
            </w:r>
          </w:p>
        </w:tc>
      </w:tr>
    </w:tbl>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.3.5当</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与</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发生合同争议或纠纷时，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不能籍此而拖延设计文件提交时间，</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均应按约定的时间和工期要求完成全部设计工作，否则按严重违约处理。有关合同争议或纠纷解决方式按本合同相关条款执行。</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1</w:t>
      </w:r>
      <w:r>
        <w:rPr>
          <w:rFonts w:ascii="Times New Roman" w:hAnsi="Times New Roman"/>
          <w:b/>
          <w:color w:val="000000"/>
          <w:sz w:val="24"/>
          <w:szCs w:val="24"/>
          <w:highlight w:val="none"/>
        </w:rPr>
        <w:t>.4设计成果文件的交付</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1</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按合同规定的时限，将设计文件或数据交付到</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指定的地点。</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2</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取得设计文件或数据后应办理签收手续，签收人由</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书面确认。</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3</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不负责</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办理运输、邮寄及电传设计文件、数据所需的费用。</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4</w:t>
      </w:r>
      <w:r>
        <w:rPr>
          <w:rFonts w:ascii="Times New Roman" w:hAnsi="Times New Roman"/>
          <w:color w:val="000000"/>
          <w:sz w:val="24"/>
          <w:szCs w:val="24"/>
          <w:highlight w:val="none"/>
        </w:rPr>
        <w:t>对于</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要求增加设计文件份数的（超过合同约定的份数部分算为增加），由</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另行支付印刷设计文件的工本费用，</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出具有效发票报销，按市场价结算。</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5</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负责向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提交本项目方案概念设计成果10份和电子文件2套（电子文件须包含word、dwg和pdf文件）。如</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对成果文件提出合理修改意见，</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应无条件另行提供相同份数的完善或修正后的成果资料，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不再另行支付费用。</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1</w:t>
      </w:r>
      <w:r>
        <w:rPr>
          <w:rFonts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6</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负责向</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提交工程设计成果。如</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对成果文件提出合理修改意见，</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应无条件另行提供相同份数的完善或修正后的成果资料，</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不再另行支付费用。</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十</w:t>
      </w:r>
      <w:r>
        <w:rPr>
          <w:rFonts w:hint="eastAsia" w:ascii="Times New Roman" w:hAnsi="Times New Roman"/>
          <w:b/>
          <w:color w:val="000000"/>
          <w:sz w:val="24"/>
          <w:szCs w:val="24"/>
          <w:highlight w:val="none"/>
          <w:lang w:val="en-US" w:eastAsia="zh-CN"/>
        </w:rPr>
        <w:t>二</w:t>
      </w:r>
      <w:r>
        <w:rPr>
          <w:rFonts w:ascii="Times New Roman" w:hAnsi="Times New Roman"/>
          <w:b/>
          <w:color w:val="000000"/>
          <w:sz w:val="24"/>
          <w:szCs w:val="24"/>
          <w:highlight w:val="none"/>
        </w:rPr>
        <w:t>、设计变更管理</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2</w:t>
      </w:r>
      <w:r>
        <w:rPr>
          <w:rFonts w:ascii="Times New Roman" w:hAnsi="Times New Roman"/>
          <w:b/>
          <w:color w:val="000000"/>
          <w:sz w:val="24"/>
          <w:szCs w:val="24"/>
          <w:highlight w:val="none"/>
        </w:rPr>
        <w:t>.1基本事项</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承诺能够根据工程需要修改设计，对所承担项目设计的完整性负责，且修改设计完成时限应满足工程建设需要并符合合同</w:t>
      </w:r>
      <w:r>
        <w:rPr>
          <w:rFonts w:hint="eastAsia" w:ascii="Times New Roman" w:hAnsi="Times New Roman"/>
          <w:color w:val="000000"/>
          <w:sz w:val="24"/>
          <w:szCs w:val="24"/>
          <w:highlight w:val="none"/>
          <w:lang w:val="en-US" w:eastAsia="zh-CN"/>
        </w:rPr>
        <w:t>及相关文件</w:t>
      </w:r>
      <w:r>
        <w:rPr>
          <w:rFonts w:ascii="Times New Roman" w:hAnsi="Times New Roman"/>
          <w:color w:val="000000"/>
          <w:sz w:val="24"/>
          <w:szCs w:val="24"/>
          <w:highlight w:val="none"/>
        </w:rPr>
        <w:t>要求。</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2</w:t>
      </w:r>
      <w:r>
        <w:rPr>
          <w:rFonts w:ascii="Times New Roman" w:hAnsi="Times New Roman"/>
          <w:b/>
          <w:color w:val="000000"/>
          <w:sz w:val="24"/>
          <w:szCs w:val="24"/>
          <w:highlight w:val="none"/>
        </w:rPr>
        <w:t>.2流程管理</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ascii="Times New Roman" w:hAnsi="Times New Roman"/>
          <w:color w:val="000000"/>
          <w:sz w:val="24"/>
          <w:szCs w:val="24"/>
          <w:highlight w:val="none"/>
        </w:rPr>
        <w:t>工程建设过程中因各种原因发生的设计变更，均需报</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审查并盖印和签字确认。如因</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提出的变更，</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应向</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发送经</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盖章的、文字形式的设计变更说明，</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应对变更是否可行给予书面回复，经甲乙双方及监理单位认可后方可实施；</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提出的变更，须按</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制定的有关设计变更管理办法进行规范，明确设计变更的原因、种类、责任认定和增减费用说明（需附设计变更投资估算分析，列明变更增减费用的估算金额）。</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1</w:t>
      </w:r>
      <w:r>
        <w:rPr>
          <w:rFonts w:hint="eastAsia" w:ascii="Times New Roman" w:hAnsi="Times New Roman"/>
          <w:b/>
          <w:color w:val="000000"/>
          <w:sz w:val="24"/>
          <w:szCs w:val="24"/>
          <w:highlight w:val="none"/>
          <w:lang w:val="en-US" w:eastAsia="zh-CN"/>
        </w:rPr>
        <w:t>2</w:t>
      </w:r>
      <w:r>
        <w:rPr>
          <w:rFonts w:ascii="Times New Roman" w:hAnsi="Times New Roman"/>
          <w:b/>
          <w:color w:val="000000"/>
          <w:sz w:val="24"/>
          <w:szCs w:val="24"/>
          <w:highlight w:val="none"/>
        </w:rPr>
        <w:t>.3其他</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.3.1由于设计人设计错误、对设计基础数据选用不当、专业间接口出现矛盾等情况造成的设计更改，设计人应在一周内提交设计变更。</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保留追究</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责任的权利。</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.3.2当在设计过程中，国家设计规范发生修订与更改时，设计人应据以进行必要的修改，不因此增加设计费用。</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.3.3</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应按</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、评标委员会、政府审查机构的评审意见修改工作成果，不另行收费。</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.3.4由于设计基础数据改变、设备与材料订货条件发生改变及适应施工安装条件而进行设计变更，应征得</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的同意，可按实际情况延长设计工期，不因此增加设计费用。</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.3.5由于</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对审定后的工程设计，提出变更设计内容，不追加设计费、不延长设计工期；对审定后的重大设计变更，可按实际情况延长设计工期。</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.3.6</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超出本合同承包范围，委托</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作设计时，</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将按新增的工程预算支付设计费。</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.3.7除非</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与</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均同意，否则有关修改不能将合同所定价格增加，或将合同所定期限延长。</w:t>
      </w:r>
    </w:p>
    <w:p>
      <w:pPr>
        <w:pStyle w:val="104"/>
        <w:adjustRightInd w:val="0"/>
        <w:snapToGrid w:val="0"/>
        <w:spacing w:beforeLines="0" w:afterLines="0" w:line="600" w:lineRule="exact"/>
        <w:ind w:firstLine="480" w:firstLineChars="200"/>
        <w:rPr>
          <w:rFonts w:ascii="Times New Roman" w:hAnsi="Times New Roman"/>
          <w:color w:val="000000"/>
          <w:sz w:val="24"/>
          <w:szCs w:val="24"/>
          <w:highlight w:val="none"/>
        </w:rPr>
      </w:pPr>
      <w:r>
        <w:rPr>
          <w:rFonts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2</w:t>
      </w:r>
      <w:r>
        <w:rPr>
          <w:rFonts w:ascii="Times New Roman" w:hAnsi="Times New Roman"/>
          <w:color w:val="000000"/>
          <w:sz w:val="24"/>
          <w:szCs w:val="24"/>
          <w:highlight w:val="none"/>
        </w:rPr>
        <w:t>.3.8</w:t>
      </w:r>
      <w:r>
        <w:rPr>
          <w:rFonts w:hint="eastAsia" w:ascii="Times New Roman" w:hAnsi="Times New Roman"/>
          <w:color w:val="000000"/>
          <w:sz w:val="24"/>
          <w:szCs w:val="24"/>
          <w:highlight w:val="none"/>
          <w:lang w:eastAsia="zh-CN"/>
        </w:rPr>
        <w:t>乙方</w:t>
      </w:r>
      <w:r>
        <w:rPr>
          <w:rFonts w:ascii="Times New Roman" w:hAnsi="Times New Roman"/>
          <w:color w:val="000000"/>
          <w:sz w:val="24"/>
          <w:szCs w:val="24"/>
          <w:highlight w:val="none"/>
        </w:rPr>
        <w:t>承诺：在后期设计工作和协调服务过程中，以认真负责的专业态度和尽心尽责的服务态度来面对，积极配合推进</w:t>
      </w:r>
      <w:r>
        <w:rPr>
          <w:rFonts w:hint="eastAsia" w:ascii="Times New Roman" w:hAnsi="Times New Roman"/>
          <w:color w:val="000000"/>
          <w:sz w:val="24"/>
          <w:szCs w:val="24"/>
          <w:highlight w:val="none"/>
          <w:lang w:eastAsia="zh-CN"/>
        </w:rPr>
        <w:t>甲方</w:t>
      </w:r>
      <w:r>
        <w:rPr>
          <w:rFonts w:ascii="Times New Roman" w:hAnsi="Times New Roman"/>
          <w:color w:val="000000"/>
          <w:sz w:val="24"/>
          <w:szCs w:val="24"/>
          <w:highlight w:val="none"/>
        </w:rPr>
        <w:t>工作的顺利进行。</w:t>
      </w:r>
    </w:p>
    <w:p>
      <w:pPr>
        <w:pStyle w:val="4"/>
        <w:numPr>
          <w:ilvl w:val="0"/>
          <w:numId w:val="0"/>
        </w:numPr>
        <w:tabs>
          <w:tab w:val="left" w:pos="432"/>
        </w:tabs>
        <w:spacing w:before="0" w:beforeLines="0" w:after="0" w:afterLines="0" w:line="600" w:lineRule="exact"/>
        <w:ind w:left="0" w:firstLine="482" w:firstLineChars="200"/>
        <w:jc w:val="both"/>
        <w:rPr>
          <w:rFonts w:ascii="Times New Roman" w:hAnsi="Times New Roman"/>
          <w:b/>
          <w:color w:val="000000"/>
          <w:sz w:val="24"/>
          <w:szCs w:val="24"/>
          <w:highlight w:val="none"/>
        </w:rPr>
      </w:pPr>
      <w:r>
        <w:rPr>
          <w:rFonts w:ascii="Times New Roman" w:hAnsi="Times New Roman"/>
          <w:b/>
          <w:color w:val="000000"/>
          <w:sz w:val="24"/>
          <w:szCs w:val="24"/>
          <w:highlight w:val="none"/>
        </w:rPr>
        <w:t>十</w:t>
      </w:r>
      <w:r>
        <w:rPr>
          <w:rFonts w:hint="eastAsia" w:ascii="Times New Roman" w:hAnsi="Times New Roman"/>
          <w:b/>
          <w:color w:val="000000"/>
          <w:sz w:val="24"/>
          <w:szCs w:val="24"/>
          <w:highlight w:val="none"/>
          <w:lang w:val="en-US" w:eastAsia="zh-CN"/>
        </w:rPr>
        <w:t>三</w:t>
      </w:r>
      <w:r>
        <w:rPr>
          <w:rFonts w:ascii="Times New Roman" w:hAnsi="Times New Roman"/>
          <w:b/>
          <w:color w:val="000000"/>
          <w:sz w:val="24"/>
          <w:szCs w:val="24"/>
          <w:highlight w:val="none"/>
        </w:rPr>
        <w:t>、专节论证</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ascii="Times New Roman" w:hAnsi="Times New Roman"/>
          <w:color w:val="000000"/>
          <w:sz w:val="24"/>
          <w:szCs w:val="24"/>
          <w:highlight w:val="none"/>
        </w:rPr>
        <w:t>按照建设管理程序对消防、防雷、安全、</w:t>
      </w:r>
      <w:r>
        <w:rPr>
          <w:rFonts w:hint="eastAsia" w:ascii="Times New Roman" w:hAnsi="Times New Roman"/>
          <w:color w:val="000000"/>
          <w:sz w:val="24"/>
          <w:szCs w:val="24"/>
          <w:highlight w:val="none"/>
          <w:lang w:val="en-US" w:eastAsia="zh-CN"/>
        </w:rPr>
        <w:t>节能、环保、</w:t>
      </w:r>
      <w:r>
        <w:rPr>
          <w:rFonts w:ascii="Times New Roman" w:hAnsi="Times New Roman"/>
          <w:color w:val="000000"/>
          <w:sz w:val="24"/>
          <w:szCs w:val="24"/>
          <w:highlight w:val="none"/>
        </w:rPr>
        <w:t>职业病防护（外立面、绿化、精装修）、全厂采光设计、全厂通风系统设计、全厂除臭系统设计、全厂交通组织方案等进行详细论述。</w:t>
      </w:r>
    </w:p>
    <w:p>
      <w:pPr>
        <w:pStyle w:val="4"/>
        <w:numPr>
          <w:ilvl w:val="0"/>
          <w:numId w:val="0"/>
        </w:numPr>
        <w:tabs>
          <w:tab w:val="left" w:pos="432"/>
        </w:tabs>
        <w:ind w:firstLine="482"/>
        <w:rPr>
          <w:rFonts w:ascii="Times New Roman" w:hAnsi="Times New Roman" w:eastAsia="宋体"/>
          <w:b/>
          <w:color w:val="000000"/>
          <w:sz w:val="24"/>
          <w:szCs w:val="24"/>
          <w:highlight w:val="none"/>
        </w:rPr>
      </w:pPr>
      <w:r>
        <w:rPr>
          <w:rFonts w:hint="default" w:ascii="Times New Roman" w:hAnsi="Times New Roman" w:eastAsia="宋体"/>
          <w:b/>
          <w:color w:val="000000"/>
          <w:sz w:val="24"/>
          <w:szCs w:val="24"/>
          <w:highlight w:val="none"/>
        </w:rPr>
        <w:t>十</w:t>
      </w:r>
      <w:r>
        <w:rPr>
          <w:rFonts w:hint="eastAsia" w:ascii="Times New Roman" w:hAnsi="Times New Roman" w:eastAsia="宋体"/>
          <w:b/>
          <w:color w:val="000000"/>
          <w:sz w:val="24"/>
          <w:szCs w:val="24"/>
          <w:highlight w:val="none"/>
          <w:lang w:eastAsia="zh-CN"/>
        </w:rPr>
        <w:t>四</w:t>
      </w:r>
      <w:r>
        <w:rPr>
          <w:rFonts w:hint="default" w:ascii="Times New Roman" w:hAnsi="Times New Roman" w:eastAsia="宋体"/>
          <w:b/>
          <w:color w:val="000000"/>
          <w:sz w:val="24"/>
          <w:szCs w:val="24"/>
          <w:highlight w:val="none"/>
        </w:rPr>
        <w:t>、设计考核</w:t>
      </w:r>
    </w:p>
    <w:p>
      <w:pPr>
        <w:pStyle w:val="4"/>
        <w:numPr>
          <w:ilvl w:val="0"/>
          <w:numId w:val="0"/>
        </w:numPr>
        <w:tabs>
          <w:tab w:val="left" w:pos="432"/>
        </w:tabs>
        <w:ind w:firstLine="482"/>
        <w:rPr>
          <w:rFonts w:ascii="Times New Roman" w:hAnsi="Times New Roman" w:eastAsia="宋体"/>
          <w:b/>
          <w:color w:val="000000"/>
          <w:sz w:val="24"/>
          <w:szCs w:val="24"/>
          <w:highlight w:val="none"/>
        </w:rPr>
      </w:pPr>
      <w:r>
        <w:rPr>
          <w:rFonts w:hint="default" w:ascii="Times New Roman" w:hAnsi="Times New Roman" w:eastAsia="宋体"/>
          <w:b/>
          <w:color w:val="000000"/>
          <w:sz w:val="24"/>
          <w:szCs w:val="24"/>
          <w:highlight w:val="none"/>
        </w:rPr>
        <w:t>1</w:t>
      </w:r>
      <w:r>
        <w:rPr>
          <w:rFonts w:hint="eastAsia" w:ascii="Times New Roman" w:hAnsi="Times New Roman" w:eastAsia="宋体"/>
          <w:b/>
          <w:color w:val="000000"/>
          <w:sz w:val="24"/>
          <w:szCs w:val="24"/>
          <w:highlight w:val="none"/>
          <w:lang w:eastAsia="zh-CN"/>
        </w:rPr>
        <w:t>4</w:t>
      </w:r>
      <w:r>
        <w:rPr>
          <w:rFonts w:hint="default" w:ascii="Times New Roman" w:hAnsi="Times New Roman" w:eastAsia="宋体"/>
          <w:b/>
          <w:color w:val="000000"/>
          <w:sz w:val="24"/>
          <w:szCs w:val="24"/>
          <w:highlight w:val="none"/>
        </w:rPr>
        <w:t>.1总则</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.1.1</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需建立健全设计质量保证体系，依据相关规定及设计承包商贯标要求执行设计程序，履行设计文件的审签制度，确保设计成果的正确性。</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.1.2</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针对本项目提供详细的资源配置方案，并经</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认可后严格按配置方案实施。为保证甲乙双方之间有效的沟通，</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应派设总或工代常住工地，并积极做好现场配合工作。</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.1.3按照</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批准的工程一级网络计划，编制工程进度计划，作为工程进度控制的依据，编制项目总体招标计划，以保证进度目标的实现。</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.1.4按</w:t>
      </w:r>
      <w:r>
        <w:rPr>
          <w:rFonts w:hint="eastAsia" w:ascii="Times New Roman" w:hAnsi="Times New Roman"/>
          <w:color w:val="000000"/>
          <w:sz w:val="24"/>
          <w:szCs w:val="24"/>
          <w:highlight w:val="none"/>
          <w:lang w:val="en-US" w:eastAsia="zh-CN"/>
        </w:rPr>
        <w:t>规范要求</w:t>
      </w:r>
      <w:r>
        <w:rPr>
          <w:rFonts w:hint="eastAsia" w:ascii="Times New Roman" w:hAnsi="Times New Roman"/>
          <w:color w:val="000000"/>
          <w:sz w:val="24"/>
          <w:szCs w:val="24"/>
          <w:highlight w:val="none"/>
        </w:rPr>
        <w:t>，结合本工程总体目标，编制原则、技术规范、图纸等，以满足工程的技术质量要求。</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.1.5按照设计合同或供图协议，结合工程具体实施情况，及时满足供图进度要求。对提供的设计文件和图纸，应向</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及施工单位进行详细的技术交底和安全交底。</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.1.6应及时掌握工程进展情况，根据现场实际情况，优化设计方案，提出地质预报、设计通知、设计变更。</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.1.7应对参建各方发现并提出的设计问题及时进行检查和处理。应严格控制设计变更的项目，协助业主做好控制投资、节省工期工作。</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.1.8对涉及到工程量大的技术方案应提前进行研究，对影响工程安全的质量问题应提前进行预报，并随时通报</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w:t>
      </w:r>
    </w:p>
    <w:p>
      <w:pPr>
        <w:pStyle w:val="4"/>
        <w:numPr>
          <w:ilvl w:val="0"/>
          <w:numId w:val="0"/>
        </w:numPr>
        <w:tabs>
          <w:tab w:val="left" w:pos="432"/>
        </w:tabs>
        <w:ind w:firstLine="482"/>
        <w:rPr>
          <w:rFonts w:ascii="Times New Roman" w:hAnsi="Times New Roman" w:eastAsia="宋体"/>
          <w:b/>
          <w:color w:val="000000"/>
          <w:sz w:val="24"/>
          <w:szCs w:val="24"/>
          <w:highlight w:val="none"/>
        </w:rPr>
      </w:pPr>
      <w:r>
        <w:rPr>
          <w:rFonts w:hint="default" w:ascii="Times New Roman" w:hAnsi="Times New Roman" w:eastAsia="宋体"/>
          <w:b/>
          <w:color w:val="000000"/>
          <w:sz w:val="24"/>
          <w:szCs w:val="24"/>
          <w:highlight w:val="none"/>
        </w:rPr>
        <w:t>1</w:t>
      </w:r>
      <w:r>
        <w:rPr>
          <w:rFonts w:hint="eastAsia" w:ascii="Times New Roman" w:hAnsi="Times New Roman" w:eastAsia="宋体"/>
          <w:b/>
          <w:color w:val="000000"/>
          <w:sz w:val="24"/>
          <w:szCs w:val="24"/>
          <w:highlight w:val="none"/>
          <w:lang w:eastAsia="zh-CN"/>
        </w:rPr>
        <w:t>4</w:t>
      </w:r>
      <w:r>
        <w:rPr>
          <w:rFonts w:hint="default" w:ascii="Times New Roman" w:hAnsi="Times New Roman" w:eastAsia="宋体"/>
          <w:b/>
          <w:color w:val="000000"/>
          <w:sz w:val="24"/>
          <w:szCs w:val="24"/>
          <w:highlight w:val="none"/>
        </w:rPr>
        <w:t>.2考核内容</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.2.1</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针对</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批准的资源配备方案的执行情况、</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安排的设总及工代是否满足工程需要以及</w:t>
      </w:r>
      <w:r>
        <w:rPr>
          <w:rFonts w:hint="eastAsia" w:ascii="Times New Roman" w:hAnsi="Times New Roman"/>
          <w:color w:val="000000"/>
          <w:sz w:val="24"/>
          <w:szCs w:val="24"/>
          <w:highlight w:val="none"/>
          <w:lang w:eastAsia="zh-CN"/>
        </w:rPr>
        <w:t>乙方</w:t>
      </w:r>
      <w:r>
        <w:rPr>
          <w:rFonts w:hint="eastAsia" w:ascii="Times New Roman" w:hAnsi="Times New Roman"/>
          <w:color w:val="000000"/>
          <w:sz w:val="24"/>
          <w:szCs w:val="24"/>
          <w:highlight w:val="none"/>
        </w:rPr>
        <w:t>驻现场人员的管理情况。</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.2.2是否按供图计划和现场实际施工情况，保证供图进度。</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.2.3供图质量情况。</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.2.4在施工图送达的同时，是否按要求同时报送合同外项目工程量清单以及增加原因说明，以及是否报送施工图与招标图项目或工作内容不一致之处的说明。</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.2.5设计技术与安全交底的及时情况。</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.2.6是否积极配合设计应参加的各项验收和质量监督、安全鉴定等工作。</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.2.7设计进度是否满足工程需要。</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.2.8对工程进度的审核是否合理、准确。</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.2.9是否积极准备并及时出席相关会议。</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.2.10是否积极研究回复参建各方建议。</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.2.11现场技术咨询完成情况。</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.2.12设计变更的合理性及处理设计变更的及时性。</w:t>
      </w:r>
    </w:p>
    <w:p>
      <w:pPr>
        <w:pStyle w:val="104"/>
        <w:adjustRightInd w:val="0"/>
        <w:snapToGrid w:val="0"/>
        <w:spacing w:beforeLines="0" w:afterLines="0" w:line="600" w:lineRule="exact"/>
        <w:ind w:firstLine="0"/>
        <w:rPr>
          <w:rFonts w:ascii="Times New Roman" w:hAnsi="Times New Roman"/>
          <w:color w:val="000000"/>
          <w:sz w:val="24"/>
          <w:szCs w:val="24"/>
          <w:highlight w:val="none"/>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.2.13设计优化工作开展情况。</w:t>
      </w:r>
    </w:p>
    <w:p>
      <w:pPr>
        <w:pStyle w:val="104"/>
        <w:adjustRightInd w:val="0"/>
        <w:snapToGrid w:val="0"/>
        <w:spacing w:beforeLines="0" w:afterLines="0" w:line="600" w:lineRule="exact"/>
        <w:ind w:firstLine="0"/>
        <w:rPr>
          <w:rFonts w:hint="eastAsia" w:ascii="Times New Roman" w:hAnsi="Times New Roman" w:eastAsia="宋体"/>
          <w:color w:val="000000"/>
          <w:sz w:val="24"/>
          <w:szCs w:val="24"/>
          <w:highlight w:val="none"/>
          <w:lang w:eastAsia="zh-CN"/>
        </w:rPr>
      </w:pPr>
      <w:r>
        <w:rPr>
          <w:rFonts w:hint="eastAsia" w:ascii="Times New Roman" w:hAnsi="Times New Roman"/>
          <w:color w:val="000000"/>
          <w:sz w:val="24"/>
          <w:szCs w:val="24"/>
          <w:highlight w:val="none"/>
        </w:rPr>
        <w:t>1</w:t>
      </w:r>
      <w:r>
        <w:rPr>
          <w:rFonts w:hint="eastAsia" w:ascii="Times New Roman" w:hAnsi="Times New Roman"/>
          <w:color w:val="000000"/>
          <w:sz w:val="24"/>
          <w:szCs w:val="24"/>
          <w:highlight w:val="none"/>
          <w:lang w:val="en-US" w:eastAsia="zh-CN"/>
        </w:rPr>
        <w:t>4</w:t>
      </w:r>
      <w:r>
        <w:rPr>
          <w:rFonts w:hint="eastAsia" w:ascii="Times New Roman" w:hAnsi="Times New Roman"/>
          <w:color w:val="000000"/>
          <w:sz w:val="24"/>
          <w:szCs w:val="24"/>
          <w:highlight w:val="none"/>
        </w:rPr>
        <w:t>.2.14</w:t>
      </w:r>
      <w:r>
        <w:rPr>
          <w:rFonts w:hint="eastAsia" w:ascii="Times New Roman" w:hAnsi="Times New Roman"/>
          <w:color w:val="000000"/>
          <w:sz w:val="24"/>
          <w:szCs w:val="24"/>
          <w:highlight w:val="none"/>
          <w:lang w:eastAsia="zh-CN"/>
        </w:rPr>
        <w:t>甲方</w:t>
      </w:r>
      <w:r>
        <w:rPr>
          <w:rFonts w:hint="eastAsia" w:ascii="Times New Roman" w:hAnsi="Times New Roman"/>
          <w:color w:val="000000"/>
          <w:sz w:val="24"/>
          <w:szCs w:val="24"/>
          <w:highlight w:val="none"/>
        </w:rPr>
        <w:t>临时交办事情的完成情况。</w:t>
      </w:r>
    </w:p>
    <w:bookmarkEnd w:id="60"/>
    <w:p/>
    <w:p>
      <w:pPr>
        <w:jc w:val="center"/>
        <w:rPr>
          <w:rFonts w:ascii="宋体" w:hAnsi="宋体" w:cs="宋体"/>
          <w:b/>
          <w:bCs/>
          <w:sz w:val="32"/>
          <w:szCs w:val="32"/>
        </w:rPr>
      </w:pPr>
    </w:p>
    <w:p>
      <w:pPr>
        <w:spacing w:beforeLines="0" w:afterLines="0" w:line="600" w:lineRule="exact"/>
        <w:jc w:val="center"/>
        <w:rPr>
          <w:rFonts w:hint="eastAsia" w:ascii="Times New Roman" w:hAnsi="Times New Roman" w:cs="Times New Roman"/>
          <w:b/>
          <w:color w:val="000000"/>
          <w:sz w:val="48"/>
          <w:szCs w:val="48"/>
          <w:highlight w:val="none"/>
          <w:lang w:val="en-US" w:eastAsia="zh-CN"/>
        </w:rPr>
      </w:pPr>
    </w:p>
    <w:p>
      <w:pPr>
        <w:spacing w:beforeLines="0" w:afterLines="0" w:line="600" w:lineRule="exact"/>
        <w:jc w:val="center"/>
        <w:rPr>
          <w:rFonts w:hint="eastAsia" w:ascii="Times New Roman" w:hAnsi="Times New Roman" w:cs="Times New Roman"/>
          <w:b/>
          <w:color w:val="000000"/>
          <w:sz w:val="48"/>
          <w:szCs w:val="48"/>
          <w:highlight w:val="none"/>
          <w:lang w:val="en-US" w:eastAsia="zh-CN"/>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pStyle w:val="2"/>
        <w:ind w:left="0" w:leftChars="0" w:right="63"/>
        <w:jc w:val="both"/>
      </w:pPr>
      <w:bookmarkStart w:id="61" w:name="_Toc1736175"/>
    </w:p>
    <w:p>
      <w:pPr>
        <w:pStyle w:val="4"/>
        <w:tabs>
          <w:tab w:val="left" w:pos="1260"/>
        </w:tabs>
        <w:jc w:val="both"/>
      </w:pPr>
      <w:r>
        <w:rPr>
          <w:rFonts w:hint="eastAsia"/>
        </w:rPr>
        <w:t>附件三：勘察、设计人主要设计人员表</w:t>
      </w:r>
    </w:p>
    <w:bookmarkEnd w:id="61"/>
    <w:p>
      <w:pPr>
        <w:pStyle w:val="4"/>
      </w:pPr>
      <w:bookmarkStart w:id="62" w:name="_Toc1736176"/>
      <w:r>
        <w:rPr>
          <w:rFonts w:hint="eastAsia"/>
        </w:rPr>
        <w:t>附件四：勘察、设计工程量清单报价表</w:t>
      </w:r>
      <w:bookmarkEnd w:id="62"/>
    </w:p>
    <w:p>
      <w:pPr>
        <w:tabs>
          <w:tab w:val="left" w:pos="1260"/>
        </w:tabs>
        <w:spacing w:line="360" w:lineRule="auto"/>
        <w:jc w:val="left"/>
      </w:pPr>
      <w:bookmarkStart w:id="63" w:name="_Toc1736177"/>
    </w:p>
    <w:p>
      <w:pPr>
        <w:pStyle w:val="4"/>
        <w:rPr>
          <w:rFonts w:hAnsi="宋体"/>
        </w:rPr>
      </w:pPr>
      <w:r>
        <w:rPr>
          <w:rFonts w:hint="eastAsia"/>
        </w:rPr>
        <w:t>附件五：廉政合同</w:t>
      </w:r>
      <w:bookmarkEnd w:id="63"/>
    </w:p>
    <w:p>
      <w:pPr>
        <w:pStyle w:val="41"/>
        <w:ind w:left="0" w:leftChars="0" w:firstLine="0" w:firstLineChars="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采购方</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（甲方）（全称）</w:t>
      </w:r>
      <w:r>
        <w:rPr>
          <w:rFonts w:hint="eastAsia" w:asciiTheme="minorEastAsia" w:hAnsiTheme="minorEastAsia" w:eastAsiaTheme="minorEastAsia"/>
          <w:sz w:val="24"/>
          <w:szCs w:val="24"/>
          <w:u w:val="single"/>
        </w:rPr>
        <w:t>广州环投恒创科技有限公司</w:t>
      </w:r>
    </w:p>
    <w:p>
      <w:pPr>
        <w:pStyle w:val="41"/>
        <w:ind w:left="0" w:leftChars="0" w:firstLine="0" w:firstLineChars="0"/>
        <w:rPr>
          <w:rFonts w:asciiTheme="minorEastAsia" w:hAnsiTheme="minorEastAsia" w:eastAsiaTheme="minorEastAsia"/>
          <w:color w:val="000000"/>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（乙方）（全称）</w:t>
      </w:r>
    </w:p>
    <w:p>
      <w:pPr>
        <w:adjustRightInd w:val="0"/>
        <w:spacing w:line="300" w:lineRule="auto"/>
        <w:contextualSpacing/>
        <w:rPr>
          <w:rFonts w:asciiTheme="minorEastAsia" w:hAnsiTheme="minorEastAsia" w:eastAsiaTheme="minorEastAsia"/>
          <w:sz w:val="24"/>
          <w:szCs w:val="24"/>
          <w:u w:val="single"/>
        </w:rPr>
      </w:pPr>
    </w:p>
    <w:p>
      <w:pPr>
        <w:spacing w:line="300" w:lineRule="auto"/>
        <w:contextualSpacing/>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 xml:space="preserve">     </w:t>
      </w:r>
      <w:r>
        <w:rPr>
          <w:rFonts w:hint="eastAsia" w:asciiTheme="minorEastAsia" w:hAnsiTheme="minorEastAsia" w:eastAsiaTheme="minorEastAsia"/>
          <w:sz w:val="24"/>
          <w:szCs w:val="24"/>
        </w:rPr>
        <w:t>为促进双方诚信经营、廉洁从业，防范商业贿赂，保护国家、集体和当事人的合法权益，根据国家有关法律法规和广东省、广州市廉政建设的规定</w:t>
      </w:r>
      <w:r>
        <w:rPr>
          <w:rFonts w:hint="eastAsia" w:cs="宋体" w:asciiTheme="minorEastAsia" w:hAnsiTheme="minorEastAsia" w:eastAsiaTheme="minorEastAsia"/>
          <w:kern w:val="0"/>
          <w:sz w:val="24"/>
          <w:szCs w:val="24"/>
          <w:lang w:val="zh-CN"/>
        </w:rPr>
        <w:t>，保证所采购的货物及服务的质量，合同双方当事人就加强货物或服务采购合同的廉政建设，订立本合同</w:t>
      </w:r>
      <w:r>
        <w:rPr>
          <w:rFonts w:hint="eastAsia" w:asciiTheme="minorEastAsia" w:hAnsiTheme="minorEastAsia" w:eastAsiaTheme="minorEastAsia"/>
          <w:sz w:val="24"/>
          <w:szCs w:val="24"/>
        </w:rPr>
        <w:t>。</w:t>
      </w:r>
    </w:p>
    <w:p>
      <w:pPr>
        <w:spacing w:line="300" w:lineRule="auto"/>
        <w:ind w:firstLine="562"/>
        <w:contextualSpacing/>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、双方权利和义务</w:t>
      </w:r>
    </w:p>
    <w:p>
      <w:pPr>
        <w:spacing w:line="300" w:lineRule="auto"/>
        <w:ind w:firstLine="480"/>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1.1  </w:t>
      </w:r>
      <w:r>
        <w:rPr>
          <w:rFonts w:hint="eastAsia" w:asciiTheme="minorEastAsia" w:hAnsiTheme="minorEastAsia" w:eastAsiaTheme="minorEastAsia"/>
          <w:sz w:val="24"/>
          <w:szCs w:val="24"/>
        </w:rPr>
        <w:t>甲乙双方自觉</w:t>
      </w:r>
      <w:r>
        <w:rPr>
          <w:rFonts w:asciiTheme="minorEastAsia" w:hAnsiTheme="minorEastAsia" w:eastAsiaTheme="minorEastAsia"/>
          <w:sz w:val="24"/>
          <w:szCs w:val="24"/>
        </w:rPr>
        <w:t>遵守《中华人民共和国反不正当竞争法》</w:t>
      </w:r>
      <w:r>
        <w:rPr>
          <w:rFonts w:hint="eastAsia" w:asciiTheme="minorEastAsia" w:hAnsiTheme="minorEastAsia" w:eastAsiaTheme="minorEastAsia"/>
          <w:sz w:val="24"/>
          <w:szCs w:val="24"/>
        </w:rPr>
        <w:t>、国家工商行政管理局</w:t>
      </w:r>
      <w:r>
        <w:rPr>
          <w:rFonts w:asciiTheme="minorEastAsia" w:hAnsiTheme="minorEastAsia" w:eastAsiaTheme="minorEastAsia"/>
          <w:sz w:val="24"/>
          <w:szCs w:val="24"/>
        </w:rPr>
        <w:t>《关于禁止商业贿赂行为的暂行规定》</w:t>
      </w:r>
      <w:r>
        <w:rPr>
          <w:rFonts w:hint="eastAsia" w:asciiTheme="minorEastAsia" w:hAnsiTheme="minorEastAsia" w:eastAsiaTheme="minorEastAsia"/>
          <w:sz w:val="24"/>
          <w:szCs w:val="24"/>
        </w:rPr>
        <w:t>、国家最高人民检察院、最高人民法院《关于办理受贿刑事案件适用法律若干问题的意见》及相关法律法规和廉政建设的规定。</w:t>
      </w:r>
    </w:p>
    <w:p>
      <w:pPr>
        <w:spacing w:line="30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1.2  </w:t>
      </w:r>
      <w:r>
        <w:rPr>
          <w:rFonts w:hint="eastAsia" w:asciiTheme="minorEastAsia" w:hAnsiTheme="minorEastAsia" w:eastAsiaTheme="minorEastAsia"/>
          <w:sz w:val="24"/>
          <w:szCs w:val="24"/>
        </w:rPr>
        <w:t>严格执行【</w:t>
      </w:r>
      <w:r>
        <w:rPr>
          <w:rFonts w:hint="eastAsia" w:ascii="Times New Roman" w:hAnsi="Times New Roman"/>
          <w:sz w:val="24"/>
        </w:rPr>
        <w:t>项目</w:t>
      </w:r>
      <w:r>
        <w:rPr>
          <w:rFonts w:hint="eastAsia" w:asciiTheme="minorEastAsia" w:hAnsiTheme="minorEastAsia" w:eastAsiaTheme="minorEastAsia"/>
          <w:sz w:val="24"/>
          <w:szCs w:val="24"/>
        </w:rPr>
        <w:t>勘察设计合同】（合同编号：  ）（以下统称采购合同或合同），自觉履行合同约定的相关义务。</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1.3  </w:t>
      </w:r>
      <w:r>
        <w:rPr>
          <w:rFonts w:hint="eastAsia" w:cs="宋体" w:asciiTheme="minorEastAsia" w:hAnsiTheme="minorEastAsia" w:eastAsiaTheme="minorEastAsia"/>
          <w:kern w:val="0"/>
          <w:sz w:val="24"/>
          <w:szCs w:val="24"/>
          <w:lang w:val="zh-CN"/>
        </w:rPr>
        <w:t>合同双方当事人的业务活动应坚持公平、公开、公正和诚信的原则，不得损害国家和集体利益，不得违反相关管理法律、法规及行业管理规定</w:t>
      </w:r>
      <w:r>
        <w:rPr>
          <w:rFonts w:hint="eastAsia" w:asciiTheme="minorEastAsia" w:hAnsiTheme="minorEastAsia" w:eastAsiaTheme="minorEastAsia"/>
          <w:sz w:val="24"/>
          <w:szCs w:val="24"/>
        </w:rPr>
        <w:t>。</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1.4  </w:t>
      </w:r>
      <w:r>
        <w:rPr>
          <w:rFonts w:hint="eastAsia" w:asciiTheme="minorEastAsia" w:hAnsiTheme="minorEastAsia" w:eastAsiaTheme="minorEastAsia"/>
          <w:sz w:val="24"/>
          <w:szCs w:val="24"/>
        </w:rPr>
        <w:t>建立健全廉政制度，开展廉政教育，设立廉政告示牌，公布举报电话，监督并认真查处违法违纪行为。</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1.5  </w:t>
      </w:r>
      <w:r>
        <w:rPr>
          <w:rFonts w:hint="eastAsia" w:asciiTheme="minorEastAsia" w:hAnsiTheme="minorEastAsia" w:eastAsiaTheme="minorEastAsia"/>
          <w:sz w:val="24"/>
          <w:szCs w:val="24"/>
        </w:rPr>
        <w:t>发现对方在业务活动中有违反廉政建设规定的行为，应及时给予提醒和纠正。</w:t>
      </w:r>
    </w:p>
    <w:p>
      <w:pPr>
        <w:spacing w:line="300" w:lineRule="auto"/>
        <w:ind w:firstLine="480"/>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1.6  </w:t>
      </w:r>
      <w:r>
        <w:rPr>
          <w:rFonts w:hint="eastAsia" w:asciiTheme="minorEastAsia" w:hAnsiTheme="minorEastAsia" w:eastAsiaTheme="minorEastAsia"/>
          <w:sz w:val="24"/>
          <w:szCs w:val="24"/>
        </w:rPr>
        <w:t>发现对方严重违反合同的行为，应向其上级部门举报、建议给予处理并要求告知处理结果的权利。</w:t>
      </w:r>
    </w:p>
    <w:p>
      <w:pPr>
        <w:spacing w:line="300" w:lineRule="auto"/>
        <w:ind w:firstLine="562"/>
        <w:contextualSpacing/>
        <w:jc w:val="left"/>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、采购方义务</w:t>
      </w:r>
    </w:p>
    <w:p>
      <w:pPr>
        <w:spacing w:line="300" w:lineRule="auto"/>
        <w:ind w:firstLine="480"/>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2.1  </w:t>
      </w:r>
      <w:r>
        <w:rPr>
          <w:rFonts w:hint="eastAsia" w:asciiTheme="minorEastAsia" w:hAnsiTheme="minorEastAsia" w:eastAsiaTheme="minorEastAsia"/>
          <w:sz w:val="24"/>
          <w:szCs w:val="24"/>
        </w:rPr>
        <w:t>采购方及其工作人员不得索要或接受供应商（本合同中的“供应商”包括供应商的工作人员、分包人下同）的礼金、有价证券、支付凭证和贵重物品，不得在供应商报销任何应由采购方或工作人员个人支付的费用等。</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2.2</w:t>
      </w:r>
      <w:r>
        <w:rPr>
          <w:rFonts w:hint="eastAsia" w:asciiTheme="minorEastAsia" w:hAnsiTheme="minorEastAsia" w:eastAsiaTheme="minorEastAsia"/>
          <w:sz w:val="24"/>
          <w:szCs w:val="24"/>
        </w:rPr>
        <w:t>采购方及其工作人员不得参加供应商安排的可能影响相关业务公开、公正、公平性的宴请和娱乐活动；不得参与任何形式的赌博，并通过赌博方式收受供应商财物；不得接受供应商提供的通讯工具、交通工具（合同约定除外）和高档办公用品等。</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采购方及其工作人员不得要求或者接受供应商为其住房装修、婚丧嫁娶活动、配偶子女的工作安排、交学费以及出国出境、旅游等提供方便等。</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2.4  </w:t>
      </w:r>
      <w:r>
        <w:rPr>
          <w:rFonts w:hint="eastAsia" w:cs="宋体" w:asciiTheme="minorEastAsia" w:hAnsiTheme="minorEastAsia" w:eastAsiaTheme="minorEastAsia"/>
          <w:kern w:val="0"/>
          <w:sz w:val="24"/>
          <w:szCs w:val="24"/>
          <w:lang w:val="zh-CN"/>
        </w:rPr>
        <w:t>采购方及其工作人员不得违反合同以任何理由向供应商推荐分包人、推销材料和设备，不得要求供应商购买合同以外的材料和设备</w:t>
      </w:r>
      <w:r>
        <w:rPr>
          <w:rFonts w:hint="eastAsia" w:asciiTheme="minorEastAsia" w:hAnsiTheme="minorEastAsia" w:eastAsiaTheme="minorEastAsia"/>
          <w:sz w:val="24"/>
          <w:szCs w:val="24"/>
        </w:rPr>
        <w:t>。</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2.5</w:t>
      </w:r>
      <w:r>
        <w:rPr>
          <w:rFonts w:hint="eastAsia" w:cs="宋体" w:asciiTheme="minorEastAsia" w:hAnsiTheme="minorEastAsia" w:eastAsiaTheme="minorEastAsia"/>
          <w:kern w:val="0"/>
          <w:sz w:val="24"/>
          <w:szCs w:val="24"/>
          <w:lang w:val="zh-CN"/>
        </w:rPr>
        <w:t>采购方及其工作人员</w:t>
      </w:r>
      <w:r>
        <w:rPr>
          <w:rFonts w:hint="eastAsia" w:asciiTheme="minorEastAsia" w:hAnsiTheme="minorEastAsia" w:eastAsiaTheme="minorEastAsia"/>
          <w:sz w:val="24"/>
          <w:szCs w:val="24"/>
        </w:rPr>
        <w:t>不得在供应商或与供应商有股权关联的企业兼职，不得向供应商介绍家属或者亲友从事与采购方业务有关的经济活动。</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2.6</w:t>
      </w:r>
      <w:r>
        <w:rPr>
          <w:rFonts w:hint="eastAsia" w:cs="宋体" w:asciiTheme="minorEastAsia" w:hAnsiTheme="minorEastAsia" w:eastAsiaTheme="minorEastAsia"/>
          <w:kern w:val="0"/>
          <w:sz w:val="24"/>
          <w:szCs w:val="24"/>
          <w:lang w:val="zh-CN"/>
        </w:rPr>
        <w:t>采购方及其</w:t>
      </w:r>
      <w:r>
        <w:rPr>
          <w:rFonts w:hint="eastAsia" w:asciiTheme="minorEastAsia" w:hAnsiTheme="minorEastAsia" w:eastAsiaTheme="minorEastAsia"/>
          <w:sz w:val="24"/>
          <w:szCs w:val="24"/>
        </w:rPr>
        <w:t>工作人员不得以明显低于市场的价格向供应商购买房屋、汽车等物品；不得</w:t>
      </w:r>
      <w:r>
        <w:rPr>
          <w:rFonts w:asciiTheme="minorEastAsia" w:hAnsiTheme="minorEastAsia" w:eastAsiaTheme="minorEastAsia"/>
          <w:sz w:val="24"/>
          <w:szCs w:val="24"/>
        </w:rPr>
        <w:t>以明显高于市场的价格向</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出售房屋、汽车</w:t>
      </w:r>
      <w:r>
        <w:rPr>
          <w:rFonts w:hint="eastAsia" w:asciiTheme="minorEastAsia" w:hAnsiTheme="minorEastAsia" w:eastAsiaTheme="minorEastAsia"/>
          <w:sz w:val="24"/>
          <w:szCs w:val="24"/>
        </w:rPr>
        <w:t>、艺术品、收藏品</w:t>
      </w:r>
      <w:r>
        <w:rPr>
          <w:rFonts w:asciiTheme="minorEastAsia" w:hAnsiTheme="minorEastAsia" w:eastAsiaTheme="minorEastAsia"/>
          <w:sz w:val="24"/>
          <w:szCs w:val="24"/>
        </w:rPr>
        <w:t>等物品；</w:t>
      </w:r>
      <w:r>
        <w:rPr>
          <w:rFonts w:hint="eastAsia" w:asciiTheme="minorEastAsia" w:hAnsiTheme="minorEastAsia" w:eastAsiaTheme="minorEastAsia"/>
          <w:sz w:val="24"/>
          <w:szCs w:val="24"/>
        </w:rPr>
        <w:t>不得使用供应商提供的与工作无关的房屋、汽车等物品；不得以其他交易形式非法收受供应商财物。</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2.7</w:t>
      </w:r>
      <w:r>
        <w:rPr>
          <w:rFonts w:hint="eastAsia" w:cs="宋体" w:asciiTheme="minorEastAsia" w:hAnsiTheme="minorEastAsia" w:eastAsiaTheme="minorEastAsia"/>
          <w:kern w:val="0"/>
          <w:sz w:val="24"/>
          <w:szCs w:val="24"/>
          <w:lang w:val="zh-CN"/>
        </w:rPr>
        <w:t>采购方及其</w:t>
      </w:r>
      <w:r>
        <w:rPr>
          <w:rFonts w:hint="eastAsia" w:asciiTheme="minorEastAsia" w:hAnsiTheme="minorEastAsia" w:eastAsiaTheme="minorEastAsia"/>
          <w:sz w:val="24"/>
          <w:szCs w:val="24"/>
        </w:rPr>
        <w:t>工作人员不得利用职务之便收受供应商以回扣、佣金、介绍费、手续费、加班费、咨询费、劳务费、协调费、辛苦费等各种名义给予或赠送的钱物。</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2.8</w:t>
      </w:r>
      <w:r>
        <w:rPr>
          <w:rFonts w:hint="eastAsia" w:cs="宋体" w:asciiTheme="minorEastAsia" w:hAnsiTheme="minorEastAsia" w:eastAsiaTheme="minorEastAsia"/>
          <w:kern w:val="0"/>
          <w:sz w:val="24"/>
          <w:szCs w:val="24"/>
          <w:lang w:val="zh-CN"/>
        </w:rPr>
        <w:t>采购方及其</w:t>
      </w:r>
      <w:r>
        <w:rPr>
          <w:rFonts w:hint="eastAsia" w:asciiTheme="minorEastAsia" w:hAnsiTheme="minorEastAsia" w:eastAsiaTheme="minorEastAsia"/>
          <w:sz w:val="24"/>
          <w:szCs w:val="24"/>
        </w:rPr>
        <w:t>工作人员不得接受供应商给予或赠送的干股或红利。</w:t>
      </w:r>
    </w:p>
    <w:p>
      <w:pPr>
        <w:spacing w:line="30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9</w:t>
      </w:r>
      <w:r>
        <w:rPr>
          <w:rFonts w:hint="eastAsia" w:cs="宋体" w:asciiTheme="minorEastAsia" w:hAnsiTheme="minorEastAsia" w:eastAsiaTheme="minorEastAsia"/>
          <w:kern w:val="0"/>
          <w:sz w:val="24"/>
          <w:szCs w:val="24"/>
          <w:lang w:val="zh-CN"/>
        </w:rPr>
        <w:t>采购方及其工作人员要秉公办事，不准营私舞弊，不准利用职权私自联系分包人，也不得从事与合同有关的各种有偿中介活动</w:t>
      </w:r>
      <w:r>
        <w:rPr>
          <w:rFonts w:hint="eastAsia" w:asciiTheme="minorEastAsia" w:hAnsiTheme="minorEastAsia" w:eastAsiaTheme="minorEastAsia"/>
          <w:sz w:val="24"/>
          <w:szCs w:val="24"/>
        </w:rPr>
        <w:t>。</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10</w:t>
      </w:r>
      <w:r>
        <w:rPr>
          <w:rFonts w:hint="eastAsia" w:cs="宋体" w:asciiTheme="minorEastAsia" w:hAnsiTheme="minorEastAsia" w:eastAsiaTheme="minorEastAsia"/>
          <w:kern w:val="0"/>
          <w:sz w:val="24"/>
          <w:szCs w:val="24"/>
          <w:lang w:val="zh-CN"/>
        </w:rPr>
        <w:t>采购方及其工作人员（含其配偶、子女）不得从事与合同有关的材料和设备供应、分包、劳务等经济活动</w:t>
      </w:r>
      <w:r>
        <w:rPr>
          <w:rFonts w:hint="eastAsia" w:asciiTheme="minorEastAsia" w:hAnsiTheme="minorEastAsia" w:eastAsiaTheme="minorEastAsia"/>
          <w:sz w:val="24"/>
          <w:szCs w:val="24"/>
        </w:rPr>
        <w:t>。</w:t>
      </w:r>
    </w:p>
    <w:p>
      <w:pPr>
        <w:spacing w:line="300" w:lineRule="auto"/>
        <w:ind w:firstLine="562"/>
        <w:contextualSpacing/>
        <w:rPr>
          <w:rFonts w:asciiTheme="minorEastAsia" w:hAnsiTheme="minorEastAsia" w:eastAsiaTheme="minorEastAsia"/>
          <w:b/>
          <w:bCs/>
          <w:sz w:val="24"/>
          <w:szCs w:val="24"/>
        </w:rPr>
      </w:pPr>
      <w:r>
        <w:rPr>
          <w:rFonts w:asciiTheme="minorEastAsia" w:hAnsiTheme="minorEastAsia" w:eastAsiaTheme="minorEastAsia"/>
          <w:b/>
          <w:bCs/>
          <w:sz w:val="24"/>
          <w:szCs w:val="24"/>
        </w:rPr>
        <w:t>3</w:t>
      </w:r>
      <w:r>
        <w:rPr>
          <w:rFonts w:hint="eastAsia" w:asciiTheme="minorEastAsia" w:hAnsiTheme="minorEastAsia" w:eastAsiaTheme="minorEastAsia"/>
          <w:b/>
          <w:bCs/>
          <w:sz w:val="24"/>
          <w:szCs w:val="24"/>
        </w:rPr>
        <w:t>、供应商义务</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3.1  </w:t>
      </w:r>
      <w:r>
        <w:rPr>
          <w:rFonts w:hint="eastAsia" w:asciiTheme="minorEastAsia" w:hAnsiTheme="minorEastAsia" w:eastAsiaTheme="minorEastAsia"/>
          <w:sz w:val="24"/>
          <w:szCs w:val="24"/>
        </w:rPr>
        <w:t>供应商（包括供应商的工作人员，下同）不得以任何理由向采购方及其工作人员行贿或馈赠礼金、有价证券、贵重礼品。</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3.2  </w:t>
      </w:r>
      <w:r>
        <w:rPr>
          <w:rFonts w:hint="eastAsia" w:asciiTheme="minorEastAsia" w:hAnsiTheme="minorEastAsia" w:eastAsiaTheme="minorEastAsia"/>
          <w:sz w:val="24"/>
          <w:szCs w:val="24"/>
        </w:rPr>
        <w:t>供应商不得以任何名义为采购方及其工作人员报销应由其本人支付的任何费用。</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3.3  </w:t>
      </w:r>
      <w:r>
        <w:rPr>
          <w:rFonts w:hint="eastAsia" w:asciiTheme="minorEastAsia" w:hAnsiTheme="minorEastAsia" w:eastAsiaTheme="minorEastAsia"/>
          <w:sz w:val="24"/>
          <w:szCs w:val="24"/>
        </w:rPr>
        <w:t>供应商不得以任何理由安排采购方及其工作人员参加可能影响相关业务公开、公正、公平性的宴请及娱乐活动。</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3.4供应商不得为采购方单位和个人购置或提供通讯工具和高档办公用品等物品，也不得为采购方工作人员提供与工作无关的房屋、汽车等。</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3.5供应商不得擅自与采购方工作人员就合同中的质量、数量、价格、工作量、验收等条款进行私下商谈或者达成默契。</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3.6供应商不得以回扣、手续费、加班费、咨询费、劳务费、协调费、辛苦费等各种名义向采购方工作人员给予或赠送钱物。</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3.7供应商不得向采购方工作人员提供干股或红利或给予非财产利益。</w:t>
      </w:r>
    </w:p>
    <w:p>
      <w:pPr>
        <w:spacing w:line="30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8</w:t>
      </w:r>
      <w:r>
        <w:rPr>
          <w:rFonts w:hint="eastAsia" w:cs="宋体" w:asciiTheme="minorEastAsia" w:hAnsiTheme="minorEastAsia" w:eastAsiaTheme="minorEastAsia"/>
          <w:kern w:val="0"/>
          <w:sz w:val="24"/>
          <w:szCs w:val="24"/>
          <w:lang w:val="zh-CN"/>
        </w:rPr>
        <w:t>供应商不得为采购方及其工作人员的住房装修、婚丧嫁娶活动、配偶子女工作安排以及出国出境、旅游、交学费等提供方便。</w:t>
      </w:r>
    </w:p>
    <w:p>
      <w:pPr>
        <w:tabs>
          <w:tab w:val="left" w:pos="900"/>
        </w:tabs>
        <w:spacing w:line="300" w:lineRule="auto"/>
        <w:ind w:firstLine="562"/>
        <w:contextualSpacing/>
        <w:rPr>
          <w:rFonts w:asciiTheme="minorEastAsia" w:hAnsiTheme="minorEastAsia" w:eastAsiaTheme="minorEastAsia"/>
          <w:b/>
          <w:bCs/>
          <w:sz w:val="24"/>
          <w:szCs w:val="24"/>
        </w:rPr>
      </w:pPr>
      <w:r>
        <w:rPr>
          <w:rFonts w:asciiTheme="minorEastAsia" w:hAnsiTheme="minorEastAsia" w:eastAsiaTheme="minorEastAsia"/>
          <w:b/>
          <w:bCs/>
          <w:sz w:val="24"/>
          <w:szCs w:val="24"/>
        </w:rPr>
        <w:t>4</w:t>
      </w:r>
      <w:r>
        <w:rPr>
          <w:rFonts w:hint="eastAsia" w:asciiTheme="minorEastAsia" w:hAnsiTheme="minorEastAsia" w:eastAsiaTheme="minorEastAsia"/>
          <w:b/>
          <w:bCs/>
          <w:sz w:val="24"/>
          <w:szCs w:val="24"/>
        </w:rPr>
        <w:t>、违约责任</w:t>
      </w:r>
    </w:p>
    <w:p>
      <w:pPr>
        <w:spacing w:line="300" w:lineRule="auto"/>
        <w:ind w:firstLine="480"/>
        <w:contextualSpacing/>
        <w:rPr>
          <w:rFonts w:asciiTheme="minorEastAsia" w:hAnsiTheme="minorEastAsia" w:eastAsiaTheme="minorEastAsia"/>
          <w:sz w:val="24"/>
          <w:szCs w:val="24"/>
        </w:rPr>
      </w:pPr>
      <w:r>
        <w:rPr>
          <w:rFonts w:asciiTheme="minorEastAsia" w:hAnsiTheme="minorEastAsia" w:eastAsiaTheme="minorEastAsia"/>
          <w:sz w:val="24"/>
          <w:szCs w:val="24"/>
        </w:rPr>
        <w:t xml:space="preserve">4.1 </w:t>
      </w:r>
      <w:r>
        <w:rPr>
          <w:rFonts w:hint="eastAsia" w:asciiTheme="minorEastAsia" w:hAnsiTheme="minorEastAsia" w:eastAsiaTheme="minorEastAsia"/>
          <w:sz w:val="24"/>
          <w:szCs w:val="24"/>
        </w:rPr>
        <w:t>采购方及其工作人员违反本合同第</w:t>
      </w:r>
      <w:r>
        <w:rPr>
          <w:rFonts w:asciiTheme="minorEastAsia" w:hAnsiTheme="minorEastAsia" w:eastAsiaTheme="minorEastAsia"/>
          <w:sz w:val="24"/>
          <w:szCs w:val="24"/>
        </w:rPr>
        <w:t>1</w:t>
      </w:r>
      <w:r>
        <w:rPr>
          <w:rFonts w:hint="eastAsia" w:asciiTheme="minorEastAsia" w:hAnsiTheme="minorEastAsia" w:eastAsiaTheme="minorEastAsia"/>
          <w:sz w:val="24"/>
          <w:szCs w:val="24"/>
        </w:rPr>
        <w:t>条和第</w:t>
      </w:r>
      <w:r>
        <w:rPr>
          <w:rFonts w:asciiTheme="minorEastAsia" w:hAnsiTheme="minorEastAsia" w:eastAsiaTheme="minorEastAsia"/>
          <w:sz w:val="24"/>
          <w:szCs w:val="24"/>
        </w:rPr>
        <w:t>2</w:t>
      </w:r>
      <w:r>
        <w:rPr>
          <w:rFonts w:hint="eastAsia" w:asciiTheme="minorEastAsia" w:hAnsiTheme="minorEastAsia" w:eastAsiaTheme="minorEastAsia"/>
          <w:sz w:val="24"/>
          <w:szCs w:val="24"/>
        </w:rPr>
        <w:t>条规定，应依据有关规定给予廉政建设规定的处分；涉嫌犯罪的，移交司法机关追究刑事责任；给供应商造成经济损失的，应予赔偿。</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采购方举报投诉联系部门：广州环保投资集团有限公司纪检监察室，联系电话：85806319。</w:t>
      </w:r>
    </w:p>
    <w:p>
      <w:pPr>
        <w:spacing w:line="30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4.2</w:t>
      </w:r>
      <w:r>
        <w:rPr>
          <w:rFonts w:hint="eastAsia" w:asciiTheme="minorEastAsia" w:hAnsiTheme="minorEastAsia" w:eastAsiaTheme="minorEastAsia"/>
          <w:sz w:val="24"/>
          <w:szCs w:val="24"/>
        </w:rPr>
        <w:t>供应商已签署《廉政承诺书》（详见附件1），如</w:t>
      </w:r>
      <w:r>
        <w:rPr>
          <w:rFonts w:hint="eastAsia" w:cs="宋体" w:asciiTheme="minorEastAsia" w:hAnsiTheme="minorEastAsia" w:eastAsiaTheme="minorEastAsia"/>
          <w:kern w:val="0"/>
          <w:sz w:val="24"/>
          <w:szCs w:val="24"/>
          <w:lang w:val="zh-CN"/>
        </w:rPr>
        <w:t>供应商或其工作人员违反廉政承诺书或本合同第</w:t>
      </w:r>
      <w:r>
        <w:rPr>
          <w:rFonts w:asciiTheme="minorEastAsia" w:hAnsiTheme="minorEastAsia" w:eastAsiaTheme="minorEastAsia"/>
          <w:kern w:val="0"/>
          <w:sz w:val="24"/>
          <w:szCs w:val="24"/>
        </w:rPr>
        <w:t xml:space="preserve"> 1</w:t>
      </w:r>
      <w:r>
        <w:rPr>
          <w:rFonts w:hint="eastAsia" w:cs="宋体" w:asciiTheme="minorEastAsia" w:hAnsiTheme="minorEastAsia" w:eastAsiaTheme="minorEastAsia"/>
          <w:kern w:val="0"/>
          <w:sz w:val="24"/>
          <w:szCs w:val="24"/>
          <w:lang w:val="zh-CN"/>
        </w:rPr>
        <w:t>条和第</w:t>
      </w:r>
      <w:r>
        <w:rPr>
          <w:rFonts w:asciiTheme="minorEastAsia" w:hAnsiTheme="minorEastAsia" w:eastAsiaTheme="minorEastAsia"/>
          <w:kern w:val="0"/>
          <w:sz w:val="24"/>
          <w:szCs w:val="24"/>
        </w:rPr>
        <w:t xml:space="preserve"> 3</w:t>
      </w:r>
      <w:r>
        <w:rPr>
          <w:rFonts w:hint="eastAsia" w:cs="宋体" w:asciiTheme="minorEastAsia" w:hAnsiTheme="minorEastAsia" w:eastAsiaTheme="minorEastAsia"/>
          <w:kern w:val="0"/>
          <w:sz w:val="24"/>
          <w:szCs w:val="24"/>
          <w:lang w:val="zh-CN"/>
        </w:rPr>
        <w:t>条规定，即构成违约。</w:t>
      </w:r>
      <w:r>
        <w:rPr>
          <w:rFonts w:hint="eastAsia" w:asciiTheme="minorEastAsia" w:hAnsiTheme="minorEastAsia" w:eastAsiaTheme="minorEastAsia"/>
          <w:sz w:val="24"/>
          <w:szCs w:val="24"/>
        </w:rPr>
        <w:t>根据具体情节和造成的后果，采购方有权要求供应商承担下列一种或多种违约责任：</w:t>
      </w:r>
    </w:p>
    <w:p>
      <w:pPr>
        <w:spacing w:line="300" w:lineRule="auto"/>
        <w:ind w:firstLine="42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（1）供应商违反本合同第3条第1-4款、第6-8款约定的，应当向采购方支付相当于涉贿钱财、费用累计总价值十倍的违约金。</w:t>
      </w:r>
    </w:p>
    <w:p>
      <w:pPr>
        <w:spacing w:line="300" w:lineRule="auto"/>
        <w:ind w:firstLine="42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（2）供应商违反本合同第3条第5款约定的，每发生一次/项，应当向采购方支付该次/项违约行为涉及采购项目的合同金额10%的违约金。每次/项违约金计算金额低于十万元时，按十万元计算。</w:t>
      </w:r>
    </w:p>
    <w:p>
      <w:pPr>
        <w:spacing w:line="300" w:lineRule="auto"/>
        <w:ind w:firstLine="42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供应商单次涉贿金额或者多次累计涉贿金额超过十万元的，或者因供应商违约行为对货物或服务造成严重影响或者引起其他严重后果的，采购方有权解除本项目采购合同以及与供应商就其他项目签订的合同。</w:t>
      </w:r>
    </w:p>
    <w:p>
      <w:pPr>
        <w:spacing w:line="300" w:lineRule="auto"/>
        <w:ind w:firstLine="42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（4）因供应商的违约行为给采购方造成损失的，供应商还应当赔偿采购方的全部损失。</w:t>
      </w:r>
    </w:p>
    <w:p>
      <w:pPr>
        <w:snapToGrid w:val="0"/>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对于供应商应当支付的违约金、赔偿金等款项，采购方有权直接从应付合同价款、履约保证金中扣除。</w:t>
      </w:r>
    </w:p>
    <w:p>
      <w:pPr>
        <w:spacing w:line="300" w:lineRule="auto"/>
        <w:ind w:firstLine="480" w:firstLineChars="200"/>
        <w:contextualSpacing/>
        <w:rPr>
          <w:rFonts w:cs="宋体" w:asciiTheme="minorEastAsia" w:hAnsiTheme="minorEastAsia" w:eastAsiaTheme="minorEastAsia"/>
          <w:kern w:val="0"/>
          <w:sz w:val="24"/>
          <w:szCs w:val="24"/>
          <w:lang w:val="zh-CN"/>
        </w:rPr>
      </w:pPr>
      <w:r>
        <w:rPr>
          <w:rFonts w:hint="eastAsia" w:asciiTheme="minorEastAsia" w:hAnsiTheme="minorEastAsia" w:eastAsiaTheme="minorEastAsia"/>
          <w:sz w:val="24"/>
          <w:szCs w:val="24"/>
        </w:rPr>
        <w:t>对于供应商的违约行为，采购方还有权按</w:t>
      </w:r>
      <w:r>
        <w:rPr>
          <w:rFonts w:hint="eastAsia" w:cs="宋体" w:asciiTheme="minorEastAsia" w:hAnsiTheme="minorEastAsia" w:eastAsiaTheme="minorEastAsia"/>
          <w:kern w:val="0"/>
          <w:sz w:val="24"/>
          <w:szCs w:val="24"/>
          <w:lang w:val="zh-CN"/>
        </w:rPr>
        <w:t>照廉政建设的有关规定</w:t>
      </w:r>
      <w:r>
        <w:rPr>
          <w:rFonts w:hint="eastAsia" w:asciiTheme="minorEastAsia" w:hAnsiTheme="minorEastAsia" w:eastAsiaTheme="minorEastAsia"/>
          <w:sz w:val="24"/>
          <w:szCs w:val="24"/>
        </w:rPr>
        <w:t>向有关单位举报</w:t>
      </w:r>
      <w:r>
        <w:rPr>
          <w:rFonts w:hint="eastAsia" w:cs="宋体" w:asciiTheme="minorEastAsia" w:hAnsiTheme="minorEastAsia" w:eastAsiaTheme="minorEastAsia"/>
          <w:kern w:val="0"/>
          <w:sz w:val="24"/>
          <w:szCs w:val="24"/>
          <w:lang w:val="zh-CN"/>
        </w:rPr>
        <w:t>；情节严重、涉嫌犯罪的，移交司法机关追究刑事责任。</w:t>
      </w:r>
    </w:p>
    <w:p>
      <w:pPr>
        <w:spacing w:line="300" w:lineRule="auto"/>
        <w:ind w:firstLine="480" w:firstLineChars="200"/>
        <w:contextualSpacing/>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lang w:val="zh-CN"/>
        </w:rPr>
        <w:t>4.3供应商对其工作人员、分包人的行为负责，供应商承担连带责任。本合同中非廉洁行为尽管不是供应商或其工作人员直接所为，但如果是在供应商或其工作人员授意或安排下进行的，亦视为供应商违反合同。</w:t>
      </w:r>
    </w:p>
    <w:p>
      <w:pPr>
        <w:spacing w:line="300" w:lineRule="auto"/>
        <w:ind w:firstLine="482" w:firstLineChars="200"/>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5、双方约定</w:t>
      </w:r>
    </w:p>
    <w:p>
      <w:pPr>
        <w:spacing w:line="300" w:lineRule="auto"/>
        <w:ind w:firstLine="480"/>
        <w:contextualSpacing/>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zh-CN"/>
        </w:rPr>
        <w:t>本合同由合同双方当事人或其上级部门负责监督执行，并由合同双方当事人或其上级单位的纪检监察部门相互约请对本合同执行情况进行检查</w:t>
      </w:r>
      <w:r>
        <w:rPr>
          <w:rFonts w:hint="eastAsia" w:asciiTheme="minorEastAsia" w:hAnsiTheme="minorEastAsia" w:eastAsiaTheme="minorEastAsia"/>
          <w:kern w:val="0"/>
          <w:sz w:val="24"/>
          <w:szCs w:val="24"/>
        </w:rPr>
        <w:t>。</w:t>
      </w:r>
    </w:p>
    <w:p>
      <w:pPr>
        <w:spacing w:line="300" w:lineRule="auto"/>
        <w:ind w:firstLine="420"/>
        <w:contextualSpacing/>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6 </w:t>
      </w:r>
      <w:r>
        <w:rPr>
          <w:rFonts w:hint="eastAsia" w:asciiTheme="minorEastAsia" w:hAnsiTheme="minorEastAsia" w:eastAsiaTheme="minorEastAsia"/>
          <w:b/>
          <w:bCs/>
          <w:sz w:val="24"/>
          <w:szCs w:val="24"/>
        </w:rPr>
        <w:t>、合同法律效力</w:t>
      </w:r>
    </w:p>
    <w:p>
      <w:pPr>
        <w:spacing w:line="300" w:lineRule="auto"/>
        <w:ind w:firstLine="470" w:firstLineChars="19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本合同作为采购合同的附件，并具有同等的法律效力，经合同双方签署立即生效。</w:t>
      </w:r>
    </w:p>
    <w:p>
      <w:pPr>
        <w:spacing w:line="300" w:lineRule="auto"/>
        <w:ind w:firstLine="480"/>
        <w:contextualSpacing/>
        <w:rPr>
          <w:rFonts w:asciiTheme="minorEastAsia" w:hAnsiTheme="minorEastAsia" w:eastAsiaTheme="minorEastAsia"/>
          <w:b/>
          <w:bCs/>
          <w:sz w:val="24"/>
          <w:szCs w:val="24"/>
        </w:rPr>
      </w:pPr>
      <w:r>
        <w:rPr>
          <w:rFonts w:asciiTheme="minorEastAsia" w:hAnsiTheme="minorEastAsia" w:eastAsiaTheme="minorEastAsia"/>
          <w:b/>
          <w:bCs/>
          <w:sz w:val="24"/>
          <w:szCs w:val="24"/>
        </w:rPr>
        <w:t>7</w:t>
      </w:r>
      <w:r>
        <w:rPr>
          <w:rFonts w:hint="eastAsia" w:asciiTheme="minorEastAsia" w:hAnsiTheme="minorEastAsia" w:eastAsiaTheme="minorEastAsia"/>
          <w:b/>
          <w:bCs/>
          <w:sz w:val="24"/>
          <w:szCs w:val="24"/>
        </w:rPr>
        <w:t>、合同份数</w:t>
      </w:r>
    </w:p>
    <w:p>
      <w:pPr>
        <w:spacing w:line="300" w:lineRule="auto"/>
        <w:ind w:firstLine="48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本合同份数与主合同一致，均具有同等法律效力。有上级部门的，合同双方当事人应送交其上级部门各一份。</w:t>
      </w:r>
    </w:p>
    <w:p>
      <w:pPr>
        <w:adjustRightInd w:val="0"/>
        <w:snapToGrid w:val="0"/>
        <w:spacing w:line="300" w:lineRule="auto"/>
        <w:ind w:left="6984" w:leftChars="228" w:hanging="6505" w:hangingChars="2700"/>
        <w:rPr>
          <w:rFonts w:asciiTheme="minorEastAsia" w:hAnsiTheme="minorEastAsia" w:eastAsiaTheme="minorEastAsia"/>
          <w:b/>
          <w:sz w:val="24"/>
          <w:szCs w:val="24"/>
        </w:rPr>
      </w:pPr>
    </w:p>
    <w:p>
      <w:pPr>
        <w:adjustRightInd w:val="0"/>
        <w:snapToGrid w:val="0"/>
        <w:spacing w:line="300" w:lineRule="auto"/>
        <w:ind w:left="6984" w:leftChars="228" w:hanging="6505" w:hangingChars="2700"/>
        <w:rPr>
          <w:rFonts w:asciiTheme="minorEastAsia" w:hAnsiTheme="minorEastAsia" w:eastAsiaTheme="minorEastAsia"/>
          <w:b/>
          <w:sz w:val="24"/>
          <w:szCs w:val="24"/>
        </w:rPr>
      </w:pPr>
      <w:r>
        <w:rPr>
          <w:rFonts w:hint="eastAsia" w:asciiTheme="minorEastAsia" w:hAnsiTheme="minorEastAsia" w:eastAsiaTheme="minorEastAsia"/>
          <w:b/>
          <w:sz w:val="24"/>
          <w:szCs w:val="24"/>
        </w:rPr>
        <w:t>甲方：（盖章） 广州环投恒创科技有限公司  乙方：（盖章）</w:t>
      </w:r>
    </w:p>
    <w:p>
      <w:pPr>
        <w:adjustRightInd w:val="0"/>
        <w:snapToGrid w:val="0"/>
        <w:spacing w:line="30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                         法定代表人：</w:t>
      </w:r>
    </w:p>
    <w:p>
      <w:pPr>
        <w:adjustRightInd w:val="0"/>
        <w:snapToGrid w:val="0"/>
        <w:spacing w:line="30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或授权委托人：                       或授权委托人：   </w:t>
      </w:r>
    </w:p>
    <w:p>
      <w:pPr>
        <w:adjustRightInd w:val="0"/>
        <w:snapToGrid w:val="0"/>
        <w:spacing w:line="300" w:lineRule="auto"/>
        <w:ind w:firstLine="559" w:firstLineChars="233"/>
        <w:rPr>
          <w:rFonts w:asciiTheme="minorEastAsia" w:hAnsiTheme="minorEastAsia" w:eastAsiaTheme="minorEastAsia"/>
          <w:sz w:val="24"/>
          <w:szCs w:val="24"/>
        </w:rPr>
      </w:pPr>
      <w:r>
        <w:rPr>
          <w:rFonts w:hint="eastAsia" w:asciiTheme="minorEastAsia" w:hAnsiTheme="minorEastAsia" w:eastAsiaTheme="minorEastAsia"/>
          <w:sz w:val="24"/>
          <w:szCs w:val="24"/>
        </w:rPr>
        <w:t>2023年    月   日                   2023年   月   日</w:t>
      </w:r>
    </w:p>
    <w:p>
      <w:pPr>
        <w:pStyle w:val="51"/>
        <w:rPr>
          <w:rFonts w:asciiTheme="minorEastAsia" w:hAnsiTheme="minorEastAsia" w:eastAsiaTheme="minorEastAsia"/>
          <w:sz w:val="24"/>
          <w:szCs w:val="24"/>
        </w:rPr>
      </w:pPr>
    </w:p>
    <w:p>
      <w:pPr>
        <w:pStyle w:val="51"/>
        <w:rPr>
          <w:rFonts w:asciiTheme="minorEastAsia" w:hAnsiTheme="minorEastAsia" w:eastAsiaTheme="minorEastAsia"/>
          <w:sz w:val="24"/>
          <w:szCs w:val="24"/>
        </w:rPr>
      </w:pPr>
    </w:p>
    <w:p>
      <w:pPr>
        <w:adjustRightInd w:val="0"/>
        <w:snapToGrid w:val="0"/>
        <w:spacing w:line="300" w:lineRule="auto"/>
        <w:ind w:firstLine="561" w:firstLineChars="233"/>
        <w:rPr>
          <w:rFonts w:asciiTheme="minorEastAsia" w:hAnsiTheme="minorEastAsia" w:eastAsiaTheme="minorEastAsia"/>
          <w:b/>
          <w:sz w:val="24"/>
          <w:szCs w:val="24"/>
        </w:rPr>
      </w:pPr>
    </w:p>
    <w:p>
      <w:pPr>
        <w:adjustRightInd w:val="0"/>
        <w:snapToGrid w:val="0"/>
        <w:spacing w:line="300" w:lineRule="auto"/>
        <w:ind w:firstLine="561" w:firstLineChars="233"/>
        <w:rPr>
          <w:rFonts w:asciiTheme="minorEastAsia" w:hAnsiTheme="minorEastAsia" w:eastAsiaTheme="minorEastAsia"/>
          <w:b/>
          <w:sz w:val="24"/>
          <w:szCs w:val="24"/>
        </w:rPr>
      </w:pPr>
    </w:p>
    <w:p>
      <w:pPr>
        <w:adjustRightInd w:val="0"/>
        <w:snapToGrid w:val="0"/>
        <w:spacing w:line="300" w:lineRule="auto"/>
        <w:rPr>
          <w:rFonts w:hint="eastAsia" w:asciiTheme="minorEastAsia" w:hAnsiTheme="minorEastAsia" w:eastAsiaTheme="minorEastAsia"/>
          <w:b/>
          <w:sz w:val="24"/>
          <w:szCs w:val="24"/>
        </w:rPr>
      </w:pPr>
    </w:p>
    <w:p>
      <w:pPr>
        <w:adjustRightInd w:val="0"/>
        <w:snapToGrid w:val="0"/>
        <w:spacing w:line="30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附件五-附件1</w:t>
      </w:r>
    </w:p>
    <w:p>
      <w:pPr>
        <w:adjustRightInd w:val="0"/>
        <w:snapToGrid w:val="0"/>
        <w:spacing w:after="240" w:afterLines="100" w:line="300" w:lineRule="auto"/>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廉政承诺书</w:t>
      </w:r>
    </w:p>
    <w:p>
      <w:pPr>
        <w:adjustRightInd w:val="0"/>
        <w:snapToGrid w:val="0"/>
        <w:spacing w:line="300" w:lineRule="auto"/>
        <w:ind w:firstLine="559" w:firstLineChars="233"/>
        <w:contextualSpacing/>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广州环投恒创科技有限公司</w:t>
      </w:r>
      <w:r>
        <w:rPr>
          <w:rFonts w:hint="eastAsia" w:asciiTheme="minorEastAsia" w:hAnsiTheme="minorEastAsia" w:eastAsiaTheme="minorEastAsia"/>
          <w:sz w:val="24"/>
          <w:szCs w:val="24"/>
        </w:rPr>
        <w:t>（甲方）：</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为促进双方诚信经营、廉洁从业，防范商业贿赂，保护国家、集体和当事人的合法权益，根据国家有关法律法规和广东省、广州市廉政建设的规定</w:t>
      </w:r>
      <w:r>
        <w:rPr>
          <w:rFonts w:hint="eastAsia" w:cs="宋体" w:asciiTheme="minorEastAsia" w:hAnsiTheme="minorEastAsia" w:eastAsiaTheme="minorEastAsia"/>
          <w:kern w:val="0"/>
          <w:sz w:val="24"/>
          <w:szCs w:val="24"/>
          <w:lang w:val="zh-CN"/>
        </w:rPr>
        <w:t>，保证所采购的货物及服务的质量，</w:t>
      </w:r>
      <w:r>
        <w:rPr>
          <w:rFonts w:hint="eastAsia" w:asciiTheme="minorEastAsia" w:hAnsiTheme="minorEastAsia" w:eastAsiaTheme="minorEastAsia"/>
          <w:sz w:val="24"/>
          <w:szCs w:val="24"/>
        </w:rPr>
        <w:t>我司自愿签订本承诺书，并严格执行。</w:t>
      </w:r>
    </w:p>
    <w:p>
      <w:pPr>
        <w:spacing w:line="300" w:lineRule="auto"/>
        <w:ind w:firstLine="48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第一条 不以任何理由向采购方及其工作人员行贿或馈赠礼金、有价证券、支付凭证、贵重礼品。</w:t>
      </w:r>
    </w:p>
    <w:p>
      <w:pPr>
        <w:spacing w:line="300" w:lineRule="auto"/>
        <w:ind w:firstLine="48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第二条 不以任何名义为采购方及其工作人员报销应由采购方或工作人员个人支付的任何费用。</w:t>
      </w:r>
    </w:p>
    <w:p>
      <w:pPr>
        <w:spacing w:line="300" w:lineRule="auto"/>
        <w:ind w:firstLine="48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第三条 不以任何理由安排采购方及其工作人员参加可能影响相关业务公开、公正、公平性的宴请及娱乐活动。</w:t>
      </w:r>
    </w:p>
    <w:p>
      <w:pPr>
        <w:spacing w:line="300" w:lineRule="auto"/>
        <w:ind w:firstLine="600" w:firstLineChars="25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第四条 不为采购方单位和个人购置或提供通讯工具和高档办公用品等物品，也不为采购方提供与工作无关的房屋、汽车等。</w:t>
      </w:r>
    </w:p>
    <w:p>
      <w:pPr>
        <w:spacing w:line="300" w:lineRule="auto"/>
        <w:ind w:firstLine="600" w:firstLineChars="25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第五条 不擅自与采购方工作人员就合同中的质量、数量、价格、工作量、验收等条款进行私下商谈或者达成默契。</w:t>
      </w:r>
    </w:p>
    <w:p>
      <w:pPr>
        <w:spacing w:line="300" w:lineRule="auto"/>
        <w:ind w:firstLine="600" w:firstLineChars="25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第六条 不以回扣、手续费、加班费、咨询费、劳务费、协调费、辛苦费等各种名义向采购方工作人员给予或赠送钱物。</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第七条 不向采购方工作人员提供干股或红利或给予非财产利益。</w:t>
      </w:r>
    </w:p>
    <w:p>
      <w:pPr>
        <w:spacing w:line="300" w:lineRule="auto"/>
        <w:ind w:firstLine="480" w:firstLineChars="200"/>
        <w:contextualSpacing/>
        <w:rPr>
          <w:rFonts w:cs="宋体" w:asciiTheme="minorEastAsia" w:hAnsiTheme="minorEastAsia" w:eastAsiaTheme="minorEastAsia"/>
          <w:kern w:val="0"/>
          <w:sz w:val="24"/>
          <w:szCs w:val="24"/>
          <w:lang w:val="zh-CN"/>
        </w:rPr>
      </w:pPr>
      <w:r>
        <w:rPr>
          <w:rFonts w:hint="eastAsia" w:asciiTheme="minorEastAsia" w:hAnsiTheme="minorEastAsia" w:eastAsiaTheme="minorEastAsia"/>
          <w:sz w:val="24"/>
          <w:szCs w:val="24"/>
        </w:rPr>
        <w:t>第八条</w:t>
      </w:r>
      <w:r>
        <w:rPr>
          <w:rFonts w:hint="eastAsia" w:cs="宋体" w:asciiTheme="minorEastAsia" w:hAnsiTheme="minorEastAsia" w:eastAsiaTheme="minorEastAsia"/>
          <w:kern w:val="0"/>
          <w:sz w:val="24"/>
          <w:szCs w:val="24"/>
          <w:lang w:val="zh-CN"/>
        </w:rPr>
        <w:t>不为采购方及其工作人员的住房装修、婚丧嫁娶活动、配偶子女工作安排以及出国出境、旅游、交学费等提供方便。</w:t>
      </w:r>
    </w:p>
    <w:p>
      <w:pPr>
        <w:spacing w:line="300" w:lineRule="auto"/>
        <w:ind w:firstLine="480" w:firstLineChars="200"/>
        <w:contextualSpacing/>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lang w:val="zh-CN"/>
        </w:rPr>
        <w:t>第九条</w:t>
      </w:r>
      <w:r>
        <w:rPr>
          <w:rFonts w:hint="eastAsia" w:asciiTheme="minorEastAsia" w:hAnsiTheme="minorEastAsia" w:eastAsiaTheme="minorEastAsia"/>
          <w:sz w:val="24"/>
          <w:szCs w:val="24"/>
        </w:rPr>
        <w:t>严格执行采购合同，自觉按合同办事。</w:t>
      </w:r>
    </w:p>
    <w:p>
      <w:pPr>
        <w:spacing w:line="30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第十条  发现合同双方当事人有违规、违纪、违法行为的，及时提醒对方；情节严重的，主动向其主管部门或纪检监察等机关举报。</w:t>
      </w:r>
    </w:p>
    <w:p>
      <w:pPr>
        <w:spacing w:line="300" w:lineRule="auto"/>
        <w:ind w:firstLine="42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第十一条 我司违反《廉政合同》及本承诺书的约定、承诺的，我司同意承担相应的违约责任。</w:t>
      </w:r>
    </w:p>
    <w:tbl>
      <w:tblPr>
        <w:tblStyle w:val="42"/>
        <w:tblpPr w:leftFromText="180" w:rightFromText="180" w:vertAnchor="text" w:horzAnchor="page" w:tblpX="6328" w:tblpY="274"/>
        <w:tblOverlap w:val="never"/>
        <w:tblW w:w="4111" w:type="dxa"/>
        <w:tblInd w:w="0" w:type="dxa"/>
        <w:tblLayout w:type="fixed"/>
        <w:tblCellMar>
          <w:top w:w="0" w:type="dxa"/>
          <w:left w:w="108" w:type="dxa"/>
          <w:bottom w:w="0" w:type="dxa"/>
          <w:right w:w="108" w:type="dxa"/>
        </w:tblCellMar>
      </w:tblPr>
      <w:tblGrid>
        <w:gridCol w:w="4111"/>
      </w:tblGrid>
      <w:tr>
        <w:tblPrEx>
          <w:tblLayout w:type="fixed"/>
          <w:tblCellMar>
            <w:top w:w="0" w:type="dxa"/>
            <w:left w:w="108" w:type="dxa"/>
            <w:bottom w:w="0" w:type="dxa"/>
            <w:right w:w="108" w:type="dxa"/>
          </w:tblCellMar>
        </w:tblPrEx>
        <w:trPr>
          <w:trHeight w:val="722" w:hRule="atLeast"/>
        </w:trPr>
        <w:tc>
          <w:tcPr>
            <w:tcW w:w="4111" w:type="dxa"/>
            <w:tcBorders>
              <w:top w:val="nil"/>
              <w:left w:val="nil"/>
              <w:bottom w:val="nil"/>
              <w:right w:val="nil"/>
            </w:tcBorders>
            <w:shd w:val="clear" w:color="auto" w:fill="auto"/>
            <w:noWrap/>
            <w:vAlign w:val="center"/>
          </w:tcPr>
          <w:p>
            <w:pPr>
              <w:widowControl/>
              <w:ind w:left="1928" w:hanging="1928" w:hangingChars="800"/>
              <w:rPr>
                <w:rFonts w:ascii="宋体" w:hAnsi="宋体" w:cs="宋体"/>
                <w:b/>
                <w:color w:val="000000"/>
                <w:kern w:val="0"/>
                <w:sz w:val="24"/>
                <w:szCs w:val="24"/>
              </w:rPr>
            </w:pPr>
            <w:r>
              <w:rPr>
                <w:rFonts w:hint="eastAsia" w:ascii="宋体" w:hAnsi="宋体" w:cs="宋体"/>
                <w:b/>
                <w:color w:val="000000"/>
                <w:kern w:val="0"/>
                <w:sz w:val="24"/>
                <w:szCs w:val="24"/>
              </w:rPr>
              <w:t xml:space="preserve"> </w:t>
            </w:r>
          </w:p>
        </w:tc>
      </w:tr>
      <w:tr>
        <w:tblPrEx>
          <w:tblLayout w:type="fixed"/>
          <w:tblCellMar>
            <w:top w:w="0" w:type="dxa"/>
            <w:left w:w="108" w:type="dxa"/>
            <w:bottom w:w="0" w:type="dxa"/>
            <w:right w:w="108" w:type="dxa"/>
          </w:tblCellMar>
        </w:tblPrEx>
        <w:trPr>
          <w:trHeight w:val="1131" w:hRule="atLeast"/>
        </w:trPr>
        <w:tc>
          <w:tcPr>
            <w:tcW w:w="4111" w:type="dxa"/>
            <w:tcBorders>
              <w:top w:val="nil"/>
              <w:left w:val="nil"/>
              <w:bottom w:val="nil"/>
              <w:right w:val="nil"/>
            </w:tcBorders>
            <w:shd w:val="clear" w:color="auto" w:fill="auto"/>
            <w:noWrap/>
            <w:vAlign w:val="center"/>
          </w:tcPr>
          <w:p>
            <w:pPr>
              <w:widowControl/>
              <w:rPr>
                <w:rFonts w:ascii="宋体" w:hAnsi="宋体" w:cs="宋体"/>
                <w:b/>
                <w:color w:val="000000"/>
                <w:kern w:val="0"/>
                <w:sz w:val="24"/>
                <w:szCs w:val="24"/>
              </w:rPr>
            </w:pPr>
          </w:p>
        </w:tc>
      </w:tr>
      <w:tr>
        <w:tblPrEx>
          <w:tblLayout w:type="fixed"/>
          <w:tblCellMar>
            <w:top w:w="0" w:type="dxa"/>
            <w:left w:w="108" w:type="dxa"/>
            <w:bottom w:w="0" w:type="dxa"/>
            <w:right w:w="108" w:type="dxa"/>
          </w:tblCellMar>
        </w:tblPrEx>
        <w:trPr>
          <w:trHeight w:val="270" w:hRule="atLeast"/>
        </w:trPr>
        <w:tc>
          <w:tcPr>
            <w:tcW w:w="4111" w:type="dxa"/>
            <w:tcBorders>
              <w:top w:val="nil"/>
              <w:left w:val="nil"/>
              <w:bottom w:val="nil"/>
              <w:right w:val="nil"/>
            </w:tcBorders>
            <w:shd w:val="clear" w:color="auto" w:fill="auto"/>
            <w:noWrap/>
            <w:vAlign w:val="center"/>
          </w:tcPr>
          <w:p>
            <w:pPr>
              <w:widowControl/>
              <w:jc w:val="left"/>
              <w:rPr>
                <w:rFonts w:ascii="宋体" w:hAnsi="宋体" w:cs="宋体"/>
                <w:b/>
                <w:color w:val="000000"/>
                <w:kern w:val="0"/>
                <w:sz w:val="24"/>
                <w:szCs w:val="24"/>
              </w:rPr>
            </w:pPr>
          </w:p>
        </w:tc>
      </w:tr>
    </w:tbl>
    <w:p>
      <w:pPr>
        <w:spacing w:line="300" w:lineRule="auto"/>
        <w:ind w:firstLine="42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第十二条 本承诺书自签署之日起生效。</w:t>
      </w:r>
    </w:p>
    <w:tbl>
      <w:tblPr>
        <w:tblStyle w:val="42"/>
        <w:tblW w:w="4111" w:type="dxa"/>
        <w:tblInd w:w="93" w:type="dxa"/>
        <w:tblLayout w:type="fixed"/>
        <w:tblCellMar>
          <w:top w:w="0" w:type="dxa"/>
          <w:left w:w="108" w:type="dxa"/>
          <w:bottom w:w="0" w:type="dxa"/>
          <w:right w:w="108" w:type="dxa"/>
        </w:tblCellMar>
      </w:tblPr>
      <w:tblGrid>
        <w:gridCol w:w="4111"/>
      </w:tblGrid>
      <w:tr>
        <w:tblPrEx>
          <w:tblLayout w:type="fixed"/>
          <w:tblCellMar>
            <w:top w:w="0" w:type="dxa"/>
            <w:left w:w="108" w:type="dxa"/>
            <w:bottom w:w="0" w:type="dxa"/>
            <w:right w:w="108" w:type="dxa"/>
          </w:tblCellMar>
        </w:tblPrEx>
        <w:trPr>
          <w:trHeight w:val="722" w:hRule="atLeast"/>
        </w:trPr>
        <w:tc>
          <w:tcPr>
            <w:tcW w:w="4111" w:type="dxa"/>
            <w:tcBorders>
              <w:top w:val="nil"/>
              <w:left w:val="nil"/>
              <w:bottom w:val="nil"/>
              <w:right w:val="nil"/>
            </w:tcBorders>
            <w:shd w:val="clear" w:color="auto" w:fill="auto"/>
            <w:noWrap/>
            <w:vAlign w:val="center"/>
          </w:tcPr>
          <w:p>
            <w:pPr>
              <w:widowControl/>
              <w:ind w:left="1687" w:hanging="1687" w:hangingChars="700"/>
              <w:rPr>
                <w:rFonts w:ascii="宋体" w:hAnsi="宋体" w:cs="宋体"/>
                <w:b/>
                <w:color w:val="000000"/>
                <w:kern w:val="0"/>
                <w:sz w:val="24"/>
                <w:szCs w:val="24"/>
              </w:rPr>
            </w:pPr>
            <w:r>
              <w:rPr>
                <w:rFonts w:hint="eastAsia" w:ascii="宋体" w:hAnsi="宋体" w:cs="宋体"/>
                <w:b/>
                <w:color w:val="000000"/>
                <w:kern w:val="0"/>
                <w:sz w:val="24"/>
                <w:szCs w:val="24"/>
              </w:rPr>
              <w:t xml:space="preserve">乙方：（盖章） </w:t>
            </w:r>
            <w:r>
              <w:rPr>
                <w:rFonts w:hint="eastAsia" w:ascii="宋体" w:hAnsi="宋体" w:cs="宋体"/>
                <w:b/>
                <w:bCs/>
                <w:color w:val="000000"/>
                <w:kern w:val="0"/>
                <w:sz w:val="24"/>
                <w:szCs w:val="24"/>
              </w:rPr>
              <w:t xml:space="preserve">  </w:t>
            </w:r>
          </w:p>
        </w:tc>
      </w:tr>
      <w:tr>
        <w:tblPrEx>
          <w:tblLayout w:type="fixed"/>
          <w:tblCellMar>
            <w:top w:w="0" w:type="dxa"/>
            <w:left w:w="108" w:type="dxa"/>
            <w:bottom w:w="0" w:type="dxa"/>
            <w:right w:w="108" w:type="dxa"/>
          </w:tblCellMar>
        </w:tblPrEx>
        <w:trPr>
          <w:trHeight w:val="1131" w:hRule="atLeast"/>
        </w:trPr>
        <w:tc>
          <w:tcPr>
            <w:tcW w:w="4111" w:type="dxa"/>
            <w:tcBorders>
              <w:top w:val="nil"/>
              <w:left w:val="nil"/>
              <w:bottom w:val="nil"/>
              <w:right w:val="nil"/>
            </w:tcBorders>
            <w:shd w:val="clear" w:color="auto" w:fill="auto"/>
            <w:noWrap/>
            <w:vAlign w:val="center"/>
          </w:tcPr>
          <w:p>
            <w:pPr>
              <w:widowControl/>
              <w:rPr>
                <w:rFonts w:ascii="宋体" w:hAnsi="宋体" w:cs="宋体"/>
                <w:b/>
                <w:color w:val="000000"/>
                <w:kern w:val="0"/>
                <w:sz w:val="24"/>
                <w:szCs w:val="24"/>
              </w:rPr>
            </w:pPr>
            <w:r>
              <w:rPr>
                <w:rFonts w:hint="eastAsia" w:ascii="宋体" w:hAnsi="宋体" w:cs="宋体"/>
                <w:b/>
                <w:color w:val="000000"/>
                <w:kern w:val="0"/>
                <w:sz w:val="24"/>
                <w:szCs w:val="24"/>
              </w:rPr>
              <w:t>法定代表人：</w:t>
            </w:r>
          </w:p>
        </w:tc>
      </w:tr>
      <w:tr>
        <w:tblPrEx>
          <w:tblLayout w:type="fixed"/>
          <w:tblCellMar>
            <w:top w:w="0" w:type="dxa"/>
            <w:left w:w="108" w:type="dxa"/>
            <w:bottom w:w="0" w:type="dxa"/>
            <w:right w:w="108" w:type="dxa"/>
          </w:tblCellMar>
        </w:tblPrEx>
        <w:trPr>
          <w:trHeight w:val="270" w:hRule="atLeast"/>
        </w:trPr>
        <w:tc>
          <w:tcPr>
            <w:tcW w:w="4111" w:type="dxa"/>
            <w:tcBorders>
              <w:top w:val="nil"/>
              <w:left w:val="nil"/>
              <w:bottom w:val="nil"/>
              <w:right w:val="nil"/>
            </w:tcBorders>
            <w:shd w:val="clear" w:color="auto" w:fill="auto"/>
            <w:noWrap/>
            <w:vAlign w:val="center"/>
          </w:tcPr>
          <w:p>
            <w:pPr>
              <w:widowControl/>
              <w:jc w:val="left"/>
              <w:rPr>
                <w:rFonts w:ascii="宋体" w:hAnsi="宋体" w:cs="宋体"/>
                <w:b/>
                <w:color w:val="000000"/>
                <w:kern w:val="0"/>
                <w:sz w:val="24"/>
                <w:szCs w:val="24"/>
              </w:rPr>
            </w:pPr>
            <w:r>
              <w:rPr>
                <w:rFonts w:hint="eastAsia" w:ascii="宋体" w:hAnsi="宋体" w:cs="宋体"/>
                <w:b/>
                <w:color w:val="000000"/>
                <w:kern w:val="0"/>
                <w:sz w:val="24"/>
                <w:szCs w:val="24"/>
              </w:rPr>
              <w:t>或授权代表人：</w:t>
            </w:r>
          </w:p>
        </w:tc>
      </w:tr>
    </w:tbl>
    <w:p>
      <w:pPr>
        <w:pStyle w:val="51"/>
      </w:pPr>
    </w:p>
    <w:p>
      <w:pPr>
        <w:spacing w:line="300" w:lineRule="auto"/>
        <w:ind w:firstLine="480" w:firstLineChars="200"/>
        <w:contextualSpacing/>
        <w:rPr>
          <w:rFonts w:asciiTheme="minorEastAsia" w:hAnsiTheme="minorEastAsia" w:eastAsiaTheme="minorEastAsia"/>
          <w:sz w:val="24"/>
          <w:szCs w:val="24"/>
        </w:rPr>
      </w:pPr>
    </w:p>
    <w:p>
      <w:pPr>
        <w:adjustRightInd w:val="0"/>
        <w:snapToGrid w:val="0"/>
        <w:spacing w:line="300" w:lineRule="auto"/>
        <w:ind w:firstLine="602" w:firstLineChars="250"/>
        <w:rPr>
          <w:rFonts w:asciiTheme="minorEastAsia" w:hAnsiTheme="minorEastAsia" w:eastAsiaTheme="minorEastAsia"/>
          <w:b/>
          <w:sz w:val="24"/>
          <w:szCs w:val="24"/>
        </w:rPr>
      </w:pPr>
    </w:p>
    <w:p>
      <w:pPr>
        <w:pStyle w:val="4"/>
        <w:rPr>
          <w:rFonts w:hAnsi="宋体"/>
        </w:rPr>
      </w:pPr>
      <w:bookmarkStart w:id="64" w:name="_Toc1736178"/>
      <w:r>
        <w:rPr>
          <w:rFonts w:hint="eastAsia"/>
        </w:rPr>
        <w:t>附件六：工程勘察安全承诺书</w:t>
      </w:r>
      <w:bookmarkEnd w:id="64"/>
    </w:p>
    <w:p>
      <w:pPr>
        <w:spacing w:line="44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工程勘察安全承诺书</w:t>
      </w:r>
    </w:p>
    <w:p>
      <w:pPr>
        <w:tabs>
          <w:tab w:val="left" w:pos="1260"/>
        </w:tabs>
        <w:rPr>
          <w:rFonts w:ascii="宋体" w:hAnsi="宋体"/>
          <w:color w:val="000000" w:themeColor="text1"/>
          <w14:textFill>
            <w14:solidFill>
              <w14:schemeClr w14:val="tx1"/>
            </w14:solidFill>
          </w14:textFill>
        </w:rPr>
      </w:pPr>
    </w:p>
    <w:p>
      <w:pPr>
        <w:tabs>
          <w:tab w:val="left" w:pos="1260"/>
        </w:tabs>
        <w:spacing w:after="120" w:afterLines="5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甲方</w:t>
      </w:r>
      <w:r>
        <w:rPr>
          <w:rFonts w:hint="eastAsia" w:ascii="宋体" w:hAnsi="宋体"/>
          <w:color w:val="000000" w:themeColor="text1"/>
          <w:sz w:val="24"/>
          <w:szCs w:val="24"/>
          <w14:textFill>
            <w14:solidFill>
              <w14:schemeClr w14:val="tx1"/>
            </w14:solidFill>
          </w14:textFill>
        </w:rPr>
        <w:t>：（甲方）</w:t>
      </w:r>
      <w:r>
        <w:rPr>
          <w:rFonts w:hint="eastAsia" w:asciiTheme="minorEastAsia" w:hAnsiTheme="minorEastAsia" w:eastAsiaTheme="minorEastAsia"/>
          <w:sz w:val="24"/>
          <w:szCs w:val="24"/>
          <w:u w:val="single"/>
        </w:rPr>
        <w:t>广州环投恒创科技有限公司</w:t>
      </w:r>
      <w:r>
        <w:rPr>
          <w:rFonts w:hint="eastAsia" w:ascii="宋体" w:hAnsi="宋体"/>
          <w:color w:val="000000" w:themeColor="text1"/>
          <w:sz w:val="24"/>
          <w:szCs w:val="24"/>
          <w:lang w:eastAsia="zh-CN"/>
          <w14:textFill>
            <w14:solidFill>
              <w14:schemeClr w14:val="tx1"/>
            </w14:solidFill>
          </w14:textFill>
        </w:rPr>
        <w:t>乙方</w:t>
      </w:r>
      <w:r>
        <w:rPr>
          <w:rFonts w:hint="eastAsia" w:ascii="宋体" w:hAnsi="宋体"/>
          <w:color w:val="000000" w:themeColor="text1"/>
          <w:sz w:val="24"/>
          <w:szCs w:val="24"/>
          <w14:textFill>
            <w14:solidFill>
              <w14:schemeClr w14:val="tx1"/>
            </w14:solidFill>
          </w14:textFill>
        </w:rPr>
        <w:t>（乙方）</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加强本工程的安全管理，深入贯彻“安全第一、预防为主、综合治理“的安全生产方针，保证人身、设备安全，确保合同履行期间本项目勘察工作顺利进行，根据国家相关法律规定，乙方自愿与甲方签订如下工程勘察安全承诺书，依照本合同对本次施工范围内的安全管理承担责任，并作为勘察设计合同的必要补充条件：</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一、工程概况</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1、工程名称：</w:t>
      </w:r>
      <w:r>
        <w:rPr>
          <w:rFonts w:hint="eastAsia"/>
          <w:bCs/>
          <w:kern w:val="44"/>
          <w:sz w:val="24"/>
          <w:szCs w:val="24"/>
        </w:rPr>
        <w:t>动力电池梯次利用项目</w:t>
      </w:r>
      <w:r>
        <w:rPr>
          <w:rFonts w:hint="eastAsia" w:asciiTheme="minorEastAsia" w:hAnsiTheme="minorEastAsia" w:eastAsiaTheme="minorEastAsia"/>
          <w:sz w:val="24"/>
          <w:szCs w:val="24"/>
        </w:rPr>
        <w:t>勘察设计</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2、工程地点： </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3、工程勘察技术需求书：详见合同附件</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4、工程勘察作业时间：计划天（具体以实际完成时间为准）</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二、根据《中华人民共和国安全生产法》和有关劳动保护的相关法律法规，为确保作业人员的职业健康和安全，双方协商一致签订本承诺书。</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三、甲方的权利和义务</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1、甲方有权监督并随时检查乙方的职业健康和安全管理工作。</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2、甲方有权定期召开安全工作会议，乙方须派人参加，沟通协商安全管理工作。</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3、甲方有权纠正乙方人员工作中违反安全作业的行为，遇到危险情况时可责令乙方立即停止作业。</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4、甲方履行上述监督、检查权利并不意味着免除乙方因违约时应当承担的任何责任。</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四、乙方的权利和义务</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1、作业现场的安全管理工作接受并配合甲方的监督和检查，并按照甲方的要求进行安全文明施工或整改。</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2、严格遵守国家有关安全生产的法律法规，现场配备安全管理人员负责安全管理工作，根据项目潜在危险源，做好施工安全措施和应急预案，开工前做好安全交底和“三级培训”工作。</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3、按照国家有关安全生产的法律法规为作业人员购买人身保险（意外伤害险）。</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4、现场作业人员应佩戴符合安全生产要求的作业用具和劳动保护用品。</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5、设备进场前做好安全隐患排查和检修，作业过程中定期进行检修，防止因机械故障引发的安全事故。</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6、乙方应有灾害天气应急预案，应及时关注天气情况，遇到雷暴、台风等恶劣天气，应立即执行预案，停止施工，做好现场安全保护工作，待天气允许施工时再行复工。</w:t>
      </w:r>
    </w:p>
    <w:p>
      <w:pPr>
        <w:tabs>
          <w:tab w:val="left" w:pos="1260"/>
        </w:tabs>
        <w:spacing w:after="120" w:afterLines="50" w:line="360" w:lineRule="exact"/>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7、因乙方违法、违规、违约等原因造成的安全事故或其他时间导致甲方、乙方、或第三方人身损害、财产损失时，由乙方承担所有赔偿责任。</w:t>
      </w:r>
    </w:p>
    <w:p>
      <w:pPr>
        <w:tabs>
          <w:tab w:val="left" w:pos="1260"/>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（本承诺书与合同正文具有同等效力）</w:t>
      </w:r>
    </w:p>
    <w:p>
      <w:pPr>
        <w:tabs>
          <w:tab w:val="left" w:pos="1260"/>
        </w:tabs>
        <w:spacing w:line="320" w:lineRule="exact"/>
        <w:rPr>
          <w:rFonts w:ascii="宋体" w:hAnsi="宋体"/>
          <w:color w:val="000000" w:themeColor="text1"/>
          <w:sz w:val="24"/>
          <w:szCs w:val="24"/>
          <w14:textFill>
            <w14:solidFill>
              <w14:schemeClr w14:val="tx1"/>
            </w14:solidFill>
          </w14:textFill>
        </w:rPr>
      </w:pPr>
    </w:p>
    <w:p>
      <w:pPr>
        <w:tabs>
          <w:tab w:val="left" w:pos="1260"/>
        </w:tabs>
        <w:spacing w:line="320" w:lineRule="exact"/>
        <w:rPr>
          <w:rFonts w:ascii="宋体" w:hAnsi="宋体"/>
          <w:color w:val="000000" w:themeColor="text1"/>
          <w:sz w:val="24"/>
          <w:szCs w:val="24"/>
          <w14:textFill>
            <w14:solidFill>
              <w14:schemeClr w14:val="tx1"/>
            </w14:solidFill>
          </w14:textFill>
        </w:rPr>
      </w:pPr>
    </w:p>
    <w:p>
      <w:pPr>
        <w:tabs>
          <w:tab w:val="left" w:pos="1260"/>
        </w:tabs>
        <w:spacing w:line="300" w:lineRule="exact"/>
        <w:ind w:left="2310" w:leftChars="1100" w:firstLine="1446" w:firstLineChars="600"/>
        <w:jc w:val="left"/>
        <w:rPr>
          <w:rFonts w:ascii="宋体" w:hAnsi="宋体"/>
          <w:b/>
          <w:color w:val="000000" w:themeColor="text1"/>
          <w:sz w:val="24"/>
          <w:szCs w:val="24"/>
          <w14:textFill>
            <w14:solidFill>
              <w14:schemeClr w14:val="tx1"/>
            </w14:solidFill>
          </w14:textFill>
        </w:rPr>
      </w:pPr>
    </w:p>
    <w:p>
      <w:pPr>
        <w:tabs>
          <w:tab w:val="left" w:pos="1260"/>
        </w:tabs>
        <w:spacing w:line="48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乙方（盖章）：                     </w:t>
      </w:r>
    </w:p>
    <w:p>
      <w:pPr>
        <w:tabs>
          <w:tab w:val="left" w:pos="1260"/>
        </w:tabs>
        <w:spacing w:line="48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法定代表人或授权代表（签名）：              </w:t>
      </w:r>
    </w:p>
    <w:p>
      <w:pPr>
        <w:tabs>
          <w:tab w:val="left" w:pos="1260"/>
        </w:tabs>
        <w:spacing w:line="48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签订日期：2023年  月  日  </w:t>
      </w:r>
    </w:p>
    <w:p>
      <w:pPr>
        <w:tabs>
          <w:tab w:val="left" w:pos="1260"/>
        </w:tabs>
        <w:spacing w:line="48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w:t>
      </w:r>
    </w:p>
    <w:p>
      <w:pPr>
        <w:tabs>
          <w:tab w:val="left" w:pos="1260"/>
        </w:tabs>
        <w:spacing w:line="48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w:t>
      </w:r>
    </w:p>
    <w:p>
      <w:pPr>
        <w:tabs>
          <w:tab w:val="left" w:pos="1260"/>
        </w:tabs>
        <w:jc w:val="left"/>
        <w:rPr>
          <w:rFonts w:ascii="宋体" w:hAnsi="宋体"/>
          <w:b/>
          <w:color w:val="000000" w:themeColor="text1"/>
          <w14:textFill>
            <w14:solidFill>
              <w14:schemeClr w14:val="tx1"/>
            </w14:solidFill>
          </w14:textFill>
        </w:rPr>
      </w:pPr>
    </w:p>
    <w:p>
      <w:pPr>
        <w:tabs>
          <w:tab w:val="left" w:pos="1260"/>
        </w:tabs>
        <w:jc w:val="left"/>
        <w:rPr>
          <w:rFonts w:ascii="宋体" w:hAnsi="宋体"/>
          <w:b/>
          <w:color w:val="000000" w:themeColor="text1"/>
          <w14:textFill>
            <w14:solidFill>
              <w14:schemeClr w14:val="tx1"/>
            </w14:solidFill>
          </w14:textFill>
        </w:rPr>
      </w:pPr>
    </w:p>
    <w:p>
      <w:pPr>
        <w:tabs>
          <w:tab w:val="left" w:pos="1260"/>
        </w:tabs>
        <w:jc w:val="left"/>
        <w:rPr>
          <w:rFonts w:ascii="宋体" w:hAnsi="宋体"/>
          <w:b/>
          <w:color w:val="000000" w:themeColor="text1"/>
          <w14:textFill>
            <w14:solidFill>
              <w14:schemeClr w14:val="tx1"/>
            </w14:solidFill>
          </w14:textFill>
        </w:rPr>
      </w:pPr>
    </w:p>
    <w:p>
      <w:pPr>
        <w:tabs>
          <w:tab w:val="left" w:pos="1260"/>
        </w:tabs>
        <w:jc w:val="left"/>
        <w:rPr>
          <w:rFonts w:ascii="宋体" w:hAnsi="宋体"/>
          <w:b/>
          <w:color w:val="000000" w:themeColor="text1"/>
          <w14:textFill>
            <w14:solidFill>
              <w14:schemeClr w14:val="tx1"/>
            </w14:solidFill>
          </w14:textFill>
        </w:rPr>
      </w:pPr>
    </w:p>
    <w:p>
      <w:pPr>
        <w:tabs>
          <w:tab w:val="left" w:pos="1260"/>
        </w:tabs>
        <w:jc w:val="left"/>
        <w:rPr>
          <w:rFonts w:ascii="宋体" w:hAnsi="宋体"/>
          <w:b/>
          <w:color w:val="000000" w:themeColor="text1"/>
          <w14:textFill>
            <w14:solidFill>
              <w14:schemeClr w14:val="tx1"/>
            </w14:solidFill>
          </w14:textFill>
        </w:rPr>
      </w:pPr>
    </w:p>
    <w:p>
      <w:pPr>
        <w:tabs>
          <w:tab w:val="left" w:pos="1260"/>
        </w:tabs>
        <w:jc w:val="left"/>
        <w:rPr>
          <w:rFonts w:ascii="宋体" w:hAnsi="宋体"/>
          <w:b/>
          <w:color w:val="000000" w:themeColor="text1"/>
          <w14:textFill>
            <w14:solidFill>
              <w14:schemeClr w14:val="tx1"/>
            </w14:solidFill>
          </w14:textFill>
        </w:rPr>
      </w:pPr>
    </w:p>
    <w:p>
      <w:pPr>
        <w:tabs>
          <w:tab w:val="left" w:pos="1260"/>
        </w:tabs>
        <w:jc w:val="left"/>
        <w:rPr>
          <w:rFonts w:ascii="宋体"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left="0" w:leftChars="0" w:firstLine="0" w:firstLineChars="0"/>
        <w:rPr>
          <w:rFonts w:hAnsi="宋体"/>
          <w:b/>
          <w:color w:val="000000" w:themeColor="text1"/>
          <w14:textFill>
            <w14:solidFill>
              <w14:schemeClr w14:val="tx1"/>
            </w14:solidFill>
          </w14:textFill>
        </w:rPr>
      </w:pPr>
    </w:p>
    <w:p>
      <w:pPr>
        <w:pStyle w:val="41"/>
        <w:ind w:firstLine="602"/>
        <w:rPr>
          <w:rFonts w:hAnsi="宋体"/>
          <w:b/>
          <w:color w:val="000000" w:themeColor="text1"/>
          <w14:textFill>
            <w14:solidFill>
              <w14:schemeClr w14:val="tx1"/>
            </w14:solidFill>
          </w14:textFill>
        </w:rPr>
      </w:pPr>
    </w:p>
    <w:p>
      <w:pPr>
        <w:pStyle w:val="4"/>
      </w:pPr>
      <w:bookmarkStart w:id="65" w:name="_Toc1736179"/>
      <w:r>
        <w:rPr>
          <w:rFonts w:hint="eastAsia"/>
        </w:rPr>
        <w:t>附件七：设计进度表</w:t>
      </w:r>
      <w:bookmarkEnd w:id="65"/>
    </w:p>
    <w:p>
      <w:pPr>
        <w:spacing w:after="240" w:afterLines="100" w:line="360" w:lineRule="auto"/>
        <w:ind w:left="658" w:firstLine="376" w:firstLineChars="125"/>
        <w:jc w:val="center"/>
        <w:rPr>
          <w:rFonts w:ascii="宋体"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设计进度表</w:t>
      </w:r>
    </w:p>
    <w:p>
      <w:pPr>
        <w:tabs>
          <w:tab w:val="left" w:pos="1260"/>
        </w:tabs>
        <w:jc w:val="center"/>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【按中标人投标文件承诺的设计工期进度计划附录】</w:t>
      </w:r>
    </w:p>
    <w:p>
      <w:pPr>
        <w:tabs>
          <w:tab w:val="left" w:pos="1260"/>
        </w:tabs>
        <w:spacing w:line="360" w:lineRule="auto"/>
        <w:jc w:val="left"/>
        <w:rPr>
          <w:rFonts w:hAnsi="宋体"/>
          <w:b/>
          <w:color w:val="000000" w:themeColor="text1"/>
          <w14:textFill>
            <w14:solidFill>
              <w14:schemeClr w14:val="tx1"/>
            </w14:solidFill>
          </w14:textFill>
        </w:rPr>
      </w:pPr>
    </w:p>
    <w:p>
      <w:pPr>
        <w:pStyle w:val="2"/>
        <w:ind w:left="63" w:right="63"/>
        <w:rPr>
          <w:rFonts w:hAnsi="宋体"/>
          <w:b/>
          <w:color w:val="000000" w:themeColor="text1"/>
          <w14:textFill>
            <w14:solidFill>
              <w14:schemeClr w14:val="tx1"/>
            </w14:solidFill>
          </w14:textFill>
        </w:rPr>
      </w:pPr>
    </w:p>
    <w:p>
      <w:pPr>
        <w:rPr>
          <w:rFonts w:hAnsi="宋体"/>
          <w:b/>
          <w:color w:val="000000" w:themeColor="text1"/>
          <w14:textFill>
            <w14:solidFill>
              <w14:schemeClr w14:val="tx1"/>
            </w14:solidFill>
          </w14:textFill>
        </w:rPr>
      </w:pPr>
    </w:p>
    <w:p>
      <w:pPr>
        <w:pStyle w:val="2"/>
        <w:ind w:left="63" w:right="63"/>
        <w:rPr>
          <w:rFonts w:hAnsi="宋体"/>
          <w:b/>
          <w:color w:val="000000" w:themeColor="text1"/>
          <w14:textFill>
            <w14:solidFill>
              <w14:schemeClr w14:val="tx1"/>
            </w14:solidFill>
          </w14:textFill>
        </w:rPr>
      </w:pPr>
    </w:p>
    <w:p/>
    <w:p>
      <w:pPr>
        <w:tabs>
          <w:tab w:val="left" w:pos="1260"/>
        </w:tabs>
        <w:spacing w:line="360" w:lineRule="auto"/>
        <w:jc w:val="left"/>
        <w:rPr>
          <w:rFonts w:hAnsi="宋体"/>
          <w:b/>
          <w:color w:val="000000" w:themeColor="text1"/>
          <w14:textFill>
            <w14:solidFill>
              <w14:schemeClr w14:val="tx1"/>
            </w14:solidFill>
          </w14:textFill>
        </w:rPr>
      </w:pPr>
    </w:p>
    <w:p>
      <w:pPr>
        <w:tabs>
          <w:tab w:val="left" w:pos="1260"/>
        </w:tabs>
        <w:spacing w:line="360" w:lineRule="auto"/>
        <w:jc w:val="left"/>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注：1、甲方有权根据项目实际情况调整设计工期计划；</w:t>
      </w:r>
    </w:p>
    <w:p>
      <w:pPr>
        <w:tabs>
          <w:tab w:val="left" w:pos="1260"/>
        </w:tabs>
        <w:spacing w:line="360" w:lineRule="auto"/>
        <w:jc w:val="left"/>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 xml:space="preserve">    2、乙方须负责编制</w:t>
      </w:r>
      <w:r>
        <w:rPr>
          <w:rFonts w:hint="eastAsia" w:hAnsi="宋体"/>
          <w:b/>
          <w:bCs/>
          <w:color w:val="000000" w:themeColor="text1"/>
          <w14:textFill>
            <w14:solidFill>
              <w14:schemeClr w14:val="tx1"/>
            </w14:solidFill>
          </w14:textFill>
        </w:rPr>
        <w:t>本项目技术规格书等文件，</w:t>
      </w:r>
      <w:r>
        <w:rPr>
          <w:rFonts w:hint="eastAsia" w:hAnsi="宋体"/>
          <w:b/>
          <w:color w:val="000000" w:themeColor="text1"/>
          <w14:textFill>
            <w14:solidFill>
              <w14:schemeClr w14:val="tx1"/>
            </w14:solidFill>
          </w14:textFill>
        </w:rPr>
        <w:t>乙方应按照甲方要求承诺相应提交文件的时间计划，经甲方审核确认后并入此合同附件十中，并纳入设计工作考核项要求进行考核。</w:t>
      </w:r>
    </w:p>
    <w:p>
      <w:pPr>
        <w:tabs>
          <w:tab w:val="left" w:pos="1260"/>
        </w:tabs>
        <w:jc w:val="left"/>
        <w:rPr>
          <w:rFonts w:hAnsi="宋体"/>
          <w:b/>
          <w:color w:val="000000" w:themeColor="text1"/>
          <w14:textFill>
            <w14:solidFill>
              <w14:schemeClr w14:val="tx1"/>
            </w14:solidFill>
          </w14:textFill>
        </w:rPr>
      </w:pPr>
    </w:p>
    <w:p>
      <w:pPr>
        <w:tabs>
          <w:tab w:val="left" w:pos="1260"/>
        </w:tabs>
        <w:jc w:val="left"/>
        <w:rPr>
          <w:rFonts w:hAnsi="宋体"/>
          <w:b/>
          <w:color w:val="000000" w:themeColor="text1"/>
          <w14:textFill>
            <w14:solidFill>
              <w14:schemeClr w14:val="tx1"/>
            </w14:solidFill>
          </w14:textFill>
        </w:rPr>
      </w:pPr>
    </w:p>
    <w:p>
      <w:pPr>
        <w:tabs>
          <w:tab w:val="left" w:pos="1260"/>
        </w:tabs>
        <w:jc w:val="left"/>
        <w:rPr>
          <w:rFonts w:hAnsi="宋体"/>
          <w:b/>
          <w:color w:val="000000" w:themeColor="text1"/>
          <w14:textFill>
            <w14:solidFill>
              <w14:schemeClr w14:val="tx1"/>
            </w14:solidFill>
          </w14:textFill>
        </w:rPr>
      </w:pPr>
    </w:p>
    <w:p>
      <w:pPr>
        <w:tabs>
          <w:tab w:val="left" w:pos="1260"/>
        </w:tabs>
        <w:jc w:val="left"/>
        <w:rPr>
          <w:rFonts w:hAnsi="宋体"/>
          <w:b/>
          <w:color w:val="000000" w:themeColor="text1"/>
          <w14:textFill>
            <w14:solidFill>
              <w14:schemeClr w14:val="tx1"/>
            </w14:solidFill>
          </w14:textFill>
        </w:rPr>
      </w:pPr>
    </w:p>
    <w:p>
      <w:pPr>
        <w:pStyle w:val="4"/>
      </w:pPr>
      <w:bookmarkStart w:id="66" w:name="_Toc1736180"/>
    </w:p>
    <w:p>
      <w:pPr>
        <w:pStyle w:val="4"/>
      </w:pPr>
    </w:p>
    <w:p>
      <w:pPr>
        <w:pStyle w:val="4"/>
      </w:pPr>
    </w:p>
    <w:p>
      <w:pPr>
        <w:pStyle w:val="4"/>
      </w:pPr>
    </w:p>
    <w:p>
      <w:pPr>
        <w:pStyle w:val="4"/>
      </w:pPr>
    </w:p>
    <w:p>
      <w:pPr>
        <w:pStyle w:val="4"/>
      </w:pPr>
    </w:p>
    <w:bookmarkEnd w:id="66"/>
    <w:p>
      <w:pPr>
        <w:tabs>
          <w:tab w:val="left" w:pos="1260"/>
        </w:tabs>
        <w:jc w:val="left"/>
        <w:rPr>
          <w:rFonts w:hAnsi="宋体"/>
          <w:b/>
          <w:color w:val="000000" w:themeColor="text1"/>
          <w14:textFill>
            <w14:solidFill>
              <w14:schemeClr w14:val="tx1"/>
            </w14:solidFill>
          </w14:textFill>
        </w:rPr>
      </w:pPr>
    </w:p>
    <w:p>
      <w:pPr>
        <w:tabs>
          <w:tab w:val="left" w:pos="1260"/>
        </w:tabs>
        <w:jc w:val="center"/>
        <w:rPr>
          <w:rFonts w:hAnsi="宋体"/>
          <w:b/>
          <w:color w:val="000000" w:themeColor="text1"/>
          <w:sz w:val="30"/>
          <w:szCs w:val="30"/>
          <w14:textFill>
            <w14:solidFill>
              <w14:schemeClr w14:val="tx1"/>
            </w14:solidFill>
          </w14:textFill>
        </w:rPr>
      </w:pPr>
    </w:p>
    <w:p>
      <w:pPr>
        <w:tabs>
          <w:tab w:val="left" w:pos="1260"/>
        </w:tabs>
        <w:jc w:val="center"/>
        <w:rPr>
          <w:rFonts w:hAnsi="宋体"/>
          <w:b/>
          <w:color w:val="000000" w:themeColor="text1"/>
          <w:sz w:val="30"/>
          <w:szCs w:val="30"/>
          <w14:textFill>
            <w14:solidFill>
              <w14:schemeClr w14:val="tx1"/>
            </w14:solidFill>
          </w14:textFill>
        </w:rPr>
      </w:pPr>
    </w:p>
    <w:p>
      <w:pPr>
        <w:tabs>
          <w:tab w:val="left" w:pos="1260"/>
        </w:tabs>
        <w:jc w:val="center"/>
        <w:rPr>
          <w:rFonts w:hAnsi="宋体"/>
          <w:b/>
          <w:color w:val="000000" w:themeColor="text1"/>
          <w:sz w:val="30"/>
          <w:szCs w:val="30"/>
          <w14:textFill>
            <w14:solidFill>
              <w14:schemeClr w14:val="tx1"/>
            </w14:solidFill>
          </w14:textFill>
        </w:rPr>
      </w:pPr>
    </w:p>
    <w:p>
      <w:pPr>
        <w:pStyle w:val="4"/>
        <w:rPr>
          <w:rFonts w:hAnsi="宋体"/>
        </w:rPr>
      </w:pPr>
      <w:r>
        <w:rPr>
          <w:rFonts w:hint="eastAsia"/>
        </w:rPr>
        <w:t>附件八：发包方应提交的设计基础文件</w:t>
      </w:r>
    </w:p>
    <w:p>
      <w:pPr>
        <w:tabs>
          <w:tab w:val="left" w:pos="1260"/>
        </w:tabs>
        <w:jc w:val="center"/>
        <w:rPr>
          <w:rFonts w:hAnsi="宋体"/>
          <w:b/>
          <w:color w:val="000000" w:themeColor="text1"/>
          <w:sz w:val="30"/>
          <w:szCs w:val="30"/>
          <w14:textFill>
            <w14:solidFill>
              <w14:schemeClr w14:val="tx1"/>
            </w14:solidFill>
          </w14:textFill>
        </w:rPr>
      </w:pPr>
    </w:p>
    <w:p>
      <w:pPr>
        <w:tabs>
          <w:tab w:val="left" w:pos="1260"/>
        </w:tabs>
        <w:jc w:val="center"/>
        <w:rPr>
          <w:rFonts w:hAnsi="宋体"/>
          <w:b/>
          <w:color w:val="000000" w:themeColor="text1"/>
          <w:sz w:val="30"/>
          <w:szCs w:val="30"/>
          <w14:textFill>
            <w14:solidFill>
              <w14:schemeClr w14:val="tx1"/>
            </w14:solidFill>
          </w14:textFill>
        </w:rPr>
      </w:pPr>
    </w:p>
    <w:p>
      <w:pPr>
        <w:tabs>
          <w:tab w:val="left" w:pos="1260"/>
        </w:tabs>
        <w:jc w:val="center"/>
        <w:rPr>
          <w:rFonts w:hAnsi="宋体"/>
          <w:b/>
          <w:color w:val="000000" w:themeColor="text1"/>
          <w:sz w:val="30"/>
          <w:szCs w:val="30"/>
          <w14:textFill>
            <w14:solidFill>
              <w14:schemeClr w14:val="tx1"/>
            </w14:solidFill>
          </w14:textFill>
        </w:rPr>
      </w:pPr>
    </w:p>
    <w:p>
      <w:pPr>
        <w:tabs>
          <w:tab w:val="left" w:pos="1260"/>
        </w:tabs>
        <w:jc w:val="center"/>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发包方应提交的设计基础文件(双方协定)</w:t>
      </w:r>
    </w:p>
    <w:p>
      <w:pPr>
        <w:tabs>
          <w:tab w:val="left" w:pos="1260"/>
        </w:tabs>
        <w:spacing w:line="360" w:lineRule="auto"/>
        <w:rPr>
          <w:rFonts w:ascii="宋体" w:hAnsi="宋体"/>
          <w:color w:val="000000" w:themeColor="text1"/>
          <w:sz w:val="30"/>
          <w:szCs w:val="30"/>
          <w14:textFill>
            <w14:solidFill>
              <w14:schemeClr w14:val="tx1"/>
            </w14:solidFill>
          </w14:textFill>
        </w:rPr>
      </w:pPr>
    </w:p>
    <w:tbl>
      <w:tblPr>
        <w:tblStyle w:val="42"/>
        <w:tblW w:w="88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0"/>
        <w:gridCol w:w="3260"/>
        <w:gridCol w:w="965"/>
        <w:gridCol w:w="11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资料及文件名称</w:t>
            </w:r>
          </w:p>
        </w:tc>
        <w:tc>
          <w:tcPr>
            <w:tcW w:w="9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份数</w:t>
            </w:r>
          </w:p>
        </w:tc>
        <w:tc>
          <w:tcPr>
            <w:tcW w:w="114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 w:val="24"/>
              </w:rPr>
            </w:pPr>
            <w:r>
              <w:rPr>
                <w:rFonts w:hint="eastAsia" w:ascii="宋体" w:hAnsi="宋体"/>
                <w:sz w:val="24"/>
              </w:rPr>
              <w:t>内容要求</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lang w:val="en-US" w:eastAsia="zh-CN"/>
              </w:rPr>
              <w:t>勘察</w:t>
            </w:r>
            <w:r>
              <w:rPr>
                <w:rFonts w:hint="eastAsia" w:ascii="宋体" w:hAnsi="宋体"/>
                <w:sz w:val="24"/>
              </w:rPr>
              <w:t>设计任务书</w:t>
            </w:r>
          </w:p>
        </w:tc>
        <w:tc>
          <w:tcPr>
            <w:tcW w:w="9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原件</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合同签订后5日内提供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2</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1/2000地形图电子文件</w:t>
            </w:r>
          </w:p>
        </w:tc>
        <w:tc>
          <w:tcPr>
            <w:tcW w:w="9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合同签订后5日内提供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3</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有关基础资料</w:t>
            </w:r>
          </w:p>
          <w:p>
            <w:pPr>
              <w:spacing w:line="440" w:lineRule="exact"/>
              <w:rPr>
                <w:rFonts w:ascii="宋体" w:hAnsi="宋体"/>
                <w:sz w:val="24"/>
              </w:rPr>
            </w:pPr>
            <w:r>
              <w:rPr>
                <w:rFonts w:hint="eastAsia" w:ascii="宋体" w:hAnsi="宋体"/>
                <w:sz w:val="24"/>
              </w:rPr>
              <w:t>（</w:t>
            </w:r>
            <w:r>
              <w:rPr>
                <w:rFonts w:hint="eastAsia" w:ascii="宋体" w:hAnsi="宋体"/>
                <w:sz w:val="24"/>
                <w:lang w:eastAsia="zh-CN"/>
              </w:rPr>
              <w:t>甲方</w:t>
            </w:r>
            <w:r>
              <w:rPr>
                <w:rFonts w:hint="eastAsia" w:ascii="宋体" w:hAnsi="宋体"/>
                <w:sz w:val="24"/>
              </w:rPr>
              <w:t>提供基础资料有限，由投标人自行收集与设计有关的资料）</w:t>
            </w:r>
          </w:p>
        </w:tc>
        <w:tc>
          <w:tcPr>
            <w:tcW w:w="9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11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合同签订后5日内提供</w:t>
            </w:r>
          </w:p>
        </w:tc>
      </w:tr>
    </w:tbl>
    <w:p>
      <w:pPr>
        <w:tabs>
          <w:tab w:val="left" w:pos="1260"/>
        </w:tabs>
        <w:spacing w:line="360" w:lineRule="auto"/>
        <w:rPr>
          <w:rFonts w:ascii="宋体" w:hAnsi="宋体"/>
          <w:color w:val="000000" w:themeColor="text1"/>
          <w:sz w:val="30"/>
          <w:szCs w:val="30"/>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223"/>
        <w:ind w:firstLine="0" w:firstLineChars="0"/>
        <w:jc w:val="left"/>
        <w:rPr>
          <w:rFonts w:ascii="宋体" w:hAnsi="宋体"/>
          <w:b/>
          <w:color w:val="000000" w:themeColor="text1"/>
          <w:sz w:val="44"/>
          <w:szCs w:val="44"/>
          <w14:textFill>
            <w14:solidFill>
              <w14:schemeClr w14:val="tx1"/>
            </w14:solidFill>
          </w14:textFill>
        </w:rPr>
      </w:pPr>
    </w:p>
    <w:p>
      <w:pPr>
        <w:pStyle w:val="4"/>
        <w:rPr>
          <w:rFonts w:ascii="宋体" w:hAnsi="宋体"/>
        </w:rPr>
      </w:pPr>
      <w:bookmarkStart w:id="67" w:name="_Toc1736181"/>
      <w:r>
        <w:rPr>
          <w:rFonts w:hint="eastAsia"/>
        </w:rPr>
        <w:t>附件九：安健环管理协议</w:t>
      </w:r>
      <w:bookmarkEnd w:id="67"/>
    </w:p>
    <w:p>
      <w:pPr>
        <w:pStyle w:val="223"/>
        <w:rPr>
          <w:rFonts w:ascii="宋体" w:hAnsi="宋体"/>
          <w:color w:val="000000" w:themeColor="text1"/>
          <w14:textFill>
            <w14:solidFill>
              <w14:schemeClr w14:val="tx1"/>
            </w14:solidFill>
          </w14:textFill>
        </w:rPr>
      </w:pPr>
    </w:p>
    <w:p>
      <w:pPr>
        <w:pStyle w:val="225"/>
        <w:rPr>
          <w:rFonts w:ascii="宋体" w:hAnsi="宋体" w:eastAsia="宋体"/>
          <w:b w:val="0"/>
          <w:color w:val="000000" w:themeColor="text1"/>
          <w:sz w:val="48"/>
          <w:szCs w:val="48"/>
          <w14:textFill>
            <w14:solidFill>
              <w14:schemeClr w14:val="tx1"/>
            </w14:solidFill>
          </w14:textFill>
        </w:rPr>
      </w:pPr>
    </w:p>
    <w:p>
      <w:pPr>
        <w:pStyle w:val="225"/>
        <w:rPr>
          <w:rFonts w:ascii="宋体" w:hAnsi="宋体" w:eastAsia="宋体"/>
          <w:b w:val="0"/>
          <w:color w:val="000000" w:themeColor="text1"/>
          <w:sz w:val="48"/>
          <w:szCs w:val="48"/>
          <w14:textFill>
            <w14:solidFill>
              <w14:schemeClr w14:val="tx1"/>
            </w14:solidFill>
          </w14:textFill>
        </w:rPr>
      </w:pPr>
    </w:p>
    <w:p>
      <w:pPr>
        <w:pStyle w:val="225"/>
        <w:rPr>
          <w:rFonts w:ascii="宋体" w:hAnsi="宋体" w:eastAsia="宋体"/>
          <w:b w:val="0"/>
          <w:color w:val="000000" w:themeColor="text1"/>
          <w:sz w:val="48"/>
          <w:szCs w:val="48"/>
          <w14:textFill>
            <w14:solidFill>
              <w14:schemeClr w14:val="tx1"/>
            </w14:solidFill>
          </w14:textFill>
        </w:rPr>
      </w:pPr>
    </w:p>
    <w:p>
      <w:pPr>
        <w:pStyle w:val="225"/>
        <w:jc w:val="both"/>
        <w:rPr>
          <w:rFonts w:ascii="宋体" w:hAnsi="宋体" w:eastAsia="宋体"/>
          <w:b w:val="0"/>
          <w:color w:val="000000" w:themeColor="text1"/>
          <w:sz w:val="48"/>
          <w:szCs w:val="48"/>
          <w14:textFill>
            <w14:solidFill>
              <w14:schemeClr w14:val="tx1"/>
            </w14:solidFill>
          </w14:textFill>
        </w:rPr>
      </w:pPr>
    </w:p>
    <w:p>
      <w:pPr>
        <w:pStyle w:val="225"/>
        <w:rPr>
          <w:rFonts w:ascii="宋体" w:hAnsi="宋体" w:eastAsia="宋体"/>
          <w:b w:val="0"/>
          <w:color w:val="000000" w:themeColor="text1"/>
          <w:sz w:val="48"/>
          <w:szCs w:val="48"/>
          <w14:textFill>
            <w14:solidFill>
              <w14:schemeClr w14:val="tx1"/>
            </w14:solidFill>
          </w14:textFill>
        </w:rPr>
      </w:pPr>
      <w:r>
        <w:rPr>
          <w:rFonts w:ascii="宋体" w:hAnsi="宋体" w:eastAsia="宋体" w:cs="Arial Unicode MS"/>
          <w:b w:val="0"/>
          <w:bCs w:val="0"/>
          <w:color w:val="000000" w:themeColor="text1"/>
          <w:w w:val="97"/>
          <w:szCs w:val="52"/>
          <w14:textFill>
            <w14:solidFill>
              <w14:schemeClr w14:val="tx1"/>
            </w14:solidFill>
          </w14:textFill>
        </w:rPr>
        <w:t>安健环管理协议</w:t>
      </w:r>
    </w:p>
    <w:p>
      <w:pPr>
        <w:adjustRightInd w:val="0"/>
        <w:snapToGrid w:val="0"/>
        <w:spacing w:line="480" w:lineRule="atLeast"/>
        <w:textAlignment w:val="baseline"/>
        <w:rPr>
          <w:rFonts w:ascii="宋体" w:hAnsi="宋体"/>
          <w:color w:val="000000" w:themeColor="text1"/>
          <w:kern w:val="0"/>
          <w14:textFill>
            <w14:solidFill>
              <w14:schemeClr w14:val="tx1"/>
            </w14:solidFill>
          </w14:textFill>
        </w:rPr>
      </w:pPr>
    </w:p>
    <w:p>
      <w:pPr>
        <w:adjustRightInd w:val="0"/>
        <w:snapToGrid w:val="0"/>
        <w:spacing w:line="480" w:lineRule="atLeast"/>
        <w:ind w:firstLine="420" w:firstLineChars="200"/>
        <w:textAlignment w:val="baseline"/>
        <w:rPr>
          <w:rFonts w:ascii="宋体" w:hAnsi="宋体"/>
          <w:color w:val="000000" w:themeColor="text1"/>
          <w:kern w:val="0"/>
          <w14:textFill>
            <w14:solidFill>
              <w14:schemeClr w14:val="tx1"/>
            </w14:solidFill>
          </w14:textFill>
        </w:rPr>
      </w:pPr>
    </w:p>
    <w:p>
      <w:pPr>
        <w:adjustRightInd w:val="0"/>
        <w:snapToGrid w:val="0"/>
        <w:spacing w:line="480" w:lineRule="atLeast"/>
        <w:ind w:firstLine="420" w:firstLineChars="200"/>
        <w:textAlignment w:val="baseline"/>
        <w:rPr>
          <w:rFonts w:ascii="宋体" w:hAnsi="宋体"/>
          <w:color w:val="000000" w:themeColor="text1"/>
          <w:kern w:val="0"/>
          <w14:textFill>
            <w14:solidFill>
              <w14:schemeClr w14:val="tx1"/>
            </w14:solidFill>
          </w14:textFill>
        </w:rPr>
      </w:pPr>
    </w:p>
    <w:p>
      <w:pPr>
        <w:spacing w:before="240" w:beforeLines="100" w:after="120" w:afterLines="50" w:line="360" w:lineRule="auto"/>
        <w:rPr>
          <w:rFonts w:ascii="宋体" w:hAnsi="宋体"/>
          <w:color w:val="000000" w:themeColor="text1"/>
          <w:sz w:val="30"/>
          <w:szCs w:val="30"/>
          <w14:textFill>
            <w14:solidFill>
              <w14:schemeClr w14:val="tx1"/>
            </w14:solidFill>
          </w14:textFill>
        </w:rPr>
      </w:pPr>
    </w:p>
    <w:p>
      <w:pPr>
        <w:spacing w:before="120" w:beforeLines="50" w:after="120" w:afterLines="50" w:line="360" w:lineRule="auto"/>
        <w:ind w:firstLine="1050" w:firstLineChars="35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工程地点：</w:t>
      </w:r>
    </w:p>
    <w:p>
      <w:pPr>
        <w:pStyle w:val="22"/>
        <w:spacing w:before="120" w:beforeLines="50" w:after="120" w:afterLines="50" w:line="360" w:lineRule="auto"/>
        <w:ind w:firstLine="1050" w:firstLineChars="350"/>
        <w:contextualSpacing/>
        <w:jc w:val="left"/>
        <w:rPr>
          <w:rFonts w:hAnsi="宋体"/>
          <w:color w:val="000000" w:themeColor="text1"/>
          <w:sz w:val="30"/>
          <w:szCs w:val="30"/>
          <w14:textFill>
            <w14:solidFill>
              <w14:schemeClr w14:val="tx1"/>
            </w14:solidFill>
          </w14:textFill>
        </w:rPr>
      </w:pPr>
      <w:r>
        <w:rPr>
          <w:rFonts w:hint="eastAsia" w:hAnsi="宋体"/>
          <w:color w:val="000000" w:themeColor="text1"/>
          <w:sz w:val="30"/>
          <w:szCs w:val="30"/>
          <w14:textFill>
            <w14:solidFill>
              <w14:schemeClr w14:val="tx1"/>
            </w14:solidFill>
          </w14:textFill>
        </w:rPr>
        <w:t>发 包 人：广州环投恒创科技有限公司</w:t>
      </w:r>
    </w:p>
    <w:p>
      <w:pPr>
        <w:pStyle w:val="22"/>
        <w:spacing w:before="120" w:beforeLines="50" w:after="120" w:afterLines="50" w:line="360" w:lineRule="auto"/>
        <w:ind w:firstLine="1050" w:firstLineChars="350"/>
        <w:contextualSpacing/>
        <w:jc w:val="left"/>
        <w:rPr>
          <w:rFonts w:hAnsi="宋体"/>
          <w:color w:val="000000" w:themeColor="text1"/>
          <w:sz w:val="30"/>
          <w:szCs w:val="30"/>
          <w14:textFill>
            <w14:solidFill>
              <w14:schemeClr w14:val="tx1"/>
            </w14:solidFill>
          </w14:textFill>
        </w:rPr>
      </w:pPr>
      <w:r>
        <w:rPr>
          <w:rFonts w:hint="eastAsia" w:hAnsi="宋体"/>
          <w:color w:val="000000" w:themeColor="text1"/>
          <w:sz w:val="30"/>
          <w:szCs w:val="30"/>
          <w14:textFill>
            <w14:solidFill>
              <w14:schemeClr w14:val="tx1"/>
            </w14:solidFill>
          </w14:textFill>
        </w:rPr>
        <w:t>承 包 人：</w:t>
      </w: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pPr>
    </w:p>
    <w:p>
      <w:pPr>
        <w:pStyle w:val="22"/>
        <w:spacing w:before="120" w:beforeLines="50" w:after="120" w:afterLines="50" w:line="360" w:lineRule="auto"/>
        <w:contextualSpacing/>
        <w:jc w:val="left"/>
        <w:rPr>
          <w:rFonts w:hAnsi="宋体"/>
          <w:color w:val="000000" w:themeColor="text1"/>
          <w:u w:val="single"/>
          <w14:textFill>
            <w14:solidFill>
              <w14:schemeClr w14:val="tx1"/>
            </w14:solidFill>
          </w14:textFill>
        </w:rPr>
        <w:sectPr>
          <w:headerReference r:id="rId19" w:type="default"/>
          <w:footerReference r:id="rId20" w:type="default"/>
          <w:type w:val="nextColumn"/>
          <w:pgSz w:w="11906" w:h="16838"/>
          <w:pgMar w:top="1247" w:right="1247" w:bottom="1247" w:left="1474" w:header="851" w:footer="624" w:gutter="0"/>
          <w:pgNumType w:fmt="decimal"/>
          <w:cols w:space="720" w:num="1"/>
          <w:docGrid w:linePitch="326" w:charSpace="0"/>
        </w:sectPr>
      </w:pPr>
    </w:p>
    <w:p>
      <w:pPr>
        <w:pStyle w:val="22"/>
        <w:ind w:firstLine="3313" w:firstLineChars="1100"/>
        <w:contextualSpacing/>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安健环管理协议</w:t>
      </w:r>
    </w:p>
    <w:p>
      <w:pPr>
        <w:pStyle w:val="22"/>
        <w:spacing w:line="360" w:lineRule="auto"/>
        <w:ind w:firstLine="422" w:firstLineChars="200"/>
        <w:contextualSpacing/>
        <w:rPr>
          <w:rFonts w:hAnsi="宋体"/>
          <w:b/>
          <w:color w:val="000000" w:themeColor="text1"/>
          <w14:textFill>
            <w14:solidFill>
              <w14:schemeClr w14:val="tx1"/>
            </w14:solidFill>
          </w14:textFill>
        </w:rPr>
      </w:pPr>
    </w:p>
    <w:p>
      <w:pPr>
        <w:pStyle w:val="22"/>
        <w:spacing w:line="360" w:lineRule="auto"/>
        <w:contextualSpacing/>
        <w:rPr>
          <w:rFonts w:hAnsi="宋体" w:cs="Times New Roman"/>
          <w:b/>
          <w:color w:val="000000" w:themeColor="text1"/>
          <w:kern w:val="0"/>
          <w:sz w:val="24"/>
          <w:szCs w:val="24"/>
          <w14:textFill>
            <w14:solidFill>
              <w14:schemeClr w14:val="tx1"/>
            </w14:solidFill>
          </w14:textFill>
        </w:rPr>
      </w:pPr>
      <w:r>
        <w:rPr>
          <w:rFonts w:hint="eastAsia" w:hAnsi="宋体" w:cs="Times New Roman"/>
          <w:b/>
          <w:color w:val="000000" w:themeColor="text1"/>
          <w:kern w:val="0"/>
          <w:sz w:val="24"/>
          <w:szCs w:val="24"/>
          <w14:textFill>
            <w14:solidFill>
              <w14:schemeClr w14:val="tx1"/>
            </w14:solidFill>
          </w14:textFill>
        </w:rPr>
        <w:t>发包单位：（以下简称甲方）广州环投恒创科技有限公司</w:t>
      </w:r>
    </w:p>
    <w:p>
      <w:pPr>
        <w:pStyle w:val="41"/>
        <w:ind w:left="0" w:leftChars="0" w:firstLine="0" w:firstLineChars="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承包单位：（以下简称乙方）</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pPr>
        <w:spacing w:before="240" w:beforeLines="100" w:after="240" w:afterLines="100" w:line="360" w:lineRule="auto"/>
        <w:ind w:right="210" w:rightChars="10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为了</w:t>
      </w:r>
      <w:r>
        <w:rPr>
          <w:rFonts w:hint="eastAsia" w:asciiTheme="minorEastAsia" w:hAnsiTheme="minorEastAsia" w:eastAsiaTheme="minorEastAsia"/>
          <w:color w:val="000000" w:themeColor="text1"/>
          <w:sz w:val="24"/>
          <w:szCs w:val="24"/>
          <w14:textFill>
            <w14:solidFill>
              <w14:schemeClr w14:val="tx1"/>
            </w14:solidFill>
          </w14:textFill>
        </w:rPr>
        <w:t>加强       项目本合同（以下简称“本合同”）管理，</w:t>
      </w:r>
      <w:r>
        <w:rPr>
          <w:rFonts w:asciiTheme="minorEastAsia" w:hAnsiTheme="minorEastAsia" w:eastAsiaTheme="minorEastAsia"/>
          <w:color w:val="000000" w:themeColor="text1"/>
          <w:sz w:val="24"/>
          <w:szCs w:val="24"/>
          <w14:textFill>
            <w14:solidFill>
              <w14:schemeClr w14:val="tx1"/>
            </w14:solidFill>
          </w14:textFill>
        </w:rPr>
        <w:t>确保实现</w:t>
      </w:r>
      <w:r>
        <w:rPr>
          <w:rFonts w:asciiTheme="minorEastAsia" w:hAnsiTheme="minorEastAsia" w:eastAsiaTheme="minorEastAsia"/>
          <w:color w:val="000000" w:themeColor="text1"/>
          <w:spacing w:val="6"/>
          <w:sz w:val="24"/>
          <w:szCs w:val="24"/>
          <w14:textFill>
            <w14:solidFill>
              <w14:schemeClr w14:val="tx1"/>
            </w14:solidFill>
          </w14:textFill>
        </w:rPr>
        <w:t>本</w:t>
      </w:r>
      <w:r>
        <w:rPr>
          <w:rFonts w:hint="eastAsia" w:asciiTheme="minorEastAsia" w:hAnsiTheme="minorEastAsia" w:eastAsiaTheme="minorEastAsia"/>
          <w:color w:val="000000" w:themeColor="text1"/>
          <w:spacing w:val="6"/>
          <w:sz w:val="24"/>
          <w:szCs w:val="24"/>
          <w14:textFill>
            <w14:solidFill>
              <w14:schemeClr w14:val="tx1"/>
            </w14:solidFill>
          </w14:textFill>
        </w:rPr>
        <w:t>工程</w:t>
      </w:r>
      <w:r>
        <w:rPr>
          <w:rFonts w:asciiTheme="minorEastAsia" w:hAnsiTheme="minorEastAsia" w:eastAsiaTheme="minorEastAsia"/>
          <w:color w:val="000000" w:themeColor="text1"/>
          <w:spacing w:val="6"/>
          <w:sz w:val="24"/>
          <w:szCs w:val="24"/>
          <w14:textFill>
            <w14:solidFill>
              <w14:schemeClr w14:val="tx1"/>
            </w14:solidFill>
          </w14:textFill>
        </w:rPr>
        <w:t>项目</w:t>
      </w:r>
      <w:r>
        <w:rPr>
          <w:rFonts w:asciiTheme="minorEastAsia" w:hAnsiTheme="minorEastAsia" w:eastAsiaTheme="minorEastAsia"/>
          <w:color w:val="000000" w:themeColor="text1"/>
          <w:sz w:val="24"/>
          <w:szCs w:val="24"/>
          <w14:textFill>
            <w14:solidFill>
              <w14:schemeClr w14:val="tx1"/>
            </w14:solidFill>
          </w14:textFill>
        </w:rPr>
        <w:t>的安全生产、职业健康及环境保护管理目标的实现，进一步明确甲方与乙方的安健环（安全生产、职业健康及环境保护，下同）管理责任，加强安健环工作的</w:t>
      </w:r>
      <w:r>
        <w:rPr>
          <w:rFonts w:hint="eastAsia" w:asciiTheme="minorEastAsia" w:hAnsiTheme="minorEastAsia" w:eastAsiaTheme="minorEastAsia"/>
          <w:color w:val="000000" w:themeColor="text1"/>
          <w:sz w:val="24"/>
          <w:szCs w:val="24"/>
          <w14:textFill>
            <w14:solidFill>
              <w14:schemeClr w14:val="tx1"/>
            </w14:solidFill>
          </w14:textFill>
        </w:rPr>
        <w:t>统一</w:t>
      </w:r>
      <w:r>
        <w:rPr>
          <w:rFonts w:asciiTheme="minorEastAsia" w:hAnsiTheme="minorEastAsia" w:eastAsiaTheme="minorEastAsia"/>
          <w:color w:val="000000" w:themeColor="text1"/>
          <w:sz w:val="24"/>
          <w:szCs w:val="24"/>
          <w14:textFill>
            <w14:solidFill>
              <w14:schemeClr w14:val="tx1"/>
            </w14:solidFill>
          </w14:textFill>
        </w:rPr>
        <w:t>协调、管理，甲方与乙方依据国家</w:t>
      </w:r>
      <w:r>
        <w:rPr>
          <w:rFonts w:hint="eastAsia" w:asciiTheme="minorEastAsia" w:hAnsiTheme="minorEastAsia" w:eastAsiaTheme="minorEastAsia"/>
          <w:color w:val="000000" w:themeColor="text1"/>
          <w:sz w:val="24"/>
          <w:szCs w:val="24"/>
          <w14:textFill>
            <w14:solidFill>
              <w14:schemeClr w14:val="tx1"/>
            </w14:solidFill>
          </w14:textFill>
        </w:rPr>
        <w:t>相</w:t>
      </w:r>
      <w:r>
        <w:rPr>
          <w:rFonts w:asciiTheme="minorEastAsia" w:hAnsiTheme="minorEastAsia" w:eastAsiaTheme="minorEastAsia"/>
          <w:color w:val="000000" w:themeColor="text1"/>
          <w:sz w:val="24"/>
          <w:szCs w:val="24"/>
          <w14:textFill>
            <w14:solidFill>
              <w14:schemeClr w14:val="tx1"/>
            </w14:solidFill>
          </w14:textFill>
        </w:rPr>
        <w:t>关</w:t>
      </w:r>
      <w:r>
        <w:rPr>
          <w:rFonts w:hint="eastAsia" w:asciiTheme="minorEastAsia" w:hAnsiTheme="minorEastAsia" w:eastAsiaTheme="minorEastAsia"/>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szCs w:val="24"/>
          <w14:textFill>
            <w14:solidFill>
              <w14:schemeClr w14:val="tx1"/>
            </w14:solidFill>
          </w14:textFill>
        </w:rPr>
        <w:t>安健环法律、法规以及强制性标准或行业标准</w:t>
      </w:r>
      <w:r>
        <w:rPr>
          <w:rFonts w:hint="eastAsia" w:asciiTheme="minorEastAsia" w:hAnsiTheme="minorEastAsia" w:eastAsiaTheme="minorEastAsia"/>
          <w:color w:val="000000" w:themeColor="text1"/>
          <w:sz w:val="24"/>
          <w:szCs w:val="24"/>
          <w14:textFill>
            <w14:solidFill>
              <w14:schemeClr w14:val="tx1"/>
            </w14:solidFill>
          </w14:textFill>
        </w:rPr>
        <w:t>要求</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本着平等、自愿的原则，</w:t>
      </w:r>
      <w:r>
        <w:rPr>
          <w:rFonts w:asciiTheme="minorEastAsia" w:hAnsiTheme="minorEastAsia" w:eastAsiaTheme="minorEastAsia"/>
          <w:color w:val="000000" w:themeColor="text1"/>
          <w:sz w:val="24"/>
          <w:szCs w:val="24"/>
          <w14:textFill>
            <w14:solidFill>
              <w14:schemeClr w14:val="tx1"/>
            </w14:solidFill>
          </w14:textFill>
        </w:rPr>
        <w:t>签订本协议</w:t>
      </w:r>
      <w:r>
        <w:rPr>
          <w:rFonts w:hint="eastAsia" w:asciiTheme="minorEastAsia" w:hAnsiTheme="minorEastAsia" w:eastAsiaTheme="minorEastAsia"/>
          <w:color w:val="000000" w:themeColor="text1"/>
          <w:sz w:val="24"/>
          <w:szCs w:val="24"/>
          <w14:textFill>
            <w14:solidFill>
              <w14:schemeClr w14:val="tx1"/>
            </w14:solidFill>
          </w14:textFill>
        </w:rPr>
        <w:t>书</w:t>
      </w:r>
      <w:r>
        <w:rPr>
          <w:rFonts w:asciiTheme="minorEastAsia" w:hAnsiTheme="minorEastAsia" w:eastAsiaTheme="minorEastAsia"/>
          <w:color w:val="000000" w:themeColor="text1"/>
          <w:sz w:val="24"/>
          <w:szCs w:val="24"/>
          <w14:textFill>
            <w14:solidFill>
              <w14:schemeClr w14:val="tx1"/>
            </w14:solidFill>
          </w14:textFill>
        </w:rPr>
        <w:t>。具体条款如下：</w:t>
      </w:r>
    </w:p>
    <w:p>
      <w:pPr>
        <w:pStyle w:val="6"/>
        <w:ind w:firstLine="482"/>
      </w:pPr>
      <w:bookmarkStart w:id="68" w:name="_Toc487527034"/>
      <w:bookmarkStart w:id="69" w:name="_Toc491172662"/>
      <w:bookmarkStart w:id="70" w:name="_Toc1736182"/>
      <w:r>
        <w:rPr>
          <w:rFonts w:hint="eastAsia"/>
        </w:rPr>
        <w:t>一、</w:t>
      </w:r>
      <w:r>
        <w:t>管理目标</w:t>
      </w:r>
      <w:bookmarkEnd w:id="68"/>
      <w:bookmarkEnd w:id="69"/>
      <w:bookmarkEnd w:id="70"/>
    </w:p>
    <w:p>
      <w:pPr>
        <w:numPr>
          <w:ilvl w:val="0"/>
          <w:numId w:val="3"/>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本</w:t>
      </w:r>
      <w:r>
        <w:rPr>
          <w:rFonts w:hint="eastAsia" w:asciiTheme="minorEastAsia" w:hAnsiTheme="minorEastAsia" w:eastAsiaTheme="minorEastAsia"/>
          <w:color w:val="000000" w:themeColor="text1"/>
          <w:sz w:val="24"/>
          <w:szCs w:val="24"/>
          <w14:textFill>
            <w14:solidFill>
              <w14:schemeClr w14:val="tx1"/>
            </w14:solidFill>
          </w14:textFill>
        </w:rPr>
        <w:t>工程</w:t>
      </w:r>
      <w:r>
        <w:rPr>
          <w:rFonts w:asciiTheme="minorEastAsia" w:hAnsiTheme="minorEastAsia" w:eastAsiaTheme="minorEastAsia"/>
          <w:color w:val="000000" w:themeColor="text1"/>
          <w:sz w:val="24"/>
          <w:szCs w:val="24"/>
          <w14:textFill>
            <w14:solidFill>
              <w14:schemeClr w14:val="tx1"/>
            </w14:solidFill>
          </w14:textFill>
        </w:rPr>
        <w:t>安全</w:t>
      </w:r>
      <w:r>
        <w:rPr>
          <w:rFonts w:hint="eastAsia" w:asciiTheme="minorEastAsia" w:hAnsiTheme="minorEastAsia" w:eastAsiaTheme="minorEastAsia"/>
          <w:color w:val="000000" w:themeColor="text1"/>
          <w:sz w:val="24"/>
          <w:szCs w:val="24"/>
          <w14:textFill>
            <w14:solidFill>
              <w14:schemeClr w14:val="tx1"/>
            </w14:solidFill>
          </w14:textFill>
        </w:rPr>
        <w:t>生产</w:t>
      </w:r>
      <w:r>
        <w:rPr>
          <w:rFonts w:asciiTheme="minorEastAsia" w:hAnsiTheme="minorEastAsia" w:eastAsiaTheme="minorEastAsia"/>
          <w:color w:val="000000" w:themeColor="text1"/>
          <w:sz w:val="24"/>
          <w:szCs w:val="24"/>
          <w14:textFill>
            <w14:solidFill>
              <w14:schemeClr w14:val="tx1"/>
            </w14:solidFill>
          </w14:textFill>
        </w:rPr>
        <w:t>目标为：</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不发生因工人身重伤及以上安全事故；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不发生一般及以上火灾、爆炸事故；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不发生一般及以上机械、设备损坏事故；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不发生负同等及以上责任的一般生产性交通事故；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不发生重大垮（坍）塌事故；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不发生群伤恶性事故；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不发生一般及以上电网事故；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不发生恶性电气误操作事故；</w:t>
      </w:r>
    </w:p>
    <w:p>
      <w:pPr>
        <w:numPr>
          <w:ilvl w:val="0"/>
          <w:numId w:val="4"/>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人身轻伤事故率≤4‰。</w:t>
      </w:r>
    </w:p>
    <w:p>
      <w:pPr>
        <w:numPr>
          <w:ilvl w:val="0"/>
          <w:numId w:val="3"/>
        </w:numPr>
        <w:adjustRightInd w:val="0"/>
        <w:snapToGrid w:val="0"/>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本</w:t>
      </w:r>
      <w:r>
        <w:rPr>
          <w:rFonts w:hint="eastAsia" w:asciiTheme="minorEastAsia" w:hAnsiTheme="minorEastAsia" w:eastAsiaTheme="minorEastAsia"/>
          <w:bCs/>
          <w:color w:val="000000" w:themeColor="text1"/>
          <w:sz w:val="24"/>
          <w:szCs w:val="24"/>
          <w14:textFill>
            <w14:solidFill>
              <w14:schemeClr w14:val="tx1"/>
            </w14:solidFill>
          </w14:textFill>
        </w:rPr>
        <w:t>工程</w:t>
      </w:r>
      <w:r>
        <w:rPr>
          <w:rFonts w:asciiTheme="minorEastAsia" w:hAnsiTheme="minorEastAsia" w:eastAsiaTheme="minorEastAsia"/>
          <w:bCs/>
          <w:color w:val="000000" w:themeColor="text1"/>
          <w:sz w:val="24"/>
          <w:szCs w:val="24"/>
          <w14:textFill>
            <w14:solidFill>
              <w14:schemeClr w14:val="tx1"/>
            </w14:solidFill>
          </w14:textFill>
        </w:rPr>
        <w:t>职业健康目标为：</w:t>
      </w:r>
    </w:p>
    <w:p>
      <w:pPr>
        <w:numPr>
          <w:ilvl w:val="0"/>
          <w:numId w:val="5"/>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不发生一般及以上职业病危害事故和职业中毒事故；</w:t>
      </w:r>
    </w:p>
    <w:p>
      <w:pPr>
        <w:numPr>
          <w:ilvl w:val="0"/>
          <w:numId w:val="5"/>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不发生群体食物中毒事故；</w:t>
      </w:r>
    </w:p>
    <w:p>
      <w:pPr>
        <w:numPr>
          <w:ilvl w:val="0"/>
          <w:numId w:val="5"/>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不发生流行性传染病传播（传染病未形成三人及以上同时患病）</w:t>
      </w:r>
      <w:r>
        <w:rPr>
          <w:rFonts w:hint="eastAsia" w:asciiTheme="minorEastAsia" w:hAnsiTheme="minorEastAsia" w:eastAsiaTheme="minorEastAsia"/>
          <w:color w:val="000000" w:themeColor="text1"/>
          <w:sz w:val="24"/>
          <w:szCs w:val="24"/>
          <w14:textFill>
            <w14:solidFill>
              <w14:schemeClr w14:val="tx1"/>
            </w14:solidFill>
          </w14:textFill>
        </w:rPr>
        <w:t>；</w:t>
      </w:r>
    </w:p>
    <w:p>
      <w:pPr>
        <w:numPr>
          <w:ilvl w:val="0"/>
          <w:numId w:val="5"/>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职业病</w:t>
      </w:r>
      <w:r>
        <w:rPr>
          <w:rFonts w:hint="eastAsia" w:asciiTheme="minorEastAsia" w:hAnsiTheme="minorEastAsia" w:eastAsiaTheme="minorEastAsia"/>
          <w:color w:val="000000" w:themeColor="text1"/>
          <w:sz w:val="24"/>
          <w:szCs w:val="24"/>
          <w14:textFill>
            <w14:solidFill>
              <w14:schemeClr w14:val="tx1"/>
            </w14:solidFill>
          </w14:textFill>
        </w:rPr>
        <w:t>危害因素检测合格率</w:t>
      </w:r>
      <w:r>
        <w:rPr>
          <w:rFonts w:hint="eastAsia"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95%。</w:t>
      </w:r>
    </w:p>
    <w:p>
      <w:pPr>
        <w:numPr>
          <w:ilvl w:val="0"/>
          <w:numId w:val="3"/>
        </w:numPr>
        <w:adjustRightInd w:val="0"/>
        <w:snapToGrid w:val="0"/>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本</w:t>
      </w:r>
      <w:r>
        <w:rPr>
          <w:rFonts w:hint="eastAsia" w:asciiTheme="minorEastAsia" w:hAnsiTheme="minorEastAsia" w:eastAsiaTheme="minorEastAsia"/>
          <w:bCs/>
          <w:color w:val="000000" w:themeColor="text1"/>
          <w:sz w:val="24"/>
          <w:szCs w:val="24"/>
          <w14:textFill>
            <w14:solidFill>
              <w14:schemeClr w14:val="tx1"/>
            </w14:solidFill>
          </w14:textFill>
        </w:rPr>
        <w:t>工程</w:t>
      </w:r>
      <w:r>
        <w:rPr>
          <w:rFonts w:asciiTheme="minorEastAsia" w:hAnsiTheme="minorEastAsia" w:eastAsiaTheme="minorEastAsia"/>
          <w:bCs/>
          <w:color w:val="000000" w:themeColor="text1"/>
          <w:sz w:val="24"/>
          <w:szCs w:val="24"/>
          <w14:textFill>
            <w14:solidFill>
              <w14:schemeClr w14:val="tx1"/>
            </w14:solidFill>
          </w14:textFill>
        </w:rPr>
        <w:t>环境管理目标为：</w:t>
      </w:r>
    </w:p>
    <w:p>
      <w:pPr>
        <w:numPr>
          <w:ilvl w:val="0"/>
          <w:numId w:val="6"/>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不发生一般</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Ⅳ</w:t>
      </w:r>
      <w:r>
        <w:rPr>
          <w:rFonts w:asciiTheme="minorEastAsia" w:hAnsiTheme="minorEastAsia" w:eastAsiaTheme="minorEastAsia"/>
          <w:color w:val="000000" w:themeColor="text1"/>
          <w:sz w:val="24"/>
          <w:szCs w:val="24"/>
          <w14:textFill>
            <w14:solidFill>
              <w14:schemeClr w14:val="tx1"/>
            </w14:solidFill>
          </w14:textFill>
        </w:rPr>
        <w:t>级）</w:t>
      </w:r>
      <w:r>
        <w:rPr>
          <w:rFonts w:hint="eastAsia" w:asciiTheme="minorEastAsia" w:hAnsiTheme="minorEastAsia" w:eastAsiaTheme="minorEastAsia"/>
          <w:color w:val="000000" w:themeColor="text1"/>
          <w:sz w:val="24"/>
          <w:szCs w:val="24"/>
          <w14:textFill>
            <w14:solidFill>
              <w14:schemeClr w14:val="tx1"/>
            </w14:solidFill>
          </w14:textFill>
        </w:rPr>
        <w:t>及以上</w:t>
      </w:r>
      <w:r>
        <w:rPr>
          <w:rFonts w:asciiTheme="minorEastAsia" w:hAnsiTheme="minorEastAsia" w:eastAsiaTheme="minorEastAsia"/>
          <w:color w:val="000000" w:themeColor="text1"/>
          <w:sz w:val="24"/>
          <w:szCs w:val="24"/>
          <w14:textFill>
            <w14:solidFill>
              <w14:schemeClr w14:val="tx1"/>
            </w14:solidFill>
          </w14:textFill>
        </w:rPr>
        <w:t>突发</w:t>
      </w:r>
      <w:r>
        <w:rPr>
          <w:rFonts w:hint="eastAsia" w:asciiTheme="minorEastAsia" w:hAnsiTheme="minorEastAsia" w:eastAsiaTheme="minorEastAsia"/>
          <w:color w:val="000000" w:themeColor="text1"/>
          <w:sz w:val="24"/>
          <w:szCs w:val="24"/>
          <w14:textFill>
            <w14:solidFill>
              <w14:schemeClr w14:val="tx1"/>
            </w14:solidFill>
          </w14:textFill>
        </w:rPr>
        <w:t>性</w:t>
      </w:r>
      <w:r>
        <w:rPr>
          <w:rFonts w:asciiTheme="minorEastAsia" w:hAnsiTheme="minorEastAsia" w:eastAsiaTheme="minorEastAsia"/>
          <w:color w:val="000000" w:themeColor="text1"/>
          <w:sz w:val="24"/>
          <w:szCs w:val="24"/>
          <w14:textFill>
            <w14:solidFill>
              <w14:schemeClr w14:val="tx1"/>
            </w14:solidFill>
          </w14:textFill>
        </w:rPr>
        <w:t>环境</w:t>
      </w:r>
      <w:r>
        <w:rPr>
          <w:rFonts w:hint="eastAsia" w:asciiTheme="minorEastAsia" w:hAnsiTheme="minorEastAsia" w:eastAsiaTheme="minorEastAsia"/>
          <w:color w:val="000000" w:themeColor="text1"/>
          <w:sz w:val="24"/>
          <w:szCs w:val="24"/>
          <w14:textFill>
            <w14:solidFill>
              <w14:schemeClr w14:val="tx1"/>
            </w14:solidFill>
          </w14:textFill>
        </w:rPr>
        <w:t>污染</w:t>
      </w:r>
      <w:r>
        <w:rPr>
          <w:rFonts w:asciiTheme="minorEastAsia" w:hAnsiTheme="minorEastAsia" w:eastAsiaTheme="minorEastAsia"/>
          <w:color w:val="000000" w:themeColor="text1"/>
          <w:sz w:val="24"/>
          <w:szCs w:val="24"/>
          <w14:textFill>
            <w14:solidFill>
              <w14:schemeClr w14:val="tx1"/>
            </w14:solidFill>
          </w14:textFill>
        </w:rPr>
        <w:t>事</w:t>
      </w:r>
      <w:r>
        <w:rPr>
          <w:rFonts w:hint="eastAsia" w:asciiTheme="minorEastAsia" w:hAnsiTheme="minorEastAsia" w:eastAsiaTheme="minorEastAsia"/>
          <w:color w:val="000000" w:themeColor="text1"/>
          <w:sz w:val="24"/>
          <w:szCs w:val="24"/>
          <w14:textFill>
            <w14:solidFill>
              <w14:schemeClr w14:val="tx1"/>
            </w14:solidFill>
          </w14:textFill>
        </w:rPr>
        <w:t>故；</w:t>
      </w:r>
    </w:p>
    <w:p>
      <w:pPr>
        <w:numPr>
          <w:ilvl w:val="0"/>
          <w:numId w:val="6"/>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不发生放射源失控事故；</w:t>
      </w:r>
    </w:p>
    <w:p>
      <w:pPr>
        <w:numPr>
          <w:ilvl w:val="0"/>
          <w:numId w:val="6"/>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不发生</w:t>
      </w:r>
      <w:r>
        <w:rPr>
          <w:rFonts w:asciiTheme="minorEastAsia" w:hAnsiTheme="minorEastAsia" w:eastAsiaTheme="minorEastAsia"/>
          <w:color w:val="000000" w:themeColor="text1"/>
          <w:sz w:val="24"/>
          <w:szCs w:val="24"/>
          <w14:textFill>
            <w14:solidFill>
              <w14:schemeClr w14:val="tx1"/>
            </w14:solidFill>
          </w14:textFill>
        </w:rPr>
        <w:t>环境污染处罚事件</w:t>
      </w:r>
      <w:r>
        <w:rPr>
          <w:rFonts w:hint="eastAsia" w:asciiTheme="minorEastAsia" w:hAnsiTheme="minorEastAsia" w:eastAsiaTheme="minorEastAsia"/>
          <w:color w:val="000000" w:themeColor="text1"/>
          <w:sz w:val="24"/>
          <w:szCs w:val="24"/>
          <w14:textFill>
            <w14:solidFill>
              <w14:schemeClr w14:val="tx1"/>
            </w14:solidFill>
          </w14:textFill>
        </w:rPr>
        <w:t>；</w:t>
      </w:r>
    </w:p>
    <w:p>
      <w:pPr>
        <w:numPr>
          <w:ilvl w:val="0"/>
          <w:numId w:val="6"/>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工业“三废”</w:t>
      </w:r>
      <w:r>
        <w:rPr>
          <w:rFonts w:asciiTheme="minorEastAsia" w:hAnsiTheme="minorEastAsia" w:eastAsiaTheme="minorEastAsia"/>
          <w:color w:val="000000" w:themeColor="text1"/>
          <w:sz w:val="24"/>
          <w:szCs w:val="24"/>
          <w14:textFill>
            <w14:solidFill>
              <w14:schemeClr w14:val="tx1"/>
            </w14:solidFill>
          </w14:textFill>
        </w:rPr>
        <w:t>的容许排放量</w:t>
      </w:r>
      <w:r>
        <w:rPr>
          <w:rFonts w:hint="eastAsia" w:asciiTheme="minorEastAsia" w:hAnsiTheme="minorEastAsia" w:eastAsiaTheme="minorEastAsia"/>
          <w:color w:val="000000" w:themeColor="text1"/>
          <w:sz w:val="24"/>
          <w:szCs w:val="24"/>
          <w14:textFill>
            <w14:solidFill>
              <w14:schemeClr w14:val="tx1"/>
            </w14:solidFill>
          </w14:textFill>
        </w:rPr>
        <w:t>和</w:t>
      </w:r>
      <w:r>
        <w:rPr>
          <w:rFonts w:asciiTheme="minorEastAsia" w:hAnsiTheme="minorEastAsia" w:eastAsiaTheme="minorEastAsia"/>
          <w:color w:val="000000" w:themeColor="text1"/>
          <w:sz w:val="24"/>
          <w:szCs w:val="24"/>
          <w14:textFill>
            <w14:solidFill>
              <w14:schemeClr w14:val="tx1"/>
            </w14:solidFill>
          </w14:textFill>
        </w:rPr>
        <w:t>排放浓度</w:t>
      </w:r>
      <w:r>
        <w:rPr>
          <w:rFonts w:hint="eastAsia" w:asciiTheme="minorEastAsia" w:hAnsiTheme="minorEastAsia" w:eastAsiaTheme="minorEastAsia"/>
          <w:color w:val="000000" w:themeColor="text1"/>
          <w:sz w:val="24"/>
          <w:szCs w:val="24"/>
          <w14:textFill>
            <w14:solidFill>
              <w14:schemeClr w14:val="tx1"/>
            </w14:solidFill>
          </w14:textFill>
        </w:rPr>
        <w:t>达标率100%</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6"/>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噪声排放达标率100%</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6"/>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危险废弃物合法处理合格率100%</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6"/>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大力推广运用科学技术，采取有效措施，节约资源消耗；</w:t>
      </w:r>
    </w:p>
    <w:p>
      <w:pPr>
        <w:numPr>
          <w:ilvl w:val="0"/>
          <w:numId w:val="6"/>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保护自然生态环境，不乱砍滥伐，不破坏物质文化遗产，不伤害珍稀保护动植物。</w:t>
      </w:r>
    </w:p>
    <w:p>
      <w:pPr>
        <w:pStyle w:val="6"/>
        <w:ind w:firstLine="482"/>
      </w:pPr>
      <w:bookmarkStart w:id="71" w:name="_Toc487527035"/>
      <w:bookmarkStart w:id="72" w:name="_Toc1736183"/>
      <w:bookmarkStart w:id="73" w:name="_Toc491172663"/>
      <w:r>
        <w:rPr>
          <w:rFonts w:hint="eastAsia"/>
        </w:rPr>
        <w:t>二</w:t>
      </w:r>
      <w:r>
        <w:t>、本工程安健环责任</w:t>
      </w:r>
      <w:bookmarkEnd w:id="71"/>
      <w:bookmarkEnd w:id="72"/>
      <w:bookmarkEnd w:id="73"/>
    </w:p>
    <w:p>
      <w:pPr>
        <w:numPr>
          <w:ilvl w:val="0"/>
          <w:numId w:val="7"/>
        </w:numPr>
        <w:adjustRightInd w:val="0"/>
        <w:snapToGrid w:val="0"/>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双方共同承诺以下安健环责任：</w:t>
      </w:r>
    </w:p>
    <w:p>
      <w:pPr>
        <w:numPr>
          <w:ilvl w:val="0"/>
          <w:numId w:val="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双方必须认真贯彻执行国家安全生产、环境保护、职业健康法律、法规</w:t>
      </w:r>
      <w:r>
        <w:rPr>
          <w:rFonts w:hint="eastAsia" w:asciiTheme="minorEastAsia" w:hAnsiTheme="minorEastAsia" w:eastAsiaTheme="minorEastAsia"/>
          <w:color w:val="000000" w:themeColor="text1"/>
          <w:sz w:val="24"/>
          <w:szCs w:val="24"/>
          <w14:textFill>
            <w14:solidFill>
              <w14:schemeClr w14:val="tx1"/>
            </w14:solidFill>
          </w14:textFill>
        </w:rPr>
        <w:t>、条例</w:t>
      </w:r>
      <w:r>
        <w:rPr>
          <w:rFonts w:asciiTheme="minorEastAsia" w:hAnsiTheme="minorEastAsia" w:eastAsiaTheme="minorEastAsia"/>
          <w:color w:val="000000" w:themeColor="text1"/>
          <w:sz w:val="24"/>
          <w:szCs w:val="24"/>
          <w14:textFill>
            <w14:solidFill>
              <w14:schemeClr w14:val="tx1"/>
            </w14:solidFill>
          </w14:textFill>
        </w:rPr>
        <w:t>，严格执行相关行业安全技术标准</w:t>
      </w:r>
      <w:r>
        <w:rPr>
          <w:rFonts w:hint="eastAsia" w:asciiTheme="minorEastAsia" w:hAnsiTheme="minorEastAsia" w:eastAsiaTheme="minorEastAsia"/>
          <w:color w:val="000000" w:themeColor="text1"/>
          <w:sz w:val="24"/>
          <w:szCs w:val="24"/>
          <w14:textFill>
            <w14:solidFill>
              <w14:schemeClr w14:val="tx1"/>
            </w14:solidFill>
          </w14:textFill>
        </w:rPr>
        <w:t>及强制性标准</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配备适合本工程安健环管理需要的安</w:t>
      </w:r>
      <w:r>
        <w:rPr>
          <w:rFonts w:hint="eastAsia" w:asciiTheme="minorEastAsia" w:hAnsiTheme="minorEastAsia" w:eastAsiaTheme="minorEastAsia"/>
          <w:color w:val="000000" w:themeColor="text1"/>
          <w:sz w:val="24"/>
          <w:szCs w:val="24"/>
          <w14:textFill>
            <w14:solidFill>
              <w14:schemeClr w14:val="tx1"/>
            </w14:solidFill>
          </w14:textFill>
        </w:rPr>
        <w:t>全监督</w:t>
      </w:r>
      <w:r>
        <w:rPr>
          <w:rFonts w:asciiTheme="minorEastAsia" w:hAnsiTheme="minorEastAsia" w:eastAsiaTheme="minorEastAsia"/>
          <w:color w:val="000000" w:themeColor="text1"/>
          <w:sz w:val="24"/>
          <w:szCs w:val="24"/>
          <w14:textFill>
            <w14:solidFill>
              <w14:schemeClr w14:val="tx1"/>
            </w14:solidFill>
          </w14:textFill>
        </w:rPr>
        <w:t>管理人员。</w:t>
      </w:r>
    </w:p>
    <w:p>
      <w:pPr>
        <w:numPr>
          <w:ilvl w:val="0"/>
          <w:numId w:val="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双方必须对本单位职工进行教育，增强法制观念，提高职工的安全生产意识和自我保护的能力，确保每名员工在施工现场能自觉遵守安全生产纪律、制度。</w:t>
      </w:r>
    </w:p>
    <w:p>
      <w:pPr>
        <w:numPr>
          <w:ilvl w:val="0"/>
          <w:numId w:val="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乙双方在施工前要认真勘察本工程施工现场，乙方按甲方的要求自行编制施工组织设计，其中必须包括有针对性的安全技术措施和有关安健环施工要求。在施工前，甲方应对乙方的施工管理人员进行必要的安全交底，组织学习甲方发布的安健环管理制度；乙方应组织召开管理、施工人员安全生产会议（通知甲方有关人员出席会议），介绍施工中有关安健环规章制度及要求；乙方必须检查、督促施工人员严格遵守、认真执行。</w:t>
      </w:r>
    </w:p>
    <w:p>
      <w:pPr>
        <w:numPr>
          <w:ilvl w:val="0"/>
          <w:numId w:val="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在生产过程中的个人防护用品，双方自理，双方均应督促各自人员自觉穿戴好防护用品。</w:t>
      </w:r>
    </w:p>
    <w:p>
      <w:pPr>
        <w:numPr>
          <w:ilvl w:val="0"/>
          <w:numId w:val="7"/>
        </w:numPr>
        <w:adjustRightInd w:val="0"/>
        <w:snapToGrid w:val="0"/>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bCs/>
          <w:color w:val="000000" w:themeColor="text1"/>
          <w:sz w:val="24"/>
          <w:szCs w:val="24"/>
          <w14:textFill>
            <w14:solidFill>
              <w14:schemeClr w14:val="tx1"/>
            </w14:solidFill>
          </w14:textFill>
        </w:rPr>
        <w:t>的权利与义务</w:t>
      </w:r>
      <w:r>
        <w:rPr>
          <w:rFonts w:asciiTheme="minorEastAsia" w:hAnsiTheme="minorEastAsia" w:eastAsiaTheme="minorEastAsia"/>
          <w:bCs/>
          <w:color w:val="000000" w:themeColor="text1"/>
          <w:sz w:val="24"/>
          <w:szCs w:val="24"/>
          <w14:textFill>
            <w14:solidFill>
              <w14:schemeClr w14:val="tx1"/>
            </w14:solidFill>
          </w14:textFill>
        </w:rPr>
        <w:t>：</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甲方有权协调解决现场乙方与其他供应商、承包商或者其他第三方之间（但不包括乙方内的各分包商、供应商之间）出现的安健环事件。</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甲方不得对乙方提出不符合建设工程安全生产法律、法规和强制性标准规定的要求，不得压缩合同约定的工期。</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甲方不得明示或者暗示乙方购买、租赁、使用不符合安全施工要求的安全防护用具、机械设备、施工机具及配件、消防设施和器材。</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由于现场第三方原因造成的事故、事件，甲方应负责事故、事件的协调处理，</w:t>
      </w:r>
      <w:r>
        <w:rPr>
          <w:rFonts w:hint="eastAsia" w:asciiTheme="minorEastAsia" w:hAnsiTheme="minorEastAsia" w:eastAsiaTheme="minorEastAsia"/>
          <w:color w:val="000000" w:themeColor="text1"/>
          <w:sz w:val="24"/>
          <w:szCs w:val="24"/>
          <w14:textFill>
            <w14:solidFill>
              <w14:schemeClr w14:val="tx1"/>
            </w14:solidFill>
          </w14:textFill>
        </w:rPr>
        <w:t>保护</w:t>
      </w:r>
      <w:r>
        <w:rPr>
          <w:rFonts w:asciiTheme="minorEastAsia" w:hAnsiTheme="minorEastAsia" w:eastAsiaTheme="minorEastAsia"/>
          <w:color w:val="000000" w:themeColor="text1"/>
          <w:sz w:val="24"/>
          <w:szCs w:val="24"/>
          <w14:textFill>
            <w14:solidFill>
              <w14:schemeClr w14:val="tx1"/>
            </w14:solidFill>
          </w14:textFill>
        </w:rPr>
        <w:t>乙方的正当权益不受损失。</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甲方要求乙方在开工前组织学习甲方有关安健环规章制度和管理规定等文件；甲方应及时审查乙方报送的各种重大技术措施及方案</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甲方有权</w:t>
      </w:r>
      <w:r>
        <w:rPr>
          <w:rFonts w:hint="eastAsia" w:asciiTheme="minorEastAsia" w:hAnsiTheme="minorEastAsia" w:eastAsiaTheme="minorEastAsia"/>
          <w:color w:val="000000" w:themeColor="text1"/>
          <w:sz w:val="24"/>
          <w:szCs w:val="24"/>
          <w14:textFill>
            <w14:solidFill>
              <w14:schemeClr w14:val="tx1"/>
            </w14:solidFill>
          </w14:textFill>
        </w:rPr>
        <w:t>自行或授权监理单位</w:t>
      </w:r>
      <w:r>
        <w:rPr>
          <w:rFonts w:asciiTheme="minorEastAsia" w:hAnsiTheme="minorEastAsia" w:eastAsiaTheme="minorEastAsia"/>
          <w:color w:val="000000" w:themeColor="text1"/>
          <w:sz w:val="24"/>
          <w:szCs w:val="24"/>
          <w14:textFill>
            <w14:solidFill>
              <w14:schemeClr w14:val="tx1"/>
            </w14:solidFill>
          </w14:textFill>
        </w:rPr>
        <w:t>定期或不定期地</w:t>
      </w:r>
      <w:r>
        <w:rPr>
          <w:rFonts w:hint="eastAsia" w:asciiTheme="minorEastAsia" w:hAnsiTheme="minorEastAsia" w:eastAsiaTheme="minorEastAsia"/>
          <w:color w:val="000000" w:themeColor="text1"/>
          <w:sz w:val="24"/>
          <w:szCs w:val="24"/>
          <w14:textFill>
            <w14:solidFill>
              <w14:schemeClr w14:val="tx1"/>
            </w14:solidFill>
          </w14:textFill>
        </w:rPr>
        <w:t>按法律法规、甲方的管理制度、本合同约定</w:t>
      </w:r>
      <w:r>
        <w:rPr>
          <w:rFonts w:asciiTheme="minorEastAsia" w:hAnsiTheme="minorEastAsia" w:eastAsiaTheme="minorEastAsia"/>
          <w:color w:val="000000" w:themeColor="text1"/>
          <w:sz w:val="24"/>
          <w:szCs w:val="24"/>
          <w14:textFill>
            <w14:solidFill>
              <w14:schemeClr w14:val="tx1"/>
            </w14:solidFill>
          </w14:textFill>
        </w:rPr>
        <w:t>对乙方实施安全生产</w:t>
      </w:r>
      <w:r>
        <w:rPr>
          <w:rFonts w:hint="eastAsia" w:asciiTheme="minorEastAsia" w:hAnsiTheme="minorEastAsia" w:eastAsiaTheme="minorEastAsia"/>
          <w:color w:val="000000" w:themeColor="text1"/>
          <w:sz w:val="24"/>
          <w:szCs w:val="24"/>
          <w14:textFill>
            <w14:solidFill>
              <w14:schemeClr w14:val="tx1"/>
            </w14:solidFill>
          </w14:textFill>
        </w:rPr>
        <w:t>、文明施工或标准化工地建设监督检查，对查出的违章或事故隐患督促限期整改，对整改不力或情节严重的有权对乙方进行包括工程款抵扣、履约保证金扣款。甲方行使监督、检查权并不免除乙方因违反法律规定、本合同及本协议约定的义务时应当承担的任何责任。</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olor w:val="000000" w:themeColor="text1"/>
          <w:sz w:val="24"/>
          <w:szCs w:val="24"/>
          <w14:textFill>
            <w14:solidFill>
              <w14:schemeClr w14:val="tx1"/>
            </w14:solidFill>
          </w14:textFill>
        </w:rPr>
        <w:t>有权</w:t>
      </w:r>
      <w:r>
        <w:rPr>
          <w:rFonts w:asciiTheme="minorEastAsia" w:hAnsiTheme="minorEastAsia" w:eastAsiaTheme="minorEastAsia"/>
          <w:color w:val="000000" w:themeColor="text1"/>
          <w:sz w:val="24"/>
          <w:szCs w:val="24"/>
          <w14:textFill>
            <w14:solidFill>
              <w14:schemeClr w14:val="tx1"/>
            </w14:solidFill>
          </w14:textFill>
        </w:rPr>
        <w:t>对乙方提交的相关</w:t>
      </w:r>
      <w:r>
        <w:rPr>
          <w:rFonts w:hint="eastAsia" w:asciiTheme="minorEastAsia" w:hAnsiTheme="minorEastAsia" w:eastAsiaTheme="minorEastAsia"/>
          <w:color w:val="000000" w:themeColor="text1"/>
          <w:sz w:val="24"/>
          <w:szCs w:val="24"/>
          <w14:textFill>
            <w14:solidFill>
              <w14:schemeClr w14:val="tx1"/>
            </w14:solidFill>
          </w14:textFill>
        </w:rPr>
        <w:t>机械、人员</w:t>
      </w:r>
      <w:r>
        <w:rPr>
          <w:rFonts w:asciiTheme="minorEastAsia" w:hAnsiTheme="minorEastAsia" w:eastAsiaTheme="minorEastAsia"/>
          <w:color w:val="000000" w:themeColor="text1"/>
          <w:sz w:val="24"/>
          <w:szCs w:val="24"/>
          <w14:textFill>
            <w14:solidFill>
              <w14:schemeClr w14:val="tx1"/>
            </w14:solidFill>
          </w14:textFill>
        </w:rPr>
        <w:t>资料进行审查，并</w:t>
      </w:r>
      <w:r>
        <w:rPr>
          <w:rFonts w:hint="eastAsia" w:asciiTheme="minorEastAsia" w:hAnsiTheme="minorEastAsia" w:eastAsiaTheme="minorEastAsia"/>
          <w:color w:val="000000" w:themeColor="text1"/>
          <w:sz w:val="24"/>
          <w:szCs w:val="24"/>
          <w14:textFill>
            <w14:solidFill>
              <w14:schemeClr w14:val="tx1"/>
            </w14:solidFill>
          </w14:textFill>
        </w:rPr>
        <w:t>制作</w:t>
      </w:r>
      <w:r>
        <w:rPr>
          <w:rFonts w:asciiTheme="minorEastAsia" w:hAnsiTheme="minorEastAsia" w:eastAsiaTheme="minorEastAsia"/>
          <w:color w:val="000000" w:themeColor="text1"/>
          <w:sz w:val="24"/>
          <w:szCs w:val="24"/>
          <w14:textFill>
            <w14:solidFill>
              <w14:schemeClr w14:val="tx1"/>
            </w14:solidFill>
          </w14:textFill>
        </w:rPr>
        <w:t>发放</w:t>
      </w:r>
      <w:r>
        <w:rPr>
          <w:rFonts w:hint="eastAsia" w:asciiTheme="minorEastAsia" w:hAnsiTheme="minorEastAsia" w:eastAsiaTheme="minorEastAsia"/>
          <w:color w:val="000000" w:themeColor="text1"/>
          <w:sz w:val="24"/>
          <w:szCs w:val="24"/>
          <w14:textFill>
            <w14:solidFill>
              <w14:schemeClr w14:val="tx1"/>
            </w14:solidFill>
          </w14:textFill>
        </w:rPr>
        <w:t>相关机械、人员准入</w:t>
      </w:r>
      <w:r>
        <w:rPr>
          <w:rFonts w:asciiTheme="minorEastAsia" w:hAnsiTheme="minorEastAsia" w:eastAsiaTheme="minorEastAsia"/>
          <w:color w:val="000000" w:themeColor="text1"/>
          <w:sz w:val="24"/>
          <w:szCs w:val="24"/>
          <w14:textFill>
            <w14:solidFill>
              <w14:schemeClr w14:val="tx1"/>
            </w14:solidFill>
          </w14:textFill>
        </w:rPr>
        <w:t>证</w:t>
      </w:r>
      <w:r>
        <w:rPr>
          <w:rFonts w:hint="eastAsia" w:asciiTheme="minorEastAsia" w:hAnsiTheme="minorEastAsia" w:eastAsiaTheme="minorEastAsia"/>
          <w:color w:val="000000" w:themeColor="text1"/>
          <w:sz w:val="24"/>
          <w:szCs w:val="24"/>
          <w14:textFill>
            <w14:solidFill>
              <w14:schemeClr w14:val="tx1"/>
            </w14:solidFill>
          </w14:textFill>
        </w:rPr>
        <w:t>件</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9"/>
        </w:numPr>
        <w:tabs>
          <w:tab w:val="left" w:pos="735"/>
          <w:tab w:val="clear" w:pos="1155"/>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甲方应当根据甲方的管理制度、本合同的约定及时向乙方支付安全文明施工措施费。</w:t>
      </w:r>
    </w:p>
    <w:p>
      <w:pPr>
        <w:numPr>
          <w:ilvl w:val="0"/>
          <w:numId w:val="7"/>
        </w:numPr>
        <w:adjustRightInd w:val="0"/>
        <w:snapToGrid w:val="0"/>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bCs/>
          <w:color w:val="000000" w:themeColor="text1"/>
          <w:sz w:val="24"/>
          <w:szCs w:val="24"/>
          <w14:textFill>
            <w14:solidFill>
              <w14:schemeClr w14:val="tx1"/>
            </w14:solidFill>
          </w14:textFill>
        </w:rPr>
        <w:t>的权利与义务</w:t>
      </w:r>
      <w:r>
        <w:rPr>
          <w:rFonts w:asciiTheme="minorEastAsia" w:hAnsiTheme="minorEastAsia" w:eastAsiaTheme="minorEastAsia"/>
          <w:bCs/>
          <w:color w:val="000000" w:themeColor="text1"/>
          <w:sz w:val="24"/>
          <w:szCs w:val="24"/>
          <w14:textFill>
            <w14:solidFill>
              <w14:schemeClr w14:val="tx1"/>
            </w14:solidFill>
          </w14:textFill>
        </w:rPr>
        <w:t>：</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遵守甲方制定的与工程管理有关的各项规章制度。</w:t>
      </w:r>
      <w:r>
        <w:rPr>
          <w:rFonts w:asciiTheme="minorEastAsia" w:hAnsiTheme="minorEastAsia" w:eastAsiaTheme="minorEastAsia"/>
          <w:color w:val="000000" w:themeColor="text1"/>
          <w:sz w:val="24"/>
          <w:szCs w:val="24"/>
          <w14:textFill>
            <w14:solidFill>
              <w14:schemeClr w14:val="tx1"/>
            </w14:solidFill>
          </w14:textFill>
        </w:rPr>
        <w:t>应建立健全工程项目的职业健康安全、环境管理体系</w:t>
      </w:r>
      <w:r>
        <w:rPr>
          <w:rFonts w:hint="eastAsia" w:asciiTheme="minorEastAsia" w:hAnsiTheme="minorEastAsia" w:eastAsiaTheme="minorEastAsia"/>
          <w:color w:val="000000" w:themeColor="text1"/>
          <w:sz w:val="24"/>
          <w:szCs w:val="24"/>
          <w14:textFill>
            <w14:solidFill>
              <w14:schemeClr w14:val="tx1"/>
            </w14:solidFill>
          </w14:textFill>
        </w:rPr>
        <w:t>，健全</w:t>
      </w:r>
      <w:r>
        <w:rPr>
          <w:rFonts w:asciiTheme="minorEastAsia" w:hAnsiTheme="minorEastAsia" w:eastAsiaTheme="minorEastAsia"/>
          <w:color w:val="000000" w:themeColor="text1"/>
          <w:sz w:val="24"/>
          <w:szCs w:val="24"/>
          <w14:textFill>
            <w14:solidFill>
              <w14:schemeClr w14:val="tx1"/>
            </w14:solidFill>
          </w14:textFill>
        </w:rPr>
        <w:t>责任</w:t>
      </w:r>
      <w:r>
        <w:rPr>
          <w:rFonts w:hint="eastAsia" w:asciiTheme="minorEastAsia" w:hAnsiTheme="minorEastAsia" w:eastAsiaTheme="minorEastAsia"/>
          <w:color w:val="000000" w:themeColor="text1"/>
          <w:sz w:val="24"/>
          <w:szCs w:val="24"/>
          <w14:textFill>
            <w14:solidFill>
              <w14:schemeClr w14:val="tx1"/>
            </w14:solidFill>
          </w14:textFill>
        </w:rPr>
        <w:t>体制</w:t>
      </w:r>
      <w:r>
        <w:rPr>
          <w:rFonts w:asciiTheme="minorEastAsia" w:hAnsiTheme="minorEastAsia" w:eastAsiaTheme="minorEastAsia"/>
          <w:color w:val="000000" w:themeColor="text1"/>
          <w:sz w:val="24"/>
          <w:szCs w:val="24"/>
          <w14:textFill>
            <w14:solidFill>
              <w14:schemeClr w14:val="tx1"/>
            </w14:solidFill>
          </w14:textFill>
        </w:rPr>
        <w:t>，编</w:t>
      </w:r>
      <w:r>
        <w:rPr>
          <w:rFonts w:hint="eastAsia" w:asciiTheme="minorEastAsia" w:hAnsiTheme="minorEastAsia" w:eastAsiaTheme="minorEastAsia"/>
          <w:color w:val="000000" w:themeColor="text1"/>
          <w:sz w:val="24"/>
          <w:szCs w:val="24"/>
          <w14:textFill>
            <w14:solidFill>
              <w14:schemeClr w14:val="tx1"/>
            </w14:solidFill>
          </w14:textFill>
        </w:rPr>
        <w:t>制</w:t>
      </w:r>
      <w:r>
        <w:rPr>
          <w:rFonts w:asciiTheme="minorEastAsia" w:hAnsiTheme="minorEastAsia" w:eastAsiaTheme="minorEastAsia"/>
          <w:color w:val="000000" w:themeColor="text1"/>
          <w:sz w:val="24"/>
          <w:szCs w:val="24"/>
          <w14:textFill>
            <w14:solidFill>
              <w14:schemeClr w14:val="tx1"/>
            </w14:solidFill>
          </w14:textFill>
        </w:rPr>
        <w:t>安健环过程控制程序和安健环工作规程</w:t>
      </w:r>
      <w:r>
        <w:rPr>
          <w:rFonts w:hint="eastAsia" w:asciiTheme="minorEastAsia" w:hAnsiTheme="minorEastAsia" w:eastAsiaTheme="minorEastAsia"/>
          <w:color w:val="000000" w:themeColor="text1"/>
          <w:sz w:val="24"/>
          <w:szCs w:val="24"/>
          <w14:textFill>
            <w14:solidFill>
              <w14:schemeClr w14:val="tx1"/>
            </w14:solidFill>
          </w14:textFill>
        </w:rPr>
        <w:t>。</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乙方施工现场应</w:t>
      </w:r>
      <w:r>
        <w:rPr>
          <w:rFonts w:hint="eastAsia" w:asciiTheme="minorEastAsia" w:hAnsiTheme="minorEastAsia" w:eastAsiaTheme="minorEastAsia"/>
          <w:color w:val="000000" w:themeColor="text1"/>
          <w:sz w:val="24"/>
          <w:szCs w:val="24"/>
          <w14:textFill>
            <w14:solidFill>
              <w14:schemeClr w14:val="tx1"/>
            </w14:solidFill>
          </w14:textFill>
        </w:rPr>
        <w:t>按照《建筑施工企业安全生产管理机构设置及专职安全生产管理人员配备办法》（建质</w:t>
      </w:r>
      <w:r>
        <w:rPr>
          <w:rFonts w:asciiTheme="minorEastAsia" w:hAnsiTheme="minorEastAsia" w:eastAsiaTheme="minorEastAsia"/>
          <w:color w:val="000000" w:themeColor="text1"/>
          <w:sz w:val="24"/>
          <w:szCs w:val="24"/>
          <w14:textFill>
            <w14:solidFill>
              <w14:schemeClr w14:val="tx1"/>
            </w14:solidFill>
          </w14:textFill>
        </w:rPr>
        <w:t>[2008]91号）等国家相关规定，配备足够数量</w:t>
      </w:r>
      <w:r>
        <w:rPr>
          <w:rFonts w:hint="eastAsia" w:asciiTheme="minorEastAsia" w:hAnsiTheme="minorEastAsia" w:eastAsiaTheme="minorEastAsia"/>
          <w:color w:val="000000" w:themeColor="text1"/>
          <w:sz w:val="24"/>
          <w:szCs w:val="24"/>
          <w14:textFill>
            <w14:solidFill>
              <w14:schemeClr w14:val="tx1"/>
            </w14:solidFill>
          </w14:textFill>
        </w:rPr>
        <w:t>及具备相应资质、技能、专业从业年限（</w:t>
      </w:r>
      <w:r>
        <w:rPr>
          <w:rFonts w:asciiTheme="minorEastAsia" w:hAnsiTheme="minorEastAsia" w:eastAsiaTheme="minorEastAsia"/>
          <w:color w:val="000000" w:themeColor="text1"/>
          <w:sz w:val="24"/>
          <w:szCs w:val="24"/>
          <w14:textFill>
            <w14:solidFill>
              <w14:schemeClr w14:val="tx1"/>
            </w14:solidFill>
          </w14:textFill>
        </w:rPr>
        <w:t>5年以上）的专（兼）职安全</w:t>
      </w:r>
      <w:r>
        <w:rPr>
          <w:rFonts w:hint="eastAsia" w:asciiTheme="minorEastAsia" w:hAnsiTheme="minorEastAsia" w:eastAsiaTheme="minorEastAsia"/>
          <w:color w:val="000000" w:themeColor="text1"/>
          <w:sz w:val="24"/>
          <w:szCs w:val="24"/>
          <w14:textFill>
            <w14:solidFill>
              <w14:schemeClr w14:val="tx1"/>
            </w14:solidFill>
          </w14:textFill>
        </w:rPr>
        <w:t>监督</w:t>
      </w:r>
      <w:r>
        <w:rPr>
          <w:rFonts w:asciiTheme="minorEastAsia" w:hAnsiTheme="minorEastAsia" w:eastAsiaTheme="minorEastAsia"/>
          <w:color w:val="000000" w:themeColor="text1"/>
          <w:sz w:val="24"/>
          <w:szCs w:val="24"/>
          <w14:textFill>
            <w14:solidFill>
              <w14:schemeClr w14:val="tx1"/>
            </w14:solidFill>
          </w14:textFill>
        </w:rPr>
        <w:t>管理人员</w:t>
      </w:r>
      <w:r>
        <w:rPr>
          <w:rFonts w:hint="eastAsia" w:asciiTheme="minorEastAsia" w:hAnsiTheme="minorEastAsia" w:eastAsiaTheme="minorEastAsia"/>
          <w:color w:val="000000" w:themeColor="text1"/>
          <w:sz w:val="24"/>
          <w:szCs w:val="24"/>
          <w14:textFill>
            <w14:solidFill>
              <w14:schemeClr w14:val="tx1"/>
            </w14:solidFill>
          </w14:textFill>
        </w:rPr>
        <w:t>，组建项目安全生产领导小组，配备项目专职安全生产管理人员</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w:t>
      </w:r>
      <w:r>
        <w:rPr>
          <w:rFonts w:asciiTheme="minorEastAsia" w:hAnsiTheme="minorEastAsia" w:eastAsiaTheme="minorEastAsia"/>
          <w:color w:val="000000" w:themeColor="text1"/>
          <w:sz w:val="24"/>
          <w:szCs w:val="24"/>
          <w14:textFill>
            <w14:solidFill>
              <w14:schemeClr w14:val="tx1"/>
            </w14:solidFill>
          </w14:textFill>
        </w:rPr>
        <w:t>方应指派符合国家规定并满足项目安健环管理要求的安</w:t>
      </w:r>
      <w:r>
        <w:rPr>
          <w:rFonts w:hint="eastAsia" w:asciiTheme="minorEastAsia" w:hAnsiTheme="minorEastAsia" w:eastAsiaTheme="minorEastAsia"/>
          <w:color w:val="000000" w:themeColor="text1"/>
          <w:sz w:val="24"/>
          <w:szCs w:val="24"/>
          <w14:textFill>
            <w14:solidFill>
              <w14:schemeClr w14:val="tx1"/>
            </w14:solidFill>
          </w14:textFill>
        </w:rPr>
        <w:t>全监督</w:t>
      </w:r>
      <w:r>
        <w:rPr>
          <w:rFonts w:asciiTheme="minorEastAsia" w:hAnsiTheme="minorEastAsia" w:eastAsiaTheme="minorEastAsia"/>
          <w:color w:val="000000" w:themeColor="text1"/>
          <w:sz w:val="24"/>
          <w:szCs w:val="24"/>
          <w14:textFill>
            <w14:solidFill>
              <w14:schemeClr w14:val="tx1"/>
            </w14:solidFill>
          </w14:textFill>
        </w:rPr>
        <w:t>管理人员，具体负责日常安全事务的沟通与联系</w:t>
      </w:r>
      <w:r>
        <w:rPr>
          <w:rFonts w:hint="eastAsia" w:asciiTheme="minorEastAsia" w:hAnsiTheme="minorEastAsia" w:eastAsiaTheme="minorEastAsia"/>
          <w:color w:val="000000" w:themeColor="text1"/>
          <w:sz w:val="24"/>
          <w:szCs w:val="24"/>
          <w14:textFill>
            <w14:solidFill>
              <w14:schemeClr w14:val="tx1"/>
            </w14:solidFill>
          </w14:textFill>
        </w:rPr>
        <w:t>。</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乙方项目经理</w:t>
      </w:r>
      <w:r>
        <w:rPr>
          <w:rFonts w:hint="eastAsia" w:asciiTheme="minorEastAsia" w:hAnsiTheme="minorEastAsia" w:eastAsiaTheme="minorEastAsia"/>
          <w:color w:val="000000" w:themeColor="text1"/>
          <w:sz w:val="24"/>
          <w:szCs w:val="24"/>
          <w14:textFill>
            <w14:solidFill>
              <w14:schemeClr w14:val="tx1"/>
            </w14:solidFill>
          </w14:textFill>
        </w:rPr>
        <w:t>应当由取得相应执业资格的人员担任，依法</w:t>
      </w:r>
      <w:r>
        <w:rPr>
          <w:rFonts w:asciiTheme="minorEastAsia" w:hAnsiTheme="minorEastAsia" w:eastAsiaTheme="minorEastAsia"/>
          <w:color w:val="000000" w:themeColor="text1"/>
          <w:sz w:val="24"/>
          <w:szCs w:val="24"/>
          <w14:textFill>
            <w14:solidFill>
              <w14:schemeClr w14:val="tx1"/>
            </w14:solidFill>
          </w14:textFill>
        </w:rPr>
        <w:t>全面负责本项目的安健环工作</w:t>
      </w:r>
      <w:r>
        <w:rPr>
          <w:rFonts w:hint="eastAsia" w:asciiTheme="minorEastAsia" w:hAnsiTheme="minorEastAsia" w:eastAsiaTheme="minorEastAsia"/>
          <w:color w:val="000000" w:themeColor="text1"/>
          <w:sz w:val="24"/>
          <w:szCs w:val="24"/>
          <w14:textFill>
            <w14:solidFill>
              <w14:schemeClr w14:val="tx1"/>
            </w14:solidFill>
          </w14:textFill>
        </w:rPr>
        <w:t>，应执行国家、政府和甲方规定的建设项目安健环或标准化工地建设等管理要求，确保安全生产费用的有效使用，并根据工程的特点组织制定安全施工措施，消除安全事故隐患，及时、如实报告生产安全事故。</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乙方保证指派主管施工的项目经理参加甲方组建的安全生产委员会，积极参与工程项目的安健环管理。参加由甲方牵头，有监理方、承包方三方组建的日常安健环管理，必须是取得专业证书的专职管理人员。</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当建立健全并严格落实安全生产责任制度和安全生产教育培训制度，制定安健环规章制度和操作规程，保证本单位安全生产条件所需资金的投入，对所承担的建设工程进行定期和专项安全检查，并做好安全检查记录。</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乙方应当及时执行甲方或者监理工程师发出的安全文明施工的工作指令，及时消除安全隐患。因安全隐患严重监理工程师要求乙方暂停施工的，乙方应当立即暂停施工。</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乙方对列入本工程项目的安全作业环境及安全施工措施所需费用，应当用于施工安全防护用具及设施的采购和更新、安全施工措施的落实、安全生产条件的改善，不得挪作他用。</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乙方应当根据不同施工阶段和周围环境及季节、气候的变化，在施工现场采取相应的安全施工措施。施工现场暂时停止施工的，乙方应当做好现场防护。</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当将施工现场的办公、生活区与作业区分开设置，并保持安全距离；办公、生活区的选址应当符合安全性要求。职工的膳食、饮水、休息场所等应当符合卫生标准。乙方不得在尚未竣工的建筑物内设置员工集体宿舍。施工现场临时搭建的建筑物应当符合安全使用要求。施工现场使用的装配式活动房屋应当具有产品合格证。</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对因建设工程施工可能造成损害的毗邻建筑物、构筑物和地下管线等，应当采取专项防护措施。应当遵守有关环境保护法律、法规的规定，在施工现场采取措施，防止或者减少粉尘、废气、废水、固体废物、噪声、振动和施工照明对人和环境的危害和污染。</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采购、租赁的安全防护用具、机械设备、施工机具及配件，应当具有生产（制造）许可证、产品合格证，并在进入施工现场前进行查验。并必须由专人管理，定期进行检查、维修和保养，建立相应的资料档案，并按照国家有关规定及时报废。</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乙方应对带入现场的特种设备按照国家法规和标准进行检测、试验，并持有法定部门出具的检验证书。</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在使用施工起重机械和整体提升脚手架、模板等自升式架设设施前，应当组织有关单位进行验收，也可以委托具有相应资质的检验检测机构进行验收；使用承租的机械设备和施工机具及配件的，由乙方、出租单位和安装单位共同进行验收。验收合格的方可使用。</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乙方保证执行“谁施工、谁负责”施工安全的原则。</w:t>
      </w:r>
      <w:r>
        <w:rPr>
          <w:rFonts w:hint="eastAsia" w:asciiTheme="minorEastAsia" w:hAnsiTheme="minorEastAsia" w:eastAsiaTheme="minorEastAsia"/>
          <w:color w:val="000000" w:themeColor="text1"/>
          <w:sz w:val="24"/>
          <w:szCs w:val="24"/>
          <w14:textFill>
            <w14:solidFill>
              <w14:schemeClr w14:val="tx1"/>
            </w14:solidFill>
          </w14:textFill>
        </w:rPr>
        <w:t>同时乙方保证执行甲方相关建设工程安健环管理文件规定，以工程分包管理责任不分包为原则。</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乙方应为现场所有工作人员（含劳务合作人员）配备符合国家标准的个人基本劳动保护用品</w:t>
      </w:r>
      <w:r>
        <w:rPr>
          <w:rFonts w:hint="eastAsia" w:asciiTheme="minorEastAsia" w:hAnsiTheme="minorEastAsia" w:eastAsiaTheme="minorEastAsia"/>
          <w:color w:val="000000" w:themeColor="text1"/>
          <w:sz w:val="24"/>
          <w:szCs w:val="24"/>
          <w14:textFill>
            <w14:solidFill>
              <w14:schemeClr w14:val="tx1"/>
            </w14:solidFill>
          </w14:textFill>
        </w:rPr>
        <w:t>和必要的安全防护用具，并书面告知危险岗位的操作规程和违章操作的危害</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乙方应按照国家法律规定为</w:t>
      </w:r>
      <w:r>
        <w:rPr>
          <w:rFonts w:hint="eastAsia" w:asciiTheme="minorEastAsia" w:hAnsiTheme="minorEastAsia" w:eastAsiaTheme="minorEastAsia"/>
          <w:color w:val="000000" w:themeColor="text1"/>
          <w:sz w:val="24"/>
          <w:szCs w:val="24"/>
          <w14:textFill>
            <w14:solidFill>
              <w14:schemeClr w14:val="tx1"/>
            </w14:solidFill>
          </w14:textFill>
        </w:rPr>
        <w:t>本单位</w:t>
      </w:r>
      <w:r>
        <w:rPr>
          <w:rFonts w:asciiTheme="minorEastAsia" w:hAnsiTheme="minorEastAsia" w:eastAsiaTheme="minorEastAsia"/>
          <w:color w:val="000000" w:themeColor="text1"/>
          <w:sz w:val="24"/>
          <w:szCs w:val="24"/>
          <w14:textFill>
            <w14:solidFill>
              <w14:schemeClr w14:val="tx1"/>
            </w14:solidFill>
          </w14:textFill>
        </w:rPr>
        <w:t>现场所有工作人员（含劳务合作人员）购买工伤保险。</w:t>
      </w:r>
      <w:r>
        <w:rPr>
          <w:rFonts w:hint="eastAsia" w:asciiTheme="minorEastAsia" w:hAnsiTheme="minorEastAsia" w:eastAsiaTheme="minorEastAsia"/>
          <w:color w:val="000000" w:themeColor="text1"/>
          <w:sz w:val="24"/>
          <w:szCs w:val="24"/>
          <w14:textFill>
            <w14:solidFill>
              <w14:schemeClr w14:val="tx1"/>
            </w14:solidFill>
          </w14:textFill>
        </w:rPr>
        <w:t>乙方应当为施工现场从事危险作业的人员办理意外伤害保险，意外伤害保险费由乙方自行支付，意外伤害保险期限自建设工程开工之日起至竣工验收合格止。</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乙方应保证施工生活营地（包括自建的和租用的营地）满足消防、安全用电、卫生防疫、防暴雨、防雷击等方面的安全要求。</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乙方保证制订施工现场的文明施工措施，保持施工现场的良好秩序和整洁的作业环境。</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乙方在施工过程中应与当地政府、周边群众及现场其他乙方保持良好的沟通和交流。</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乙方为工程总承包单位，或者乙方对其承包的工程进行分包的，由乙方对施工现场的安全生产负总责。</w:t>
      </w:r>
    </w:p>
    <w:p>
      <w:pPr>
        <w:numPr>
          <w:ilvl w:val="0"/>
          <w:numId w:val="10"/>
        </w:numPr>
        <w:tabs>
          <w:tab w:val="left" w:pos="540"/>
          <w:tab w:val="left" w:pos="63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工程施工现场有第三方单位同时施工或者交叉施工可能危及对方生产安全的，乙方应当与第三方施工单位签订安全生产管理协议，明确各自的安全生产管理职责和应当采取的安全措施，并指定专职安全生产管理人员进行安全检查与协调。</w:t>
      </w:r>
    </w:p>
    <w:p>
      <w:pPr>
        <w:pStyle w:val="6"/>
        <w:ind w:firstLine="482"/>
      </w:pPr>
      <w:bookmarkStart w:id="74" w:name="_Toc1736184"/>
      <w:bookmarkStart w:id="75" w:name="_Toc487527036"/>
      <w:bookmarkStart w:id="76" w:name="_Toc491172664"/>
      <w:r>
        <w:rPr>
          <w:rFonts w:hint="eastAsia"/>
        </w:rPr>
        <w:t>三</w:t>
      </w:r>
      <w:r>
        <w:t>、接口协调与安</w:t>
      </w:r>
      <w:r>
        <w:rPr>
          <w:rFonts w:hint="eastAsia"/>
        </w:rPr>
        <w:t>健环</w:t>
      </w:r>
      <w:r>
        <w:t>协议</w:t>
      </w:r>
      <w:bookmarkEnd w:id="74"/>
      <w:bookmarkEnd w:id="75"/>
      <w:bookmarkEnd w:id="76"/>
    </w:p>
    <w:p>
      <w:pPr>
        <w:numPr>
          <w:ilvl w:val="0"/>
          <w:numId w:val="11"/>
        </w:numPr>
        <w:tabs>
          <w:tab w:val="left" w:pos="420"/>
          <w:tab w:val="clear" w:pos="630"/>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乙方应指定专职</w:t>
      </w:r>
      <w:r>
        <w:rPr>
          <w:rFonts w:hint="eastAsia" w:asciiTheme="minorEastAsia" w:hAnsiTheme="minorEastAsia" w:eastAsiaTheme="minorEastAsia"/>
          <w:color w:val="000000" w:themeColor="text1"/>
          <w:sz w:val="24"/>
          <w:szCs w:val="24"/>
          <w14:textFill>
            <w14:solidFill>
              <w14:schemeClr w14:val="tx1"/>
            </w14:solidFill>
          </w14:textFill>
        </w:rPr>
        <w:t>安健环</w:t>
      </w:r>
      <w:r>
        <w:rPr>
          <w:rFonts w:asciiTheme="minorEastAsia" w:hAnsiTheme="minorEastAsia" w:eastAsiaTheme="minorEastAsia"/>
          <w:color w:val="000000" w:themeColor="text1"/>
          <w:sz w:val="24"/>
          <w:szCs w:val="24"/>
          <w14:textFill>
            <w14:solidFill>
              <w14:schemeClr w14:val="tx1"/>
            </w14:solidFill>
          </w14:textFill>
        </w:rPr>
        <w:t>管理人员与甲方相应部门接口，参与安健环协调和管理。安健环协调和管理的内容包括职业健康、工业安全、消防安全、卫生防疫、交通安全、环境保护、治安保卫等各方面。</w:t>
      </w:r>
    </w:p>
    <w:p>
      <w:pPr>
        <w:numPr>
          <w:ilvl w:val="0"/>
          <w:numId w:val="11"/>
        </w:numPr>
        <w:tabs>
          <w:tab w:val="left" w:pos="420"/>
          <w:tab w:val="clear" w:pos="630"/>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合同签订后，乙方应积极</w:t>
      </w:r>
      <w:r>
        <w:rPr>
          <w:rFonts w:hint="eastAsia" w:asciiTheme="minorEastAsia" w:hAnsiTheme="minorEastAsia" w:eastAsiaTheme="minorEastAsia"/>
          <w:color w:val="000000" w:themeColor="text1"/>
          <w:sz w:val="24"/>
          <w:szCs w:val="24"/>
          <w14:textFill>
            <w14:solidFill>
              <w14:schemeClr w14:val="tx1"/>
            </w14:solidFill>
          </w14:textFill>
        </w:rPr>
        <w:t>参与</w:t>
      </w:r>
      <w:r>
        <w:rPr>
          <w:rFonts w:asciiTheme="minorEastAsia" w:hAnsiTheme="minorEastAsia" w:eastAsiaTheme="minorEastAsia"/>
          <w:color w:val="000000" w:themeColor="text1"/>
          <w:sz w:val="24"/>
          <w:szCs w:val="24"/>
          <w14:textFill>
            <w14:solidFill>
              <w14:schemeClr w14:val="tx1"/>
            </w14:solidFill>
          </w14:textFill>
        </w:rPr>
        <w:t>配合甲方建立</w:t>
      </w:r>
      <w:r>
        <w:rPr>
          <w:rFonts w:hint="eastAsia" w:asciiTheme="minorEastAsia" w:hAnsiTheme="minorEastAsia" w:eastAsiaTheme="minorEastAsia"/>
          <w:color w:val="000000" w:themeColor="text1"/>
          <w:sz w:val="24"/>
          <w:szCs w:val="24"/>
          <w14:textFill>
            <w14:solidFill>
              <w14:schemeClr w14:val="tx1"/>
            </w14:solidFill>
          </w14:textFill>
        </w:rPr>
        <w:t>健全安全监督网络和安委会的日常工作</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11"/>
        </w:numPr>
        <w:tabs>
          <w:tab w:val="left" w:pos="420"/>
          <w:tab w:val="clear" w:pos="630"/>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乙方应按照</w:t>
      </w:r>
      <w:r>
        <w:rPr>
          <w:rFonts w:hint="eastAsia" w:asciiTheme="minorEastAsia" w:hAnsiTheme="minorEastAsia" w:eastAsiaTheme="minorEastAsia"/>
          <w:color w:val="000000" w:themeColor="text1"/>
          <w:sz w:val="24"/>
          <w:szCs w:val="24"/>
          <w14:textFill>
            <w14:solidFill>
              <w14:schemeClr w14:val="tx1"/>
            </w14:solidFill>
          </w14:textFill>
        </w:rPr>
        <w:t>甲方相关</w:t>
      </w:r>
      <w:r>
        <w:rPr>
          <w:rFonts w:asciiTheme="minorEastAsia" w:hAnsiTheme="minorEastAsia" w:eastAsiaTheme="minorEastAsia"/>
          <w:color w:val="000000" w:themeColor="text1"/>
          <w:sz w:val="24"/>
          <w:szCs w:val="24"/>
          <w14:textFill>
            <w14:solidFill>
              <w14:schemeClr w14:val="tx1"/>
            </w14:solidFill>
          </w14:textFill>
        </w:rPr>
        <w:t>要求及时整理、编写相关信息，报送安健环月报及安全生产事故等信息报表。</w:t>
      </w:r>
    </w:p>
    <w:p>
      <w:pPr>
        <w:numPr>
          <w:ilvl w:val="0"/>
          <w:numId w:val="11"/>
        </w:numPr>
        <w:tabs>
          <w:tab w:val="left" w:pos="420"/>
          <w:tab w:val="clear" w:pos="630"/>
        </w:tabs>
        <w:adjustRightInd w:val="0"/>
        <w:snapToGrid w:val="0"/>
        <w:spacing w:line="360" w:lineRule="auto"/>
        <w:ind w:left="0"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乙方现场</w:t>
      </w:r>
      <w:r>
        <w:rPr>
          <w:rFonts w:hint="eastAsia" w:asciiTheme="minorEastAsia" w:hAnsiTheme="minorEastAsia" w:eastAsiaTheme="minorEastAsia"/>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szCs w:val="24"/>
          <w14:textFill>
            <w14:solidFill>
              <w14:schemeClr w14:val="tx1"/>
            </w14:solidFill>
          </w14:textFill>
        </w:rPr>
        <w:t>施工须符合甲方现场</w:t>
      </w:r>
      <w:r>
        <w:rPr>
          <w:rFonts w:hint="eastAsia" w:asciiTheme="minorEastAsia" w:hAnsiTheme="minorEastAsia" w:eastAsiaTheme="minorEastAsia"/>
          <w:color w:val="000000" w:themeColor="text1"/>
          <w:sz w:val="24"/>
          <w:szCs w:val="24"/>
          <w14:textFill>
            <w14:solidFill>
              <w14:schemeClr w14:val="tx1"/>
            </w14:solidFill>
          </w14:textFill>
        </w:rPr>
        <w:t>安健环</w:t>
      </w:r>
      <w:r>
        <w:rPr>
          <w:rFonts w:asciiTheme="minorEastAsia" w:hAnsiTheme="minorEastAsia" w:eastAsiaTheme="minorEastAsia"/>
          <w:color w:val="000000" w:themeColor="text1"/>
          <w:sz w:val="24"/>
          <w:szCs w:val="24"/>
          <w14:textFill>
            <w14:solidFill>
              <w14:schemeClr w14:val="tx1"/>
            </w14:solidFill>
          </w14:textFill>
        </w:rPr>
        <w:t>管理的基本要求。</w:t>
      </w:r>
    </w:p>
    <w:p>
      <w:pPr>
        <w:pStyle w:val="6"/>
        <w:ind w:firstLine="482"/>
      </w:pPr>
      <w:bookmarkStart w:id="77" w:name="_Toc491172665"/>
      <w:bookmarkStart w:id="78" w:name="_Toc487527037"/>
      <w:bookmarkStart w:id="79" w:name="_Toc1736185"/>
      <w:r>
        <w:rPr>
          <w:rFonts w:hint="eastAsia"/>
        </w:rPr>
        <w:t>四</w:t>
      </w:r>
      <w:r>
        <w:t>、安健环体系审查</w:t>
      </w:r>
      <w:bookmarkEnd w:id="77"/>
      <w:bookmarkEnd w:id="78"/>
      <w:bookmarkEnd w:id="79"/>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乙方应严格遵循国家及甲方有关建设工程安健环法律、法规及管理文件规定，向甲方</w:t>
      </w:r>
      <w:r>
        <w:rPr>
          <w:rFonts w:asciiTheme="minorEastAsia" w:hAnsiTheme="minorEastAsia" w:eastAsiaTheme="minorEastAsia"/>
          <w:color w:val="000000" w:themeColor="text1"/>
          <w:sz w:val="24"/>
          <w:szCs w:val="24"/>
          <w14:textFill>
            <w14:solidFill>
              <w14:schemeClr w14:val="tx1"/>
            </w14:solidFill>
          </w14:textFill>
        </w:rPr>
        <w:t>安健环</w:t>
      </w:r>
      <w:r>
        <w:rPr>
          <w:rFonts w:hint="eastAsia" w:asciiTheme="minorEastAsia" w:hAnsiTheme="minorEastAsia" w:eastAsiaTheme="minorEastAsia"/>
          <w:color w:val="000000" w:themeColor="text1"/>
          <w:sz w:val="24"/>
          <w:szCs w:val="24"/>
          <w14:textFill>
            <w14:solidFill>
              <w14:schemeClr w14:val="tx1"/>
            </w14:solidFill>
          </w14:textFill>
        </w:rPr>
        <w:t>部门提供以下安健环资料供审查和存档。若乙方在本协议生效之日起30天内未向甲方提供以下资料或者提供的资料经甲方审查不符合上述规定要求的，甲方有权书面通知乙方解除项目本合同以及本协议，一切责任由乙方承担：</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有关部门颁发的营业执照和施工资质证书。</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有关部门颁发的“安全施工合格证”、施工简历和近三年安全施工纪录。</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上年度和上一工程发包单位对分包单位安全施工的结论。</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项目安健环组织机构及</w:t>
      </w:r>
      <w:r>
        <w:rPr>
          <w:rFonts w:hint="eastAsia" w:asciiTheme="minorEastAsia" w:hAnsiTheme="minorEastAsia" w:eastAsiaTheme="minorEastAsia"/>
          <w:color w:val="000000" w:themeColor="text1"/>
          <w:sz w:val="24"/>
          <w:szCs w:val="24"/>
          <w14:textFill>
            <w14:solidFill>
              <w14:schemeClr w14:val="tx1"/>
            </w14:solidFill>
          </w14:textFill>
        </w:rPr>
        <w:t>其人员配备、持证情况</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安全施工的人力投入计划及特种作业人员取证情况。</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安全施工的技术素质（包括负责人、工程技术人员和工人情况名册）及特种作业人员取证情况。</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保证安全施工的机械、工器具及安全防护设施、用具的配备情况。</w:t>
      </w:r>
    </w:p>
    <w:p>
      <w:pPr>
        <w:numPr>
          <w:ilvl w:val="0"/>
          <w:numId w:val="12"/>
        </w:numPr>
        <w:tabs>
          <w:tab w:val="left" w:pos="840"/>
          <w:tab w:val="clear" w:pos="630"/>
        </w:tabs>
        <w:adjustRightInd w:val="0"/>
        <w:snapToGrid w:val="0"/>
        <w:spacing w:line="360" w:lineRule="auto"/>
        <w:ind w:left="-2" w:leftChars="-1" w:firstLine="420" w:firstLineChars="17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适用于本项目的安健环过程管理的程序和安全工作规程。</w:t>
      </w:r>
    </w:p>
    <w:p>
      <w:pPr>
        <w:pStyle w:val="6"/>
        <w:ind w:firstLine="482"/>
      </w:pPr>
      <w:bookmarkStart w:id="80" w:name="_Toc487527038"/>
      <w:bookmarkStart w:id="81" w:name="_Toc491172666"/>
      <w:bookmarkStart w:id="82" w:name="_Toc1736186"/>
      <w:r>
        <w:rPr>
          <w:rFonts w:hint="eastAsia"/>
        </w:rPr>
        <w:t>五</w:t>
      </w:r>
      <w:r>
        <w:t>、人员基本素质</w:t>
      </w:r>
      <w:bookmarkEnd w:id="80"/>
      <w:bookmarkEnd w:id="81"/>
      <w:bookmarkEnd w:id="82"/>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乙方提供的人员必须满足下列要求：</w:t>
      </w:r>
    </w:p>
    <w:p>
      <w:pPr>
        <w:numPr>
          <w:ilvl w:val="0"/>
          <w:numId w:val="13"/>
        </w:numPr>
        <w:tabs>
          <w:tab w:val="left" w:pos="84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乙方应确保雇用的人员（包括间接雇用的人员）</w:t>
      </w:r>
      <w:r>
        <w:rPr>
          <w:rFonts w:hint="eastAsia" w:asciiTheme="minorEastAsia" w:hAnsiTheme="minorEastAsia" w:eastAsiaTheme="minorEastAsia"/>
          <w:color w:val="000000" w:themeColor="text1"/>
          <w:sz w:val="24"/>
          <w:szCs w:val="24"/>
          <w14:textFill>
            <w14:solidFill>
              <w14:schemeClr w14:val="tx1"/>
            </w14:solidFill>
          </w14:textFill>
        </w:rPr>
        <w:t>提供</w:t>
      </w:r>
      <w:r>
        <w:rPr>
          <w:rFonts w:asciiTheme="minorEastAsia" w:hAnsiTheme="minorEastAsia" w:eastAsiaTheme="minorEastAsia"/>
          <w:color w:val="000000" w:themeColor="text1"/>
          <w:sz w:val="24"/>
          <w:szCs w:val="24"/>
          <w14:textFill>
            <w14:solidFill>
              <w14:schemeClr w14:val="tx1"/>
            </w14:solidFill>
          </w14:textFill>
        </w:rPr>
        <w:t>一年内的体检证明，所有人员应无影响工作的精神疾病、传染病</w:t>
      </w:r>
      <w:r>
        <w:rPr>
          <w:rFonts w:hint="eastAsia" w:asciiTheme="minorEastAsia" w:hAnsiTheme="minorEastAsia" w:eastAsiaTheme="minorEastAsia"/>
          <w:color w:val="000000" w:themeColor="text1"/>
          <w:sz w:val="24"/>
          <w:szCs w:val="24"/>
          <w14:textFill>
            <w14:solidFill>
              <w14:schemeClr w14:val="tx1"/>
            </w14:solidFill>
          </w14:textFill>
        </w:rPr>
        <w:t>、职业</w:t>
      </w:r>
      <w:r>
        <w:rPr>
          <w:rFonts w:asciiTheme="minorEastAsia" w:hAnsiTheme="minorEastAsia" w:eastAsiaTheme="minorEastAsia"/>
          <w:color w:val="000000" w:themeColor="text1"/>
          <w:sz w:val="24"/>
          <w:szCs w:val="24"/>
          <w14:textFill>
            <w14:solidFill>
              <w14:schemeClr w14:val="tx1"/>
            </w14:solidFill>
          </w14:textFill>
        </w:rPr>
        <w:t>禁忌症</w:t>
      </w:r>
      <w:r>
        <w:rPr>
          <w:rFonts w:hint="eastAsia" w:asciiTheme="minorEastAsia" w:hAnsiTheme="minorEastAsia" w:eastAsiaTheme="minorEastAsia"/>
          <w:color w:val="000000" w:themeColor="text1"/>
          <w:sz w:val="24"/>
          <w:szCs w:val="24"/>
          <w14:textFill>
            <w14:solidFill>
              <w14:schemeClr w14:val="tx1"/>
            </w14:solidFill>
          </w14:textFill>
        </w:rPr>
        <w:t>等</w:t>
      </w:r>
      <w:r>
        <w:rPr>
          <w:rFonts w:asciiTheme="minorEastAsia" w:hAnsiTheme="minorEastAsia" w:eastAsiaTheme="minorEastAsia"/>
          <w:color w:val="000000" w:themeColor="text1"/>
          <w:sz w:val="24"/>
          <w:szCs w:val="24"/>
          <w14:textFill>
            <w14:solidFill>
              <w14:schemeClr w14:val="tx1"/>
            </w14:solidFill>
          </w14:textFill>
        </w:rPr>
        <w:t>疾病。</w:t>
      </w:r>
    </w:p>
    <w:p>
      <w:pPr>
        <w:numPr>
          <w:ilvl w:val="0"/>
          <w:numId w:val="13"/>
        </w:numPr>
        <w:tabs>
          <w:tab w:val="left" w:pos="84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甲方有权要求乙方更换涉嫌刑事犯罪、违反治安管理处罚法或存在下列行为的人员：</w:t>
      </w:r>
      <w:r>
        <w:rPr>
          <w:rFonts w:asciiTheme="minorEastAsia" w:hAnsiTheme="minorEastAsia" w:eastAsiaTheme="minorEastAsia"/>
          <w:color w:val="000000" w:themeColor="text1"/>
          <w:sz w:val="24"/>
          <w:szCs w:val="24"/>
          <w14:textFill>
            <w14:solidFill>
              <w14:schemeClr w14:val="tx1"/>
            </w14:solidFill>
          </w14:textFill>
        </w:rPr>
        <w:t>违法乱纪行为</w:t>
      </w:r>
      <w:r>
        <w:rPr>
          <w:rFonts w:hint="eastAsia" w:asciiTheme="minorEastAsia" w:hAnsiTheme="minorEastAsia" w:eastAsiaTheme="minorEastAsia"/>
          <w:color w:val="000000" w:themeColor="text1"/>
          <w:sz w:val="24"/>
          <w:szCs w:val="24"/>
          <w14:textFill>
            <w14:solidFill>
              <w14:schemeClr w14:val="tx1"/>
            </w14:solidFill>
          </w14:textFill>
        </w:rPr>
        <w:t>人员、</w:t>
      </w:r>
      <w:r>
        <w:rPr>
          <w:rFonts w:asciiTheme="minorEastAsia" w:hAnsiTheme="minorEastAsia" w:eastAsiaTheme="minorEastAsia"/>
          <w:color w:val="000000" w:themeColor="text1"/>
          <w:sz w:val="24"/>
          <w:szCs w:val="24"/>
          <w14:textFill>
            <w14:solidFill>
              <w14:schemeClr w14:val="tx1"/>
            </w14:solidFill>
          </w14:textFill>
        </w:rPr>
        <w:t>刑事案件牵连</w:t>
      </w:r>
      <w:r>
        <w:rPr>
          <w:rFonts w:hint="eastAsia" w:asciiTheme="minorEastAsia" w:hAnsiTheme="minorEastAsia" w:eastAsiaTheme="minorEastAsia"/>
          <w:color w:val="000000" w:themeColor="text1"/>
          <w:sz w:val="24"/>
          <w:szCs w:val="24"/>
          <w14:textFill>
            <w14:solidFill>
              <w14:schemeClr w14:val="tx1"/>
            </w14:solidFill>
          </w14:textFill>
        </w:rPr>
        <w:t>人员等</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13"/>
        </w:numPr>
        <w:tabs>
          <w:tab w:val="left" w:pos="84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现场作业人员应有阅读现场安全指示</w:t>
      </w:r>
      <w:r>
        <w:rPr>
          <w:rFonts w:hint="eastAsia" w:asciiTheme="minorEastAsia" w:hAnsiTheme="minorEastAsia" w:eastAsiaTheme="minorEastAsia"/>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szCs w:val="24"/>
          <w14:textFill>
            <w14:solidFill>
              <w14:schemeClr w14:val="tx1"/>
            </w14:solidFill>
          </w14:textFill>
        </w:rPr>
        <w:t>基本文化水平。</w:t>
      </w:r>
    </w:p>
    <w:p>
      <w:pPr>
        <w:numPr>
          <w:ilvl w:val="0"/>
          <w:numId w:val="13"/>
        </w:numPr>
        <w:tabs>
          <w:tab w:val="left" w:pos="84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现场作业人员应符合国家法定工作年龄。</w:t>
      </w:r>
    </w:p>
    <w:p>
      <w:pPr>
        <w:pStyle w:val="6"/>
        <w:ind w:firstLine="482"/>
      </w:pPr>
      <w:bookmarkStart w:id="83" w:name="_Toc491172667"/>
      <w:bookmarkStart w:id="84" w:name="_Toc487527039"/>
      <w:bookmarkStart w:id="85" w:name="_Toc1736187"/>
      <w:r>
        <w:rPr>
          <w:rFonts w:hint="eastAsia"/>
        </w:rPr>
        <w:t>六</w:t>
      </w:r>
      <w:r>
        <w:t>、劳动保护</w:t>
      </w:r>
      <w:bookmarkEnd w:id="83"/>
      <w:bookmarkEnd w:id="84"/>
      <w:bookmarkEnd w:id="85"/>
    </w:p>
    <w:p>
      <w:pPr>
        <w:adjustRightInd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（一）个人劳动保护</w:t>
      </w:r>
    </w:p>
    <w:p>
      <w:pPr>
        <w:numPr>
          <w:ilvl w:val="0"/>
          <w:numId w:val="14"/>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乙方负责包括其内部、分包商和供应商在内的所有个人劳动保护。</w:t>
      </w:r>
    </w:p>
    <w:p>
      <w:pPr>
        <w:numPr>
          <w:ilvl w:val="0"/>
          <w:numId w:val="14"/>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乙方应负责为任何用工形式员工配备个人劳动保护用品（包括工作服、安全帽、安全带、安全鞋、工作手套等）</w:t>
      </w:r>
      <w:r>
        <w:rPr>
          <w:rFonts w:hint="eastAsia" w:asciiTheme="minorEastAsia" w:hAnsiTheme="minorEastAsia" w:eastAsiaTheme="minorEastAsia"/>
          <w:color w:val="000000" w:themeColor="text1"/>
          <w:sz w:val="24"/>
          <w:szCs w:val="24"/>
          <w14:textFill>
            <w14:solidFill>
              <w14:schemeClr w14:val="tx1"/>
            </w14:solidFill>
          </w14:textFill>
        </w:rPr>
        <w:t>，乙方应穿着本单位统一的工作服装。</w:t>
      </w:r>
    </w:p>
    <w:p>
      <w:pPr>
        <w:numPr>
          <w:ilvl w:val="0"/>
          <w:numId w:val="14"/>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乙方应负责向特殊工种的员工提供特殊劳动保护，否则不得在现场从事特殊工种作业。</w:t>
      </w:r>
    </w:p>
    <w:p>
      <w:pPr>
        <w:numPr>
          <w:ilvl w:val="0"/>
          <w:numId w:val="14"/>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甲方有权检查乙方施工现场的个人劳动保护用品是否符合国家的相应标准，乙方应提前将个人劳动保护用品合格证明材料交甲方的安</w:t>
      </w:r>
      <w:r>
        <w:rPr>
          <w:rFonts w:hint="eastAsia" w:asciiTheme="minorEastAsia" w:hAnsiTheme="minorEastAsia" w:eastAsiaTheme="minorEastAsia"/>
          <w:color w:val="000000" w:themeColor="text1"/>
          <w:sz w:val="24"/>
          <w:szCs w:val="24"/>
          <w14:textFill>
            <w14:solidFill>
              <w14:schemeClr w14:val="tx1"/>
            </w14:solidFill>
          </w14:textFill>
        </w:rPr>
        <w:t>健环</w:t>
      </w:r>
      <w:r>
        <w:rPr>
          <w:rFonts w:asciiTheme="minorEastAsia" w:hAnsiTheme="minorEastAsia" w:eastAsiaTheme="minorEastAsia"/>
          <w:color w:val="000000" w:themeColor="text1"/>
          <w:sz w:val="24"/>
          <w:szCs w:val="24"/>
          <w14:textFill>
            <w14:solidFill>
              <w14:schemeClr w14:val="tx1"/>
            </w14:solidFill>
          </w14:textFill>
        </w:rPr>
        <w:t>部门认可。</w:t>
      </w:r>
    </w:p>
    <w:p>
      <w:pPr>
        <w:numPr>
          <w:ilvl w:val="0"/>
          <w:numId w:val="14"/>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乙方在特殊风险场所作业而需要特殊防护用品或安全仪表时，必须在上述防护用品全部到位后才能开工。</w:t>
      </w:r>
    </w:p>
    <w:p>
      <w:pPr>
        <w:adjustRightInd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（二）集体劳动保护</w:t>
      </w:r>
    </w:p>
    <w:p>
      <w:pPr>
        <w:numPr>
          <w:ilvl w:val="0"/>
          <w:numId w:val="15"/>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乙方负责包括其内部、分包商和供应商在内的集体劳动保护。</w:t>
      </w:r>
    </w:p>
    <w:p>
      <w:pPr>
        <w:numPr>
          <w:ilvl w:val="0"/>
          <w:numId w:val="15"/>
        </w:numPr>
        <w:adjustRightInd w:val="0"/>
        <w:snapToGrid w:val="0"/>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乙方应配备临时安全围栏、警示带、警告标志、防火布及必备的消防器材等集体防护用品。防</w:t>
      </w:r>
      <w:r>
        <w:rPr>
          <w:rFonts w:hint="eastAsia" w:asciiTheme="minorEastAsia" w:hAnsiTheme="minorEastAsia" w:eastAsiaTheme="minorEastAsia"/>
          <w:color w:val="000000" w:themeColor="text1"/>
          <w:sz w:val="24"/>
          <w:szCs w:val="24"/>
          <w14:textFill>
            <w14:solidFill>
              <w14:schemeClr w14:val="tx1"/>
            </w14:solidFill>
          </w14:textFill>
        </w:rPr>
        <w:t>风</w:t>
      </w:r>
      <w:r>
        <w:rPr>
          <w:rFonts w:asciiTheme="minorEastAsia" w:hAnsiTheme="minorEastAsia" w:eastAsiaTheme="minorEastAsia"/>
          <w:color w:val="000000" w:themeColor="text1"/>
          <w:sz w:val="24"/>
          <w:szCs w:val="24"/>
          <w14:textFill>
            <w14:solidFill>
              <w14:schemeClr w14:val="tx1"/>
            </w14:solidFill>
          </w14:textFill>
        </w:rPr>
        <w:t>防汛物资如需甲方支持，必须及时向甲方提出申请，甲方根据资源的情况，提供力所能及的帮助。</w:t>
      </w:r>
    </w:p>
    <w:p>
      <w:pPr>
        <w:adjustRightInd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（三）施工机具与材料</w:t>
      </w:r>
    </w:p>
    <w:p>
      <w:pPr>
        <w:numPr>
          <w:ilvl w:val="0"/>
          <w:numId w:val="16"/>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乙方负责包括其内部、分包商和供应商在内的施工机具与材料的管理。</w:t>
      </w:r>
    </w:p>
    <w:p>
      <w:pPr>
        <w:numPr>
          <w:ilvl w:val="0"/>
          <w:numId w:val="16"/>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乙方对</w:t>
      </w:r>
      <w:r>
        <w:rPr>
          <w:rFonts w:hint="eastAsia" w:asciiTheme="minorEastAsia" w:hAnsiTheme="minorEastAsia" w:eastAsiaTheme="minorEastAsia"/>
          <w:color w:val="000000" w:themeColor="text1"/>
          <w:sz w:val="24"/>
          <w:szCs w:val="24"/>
          <w14:textFill>
            <w14:solidFill>
              <w14:schemeClr w14:val="tx1"/>
            </w14:solidFill>
          </w14:textFill>
        </w:rPr>
        <w:t>其</w:t>
      </w:r>
      <w:r>
        <w:rPr>
          <w:rFonts w:asciiTheme="minorEastAsia" w:hAnsiTheme="minorEastAsia" w:eastAsiaTheme="minorEastAsia"/>
          <w:color w:val="000000" w:themeColor="text1"/>
          <w:sz w:val="24"/>
          <w:szCs w:val="24"/>
          <w14:textFill>
            <w14:solidFill>
              <w14:schemeClr w14:val="tx1"/>
            </w14:solidFill>
          </w14:textFill>
        </w:rPr>
        <w:t>带入施工现场的施工机械和工器具的安全负责。</w:t>
      </w:r>
    </w:p>
    <w:p>
      <w:pPr>
        <w:numPr>
          <w:ilvl w:val="0"/>
          <w:numId w:val="16"/>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对于乙方带入施工现场的特殊工器具，如起重</w:t>
      </w:r>
      <w:r>
        <w:rPr>
          <w:rFonts w:hint="eastAsia" w:asciiTheme="minorEastAsia" w:hAnsiTheme="minorEastAsia" w:eastAsiaTheme="minorEastAsia"/>
          <w:color w:val="000000" w:themeColor="text1"/>
          <w:sz w:val="24"/>
          <w:szCs w:val="24"/>
          <w14:textFill>
            <w14:solidFill>
              <w14:schemeClr w14:val="tx1"/>
            </w14:solidFill>
          </w14:textFill>
        </w:rPr>
        <w:t>机械</w:t>
      </w:r>
      <w:r>
        <w:rPr>
          <w:rFonts w:asciiTheme="minorEastAsia" w:hAnsiTheme="minorEastAsia" w:eastAsiaTheme="minorEastAsia"/>
          <w:color w:val="000000" w:themeColor="text1"/>
          <w:sz w:val="24"/>
          <w:szCs w:val="24"/>
          <w14:textFill>
            <w14:solidFill>
              <w14:schemeClr w14:val="tx1"/>
            </w14:solidFill>
          </w14:textFill>
        </w:rPr>
        <w:t>、锁具、机动车辆、压缩气瓶、必备的消防器材等，乙方应按国家</w:t>
      </w:r>
      <w:r>
        <w:rPr>
          <w:rFonts w:hint="eastAsia" w:asciiTheme="minorEastAsia" w:hAnsiTheme="minorEastAsia" w:eastAsiaTheme="minorEastAsia"/>
          <w:color w:val="000000" w:themeColor="text1"/>
          <w:sz w:val="24"/>
          <w:szCs w:val="24"/>
          <w14:textFill>
            <w14:solidFill>
              <w14:schemeClr w14:val="tx1"/>
            </w14:solidFill>
          </w14:textFill>
        </w:rPr>
        <w:t>相关</w:t>
      </w:r>
      <w:r>
        <w:rPr>
          <w:rFonts w:asciiTheme="minorEastAsia" w:hAnsiTheme="minorEastAsia" w:eastAsiaTheme="minorEastAsia"/>
          <w:color w:val="000000" w:themeColor="text1"/>
          <w:sz w:val="24"/>
          <w:szCs w:val="24"/>
          <w14:textFill>
            <w14:solidFill>
              <w14:schemeClr w14:val="tx1"/>
            </w14:solidFill>
          </w14:textFill>
        </w:rPr>
        <w:t>法规和标准进行检测、试验，并持有法定部门出具的检验证书，并将这些证书的复印件提交甲方。</w:t>
      </w:r>
    </w:p>
    <w:p>
      <w:pPr>
        <w:numPr>
          <w:ilvl w:val="0"/>
          <w:numId w:val="16"/>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对于不属于法定检测的工器具，乙方</w:t>
      </w:r>
      <w:r>
        <w:rPr>
          <w:rFonts w:hint="eastAsia" w:asciiTheme="minorEastAsia" w:hAnsiTheme="minorEastAsia" w:eastAsiaTheme="minorEastAsia"/>
          <w:color w:val="000000" w:themeColor="text1"/>
          <w:sz w:val="24"/>
          <w:szCs w:val="24"/>
          <w14:textFill>
            <w14:solidFill>
              <w14:schemeClr w14:val="tx1"/>
            </w14:solidFill>
          </w14:textFill>
        </w:rPr>
        <w:t>应</w:t>
      </w:r>
      <w:r>
        <w:rPr>
          <w:rFonts w:asciiTheme="minorEastAsia" w:hAnsiTheme="minorEastAsia" w:eastAsiaTheme="minorEastAsia"/>
          <w:color w:val="000000" w:themeColor="text1"/>
          <w:sz w:val="24"/>
          <w:szCs w:val="24"/>
          <w14:textFill>
            <w14:solidFill>
              <w14:schemeClr w14:val="tx1"/>
            </w14:solidFill>
          </w14:textFill>
        </w:rPr>
        <w:t>建立并实施相应的管理、检测制度，这些工器具包括登高工具、脚手架材料、电动工具等。</w:t>
      </w:r>
    </w:p>
    <w:p>
      <w:pPr>
        <w:pStyle w:val="6"/>
        <w:ind w:firstLine="482"/>
      </w:pPr>
      <w:bookmarkStart w:id="86" w:name="_Toc487527040"/>
      <w:bookmarkStart w:id="87" w:name="_Toc491172668"/>
      <w:bookmarkStart w:id="88" w:name="_Toc1736188"/>
      <w:r>
        <w:rPr>
          <w:rFonts w:hint="eastAsia"/>
        </w:rPr>
        <w:t>七</w:t>
      </w:r>
      <w:r>
        <w:t>、开工前安</w:t>
      </w:r>
      <w:r>
        <w:rPr>
          <w:rFonts w:hint="eastAsia"/>
        </w:rPr>
        <w:t>健环</w:t>
      </w:r>
      <w:r>
        <w:t>检查条件</w:t>
      </w:r>
      <w:bookmarkEnd w:id="86"/>
      <w:bookmarkEnd w:id="87"/>
      <w:bookmarkEnd w:id="88"/>
    </w:p>
    <w:p>
      <w:pPr>
        <w:numPr>
          <w:ilvl w:val="0"/>
          <w:numId w:val="17"/>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乙方应对现场作业人员进厂证及施工准入证进行</w:t>
      </w:r>
      <w:r>
        <w:rPr>
          <w:rFonts w:hint="eastAsia" w:asciiTheme="minorEastAsia" w:hAnsiTheme="minorEastAsia" w:eastAsiaTheme="minorEastAsia"/>
          <w:color w:val="000000" w:themeColor="text1"/>
          <w:sz w:val="24"/>
          <w:szCs w:val="24"/>
          <w14:textFill>
            <w14:solidFill>
              <w14:schemeClr w14:val="tx1"/>
            </w14:solidFill>
          </w14:textFill>
        </w:rPr>
        <w:t>严格管理</w:t>
      </w:r>
      <w:r>
        <w:rPr>
          <w:rFonts w:asciiTheme="minorEastAsia" w:hAnsiTheme="minorEastAsia" w:eastAsiaTheme="minorEastAsia"/>
          <w:color w:val="000000" w:themeColor="text1"/>
          <w:sz w:val="24"/>
          <w:szCs w:val="24"/>
          <w14:textFill>
            <w14:solidFill>
              <w14:schemeClr w14:val="tx1"/>
            </w14:solidFill>
          </w14:textFill>
        </w:rPr>
        <w:t>。</w:t>
      </w:r>
    </w:p>
    <w:p>
      <w:pPr>
        <w:numPr>
          <w:ilvl w:val="0"/>
          <w:numId w:val="17"/>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开工前</w:t>
      </w:r>
      <w:r>
        <w:rPr>
          <w:rFonts w:hint="eastAsia" w:asciiTheme="minorEastAsia" w:hAnsiTheme="minorEastAsia" w:eastAsiaTheme="minorEastAsia"/>
          <w:color w:val="000000" w:themeColor="text1"/>
          <w:sz w:val="24"/>
          <w:szCs w:val="24"/>
          <w14:textFill>
            <w14:solidFill>
              <w14:schemeClr w14:val="tx1"/>
            </w14:solidFill>
          </w14:textFill>
        </w:rPr>
        <w:t>，乙方</w:t>
      </w:r>
      <w:r>
        <w:rPr>
          <w:rFonts w:asciiTheme="minorEastAsia" w:hAnsiTheme="minorEastAsia" w:eastAsiaTheme="minorEastAsia"/>
          <w:color w:val="000000" w:themeColor="text1"/>
          <w:sz w:val="24"/>
          <w:szCs w:val="24"/>
          <w14:textFill>
            <w14:solidFill>
              <w14:schemeClr w14:val="tx1"/>
            </w14:solidFill>
          </w14:textFill>
        </w:rPr>
        <w:t>安健环条件检查的基本内容包括：安健环管理体系和安健环责任制建立、安健环管理程序、安健环资金投入、工程危险源辨识</w:t>
      </w:r>
      <w:r>
        <w:rPr>
          <w:rFonts w:hint="eastAsia" w:asciiTheme="minorEastAsia" w:hAnsiTheme="minorEastAsia" w:eastAsiaTheme="minorEastAsia"/>
          <w:color w:val="000000" w:themeColor="text1"/>
          <w:sz w:val="24"/>
          <w:szCs w:val="24"/>
          <w14:textFill>
            <w14:solidFill>
              <w14:schemeClr w14:val="tx1"/>
            </w14:solidFill>
          </w14:textFill>
        </w:rPr>
        <w:t>（危害因素、环境因素识别）</w:t>
      </w:r>
      <w:r>
        <w:rPr>
          <w:rFonts w:asciiTheme="minorEastAsia" w:hAnsiTheme="minorEastAsia" w:eastAsiaTheme="minorEastAsia"/>
          <w:color w:val="000000" w:themeColor="text1"/>
          <w:sz w:val="24"/>
          <w:szCs w:val="24"/>
          <w14:textFill>
            <w14:solidFill>
              <w14:schemeClr w14:val="tx1"/>
            </w14:solidFill>
          </w14:textFill>
        </w:rPr>
        <w:t>和生产安全事故风险分析报告、施工机械的安全状况、安全工器具和材料、安健环</w:t>
      </w:r>
      <w:r>
        <w:rPr>
          <w:rFonts w:hint="eastAsia" w:asciiTheme="minorEastAsia" w:hAnsiTheme="minorEastAsia" w:eastAsiaTheme="minorEastAsia"/>
          <w:color w:val="000000" w:themeColor="text1"/>
          <w:sz w:val="24"/>
          <w:szCs w:val="24"/>
          <w14:textFill>
            <w14:solidFill>
              <w14:schemeClr w14:val="tx1"/>
            </w14:solidFill>
          </w14:textFill>
        </w:rPr>
        <w:t>教育</w:t>
      </w:r>
      <w:r>
        <w:rPr>
          <w:rFonts w:asciiTheme="minorEastAsia" w:hAnsiTheme="minorEastAsia" w:eastAsiaTheme="minorEastAsia"/>
          <w:color w:val="000000" w:themeColor="text1"/>
          <w:sz w:val="24"/>
          <w:szCs w:val="24"/>
          <w14:textFill>
            <w14:solidFill>
              <w14:schemeClr w14:val="tx1"/>
            </w14:solidFill>
          </w14:textFill>
        </w:rPr>
        <w:t>培训、专职安全人员的到岗情况、培训的有效性、人员控制、个人劳动保护用品的发放等内容。</w:t>
      </w:r>
    </w:p>
    <w:p>
      <w:pPr>
        <w:numPr>
          <w:ilvl w:val="0"/>
          <w:numId w:val="17"/>
        </w:numPr>
        <w:tabs>
          <w:tab w:val="left" w:pos="0"/>
          <w:tab w:val="clear" w:pos="630"/>
        </w:tabs>
        <w:adjustRightInd w:val="0"/>
        <w:snapToGrid w:val="0"/>
        <w:spacing w:line="360" w:lineRule="auto"/>
        <w:ind w:left="0" w:firstLine="42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施工前，乙方负责项目管理的技术人员应当对有关安全施工的技术要求向施工作业班组、作业人员作出详细说明，并由双方签字确认。</w:t>
      </w:r>
    </w:p>
    <w:p>
      <w:pPr>
        <w:pStyle w:val="6"/>
        <w:ind w:firstLine="482"/>
      </w:pPr>
      <w:bookmarkStart w:id="89" w:name="_Toc1736189"/>
      <w:bookmarkStart w:id="90" w:name="_Toc491172669"/>
      <w:bookmarkStart w:id="91" w:name="_Toc487527041"/>
      <w:r>
        <w:rPr>
          <w:rFonts w:hint="eastAsia"/>
        </w:rPr>
        <w:t>八</w:t>
      </w:r>
      <w:r>
        <w:t>、安</w:t>
      </w:r>
      <w:r>
        <w:rPr>
          <w:rFonts w:hint="eastAsia"/>
        </w:rPr>
        <w:t>健环</w:t>
      </w:r>
      <w:r>
        <w:t>监督</w:t>
      </w:r>
      <w:bookmarkEnd w:id="89"/>
      <w:bookmarkEnd w:id="90"/>
      <w:bookmarkEnd w:id="91"/>
    </w:p>
    <w:p>
      <w:pPr>
        <w:numPr>
          <w:ilvl w:val="0"/>
          <w:numId w:val="1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专（兼）职安全监督管理人员须携带标志上岗，负责对施工安全进行现场监督检查。发现安全事故隐患，应当及时向乙方项目负责人和安健环部门报告；对违章指挥、违章操作和违反劳动纪律的，应当立即制止。</w:t>
      </w:r>
    </w:p>
    <w:p>
      <w:pPr>
        <w:numPr>
          <w:ilvl w:val="0"/>
          <w:numId w:val="1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w:t>
      </w:r>
      <w:r>
        <w:rPr>
          <w:rFonts w:asciiTheme="minorEastAsia" w:hAnsiTheme="minorEastAsia" w:eastAsiaTheme="minorEastAsia"/>
          <w:color w:val="000000" w:themeColor="text1"/>
          <w:sz w:val="24"/>
          <w:szCs w:val="24"/>
          <w14:textFill>
            <w14:solidFill>
              <w14:schemeClr w14:val="tx1"/>
            </w14:solidFill>
          </w14:textFill>
        </w:rPr>
        <w:t>安健环</w:t>
      </w:r>
      <w:r>
        <w:rPr>
          <w:rFonts w:hint="eastAsia" w:asciiTheme="minorEastAsia" w:hAnsiTheme="minorEastAsia" w:eastAsiaTheme="minorEastAsia"/>
          <w:color w:val="000000" w:themeColor="text1"/>
          <w:sz w:val="24"/>
          <w:szCs w:val="24"/>
          <w14:textFill>
            <w14:solidFill>
              <w14:schemeClr w14:val="tx1"/>
            </w14:solidFill>
          </w14:textFill>
        </w:rPr>
        <w:t>监督。</w:t>
      </w:r>
    </w:p>
    <w:p>
      <w:pPr>
        <w:numPr>
          <w:ilvl w:val="0"/>
          <w:numId w:val="1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乙方的安全监督管理专职人员必须持</w:t>
      </w:r>
      <w:r>
        <w:rPr>
          <w:rFonts w:hint="eastAsia" w:asciiTheme="minorEastAsia" w:hAnsiTheme="minorEastAsia" w:eastAsiaTheme="minorEastAsia"/>
          <w:color w:val="000000" w:themeColor="text1"/>
          <w:sz w:val="24"/>
          <w:szCs w:val="24"/>
          <w14:textFill>
            <w14:solidFill>
              <w14:schemeClr w14:val="tx1"/>
            </w14:solidFill>
          </w14:textFill>
        </w:rPr>
        <w:t>符合国家或行业要求的</w:t>
      </w:r>
      <w:r>
        <w:rPr>
          <w:rFonts w:asciiTheme="minorEastAsia" w:hAnsiTheme="minorEastAsia" w:eastAsiaTheme="minorEastAsia"/>
          <w:color w:val="000000" w:themeColor="text1"/>
          <w:sz w:val="24"/>
          <w:szCs w:val="24"/>
          <w14:textFill>
            <w14:solidFill>
              <w14:schemeClr w14:val="tx1"/>
            </w14:solidFill>
          </w14:textFill>
        </w:rPr>
        <w:t>安全资格证书。</w:t>
      </w:r>
    </w:p>
    <w:p>
      <w:pPr>
        <w:numPr>
          <w:ilvl w:val="0"/>
          <w:numId w:val="1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乙方的专职安全监督</w:t>
      </w:r>
      <w:r>
        <w:rPr>
          <w:rFonts w:hint="eastAsia" w:asciiTheme="minorEastAsia" w:hAnsiTheme="minorEastAsia" w:eastAsiaTheme="minorEastAsia"/>
          <w:color w:val="000000" w:themeColor="text1"/>
          <w:sz w:val="24"/>
          <w:szCs w:val="24"/>
          <w14:textFill>
            <w14:solidFill>
              <w14:schemeClr w14:val="tx1"/>
            </w14:solidFill>
          </w14:textFill>
        </w:rPr>
        <w:t>管理</w:t>
      </w:r>
      <w:r>
        <w:rPr>
          <w:rFonts w:asciiTheme="minorEastAsia" w:hAnsiTheme="minorEastAsia" w:eastAsiaTheme="minorEastAsia"/>
          <w:color w:val="000000" w:themeColor="text1"/>
          <w:sz w:val="24"/>
          <w:szCs w:val="24"/>
          <w14:textFill>
            <w14:solidFill>
              <w14:schemeClr w14:val="tx1"/>
            </w14:solidFill>
          </w14:textFill>
        </w:rPr>
        <w:t>人员在业务上接受甲方安健环部门的协调和指导。</w:t>
      </w:r>
    </w:p>
    <w:p>
      <w:pPr>
        <w:numPr>
          <w:ilvl w:val="0"/>
          <w:numId w:val="1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乙方应建立安全监督管理网络，建立安全</w:t>
      </w:r>
      <w:r>
        <w:rPr>
          <w:rFonts w:hint="eastAsia" w:asciiTheme="minorEastAsia" w:hAnsiTheme="minorEastAsia" w:eastAsiaTheme="minorEastAsia"/>
          <w:color w:val="000000" w:themeColor="text1"/>
          <w:sz w:val="24"/>
          <w:szCs w:val="24"/>
          <w14:textFill>
            <w14:solidFill>
              <w14:schemeClr w14:val="tx1"/>
            </w14:solidFill>
          </w14:textFill>
        </w:rPr>
        <w:t>生产领导小组</w:t>
      </w:r>
      <w:r>
        <w:rPr>
          <w:rFonts w:asciiTheme="minorEastAsia" w:hAnsiTheme="minorEastAsia" w:eastAsiaTheme="minorEastAsia"/>
          <w:color w:val="000000" w:themeColor="text1"/>
          <w:sz w:val="24"/>
          <w:szCs w:val="24"/>
          <w14:textFill>
            <w14:solidFill>
              <w14:schemeClr w14:val="tx1"/>
            </w14:solidFill>
          </w14:textFill>
        </w:rPr>
        <w:t>或其他形式的安全协调机构。并建立每日安全议题制度或班前安全交底制度。在施工期间坚持日常安全监督和安全检查，每月进行一次施工现场安全文明施工大检查。</w:t>
      </w:r>
    </w:p>
    <w:p>
      <w:pPr>
        <w:numPr>
          <w:ilvl w:val="0"/>
          <w:numId w:val="1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乙方在接到甲方发出的整改通知后，应在整改期限内完成整改，并于整改完次日将情况书面反馈甲方检查部门。</w:t>
      </w:r>
    </w:p>
    <w:p>
      <w:pPr>
        <w:numPr>
          <w:ilvl w:val="0"/>
          <w:numId w:val="18"/>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乙方应接受和配合甲方专业部门和安健环部门的监督</w:t>
      </w:r>
      <w:r>
        <w:rPr>
          <w:rFonts w:hint="eastAsia" w:asciiTheme="minorEastAsia" w:hAnsiTheme="minorEastAsia" w:eastAsiaTheme="minorEastAsia"/>
          <w:color w:val="000000" w:themeColor="text1"/>
          <w:sz w:val="24"/>
          <w:szCs w:val="24"/>
          <w14:textFill>
            <w14:solidFill>
              <w14:schemeClr w14:val="tx1"/>
            </w14:solidFill>
          </w14:textFill>
        </w:rPr>
        <w:t>考核</w:t>
      </w:r>
      <w:r>
        <w:rPr>
          <w:rFonts w:asciiTheme="minorEastAsia" w:hAnsiTheme="minorEastAsia" w:eastAsiaTheme="minorEastAsia"/>
          <w:color w:val="000000" w:themeColor="text1"/>
          <w:sz w:val="24"/>
          <w:szCs w:val="24"/>
          <w14:textFill>
            <w14:solidFill>
              <w14:schemeClr w14:val="tx1"/>
            </w14:solidFill>
          </w14:textFill>
        </w:rPr>
        <w:t>与安全评价。</w:t>
      </w:r>
    </w:p>
    <w:p>
      <w:pPr>
        <w:pStyle w:val="6"/>
        <w:ind w:firstLine="482"/>
      </w:pPr>
      <w:bookmarkStart w:id="92" w:name="_Toc487527042"/>
      <w:bookmarkStart w:id="93" w:name="_Toc1736190"/>
      <w:bookmarkStart w:id="94" w:name="_Toc491172670"/>
      <w:r>
        <w:rPr>
          <w:rFonts w:hint="eastAsia"/>
        </w:rPr>
        <w:t>九</w:t>
      </w:r>
      <w:r>
        <w:t>、安</w:t>
      </w:r>
      <w:r>
        <w:rPr>
          <w:rFonts w:hint="eastAsia"/>
        </w:rPr>
        <w:t>健环</w:t>
      </w:r>
      <w:r>
        <w:t>培训与要求</w:t>
      </w:r>
      <w:bookmarkEnd w:id="92"/>
      <w:bookmarkEnd w:id="93"/>
      <w:bookmarkEnd w:id="94"/>
    </w:p>
    <w:p>
      <w:pPr>
        <w:numPr>
          <w:ilvl w:val="0"/>
          <w:numId w:val="19"/>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w:t>
      </w:r>
      <w:r>
        <w:rPr>
          <w:rFonts w:asciiTheme="minorEastAsia" w:hAnsiTheme="minorEastAsia" w:eastAsiaTheme="minorEastAsia"/>
          <w:color w:val="000000" w:themeColor="text1"/>
          <w:sz w:val="24"/>
          <w:szCs w:val="24"/>
          <w14:textFill>
            <w14:solidFill>
              <w14:schemeClr w14:val="tx1"/>
            </w14:solidFill>
          </w14:textFill>
        </w:rPr>
        <w:t>安健环</w:t>
      </w:r>
      <w:r>
        <w:rPr>
          <w:rFonts w:hint="eastAsia" w:asciiTheme="minorEastAsia" w:hAnsiTheme="minorEastAsia" w:eastAsiaTheme="minorEastAsia"/>
          <w:color w:val="000000" w:themeColor="text1"/>
          <w:sz w:val="24"/>
          <w:szCs w:val="24"/>
          <w14:textFill>
            <w14:solidFill>
              <w14:schemeClr w14:val="tx1"/>
            </w14:solidFill>
          </w14:textFill>
        </w:rPr>
        <w:t>教育培训。</w:t>
      </w:r>
    </w:p>
    <w:p>
      <w:pPr>
        <w:numPr>
          <w:ilvl w:val="0"/>
          <w:numId w:val="19"/>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乙方应积极配合甲方相关部门进行进场施工人员的岗位资格和安全技能审查。</w:t>
      </w:r>
    </w:p>
    <w:p>
      <w:pPr>
        <w:numPr>
          <w:ilvl w:val="0"/>
          <w:numId w:val="19"/>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乙方应组织人员的入场培训，严格执行“三级安全教育”制度和安全交底工作，</w:t>
      </w:r>
      <w:r>
        <w:rPr>
          <w:rFonts w:hint="eastAsia" w:asciiTheme="minorEastAsia" w:hAnsiTheme="minorEastAsia" w:eastAsiaTheme="minorEastAsia"/>
          <w:color w:val="000000" w:themeColor="text1"/>
          <w:sz w:val="24"/>
          <w:szCs w:val="24"/>
          <w14:textFill>
            <w14:solidFill>
              <w14:schemeClr w14:val="tx1"/>
            </w14:solidFill>
          </w14:textFill>
        </w:rPr>
        <w:t>未经教育培训或者教育培训考核不合格的人员，不得上岗作业。</w:t>
      </w:r>
      <w:r>
        <w:rPr>
          <w:rFonts w:asciiTheme="minorEastAsia" w:hAnsiTheme="minorEastAsia" w:eastAsiaTheme="minorEastAsia"/>
          <w:color w:val="000000" w:themeColor="text1"/>
          <w:sz w:val="24"/>
          <w:szCs w:val="24"/>
          <w14:textFill>
            <w14:solidFill>
              <w14:schemeClr w14:val="tx1"/>
            </w14:solidFill>
          </w14:textFill>
        </w:rPr>
        <w:t>甲方有权监督培训、考核情况或组织抽查考核。</w:t>
      </w:r>
    </w:p>
    <w:p>
      <w:pPr>
        <w:numPr>
          <w:ilvl w:val="0"/>
          <w:numId w:val="19"/>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szCs w:val="24"/>
          <w14:textFill>
            <w14:solidFill>
              <w14:schemeClr w14:val="tx1"/>
            </w14:solidFill>
          </w14:textFill>
        </w:rPr>
        <w:t>所有特殊工种人员</w:t>
      </w:r>
      <w:r>
        <w:rPr>
          <w:rFonts w:hint="eastAsia" w:asciiTheme="minorEastAsia" w:hAnsiTheme="minorEastAsia" w:eastAsiaTheme="minorEastAsia"/>
          <w:color w:val="000000" w:themeColor="text1"/>
          <w:sz w:val="24"/>
          <w:szCs w:val="24"/>
          <w14:textFill>
            <w14:solidFill>
              <w14:schemeClr w14:val="tx1"/>
            </w14:solidFill>
          </w14:textFill>
        </w:rPr>
        <w:t>必须按照国家有关规定经过专门的安全作业培训，并取得特种作业操作资格证书后，方可上岗作业</w:t>
      </w:r>
      <w:r>
        <w:rPr>
          <w:rFonts w:asciiTheme="minorEastAsia" w:hAnsiTheme="minorEastAsia" w:eastAsiaTheme="minorEastAsia"/>
          <w:color w:val="000000" w:themeColor="text1"/>
          <w:sz w:val="24"/>
          <w:szCs w:val="24"/>
          <w14:textFill>
            <w14:solidFill>
              <w14:schemeClr w14:val="tx1"/>
            </w14:solidFill>
          </w14:textFill>
        </w:rPr>
        <w:t>，甲方有权对其进行抽查考核。</w:t>
      </w:r>
    </w:p>
    <w:p>
      <w:pPr>
        <w:numPr>
          <w:ilvl w:val="0"/>
          <w:numId w:val="19"/>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乙方应对施工人员、管理人员建立安全档案，主要包括体检情况、安</w:t>
      </w:r>
      <w:r>
        <w:rPr>
          <w:rFonts w:hint="eastAsia" w:asciiTheme="minorEastAsia" w:hAnsiTheme="minorEastAsia" w:eastAsiaTheme="minorEastAsia"/>
          <w:color w:val="000000" w:themeColor="text1"/>
          <w:sz w:val="24"/>
          <w:szCs w:val="24"/>
          <w14:textFill>
            <w14:solidFill>
              <w14:schemeClr w14:val="tx1"/>
            </w14:solidFill>
          </w14:textFill>
        </w:rPr>
        <w:t>健环</w:t>
      </w:r>
      <w:r>
        <w:rPr>
          <w:rFonts w:asciiTheme="minorEastAsia" w:hAnsiTheme="minorEastAsia" w:eastAsiaTheme="minorEastAsia"/>
          <w:color w:val="000000" w:themeColor="text1"/>
          <w:sz w:val="24"/>
          <w:szCs w:val="24"/>
          <w14:textFill>
            <w14:solidFill>
              <w14:schemeClr w14:val="tx1"/>
            </w14:solidFill>
          </w14:textFill>
        </w:rPr>
        <w:t>考试成绩、身份证复印件、联系电话等相关资料。</w:t>
      </w:r>
    </w:p>
    <w:p>
      <w:pPr>
        <w:pStyle w:val="6"/>
        <w:ind w:firstLine="482"/>
      </w:pPr>
      <w:bookmarkStart w:id="95" w:name="_Toc487527043"/>
      <w:bookmarkStart w:id="96" w:name="_Toc1736191"/>
      <w:bookmarkStart w:id="97" w:name="_Toc491172671"/>
      <w:r>
        <w:t>十、职业健康、卫生防疫</w:t>
      </w:r>
      <w:bookmarkEnd w:id="95"/>
      <w:bookmarkEnd w:id="96"/>
      <w:bookmarkEnd w:id="97"/>
    </w:p>
    <w:p>
      <w:pPr>
        <w:numPr>
          <w:ilvl w:val="0"/>
          <w:numId w:val="20"/>
        </w:numPr>
        <w:tabs>
          <w:tab w:val="left" w:pos="315"/>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乙方负责包括其内部、分包商和供应商在内的职业健康、卫生防疫。</w:t>
      </w:r>
    </w:p>
    <w:p>
      <w:pPr>
        <w:numPr>
          <w:ilvl w:val="0"/>
          <w:numId w:val="20"/>
        </w:numPr>
        <w:tabs>
          <w:tab w:val="left" w:pos="315"/>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实施特殊健康检查制度，预防有禁忌症患者从事有关职业，如恐高症、癫痫病、高血压、心脏病患者不得从事高空作业，患有心血管疾病的人员不得从事繁重的体力劳动，特殊工种人员的体检应符合国家的规定。</w:t>
      </w:r>
    </w:p>
    <w:p>
      <w:pPr>
        <w:numPr>
          <w:ilvl w:val="0"/>
          <w:numId w:val="20"/>
        </w:numPr>
        <w:tabs>
          <w:tab w:val="left" w:pos="315"/>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乙方应保证卫生防疫基本设施的投入，以满足医疗、急救的要求，建立外部医疗支持渠道。</w:t>
      </w:r>
    </w:p>
    <w:p>
      <w:pPr>
        <w:numPr>
          <w:ilvl w:val="0"/>
          <w:numId w:val="20"/>
        </w:numPr>
        <w:tabs>
          <w:tab w:val="left" w:pos="315"/>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建立卫生防病措施计划，做好生活区和施工区的卫生防疫工作；制定和执行保证饮水卫生、饮食卫生、环境卫生和预防集体食物中毒的措施；有灭蚊、灭鼠和消毒的专项工作计划；有针对性地制订预防SARS、</w:t>
      </w:r>
      <w:r>
        <w:rPr>
          <w:rFonts w:hint="eastAsia" w:asciiTheme="minorEastAsia" w:hAnsiTheme="minorEastAsia" w:eastAsiaTheme="minorEastAsia"/>
          <w:color w:val="000000" w:themeColor="text1"/>
          <w:sz w:val="24"/>
          <w:szCs w:val="24"/>
          <w14:textFill>
            <w14:solidFill>
              <w14:schemeClr w14:val="tx1"/>
            </w14:solidFill>
          </w14:textFill>
        </w:rPr>
        <w:t>登革热、</w:t>
      </w:r>
      <w:r>
        <w:rPr>
          <w:rFonts w:asciiTheme="minorEastAsia" w:hAnsiTheme="minorEastAsia" w:eastAsiaTheme="minorEastAsia"/>
          <w:color w:val="000000" w:themeColor="text1"/>
          <w:sz w:val="24"/>
          <w:szCs w:val="24"/>
          <w14:textFill>
            <w14:solidFill>
              <w14:schemeClr w14:val="tx1"/>
            </w14:solidFill>
          </w14:textFill>
        </w:rPr>
        <w:t>禽流感、疟疾、霍乱、肠道传染病，肝炎等疾</w:t>
      </w:r>
      <w:r>
        <w:rPr>
          <w:rFonts w:hint="eastAsia" w:asciiTheme="minorEastAsia" w:hAnsiTheme="minorEastAsia" w:eastAsiaTheme="minorEastAsia"/>
          <w:color w:val="000000" w:themeColor="text1"/>
          <w:sz w:val="24"/>
          <w:szCs w:val="24"/>
          <w14:textFill>
            <w14:solidFill>
              <w14:schemeClr w14:val="tx1"/>
            </w14:solidFill>
          </w14:textFill>
        </w:rPr>
        <w:t>患</w:t>
      </w:r>
      <w:r>
        <w:rPr>
          <w:rFonts w:asciiTheme="minorEastAsia" w:hAnsiTheme="minorEastAsia" w:eastAsiaTheme="minorEastAsia"/>
          <w:color w:val="000000" w:themeColor="text1"/>
          <w:sz w:val="24"/>
          <w:szCs w:val="24"/>
          <w14:textFill>
            <w14:solidFill>
              <w14:schemeClr w14:val="tx1"/>
            </w14:solidFill>
          </w14:textFill>
        </w:rPr>
        <w:t>措施。</w:t>
      </w:r>
    </w:p>
    <w:p>
      <w:pPr>
        <w:pStyle w:val="6"/>
        <w:ind w:firstLine="482"/>
      </w:pPr>
      <w:bookmarkStart w:id="98" w:name="_Toc491172672"/>
      <w:bookmarkStart w:id="99" w:name="_Toc487527044"/>
      <w:bookmarkStart w:id="100" w:name="_Toc1736192"/>
      <w:r>
        <w:t>十</w:t>
      </w:r>
      <w:r>
        <w:rPr>
          <w:rFonts w:hint="eastAsia"/>
        </w:rPr>
        <w:t>一</w:t>
      </w:r>
      <w:r>
        <w:t>、文明施工与环</w:t>
      </w:r>
      <w:r>
        <w:rPr>
          <w:rFonts w:hint="eastAsia"/>
        </w:rPr>
        <w:t>境</w:t>
      </w:r>
      <w:r>
        <w:t>保</w:t>
      </w:r>
      <w:r>
        <w:rPr>
          <w:rFonts w:hint="eastAsia"/>
        </w:rPr>
        <w:t>护</w:t>
      </w:r>
      <w:r>
        <w:t>要求</w:t>
      </w:r>
      <w:bookmarkEnd w:id="98"/>
      <w:bookmarkEnd w:id="99"/>
      <w:bookmarkEnd w:id="100"/>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乙方负责包括其内部、分包商和供应商在内的文明施工与环境保护工作。</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乙方需制订施工现场的文明施工措施，保持良好的施工现场秩序。施工现场的物料堆放要整齐，安全标志和宣传标志要清楚醒目，废料、废物要分类收集，安全通道要畅通。</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乙方应在作业时避免建筑材料抛洒、飞扬、流淌；应降低噪音、震动。</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乙方应根据实际需要，在施工现场布置临时卫生设施（洗手间），施工作业不破坏环境卫生，不污染现场环境。</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乙方在施工中应充分重视对环境的保护，保护绿色植被。</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及时清理现场废物和垃圾。现场废料与生活垃圾必须分开，有害废物与普通废物必须分开（如油品废物、电池灯管等，必须单独收集、存放）；禁止在非指定场所乱倒、乱堆垃圾。禁止违章处理危险化学品和工业垃圾。</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乙方应在施工中禁止向周边环境排放工业污水、生活污水、废油或其他有害物质。</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乙方应在施工中充分重视防止水土流失，应及时对裸露的地基、边坡、开挖出来的沙/土以及砂、石、水泥等建筑材料予以保护，防止风刮扬尘、雨水冲刷、流入</w:t>
      </w:r>
      <w:r>
        <w:rPr>
          <w:rFonts w:hint="eastAsia" w:asciiTheme="minorEastAsia" w:hAnsiTheme="minorEastAsia" w:eastAsiaTheme="minorEastAsia"/>
          <w:color w:val="000000" w:themeColor="text1"/>
          <w:sz w:val="24"/>
          <w:szCs w:val="24"/>
          <w14:textFill>
            <w14:solidFill>
              <w14:schemeClr w14:val="tx1"/>
            </w14:solidFill>
          </w14:textFill>
        </w:rPr>
        <w:t>河流</w:t>
      </w:r>
      <w:r>
        <w:rPr>
          <w:rFonts w:asciiTheme="minorEastAsia" w:hAnsiTheme="minorEastAsia" w:eastAsiaTheme="minorEastAsia"/>
          <w:color w:val="000000" w:themeColor="text1"/>
          <w:sz w:val="24"/>
          <w:szCs w:val="24"/>
          <w14:textFill>
            <w14:solidFill>
              <w14:schemeClr w14:val="tx1"/>
            </w14:solidFill>
          </w14:textFill>
        </w:rPr>
        <w:t>或下水道、排洪沟。</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禁止乙方在施工中破坏山林，并应遵守山林防火规定。</w:t>
      </w:r>
    </w:p>
    <w:p>
      <w:pPr>
        <w:numPr>
          <w:ilvl w:val="0"/>
          <w:numId w:val="21"/>
        </w:numPr>
        <w:tabs>
          <w:tab w:val="clear" w:pos="840"/>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乙方应配备采取必要的措施，对施工区域内的临时道路作降尘处理；工程车辆驶入社会道路前应对车辆进行冲洗，防止污染物、泥土、粉尘等带出工地。</w:t>
      </w:r>
    </w:p>
    <w:p>
      <w:pPr>
        <w:pStyle w:val="6"/>
        <w:ind w:firstLine="482"/>
      </w:pPr>
      <w:bookmarkStart w:id="101" w:name="_Toc487527045"/>
      <w:bookmarkStart w:id="102" w:name="_Toc1736193"/>
      <w:bookmarkStart w:id="103" w:name="_Toc491172673"/>
      <w:r>
        <w:t>十</w:t>
      </w:r>
      <w:r>
        <w:rPr>
          <w:rFonts w:hint="eastAsia"/>
        </w:rPr>
        <w:t>二</w:t>
      </w:r>
      <w:r>
        <w:t>、工程风险管理与事故预防</w:t>
      </w:r>
      <w:bookmarkEnd w:id="101"/>
      <w:bookmarkEnd w:id="102"/>
      <w:bookmarkEnd w:id="103"/>
    </w:p>
    <w:p>
      <w:pPr>
        <w:pStyle w:val="22"/>
        <w:adjustRightInd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乙方负责包括其内部、分包商和供应商在内的工程风险管理与事故预防。</w:t>
      </w:r>
    </w:p>
    <w:p>
      <w:pPr>
        <w:pStyle w:val="22"/>
        <w:adjustRightInd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（一）基本要求</w:t>
      </w:r>
    </w:p>
    <w:p>
      <w:pPr>
        <w:numPr>
          <w:ilvl w:val="0"/>
          <w:numId w:val="22"/>
        </w:numPr>
        <w:tabs>
          <w:tab w:val="left" w:pos="630"/>
          <w:tab w:val="clear" w:pos="840"/>
        </w:tabs>
        <w:adjustRightInd w:val="0"/>
        <w:snapToGrid w:val="0"/>
        <w:spacing w:line="360" w:lineRule="auto"/>
        <w:ind w:left="0" w:firstLine="476"/>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乙方应对施工过程进行全面、深入的</w:t>
      </w:r>
      <w:r>
        <w:rPr>
          <w:rFonts w:hint="eastAsia" w:asciiTheme="minorEastAsia" w:hAnsiTheme="minorEastAsia" w:eastAsiaTheme="minorEastAsia"/>
          <w:color w:val="000000" w:themeColor="text1"/>
          <w:sz w:val="24"/>
          <w:szCs w:val="24"/>
          <w14:textFill>
            <w14:solidFill>
              <w14:schemeClr w14:val="tx1"/>
            </w14:solidFill>
          </w14:textFill>
        </w:rPr>
        <w:t>危险源、</w:t>
      </w:r>
      <w:r>
        <w:rPr>
          <w:rFonts w:asciiTheme="minorEastAsia" w:hAnsiTheme="minorEastAsia" w:eastAsiaTheme="minorEastAsia"/>
          <w:color w:val="000000" w:themeColor="text1"/>
          <w:sz w:val="24"/>
          <w:szCs w:val="24"/>
          <w14:textFill>
            <w14:solidFill>
              <w14:schemeClr w14:val="tx1"/>
            </w14:solidFill>
          </w14:textFill>
        </w:rPr>
        <w:t>危害</w:t>
      </w:r>
      <w:r>
        <w:rPr>
          <w:rFonts w:hint="eastAsia" w:asciiTheme="minorEastAsia" w:hAnsiTheme="minorEastAsia" w:eastAsiaTheme="minorEastAsia"/>
          <w:color w:val="000000" w:themeColor="text1"/>
          <w:sz w:val="24"/>
          <w:szCs w:val="24"/>
          <w14:textFill>
            <w14:solidFill>
              <w14:schemeClr w14:val="tx1"/>
            </w14:solidFill>
          </w14:textFill>
        </w:rPr>
        <w:t>因素、环境因素辨识、</w:t>
      </w:r>
      <w:r>
        <w:rPr>
          <w:rFonts w:asciiTheme="minorEastAsia" w:hAnsiTheme="minorEastAsia" w:eastAsiaTheme="minorEastAsia"/>
          <w:color w:val="000000" w:themeColor="text1"/>
          <w:sz w:val="24"/>
          <w:szCs w:val="24"/>
          <w14:textFill>
            <w14:solidFill>
              <w14:schemeClr w14:val="tx1"/>
            </w14:solidFill>
          </w14:textFill>
        </w:rPr>
        <w:t>识别和风险分析</w:t>
      </w:r>
      <w:r>
        <w:rPr>
          <w:rFonts w:hint="eastAsia" w:asciiTheme="minorEastAsia" w:hAnsiTheme="minorEastAsia" w:eastAsiaTheme="minorEastAsia"/>
          <w:color w:val="000000" w:themeColor="text1"/>
          <w:sz w:val="24"/>
          <w:szCs w:val="24"/>
          <w14:textFill>
            <w14:solidFill>
              <w14:schemeClr w14:val="tx1"/>
            </w14:solidFill>
          </w14:textFill>
        </w:rPr>
        <w:t>、评价</w:t>
      </w:r>
      <w:r>
        <w:rPr>
          <w:rFonts w:asciiTheme="minorEastAsia" w:hAnsiTheme="minorEastAsia" w:eastAsiaTheme="minorEastAsia"/>
          <w:color w:val="000000" w:themeColor="text1"/>
          <w:sz w:val="24"/>
          <w:szCs w:val="24"/>
          <w14:textFill>
            <w14:solidFill>
              <w14:schemeClr w14:val="tx1"/>
            </w14:solidFill>
          </w14:textFill>
        </w:rPr>
        <w:t>，在施工安全组织设计中提供“工程</w:t>
      </w:r>
      <w:r>
        <w:rPr>
          <w:rFonts w:hint="eastAsia" w:asciiTheme="minorEastAsia" w:hAnsiTheme="minorEastAsia" w:eastAsiaTheme="minorEastAsia"/>
          <w:color w:val="000000" w:themeColor="text1"/>
          <w:sz w:val="24"/>
          <w:szCs w:val="24"/>
          <w14:textFill>
            <w14:solidFill>
              <w14:schemeClr w14:val="tx1"/>
            </w14:solidFill>
          </w14:textFill>
        </w:rPr>
        <w:t>危险源、</w:t>
      </w:r>
      <w:r>
        <w:rPr>
          <w:rFonts w:asciiTheme="minorEastAsia" w:hAnsiTheme="minorEastAsia" w:eastAsiaTheme="minorEastAsia"/>
          <w:color w:val="000000" w:themeColor="text1"/>
          <w:sz w:val="24"/>
          <w:szCs w:val="24"/>
          <w14:textFill>
            <w14:solidFill>
              <w14:schemeClr w14:val="tx1"/>
            </w14:solidFill>
          </w14:textFill>
        </w:rPr>
        <w:t>危害</w:t>
      </w:r>
      <w:r>
        <w:rPr>
          <w:rFonts w:hint="eastAsia" w:asciiTheme="minorEastAsia" w:hAnsiTheme="minorEastAsia" w:eastAsiaTheme="minorEastAsia"/>
          <w:color w:val="000000" w:themeColor="text1"/>
          <w:sz w:val="24"/>
          <w:szCs w:val="24"/>
          <w14:textFill>
            <w14:solidFill>
              <w14:schemeClr w14:val="tx1"/>
            </w14:solidFill>
          </w14:textFill>
        </w:rPr>
        <w:t>因素、环境因素辨识、</w:t>
      </w:r>
      <w:r>
        <w:rPr>
          <w:rFonts w:asciiTheme="minorEastAsia" w:hAnsiTheme="minorEastAsia" w:eastAsiaTheme="minorEastAsia"/>
          <w:color w:val="000000" w:themeColor="text1"/>
          <w:sz w:val="24"/>
          <w:szCs w:val="24"/>
          <w14:textFill>
            <w14:solidFill>
              <w14:schemeClr w14:val="tx1"/>
            </w14:solidFill>
          </w14:textFill>
        </w:rPr>
        <w:t>识别和生产安全事故风险分析报告”，该报告应包括（但不限于）如下信息：</w:t>
      </w:r>
    </w:p>
    <w:p>
      <w:pPr>
        <w:pStyle w:val="22"/>
        <w:numPr>
          <w:ilvl w:val="0"/>
          <w:numId w:val="23"/>
        </w:numPr>
        <w:tabs>
          <w:tab w:val="left" w:pos="90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高风险作业和工种清单作业名称，这些作业工种的类别和数量、主要事故风险。</w:t>
      </w:r>
    </w:p>
    <w:p>
      <w:pPr>
        <w:pStyle w:val="22"/>
        <w:numPr>
          <w:ilvl w:val="0"/>
          <w:numId w:val="23"/>
        </w:numPr>
        <w:tabs>
          <w:tab w:val="left" w:pos="900"/>
        </w:tabs>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施工能源和机械的种类、数量和主要事故风险。</w:t>
      </w:r>
    </w:p>
    <w:p>
      <w:pPr>
        <w:pStyle w:val="22"/>
        <w:numPr>
          <w:ilvl w:val="0"/>
          <w:numId w:val="23"/>
        </w:numPr>
        <w:tabs>
          <w:tab w:val="left" w:pos="900"/>
        </w:tabs>
        <w:adjustRightInd w:val="0"/>
        <w:snapToGrid w:val="0"/>
        <w:spacing w:line="360" w:lineRule="auto"/>
        <w:ind w:left="0"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施工作业条件的类型和主要事故风险。</w:t>
      </w:r>
    </w:p>
    <w:p>
      <w:pPr>
        <w:pStyle w:val="22"/>
        <w:numPr>
          <w:ilvl w:val="0"/>
          <w:numId w:val="23"/>
        </w:numPr>
        <w:tabs>
          <w:tab w:val="left" w:pos="900"/>
        </w:tabs>
        <w:adjustRightInd w:val="0"/>
        <w:snapToGrid w:val="0"/>
        <w:spacing w:line="360" w:lineRule="auto"/>
        <w:ind w:left="0"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主要工艺过程（或施工活动）的类别及其相关的事故风险。</w:t>
      </w:r>
    </w:p>
    <w:p>
      <w:pPr>
        <w:pStyle w:val="22"/>
        <w:numPr>
          <w:ilvl w:val="0"/>
          <w:numId w:val="23"/>
        </w:numPr>
        <w:tabs>
          <w:tab w:val="left" w:pos="900"/>
        </w:tabs>
        <w:adjustRightInd w:val="0"/>
        <w:snapToGrid w:val="0"/>
        <w:spacing w:line="360" w:lineRule="auto"/>
        <w:ind w:left="0"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主要火灾危险（可燃物、点火源）。</w:t>
      </w:r>
    </w:p>
    <w:p>
      <w:pPr>
        <w:pStyle w:val="22"/>
        <w:numPr>
          <w:ilvl w:val="0"/>
          <w:numId w:val="23"/>
        </w:numPr>
        <w:tabs>
          <w:tab w:val="left" w:pos="900"/>
        </w:tabs>
        <w:adjustRightInd w:val="0"/>
        <w:snapToGrid w:val="0"/>
        <w:spacing w:line="360" w:lineRule="auto"/>
        <w:ind w:left="0"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主要自然灾害（台风、雷暴、暴雨、地质灾害等）。</w:t>
      </w:r>
    </w:p>
    <w:p>
      <w:pPr>
        <w:pStyle w:val="22"/>
        <w:numPr>
          <w:ilvl w:val="0"/>
          <w:numId w:val="23"/>
        </w:numPr>
        <w:tabs>
          <w:tab w:val="left" w:pos="900"/>
        </w:tabs>
        <w:adjustRightInd w:val="0"/>
        <w:snapToGrid w:val="0"/>
        <w:spacing w:line="360" w:lineRule="auto"/>
        <w:ind w:left="0"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主要环境保护事件（有害垃圾、机械的跑冒滴漏、原材料流失、水土流失等）。</w:t>
      </w:r>
    </w:p>
    <w:p>
      <w:pPr>
        <w:pStyle w:val="22"/>
        <w:numPr>
          <w:ilvl w:val="0"/>
          <w:numId w:val="23"/>
        </w:numPr>
        <w:tabs>
          <w:tab w:val="left" w:pos="900"/>
        </w:tabs>
        <w:adjustRightInd w:val="0"/>
        <w:snapToGrid w:val="0"/>
        <w:spacing w:line="360" w:lineRule="auto"/>
        <w:ind w:left="0"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其他。</w:t>
      </w:r>
    </w:p>
    <w:p>
      <w:pPr>
        <w:pStyle w:val="22"/>
        <w:tabs>
          <w:tab w:val="left" w:pos="900"/>
        </w:tabs>
        <w:adjustRightInd w:val="0"/>
        <w:snapToGrid w:val="0"/>
        <w:spacing w:line="360" w:lineRule="auto"/>
        <w:ind w:left="462" w:leftChars="22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乙方应对以上风险制定有针对性事故预防措施（反事故措施），</w:t>
      </w:r>
      <w:r>
        <w:rPr>
          <w:rFonts w:hint="eastAsia" w:asciiTheme="minorEastAsia" w:hAnsiTheme="minorEastAsia" w:eastAsiaTheme="minorEastAsia"/>
          <w:color w:val="000000" w:themeColor="text1"/>
          <w:sz w:val="24"/>
          <w:szCs w:val="24"/>
          <w14:textFill>
            <w14:solidFill>
              <w14:schemeClr w14:val="tx1"/>
            </w14:solidFill>
          </w14:textFill>
        </w:rPr>
        <w:t>必要时针对事故预防措施进行演练，</w:t>
      </w:r>
      <w:r>
        <w:rPr>
          <w:rFonts w:asciiTheme="minorEastAsia" w:hAnsiTheme="minorEastAsia" w:eastAsiaTheme="minorEastAsia"/>
          <w:color w:val="000000" w:themeColor="text1"/>
          <w:sz w:val="24"/>
          <w:szCs w:val="24"/>
          <w14:textFill>
            <w14:solidFill>
              <w14:schemeClr w14:val="tx1"/>
            </w14:solidFill>
          </w14:textFill>
        </w:rPr>
        <w:t>并建立落实这些措施的组织管理系统。</w:t>
      </w:r>
    </w:p>
    <w:p>
      <w:pPr>
        <w:numPr>
          <w:ilvl w:val="0"/>
          <w:numId w:val="22"/>
        </w:numPr>
        <w:tabs>
          <w:tab w:val="left" w:pos="630"/>
          <w:tab w:val="clear" w:pos="840"/>
        </w:tabs>
        <w:adjustRightInd w:val="0"/>
        <w:snapToGrid w:val="0"/>
        <w:spacing w:line="360" w:lineRule="auto"/>
        <w:ind w:left="0" w:firstLine="46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当在施工组织设计中编制安全技术措施和施工现场临时用电方案，对下列达到一定规模的危险性较大的分部分项工程编制专项施工方案，并附具安全验算结果，经乙方技术负责人、总监理工程师签字后实施，由专职安全监督管理人员进行现场监督：</w:t>
      </w:r>
    </w:p>
    <w:p>
      <w:pPr>
        <w:pStyle w:val="224"/>
        <w:spacing w:before="0" w:line="360" w:lineRule="auto"/>
        <w:ind w:left="426"/>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（一）基坑支护与降水工程；</w:t>
      </w:r>
    </w:p>
    <w:p>
      <w:pPr>
        <w:pStyle w:val="224"/>
        <w:spacing w:before="0" w:line="360" w:lineRule="auto"/>
        <w:ind w:left="426"/>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（二）土方开挖工程；</w:t>
      </w:r>
    </w:p>
    <w:p>
      <w:pPr>
        <w:pStyle w:val="224"/>
        <w:tabs>
          <w:tab w:val="left" w:pos="2350"/>
        </w:tabs>
        <w:spacing w:before="0" w:line="360" w:lineRule="auto"/>
        <w:ind w:left="426"/>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（三）模板工程；</w:t>
      </w:r>
      <w:r>
        <w:rPr>
          <w:rFonts w:asciiTheme="minorEastAsia" w:hAnsiTheme="minorEastAsia" w:eastAsiaTheme="minorEastAsia"/>
          <w:color w:val="000000" w:themeColor="text1"/>
          <w:kern w:val="2"/>
          <w:sz w:val="24"/>
          <w:szCs w:val="24"/>
          <w14:textFill>
            <w14:solidFill>
              <w14:schemeClr w14:val="tx1"/>
            </w14:solidFill>
          </w14:textFill>
        </w:rPr>
        <w:tab/>
      </w:r>
    </w:p>
    <w:p>
      <w:pPr>
        <w:pStyle w:val="224"/>
        <w:spacing w:before="0" w:line="360" w:lineRule="auto"/>
        <w:ind w:left="426"/>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（四）起重吊装工程；</w:t>
      </w:r>
    </w:p>
    <w:p>
      <w:pPr>
        <w:pStyle w:val="224"/>
        <w:spacing w:before="0" w:line="360" w:lineRule="auto"/>
        <w:ind w:left="426"/>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（五）脚手架工程；</w:t>
      </w:r>
    </w:p>
    <w:p>
      <w:pPr>
        <w:pStyle w:val="224"/>
        <w:spacing w:before="0" w:line="360" w:lineRule="auto"/>
        <w:ind w:left="426"/>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（六）拆除、爆破工程；</w:t>
      </w:r>
    </w:p>
    <w:p>
      <w:pPr>
        <w:pStyle w:val="224"/>
        <w:spacing w:before="0" w:line="360" w:lineRule="auto"/>
        <w:ind w:left="426"/>
        <w:rPr>
          <w:rFonts w:asciiTheme="minorEastAsia" w:hAnsiTheme="minorEastAsia" w:eastAsia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kern w:val="2"/>
          <w:sz w:val="24"/>
          <w:szCs w:val="24"/>
          <w14:textFill>
            <w14:solidFill>
              <w14:schemeClr w14:val="tx1"/>
            </w14:solidFill>
          </w14:textFill>
        </w:rPr>
        <w:t>（七）国务院建设行政主管部门或者其他有关部门规定的其他危险性较大的工程。</w:t>
      </w:r>
    </w:p>
    <w:p>
      <w:pPr>
        <w:pStyle w:val="22"/>
        <w:tabs>
          <w:tab w:val="left" w:pos="900"/>
        </w:tabs>
        <w:adjustRightInd w:val="0"/>
        <w:snapToGrid w:val="0"/>
        <w:spacing w:line="360" w:lineRule="auto"/>
        <w:ind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对前款所列工程中涉及深基坑、地下暗挖工程、高大模板工程的专项施工方案，乙方还应当组织专家进行论证、审查。</w:t>
      </w:r>
    </w:p>
    <w:p>
      <w:pPr>
        <w:pStyle w:val="22"/>
        <w:tabs>
          <w:tab w:val="left" w:pos="900"/>
        </w:tabs>
        <w:adjustRightInd w:val="0"/>
        <w:snapToGrid w:val="0"/>
        <w:spacing w:line="360" w:lineRule="auto"/>
        <w:ind w:firstLine="460" w:firstLineChars="192"/>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法律法规或其它规范性文件对编制专项方案另有规定或要求的，按照该等法律法规或其它规范性文件执行。</w:t>
      </w:r>
    </w:p>
    <w:p>
      <w:pPr>
        <w:numPr>
          <w:ilvl w:val="0"/>
          <w:numId w:val="22"/>
        </w:numPr>
        <w:tabs>
          <w:tab w:val="left" w:pos="630"/>
          <w:tab w:val="clear" w:pos="840"/>
        </w:tabs>
        <w:adjustRightInd w:val="0"/>
        <w:snapToGrid w:val="0"/>
        <w:spacing w:line="360" w:lineRule="auto"/>
        <w:ind w:left="0" w:firstLine="462"/>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乙方应建立日常施工活动的作业风险分析和安全组织（技术措施）交底制度。该制度应明确规定风险分析的方法、责任和交底的内容、时间及记录。</w:t>
      </w:r>
    </w:p>
    <w:p>
      <w:pPr>
        <w:pStyle w:val="22"/>
        <w:adjustRightInd w:val="0"/>
        <w:snapToGrid w:val="0"/>
        <w:spacing w:before="120" w:beforeLines="50" w:after="120" w:afterLines="50" w:line="360" w:lineRule="auto"/>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（二）现场作业基本安全条件</w:t>
      </w:r>
    </w:p>
    <w:p>
      <w:pPr>
        <w:pStyle w:val="22"/>
        <w:adjustRightInd w:val="0"/>
        <w:snapToGrid w:val="0"/>
        <w:spacing w:before="120" w:beforeLines="50" w:after="120" w:afterLines="50"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pStyle w:val="6"/>
        <w:ind w:firstLine="482"/>
      </w:pPr>
      <w:bookmarkStart w:id="104" w:name="_Toc487527046"/>
      <w:bookmarkStart w:id="105" w:name="_Toc491172674"/>
      <w:bookmarkStart w:id="106" w:name="_Toc1736194"/>
      <w:r>
        <w:t>十</w:t>
      </w:r>
      <w:r>
        <w:rPr>
          <w:rFonts w:hint="eastAsia"/>
        </w:rPr>
        <w:t>三</w:t>
      </w:r>
      <w:r>
        <w:t>、事故报告与应急救援</w:t>
      </w:r>
      <w:bookmarkEnd w:id="104"/>
      <w:bookmarkEnd w:id="105"/>
      <w:bookmarkEnd w:id="106"/>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乙方负责包括其内部、分包商和供应商在内的事故报告与应急救援。</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乙方现场人员应熟悉施工现场应急响应流程和各种应急通讯方法（火警电话、保卫电话）要求，编制应急预案并进行演练。</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乙方应参照甲方的</w:t>
      </w:r>
      <w:r>
        <w:rPr>
          <w:rFonts w:hint="eastAsia" w:asciiTheme="minorEastAsia" w:hAnsiTheme="minorEastAsia" w:eastAsiaTheme="minorEastAsia"/>
          <w:color w:val="000000" w:themeColor="text1"/>
          <w:sz w:val="24"/>
          <w:szCs w:val="24"/>
          <w14:textFill>
            <w14:solidFill>
              <w14:schemeClr w14:val="tx1"/>
            </w14:solidFill>
          </w14:textFill>
        </w:rPr>
        <w:t>事故、事件报告和调查处理程序规定</w:t>
      </w:r>
      <w:r>
        <w:rPr>
          <w:rFonts w:asciiTheme="minorEastAsia" w:hAnsiTheme="minorEastAsia" w:eastAsiaTheme="minorEastAsia"/>
          <w:color w:val="000000" w:themeColor="text1"/>
          <w:sz w:val="24"/>
          <w:szCs w:val="24"/>
          <w14:textFill>
            <w14:solidFill>
              <w14:schemeClr w14:val="tx1"/>
            </w14:solidFill>
          </w14:textFill>
        </w:rPr>
        <w:t>，对于各种安健环事件和事故，按照甲方相关管理规定，及时报送各种报告等。</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乙方发生安健环事故后，禁止隐瞒、谎报或拖延报告事故。</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乙方现场应建立安健环事故统计记录、未遂事故统计记录、违章统计记录，对统计情况进行分析，并就分析结果制定相应的预防措施。</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乙方负责组织事故调查，甲方有权参与调查。在事故调查结束后甲方规定的工作日内，乙方应向甲方递交正式的事故调查处理报告。</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乙方应建立事故应急救援机制，明确事故处置的基本原则，即现场发生事故时，首先抢救生命，向救援组织报警，并采取措施限制事故扩大。</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乙方应建立相应的应急响应组织，以便能迅速处理突发意外。</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乙方应建立综合应急响应预案，建立各专项预案</w:t>
      </w:r>
      <w:r>
        <w:rPr>
          <w:rFonts w:hint="eastAsia" w:asciiTheme="minorEastAsia" w:hAnsiTheme="minorEastAsia" w:eastAsiaTheme="minorEastAsia"/>
          <w:color w:val="000000" w:themeColor="text1"/>
          <w:sz w:val="24"/>
          <w:szCs w:val="24"/>
          <w14:textFill>
            <w14:solidFill>
              <w14:schemeClr w14:val="tx1"/>
            </w14:solidFill>
          </w14:textFill>
        </w:rPr>
        <w:t>及现场处置方案</w:t>
      </w:r>
      <w:r>
        <w:rPr>
          <w:rFonts w:asciiTheme="minorEastAsia" w:hAnsiTheme="minorEastAsia" w:eastAsiaTheme="minorEastAsia"/>
          <w:color w:val="000000" w:themeColor="text1"/>
          <w:sz w:val="24"/>
          <w:szCs w:val="24"/>
          <w14:textFill>
            <w14:solidFill>
              <w14:schemeClr w14:val="tx1"/>
            </w14:solidFill>
          </w14:textFill>
        </w:rPr>
        <w:t>。</w:t>
      </w:r>
    </w:p>
    <w:p>
      <w:pPr>
        <w:pStyle w:val="22"/>
        <w:numPr>
          <w:ilvl w:val="1"/>
          <w:numId w:val="24"/>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乙方应对应急预案进行演练，保证应急预案的可操作性</w:t>
      </w:r>
      <w:r>
        <w:rPr>
          <w:rFonts w:hint="eastAsia" w:asciiTheme="minorEastAsia" w:hAnsiTheme="minorEastAsia" w:eastAsiaTheme="minorEastAsia"/>
          <w:color w:val="000000" w:themeColor="text1"/>
          <w:sz w:val="24"/>
          <w:szCs w:val="24"/>
          <w14:textFill>
            <w14:solidFill>
              <w14:schemeClr w14:val="tx1"/>
            </w14:solidFill>
          </w14:textFill>
        </w:rPr>
        <w:t>和实战管用</w:t>
      </w:r>
      <w:r>
        <w:rPr>
          <w:rFonts w:asciiTheme="minorEastAsia" w:hAnsiTheme="minorEastAsia" w:eastAsiaTheme="minorEastAsia"/>
          <w:color w:val="000000" w:themeColor="text1"/>
          <w:sz w:val="24"/>
          <w:szCs w:val="24"/>
          <w14:textFill>
            <w14:solidFill>
              <w14:schemeClr w14:val="tx1"/>
            </w14:solidFill>
          </w14:textFill>
        </w:rPr>
        <w:t>。</w:t>
      </w:r>
    </w:p>
    <w:p>
      <w:pPr>
        <w:pStyle w:val="6"/>
        <w:ind w:firstLine="482"/>
      </w:pPr>
      <w:bookmarkStart w:id="107" w:name="_Toc487527047"/>
      <w:bookmarkStart w:id="108" w:name="_Toc491172675"/>
      <w:bookmarkStart w:id="109" w:name="_Toc1736195"/>
      <w:r>
        <w:t>十</w:t>
      </w:r>
      <w:r>
        <w:rPr>
          <w:rFonts w:hint="eastAsia"/>
        </w:rPr>
        <w:t>四</w:t>
      </w:r>
      <w:r>
        <w:t>、安健环业绩考核</w:t>
      </w:r>
      <w:bookmarkEnd w:id="107"/>
      <w:bookmarkEnd w:id="108"/>
      <w:bookmarkEnd w:id="109"/>
    </w:p>
    <w:p>
      <w:pPr>
        <w:numPr>
          <w:ilvl w:val="0"/>
          <w:numId w:val="25"/>
        </w:numPr>
        <w:tabs>
          <w:tab w:val="left" w:pos="315"/>
          <w:tab w:val="clear" w:pos="1224"/>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为了落实安健环管理责任，</w:t>
      </w:r>
      <w:r>
        <w:rPr>
          <w:rFonts w:hint="eastAsia" w:asciiTheme="minorEastAsia" w:hAnsiTheme="minorEastAsia" w:eastAsiaTheme="minorEastAsia"/>
          <w:color w:val="000000" w:themeColor="text1"/>
          <w:sz w:val="24"/>
          <w:szCs w:val="24"/>
          <w14:textFill>
            <w14:solidFill>
              <w14:schemeClr w14:val="tx1"/>
            </w14:solidFill>
          </w14:textFill>
        </w:rPr>
        <w:t>保证项目安健环管理目标顺利实现，开工前，由甲方项目指挥部制定相关安健环考核制度，在整个项目建设过程中实施</w:t>
      </w:r>
      <w:r>
        <w:rPr>
          <w:rFonts w:asciiTheme="minorEastAsia" w:hAnsiTheme="minorEastAsia" w:eastAsiaTheme="minorEastAsia"/>
          <w:color w:val="000000" w:themeColor="text1"/>
          <w:sz w:val="24"/>
          <w:szCs w:val="24"/>
          <w14:textFill>
            <w14:solidFill>
              <w14:schemeClr w14:val="tx1"/>
            </w14:solidFill>
          </w14:textFill>
        </w:rPr>
        <w:t>。对于满足</w:t>
      </w:r>
      <w:r>
        <w:rPr>
          <w:rFonts w:hint="eastAsia" w:asciiTheme="minorEastAsia" w:hAnsiTheme="minorEastAsia" w:eastAsiaTheme="minorEastAsia"/>
          <w:color w:val="000000" w:themeColor="text1"/>
          <w:sz w:val="24"/>
          <w:szCs w:val="24"/>
          <w14:textFill>
            <w14:solidFill>
              <w14:schemeClr w14:val="tx1"/>
            </w14:solidFill>
          </w14:textFill>
        </w:rPr>
        <w:t>甲方标准要求</w:t>
      </w:r>
      <w:r>
        <w:rPr>
          <w:rFonts w:asciiTheme="minorEastAsia" w:hAnsiTheme="minorEastAsia" w:eastAsiaTheme="minorEastAsia"/>
          <w:color w:val="000000" w:themeColor="text1"/>
          <w:sz w:val="24"/>
          <w:szCs w:val="24"/>
          <w14:textFill>
            <w14:solidFill>
              <w14:schemeClr w14:val="tx1"/>
            </w14:solidFill>
          </w14:textFill>
        </w:rPr>
        <w:t>的乙方，进行奖励</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同时对违约行为进行处罚。</w:t>
      </w:r>
    </w:p>
    <w:p>
      <w:pPr>
        <w:numPr>
          <w:ilvl w:val="0"/>
          <w:numId w:val="25"/>
        </w:numPr>
        <w:tabs>
          <w:tab w:val="left" w:pos="315"/>
          <w:tab w:val="clear" w:pos="1224"/>
        </w:tabs>
        <w:adjustRightInd w:val="0"/>
        <w:snapToGrid w:val="0"/>
        <w:spacing w:line="360" w:lineRule="auto"/>
        <w:ind w:left="0" w:firstLine="527"/>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乙方应建立</w:t>
      </w:r>
      <w:r>
        <w:rPr>
          <w:rFonts w:hint="eastAsia" w:asciiTheme="minorEastAsia" w:hAnsiTheme="minorEastAsia" w:eastAsiaTheme="minorEastAsia"/>
          <w:color w:val="000000" w:themeColor="text1"/>
          <w:sz w:val="24"/>
          <w:szCs w:val="24"/>
          <w14:textFill>
            <w14:solidFill>
              <w14:schemeClr w14:val="tx1"/>
            </w14:solidFill>
          </w14:textFill>
        </w:rPr>
        <w:t>内部安健环考核实施细则</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实施重奖重罚，同时</w:t>
      </w:r>
      <w:r>
        <w:rPr>
          <w:rFonts w:asciiTheme="minorEastAsia" w:hAnsiTheme="minorEastAsia" w:eastAsiaTheme="minorEastAsia"/>
          <w:color w:val="000000" w:themeColor="text1"/>
          <w:sz w:val="24"/>
          <w:szCs w:val="24"/>
          <w14:textFill>
            <w14:solidFill>
              <w14:schemeClr w14:val="tx1"/>
            </w14:solidFill>
          </w14:textFill>
        </w:rPr>
        <w:t>遵循奖励施工现场员</w:t>
      </w:r>
      <w:r>
        <w:rPr>
          <w:rFonts w:hint="eastAsia" w:asciiTheme="minorEastAsia" w:hAnsiTheme="minorEastAsia" w:eastAsiaTheme="minorEastAsia"/>
          <w:color w:val="000000" w:themeColor="text1"/>
          <w:sz w:val="24"/>
          <w:szCs w:val="24"/>
          <w14:textFill>
            <w14:solidFill>
              <w14:schemeClr w14:val="tx1"/>
            </w14:solidFill>
          </w14:textFill>
        </w:rPr>
        <w:t>工</w:t>
      </w:r>
      <w:r>
        <w:rPr>
          <w:rFonts w:asciiTheme="minorEastAsia" w:hAnsiTheme="minorEastAsia" w:eastAsiaTheme="minorEastAsia"/>
          <w:color w:val="000000" w:themeColor="text1"/>
          <w:sz w:val="24"/>
          <w:szCs w:val="24"/>
          <w14:textFill>
            <w14:solidFill>
              <w14:schemeClr w14:val="tx1"/>
            </w14:solidFill>
          </w14:textFill>
        </w:rPr>
        <w:t>为主的原则，重点奖励在施工现场对安全文明施工有突出贡献的管理人员及从业人员，同时将奖励人员的名单抄送甲方备案。</w:t>
      </w:r>
    </w:p>
    <w:p>
      <w:pPr>
        <w:pStyle w:val="6"/>
        <w:ind w:firstLine="482"/>
      </w:pPr>
      <w:bookmarkStart w:id="110" w:name="_Toc1736196"/>
      <w:bookmarkStart w:id="111" w:name="_Toc491172676"/>
      <w:bookmarkStart w:id="112" w:name="_Toc487527048"/>
      <w:r>
        <w:t>十</w:t>
      </w:r>
      <w:r>
        <w:rPr>
          <w:rFonts w:hint="eastAsia"/>
        </w:rPr>
        <w:t>五</w:t>
      </w:r>
      <w:r>
        <w:t>、</w:t>
      </w:r>
      <w:r>
        <w:rPr>
          <w:rFonts w:hint="eastAsia"/>
        </w:rPr>
        <w:t>附则</w:t>
      </w:r>
      <w:bookmarkEnd w:id="110"/>
      <w:bookmarkEnd w:id="111"/>
      <w:bookmarkEnd w:id="112"/>
    </w:p>
    <w:p>
      <w:pPr>
        <w:pStyle w:val="22"/>
        <w:numPr>
          <w:ilvl w:val="1"/>
          <w:numId w:val="26"/>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本协议如存在与法律冲突的内容，应按法律规定执行。</w:t>
      </w:r>
    </w:p>
    <w:p>
      <w:pPr>
        <w:pStyle w:val="22"/>
        <w:numPr>
          <w:ilvl w:val="1"/>
          <w:numId w:val="26"/>
        </w:numPr>
        <w:adjustRightInd w:val="0"/>
        <w:snapToGrid w:val="0"/>
        <w:spacing w:line="360" w:lineRule="auto"/>
        <w:ind w:left="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本协议作为项目本合同的附件，系对双方签订的项目本合同中关于安健环内容的补充，双方在签订本合同的同时，签订本安健环协议。</w:t>
      </w:r>
    </w:p>
    <w:p>
      <w:pPr>
        <w:pStyle w:val="22"/>
        <w:numPr>
          <w:ilvl w:val="1"/>
          <w:numId w:val="26"/>
        </w:numPr>
        <w:adjustRightInd w:val="0"/>
        <w:snapToGrid w:val="0"/>
        <w:spacing w:line="360" w:lineRule="auto"/>
        <w:ind w:left="0" w:firstLine="480" w:firstLineChars="200"/>
        <w:rPr>
          <w:rFonts w:hAnsi="宋体"/>
          <w:color w:val="000000" w:themeColor="text1"/>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本协议经双方签字、盖章后有效。本协议份数与主合同等同，均具有同等法律效力</w:t>
      </w:r>
      <w:r>
        <w:rPr>
          <w:rFonts w:hint="eastAsia" w:hAnsi="宋体"/>
          <w:color w:val="000000" w:themeColor="text1"/>
          <w14:textFill>
            <w14:solidFill>
              <w14:schemeClr w14:val="tx1"/>
            </w14:solidFill>
          </w14:textFill>
        </w:rPr>
        <w:t>。</w:t>
      </w:r>
    </w:p>
    <w:p>
      <w:pPr>
        <w:tabs>
          <w:tab w:val="left" w:pos="315"/>
        </w:tabs>
        <w:adjustRightInd w:val="0"/>
        <w:snapToGrid w:val="0"/>
        <w:spacing w:line="480" w:lineRule="atLeast"/>
        <w:rPr>
          <w:rFonts w:ascii="宋体" w:hAnsi="宋体"/>
          <w:color w:val="000000" w:themeColor="text1"/>
          <w:szCs w:val="21"/>
          <w14:textFill>
            <w14:solidFill>
              <w14:schemeClr w14:val="tx1"/>
            </w14:solidFill>
          </w14:textFill>
        </w:rPr>
      </w:pPr>
    </w:p>
    <w:p>
      <w:pPr>
        <w:ind w:left="7379" w:hanging="7379" w:hangingChars="35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甲方：（盖章）</w:t>
      </w:r>
      <w:r>
        <w:rPr>
          <w:rFonts w:hint="eastAsia" w:ascii="宋体" w:hAnsi="宋体"/>
          <w:b/>
          <w:color w:val="000000" w:themeColor="text1"/>
          <w:szCs w:val="21"/>
          <w:u w:val="single"/>
          <w14:textFill>
            <w14:solidFill>
              <w14:schemeClr w14:val="tx1"/>
            </w14:solidFill>
          </w14:textFill>
        </w:rPr>
        <w:t xml:space="preserve">广州环投恒创科技有限公司  </w:t>
      </w:r>
      <w:r>
        <w:rPr>
          <w:rFonts w:hint="eastAsia" w:ascii="宋体" w:hAnsi="宋体"/>
          <w:b/>
          <w:color w:val="000000" w:themeColor="text1"/>
          <w:szCs w:val="21"/>
          <w14:textFill>
            <w14:solidFill>
              <w14:schemeClr w14:val="tx1"/>
            </w14:solidFill>
          </w14:textFill>
        </w:rPr>
        <w:t xml:space="preserve">         乙方（盖章）</w:t>
      </w:r>
    </w:p>
    <w:p>
      <w:pPr>
        <w:spacing w:before="240" w:beforeLines="100" w:after="120"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                                      法定代表人或</w:t>
      </w:r>
    </w:p>
    <w:p>
      <w:pPr>
        <w:tabs>
          <w:tab w:val="left" w:pos="284"/>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其授权的代理人：                                  其授权的代理人：</w:t>
      </w:r>
    </w:p>
    <w:p>
      <w:pPr>
        <w:tabs>
          <w:tab w:val="left" w:pos="284"/>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                                            电话</w:t>
      </w:r>
      <w:r>
        <w:rPr>
          <w:rFonts w:ascii="宋体" w:hAnsi="宋体"/>
          <w:color w:val="000000" w:themeColor="text1"/>
          <w:szCs w:val="21"/>
          <w14:textFill>
            <w14:solidFill>
              <w14:schemeClr w14:val="tx1"/>
            </w14:solidFill>
          </w14:textFill>
        </w:rPr>
        <w:t xml:space="preserve">: </w:t>
      </w:r>
    </w:p>
    <w:p>
      <w:pPr>
        <w:tabs>
          <w:tab w:val="left" w:pos="284"/>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签订日期：2023年  月  日                         签订日期：2023年  月  日</w:t>
      </w:r>
    </w:p>
    <w:p>
      <w:pPr>
        <w:tabs>
          <w:tab w:val="left" w:pos="284"/>
        </w:tabs>
        <w:spacing w:line="360" w:lineRule="auto"/>
        <w:rPr>
          <w:rFonts w:ascii="宋体" w:hAnsi="宋体"/>
          <w:b/>
          <w:color w:val="000000" w:themeColor="text1"/>
          <w:sz w:val="28"/>
          <w:szCs w:val="28"/>
          <w14:textFill>
            <w14:solidFill>
              <w14:schemeClr w14:val="tx1"/>
            </w14:solidFill>
          </w14:textFill>
        </w:rPr>
        <w:sectPr>
          <w:headerReference r:id="rId23" w:type="first"/>
          <w:footerReference r:id="rId25" w:type="first"/>
          <w:headerReference r:id="rId21" w:type="default"/>
          <w:headerReference r:id="rId22" w:type="even"/>
          <w:footerReference r:id="rId24" w:type="even"/>
          <w:type w:val="nextColumn"/>
          <w:pgSz w:w="11906" w:h="16838"/>
          <w:pgMar w:top="1247" w:right="1247" w:bottom="1247" w:left="1474" w:header="851" w:footer="624" w:gutter="0"/>
          <w:pgNumType w:fmt="decimal"/>
          <w:cols w:space="720" w:num="1"/>
          <w:docGrid w:linePitch="326" w:charSpace="0"/>
        </w:sectPr>
      </w:pPr>
      <w:r>
        <w:rPr>
          <w:rFonts w:hint="eastAsia" w:ascii="宋体" w:hAnsi="宋体"/>
          <w:color w:val="000000" w:themeColor="text1"/>
          <w:szCs w:val="21"/>
          <w14:textFill>
            <w14:solidFill>
              <w14:schemeClr w14:val="tx1"/>
            </w14:solidFill>
          </w14:textFill>
        </w:rPr>
        <w:t xml:space="preserve">            </w:t>
      </w:r>
    </w:p>
    <w:p>
      <w:pPr>
        <w:pStyle w:val="4"/>
        <w:rPr>
          <w:rFonts w:cs="Arial Unicode MS"/>
          <w:w w:val="97"/>
        </w:rPr>
      </w:pPr>
      <w:bookmarkStart w:id="113" w:name="_Toc1736197"/>
      <w:r>
        <w:rPr>
          <w:rFonts w:hint="eastAsia"/>
        </w:rPr>
        <w:t>附件十：安全文明施工管理</w:t>
      </w:r>
      <w:bookmarkEnd w:id="113"/>
    </w:p>
    <w:p>
      <w:pPr>
        <w:pStyle w:val="225"/>
        <w:jc w:val="both"/>
        <w:rPr>
          <w:rFonts w:ascii="宋体" w:hAnsi="宋体" w:eastAsia="宋体" w:cs="Arial Unicode MS"/>
          <w:color w:val="000000" w:themeColor="text1"/>
          <w:w w:val="97"/>
          <w:szCs w:val="52"/>
          <w14:textFill>
            <w14:solidFill>
              <w14:schemeClr w14:val="tx1"/>
            </w14:solidFill>
          </w14:textFill>
        </w:rPr>
      </w:pPr>
    </w:p>
    <w:p>
      <w:pPr>
        <w:pStyle w:val="225"/>
        <w:jc w:val="both"/>
        <w:rPr>
          <w:rFonts w:ascii="宋体" w:hAnsi="宋体" w:eastAsia="宋体" w:cs="Arial Unicode MS"/>
          <w:color w:val="000000" w:themeColor="text1"/>
          <w:w w:val="97"/>
          <w:szCs w:val="52"/>
          <w14:textFill>
            <w14:solidFill>
              <w14:schemeClr w14:val="tx1"/>
            </w14:solidFill>
          </w14:textFill>
        </w:rPr>
      </w:pPr>
    </w:p>
    <w:p>
      <w:pPr>
        <w:pStyle w:val="225"/>
        <w:ind w:firstLine="2520" w:firstLineChars="500"/>
        <w:jc w:val="both"/>
        <w:rPr>
          <w:rFonts w:ascii="宋体" w:hAnsi="宋体" w:eastAsia="宋体"/>
          <w:b w:val="0"/>
          <w:color w:val="000000" w:themeColor="text1"/>
          <w:sz w:val="48"/>
          <w:szCs w:val="48"/>
          <w14:textFill>
            <w14:solidFill>
              <w14:schemeClr w14:val="tx1"/>
            </w14:solidFill>
          </w14:textFill>
        </w:rPr>
      </w:pPr>
      <w:r>
        <w:rPr>
          <w:rFonts w:hint="eastAsia" w:ascii="宋体" w:hAnsi="宋体" w:eastAsia="宋体" w:cs="Arial Unicode MS"/>
          <w:b w:val="0"/>
          <w:bCs w:val="0"/>
          <w:color w:val="000000" w:themeColor="text1"/>
          <w:w w:val="97"/>
          <w:szCs w:val="52"/>
          <w14:textFill>
            <w14:solidFill>
              <w14:schemeClr w14:val="tx1"/>
            </w14:solidFill>
          </w14:textFill>
        </w:rPr>
        <w:t>安全文明施工管理</w:t>
      </w:r>
    </w:p>
    <w:p>
      <w:pPr>
        <w:adjustRightInd w:val="0"/>
        <w:snapToGrid w:val="0"/>
        <w:spacing w:line="480" w:lineRule="atLeast"/>
        <w:ind w:firstLine="420" w:firstLineChars="200"/>
        <w:textAlignment w:val="baseline"/>
        <w:rPr>
          <w:rFonts w:ascii="宋体" w:hAnsi="宋体"/>
          <w:color w:val="000000" w:themeColor="text1"/>
          <w:kern w:val="0"/>
          <w14:textFill>
            <w14:solidFill>
              <w14:schemeClr w14:val="tx1"/>
            </w14:solidFill>
          </w14:textFill>
        </w:rPr>
      </w:pPr>
    </w:p>
    <w:p>
      <w:pPr>
        <w:adjustRightInd w:val="0"/>
        <w:snapToGrid w:val="0"/>
        <w:spacing w:line="480" w:lineRule="atLeast"/>
        <w:ind w:firstLine="420" w:firstLineChars="200"/>
        <w:textAlignment w:val="baseline"/>
        <w:rPr>
          <w:rFonts w:ascii="宋体" w:hAnsi="宋体"/>
          <w:color w:val="000000" w:themeColor="text1"/>
          <w:kern w:val="0"/>
          <w14:textFill>
            <w14:solidFill>
              <w14:schemeClr w14:val="tx1"/>
            </w14:solidFill>
          </w14:textFill>
        </w:rPr>
      </w:pPr>
    </w:p>
    <w:p>
      <w:pPr>
        <w:adjustRightInd w:val="0"/>
        <w:snapToGrid w:val="0"/>
        <w:spacing w:line="480" w:lineRule="atLeast"/>
        <w:ind w:firstLine="420" w:firstLineChars="200"/>
        <w:textAlignment w:val="baseline"/>
        <w:rPr>
          <w:rFonts w:ascii="宋体" w:hAnsi="宋体"/>
          <w:color w:val="000000" w:themeColor="text1"/>
          <w:kern w:val="0"/>
          <w14:textFill>
            <w14:solidFill>
              <w14:schemeClr w14:val="tx1"/>
            </w14:solidFill>
          </w14:textFill>
        </w:rPr>
      </w:pPr>
    </w:p>
    <w:p>
      <w:pPr>
        <w:adjustRightInd w:val="0"/>
        <w:snapToGrid w:val="0"/>
        <w:spacing w:line="480" w:lineRule="atLeast"/>
        <w:ind w:firstLine="420" w:firstLineChars="200"/>
        <w:textAlignment w:val="baseline"/>
        <w:rPr>
          <w:rFonts w:ascii="宋体" w:hAnsi="宋体"/>
          <w:color w:val="000000" w:themeColor="text1"/>
          <w:kern w:val="0"/>
          <w14:textFill>
            <w14:solidFill>
              <w14:schemeClr w14:val="tx1"/>
            </w14:solidFill>
          </w14:textFill>
        </w:rPr>
      </w:pPr>
    </w:p>
    <w:p>
      <w:pPr>
        <w:adjustRightInd w:val="0"/>
        <w:snapToGrid w:val="0"/>
        <w:spacing w:line="480" w:lineRule="atLeast"/>
        <w:ind w:firstLine="420" w:firstLineChars="200"/>
        <w:textAlignment w:val="baseline"/>
        <w:rPr>
          <w:rFonts w:ascii="宋体" w:hAnsi="宋体"/>
          <w:color w:val="000000" w:themeColor="text1"/>
          <w:kern w:val="0"/>
          <w14:textFill>
            <w14:solidFill>
              <w14:schemeClr w14:val="tx1"/>
            </w14:solidFill>
          </w14:textFill>
        </w:rPr>
      </w:pPr>
    </w:p>
    <w:p>
      <w:pPr>
        <w:spacing w:before="240" w:beforeLines="100" w:after="120" w:afterLines="50" w:line="360" w:lineRule="auto"/>
        <w:rPr>
          <w:rFonts w:ascii="宋体" w:hAnsi="宋体"/>
          <w:color w:val="000000" w:themeColor="text1"/>
          <w:sz w:val="30"/>
          <w:szCs w:val="30"/>
          <w14:textFill>
            <w14:solidFill>
              <w14:schemeClr w14:val="tx1"/>
            </w14:solidFill>
          </w14:textFill>
        </w:rPr>
      </w:pPr>
    </w:p>
    <w:p>
      <w:pPr>
        <w:spacing w:line="360" w:lineRule="auto"/>
        <w:ind w:firstLine="1050" w:firstLineChars="350"/>
        <w:rPr>
          <w:rFonts w:ascii="仿宋_GB2312" w:hAnsi="Courier New" w:eastAsia="仿宋_GB2312" w:cs="Courier New"/>
          <w:color w:val="000000" w:themeColor="text1"/>
          <w:sz w:val="32"/>
          <w:szCs w:val="21"/>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工程地点：</w:t>
      </w:r>
    </w:p>
    <w:p>
      <w:pPr>
        <w:pStyle w:val="22"/>
        <w:spacing w:line="360" w:lineRule="auto"/>
        <w:ind w:firstLine="1050" w:firstLineChars="350"/>
        <w:contextualSpacing/>
        <w:rPr>
          <w:rFonts w:ascii="仿宋_GB2312" w:eastAsia="仿宋_GB2312"/>
          <w:color w:val="000000" w:themeColor="text1"/>
          <w:sz w:val="32"/>
          <w:u w:val="single"/>
          <w14:textFill>
            <w14:solidFill>
              <w14:schemeClr w14:val="tx1"/>
            </w14:solidFill>
          </w14:textFill>
        </w:rPr>
      </w:pPr>
      <w:r>
        <w:rPr>
          <w:rFonts w:hint="eastAsia" w:hAnsi="宋体"/>
          <w:color w:val="000000" w:themeColor="text1"/>
          <w:sz w:val="30"/>
          <w:szCs w:val="30"/>
          <w14:textFill>
            <w14:solidFill>
              <w14:schemeClr w14:val="tx1"/>
            </w14:solidFill>
          </w14:textFill>
        </w:rPr>
        <w:t>发 包 人：</w:t>
      </w:r>
      <w:r>
        <w:rPr>
          <w:rFonts w:hint="eastAsia" w:ascii="仿宋_GB2312" w:eastAsia="仿宋_GB2312"/>
          <w:color w:val="000000" w:themeColor="text1"/>
          <w:sz w:val="32"/>
          <w:u w:val="single"/>
          <w14:textFill>
            <w14:solidFill>
              <w14:schemeClr w14:val="tx1"/>
            </w14:solidFill>
          </w14:textFill>
        </w:rPr>
        <w:t xml:space="preserve">广州环投恒创科技有限公司 </w:t>
      </w:r>
    </w:p>
    <w:p>
      <w:pPr>
        <w:pStyle w:val="22"/>
        <w:spacing w:line="360" w:lineRule="auto"/>
        <w:ind w:firstLine="1050" w:firstLineChars="350"/>
        <w:contextualSpacing/>
        <w:rPr>
          <w:rFonts w:ascii="仿宋_GB2312" w:eastAsia="仿宋_GB2312"/>
          <w:color w:val="000000" w:themeColor="text1"/>
          <w:sz w:val="32"/>
          <w:u w:val="single"/>
          <w14:textFill>
            <w14:solidFill>
              <w14:schemeClr w14:val="tx1"/>
            </w14:solidFill>
          </w14:textFill>
        </w:rPr>
      </w:pPr>
      <w:r>
        <w:rPr>
          <w:rFonts w:hint="eastAsia" w:hAnsi="宋体"/>
          <w:color w:val="000000" w:themeColor="text1"/>
          <w:sz w:val="30"/>
          <w:szCs w:val="30"/>
          <w14:textFill>
            <w14:solidFill>
              <w14:schemeClr w14:val="tx1"/>
            </w14:solidFill>
          </w14:textFill>
        </w:rPr>
        <w:t>承 包 人：</w:t>
      </w:r>
    </w:p>
    <w:p>
      <w:pPr>
        <w:tabs>
          <w:tab w:val="left" w:pos="5370"/>
        </w:tabs>
        <w:adjustRightInd w:val="0"/>
        <w:snapToGrid w:val="0"/>
        <w:spacing w:line="480" w:lineRule="atLeast"/>
        <w:ind w:firstLine="2550" w:firstLineChars="850"/>
        <w:textAlignment w:val="baseline"/>
        <w:rPr>
          <w:rFonts w:ascii="宋体" w:hAnsi="宋体"/>
          <w:color w:val="000000" w:themeColor="text1"/>
          <w:kern w:val="0"/>
          <w:sz w:val="30"/>
          <w:szCs w:val="30"/>
          <w14:textFill>
            <w14:solidFill>
              <w14:schemeClr w14:val="tx1"/>
            </w14:solidFill>
          </w14:textFill>
        </w:rPr>
      </w:pPr>
      <w:r>
        <w:rPr>
          <w:rFonts w:ascii="宋体" w:hAnsi="宋体"/>
          <w:color w:val="000000" w:themeColor="text1"/>
          <w:kern w:val="0"/>
          <w:sz w:val="30"/>
          <w:szCs w:val="30"/>
          <w14:textFill>
            <w14:solidFill>
              <w14:schemeClr w14:val="tx1"/>
            </w14:solidFill>
          </w14:textFill>
        </w:rPr>
        <w:tab/>
      </w:r>
    </w:p>
    <w:p>
      <w:pPr>
        <w:snapToGrid w:val="0"/>
        <w:spacing w:line="480" w:lineRule="atLeast"/>
        <w:ind w:firstLine="420" w:firstLineChars="200"/>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tabs>
          <w:tab w:val="left" w:pos="5430"/>
        </w:tabs>
        <w:rPr>
          <w:rFonts w:ascii="宋体" w:hAnsi="宋体"/>
          <w:color w:val="000000" w:themeColor="text1"/>
          <w14:textFill>
            <w14:solidFill>
              <w14:schemeClr w14:val="tx1"/>
            </w14:solidFill>
          </w14:textFill>
        </w:rPr>
        <w:sectPr>
          <w:type w:val="nextColumn"/>
          <w:pgSz w:w="11906" w:h="16838"/>
          <w:pgMar w:top="1247" w:right="1247" w:bottom="1247" w:left="1474" w:header="851" w:footer="624" w:gutter="0"/>
          <w:pgNumType w:fmt="decimal"/>
          <w:cols w:space="720" w:num="1"/>
          <w:docGrid w:linePitch="326" w:charSpace="0"/>
        </w:sectPr>
      </w:pPr>
    </w:p>
    <w:p>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安全文明施工管理专项条款</w:t>
      </w:r>
    </w:p>
    <w:p>
      <w:pPr>
        <w:pStyle w:val="6"/>
        <w:ind w:firstLine="482"/>
      </w:pPr>
      <w:bookmarkStart w:id="114" w:name="_Toc1736198"/>
      <w:r>
        <w:rPr>
          <w:rFonts w:hint="eastAsia"/>
        </w:rPr>
        <w:t>一、安全文明施工措施费</w:t>
      </w:r>
      <w:bookmarkEnd w:id="114"/>
    </w:p>
    <w:p>
      <w:pPr>
        <w:pStyle w:val="22"/>
        <w:numPr>
          <w:ilvl w:val="0"/>
          <w:numId w:val="27"/>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文明施工措施费（以下简称安措费）不参与施工投标竞价，实行单列支付、专款专用。安措费由乙方单独报价并计入合同总价，并按招标文件中的表格填写子目及单价等。（在合同谈判时甲方有权对所有不合理子目及报价进行调整，可周转使用的设施单价按摊销计列）；结算时，此部分费用据实结算，超出单独报价部分由乙方自行承担。</w:t>
      </w:r>
    </w:p>
    <w:p>
      <w:pPr>
        <w:pStyle w:val="22"/>
        <w:numPr>
          <w:ilvl w:val="0"/>
          <w:numId w:val="27"/>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安措费项目包括以下类别，具体项目参见《安全文明施工措施费项目投入总体计划》（附录1）：</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安全防护用具：安全网、安全带、安全帽等；</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洞口和临边防护设施：楼梯口、电梯口、通道口、预留洞口、阳台周边、楼层周边、屋面周边、基坑周边、卸料平台两侧以及上下通道等临边安全防护设施；</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全钢质内外脚手架及配套防护设施、结构模板的全钢质主体支撑杆件；</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塔式起重机、外用电梯、井字架提升机等建筑施工起重设备及配套防护设施；</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施工用电：符合规范要求的临时用电系统、标准化电箱、电器保护装置、电源线路的敷设、外电防护措施等；</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施工机具；</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安全检测费：包括对建筑施工起重设备与外用电梯、安全网、钢管脚手架等的检测；</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安全教育培训；</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安全标志、标牌及安全宣传栏；</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消防器材设施；</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配备、维护、保养应急救援器材、设备支出和应急演练支出；</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基坑支护的变形监测；</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地下作业中的安全防护和监测；</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文明施工及环境保护：施工现场围墙围护及场地硬地化、粉尘控制、噪音控制、排水措施、垃圾排放；</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临时设施：包括办公室、宿舍、食堂、卫生间、淋浴间等。</w:t>
      </w:r>
    </w:p>
    <w:p>
      <w:pPr>
        <w:pStyle w:val="22"/>
        <w:numPr>
          <w:ilvl w:val="0"/>
          <w:numId w:val="27"/>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费用申请、支付办法：</w:t>
      </w:r>
    </w:p>
    <w:p>
      <w:pPr>
        <w:pStyle w:val="22"/>
        <w:numPr>
          <w:ilvl w:val="0"/>
          <w:numId w:val="28"/>
        </w:numPr>
        <w:adjustRightInd w:val="0"/>
        <w:snapToGrid w:val="0"/>
        <w:spacing w:line="300" w:lineRule="auto"/>
        <w:ind w:left="0" w:firstLine="56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乙方应严格按照甲方的《广州环投集团建设工程安全文明施工措施费使用管理办法》有关要求执行。</w:t>
      </w:r>
    </w:p>
    <w:p>
      <w:pPr>
        <w:pStyle w:val="22"/>
        <w:numPr>
          <w:ilvl w:val="0"/>
          <w:numId w:val="28"/>
        </w:numPr>
        <w:adjustRightInd w:val="0"/>
        <w:snapToGrid w:val="0"/>
        <w:spacing w:line="300" w:lineRule="auto"/>
        <w:ind w:left="0" w:firstLine="56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在建设工程开工前15日内，制定本标段工程《安全文明施工措施费项目投入总体计划》（附录1），按照流程审批完成后，预先支付50%比例安措费给乙方。对于因乙方总体投入计划报送不及时、报送不合格而导致费用未能按时支付的后果，由乙方自行承担。</w:t>
      </w:r>
    </w:p>
    <w:p>
      <w:pPr>
        <w:pStyle w:val="22"/>
        <w:numPr>
          <w:ilvl w:val="0"/>
          <w:numId w:val="28"/>
        </w:numPr>
        <w:adjustRightInd w:val="0"/>
        <w:snapToGrid w:val="0"/>
        <w:spacing w:line="300" w:lineRule="auto"/>
        <w:ind w:left="0" w:firstLine="56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每月</w:t>
      </w:r>
      <w:r>
        <w:rPr>
          <w:rFonts w:asciiTheme="minorEastAsia" w:hAnsiTheme="minorEastAsia" w:eastAsiaTheme="minorEastAsia"/>
          <w:color w:val="000000" w:themeColor="text1"/>
          <w:sz w:val="24"/>
          <w:szCs w:val="24"/>
          <w14:textFill>
            <w14:solidFill>
              <w14:schemeClr w14:val="tx1"/>
            </w14:solidFill>
          </w14:textFill>
        </w:rPr>
        <w:t>25</w:t>
      </w:r>
      <w:r>
        <w:rPr>
          <w:rFonts w:hint="eastAsia" w:asciiTheme="minorEastAsia" w:hAnsiTheme="minorEastAsia" w:eastAsiaTheme="minorEastAsia"/>
          <w:color w:val="000000" w:themeColor="text1"/>
          <w:sz w:val="24"/>
          <w:szCs w:val="24"/>
          <w14:textFill>
            <w14:solidFill>
              <w14:schemeClr w14:val="tx1"/>
            </w14:solidFill>
          </w14:textFill>
        </w:rPr>
        <w:t>日前乙方应汇总上报实际发生的安措费，填报《安全文明施工措施费项目投入情况报审表》（附录2）及相关支持材料（发票、收据、监理签证、照片等），经监理、第三方造价咨询单位审核，甲方现场确认后确定抵扣金额，直至达到</w:t>
      </w:r>
      <w:r>
        <w:rPr>
          <w:rFonts w:asciiTheme="minorEastAsia" w:hAnsiTheme="minorEastAsia" w:eastAsiaTheme="minorEastAsia"/>
          <w:color w:val="000000" w:themeColor="text1"/>
          <w:sz w:val="24"/>
          <w:szCs w:val="24"/>
          <w14:textFill>
            <w14:solidFill>
              <w14:schemeClr w14:val="tx1"/>
            </w14:solidFill>
          </w14:textFill>
        </w:rPr>
        <w:t>50%</w:t>
      </w:r>
      <w:r>
        <w:rPr>
          <w:rFonts w:hint="eastAsia" w:asciiTheme="minorEastAsia" w:hAnsiTheme="minorEastAsia" w:eastAsiaTheme="minorEastAsia"/>
          <w:color w:val="000000" w:themeColor="text1"/>
          <w:sz w:val="24"/>
          <w:szCs w:val="24"/>
          <w14:textFill>
            <w14:solidFill>
              <w14:schemeClr w14:val="tx1"/>
            </w14:solidFill>
          </w14:textFill>
        </w:rPr>
        <w:t>预付比例。</w:t>
      </w:r>
    </w:p>
    <w:p>
      <w:pPr>
        <w:pStyle w:val="22"/>
        <w:numPr>
          <w:ilvl w:val="0"/>
          <w:numId w:val="28"/>
        </w:numPr>
        <w:adjustRightInd w:val="0"/>
        <w:snapToGrid w:val="0"/>
        <w:spacing w:line="300" w:lineRule="auto"/>
        <w:ind w:left="0" w:firstLine="56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抵扣金额达到50%预付比例后，再开始审核并支付剩余40%的安措费。每月25日前乙方应汇总上报实际发生的安措费，填报《安全文明施工措施费项目投入情况报审表》及相关支持材料（发票、收据、监理签证、照片等，剩余40%安措费第一次申请支付审批时还应附上预付50%安措费抵扣的全部审核资料），按照流程申请支付安措费。</w:t>
      </w:r>
    </w:p>
    <w:p>
      <w:pPr>
        <w:pStyle w:val="22"/>
        <w:numPr>
          <w:ilvl w:val="0"/>
          <w:numId w:val="28"/>
        </w:numPr>
        <w:adjustRightInd w:val="0"/>
        <w:snapToGrid w:val="0"/>
        <w:spacing w:line="300" w:lineRule="auto"/>
        <w:ind w:left="0" w:firstLine="56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最后剩余10%的安措费在工程竣工且实现本工程安全生产目标后，审批后支付。</w:t>
      </w:r>
    </w:p>
    <w:p>
      <w:pPr>
        <w:pStyle w:val="22"/>
        <w:numPr>
          <w:ilvl w:val="0"/>
          <w:numId w:val="28"/>
        </w:numPr>
        <w:adjustRightInd w:val="0"/>
        <w:snapToGrid w:val="0"/>
        <w:spacing w:line="300" w:lineRule="auto"/>
        <w:ind w:left="0" w:firstLine="56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每月25日前，乙方向甲方申报下月安全文明施工措施项目实施计划，由甲方审核后实施。措施项目实施计划完成后，乙方应及时报监理、甲方现场核实确认。</w:t>
      </w:r>
    </w:p>
    <w:p>
      <w:pPr>
        <w:pStyle w:val="22"/>
        <w:numPr>
          <w:ilvl w:val="0"/>
          <w:numId w:val="27"/>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费用管理要求：</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乙方根据本工程特点及甲方管理相关要求，提前策划，确保投入及时、到位。</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乙方应建立安措费的使用明细台帐，确保安全文明施工费专款专用。</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甲方有权对乙方申报的安措费用的发票、现场使用实际数量等情况进行核实，核实过程中乙方须积极配合。</w:t>
      </w:r>
    </w:p>
    <w:p>
      <w:pPr>
        <w:pStyle w:val="22"/>
        <w:adjustRightInd w:val="0"/>
        <w:snapToGrid w:val="0"/>
        <w:spacing w:line="300" w:lineRule="auto"/>
        <w:ind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对于乙方虚报、谎报安措费的情况，甲方按虚报、谎报金额的两倍处罚，罚款从当期工程应付款中扣除。</w:t>
      </w:r>
    </w:p>
    <w:p>
      <w:pPr>
        <w:pStyle w:val="6"/>
        <w:spacing w:before="0" w:after="0" w:line="300" w:lineRule="auto"/>
        <w:ind w:firstLine="482"/>
      </w:pPr>
      <w:bookmarkStart w:id="115" w:name="_Toc1736199"/>
      <w:r>
        <w:rPr>
          <w:rFonts w:hint="eastAsia"/>
        </w:rPr>
        <w:t>二、安全文明施工处罚：</w:t>
      </w:r>
      <w:bookmarkEnd w:id="115"/>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甲方将制定项目安健环奖惩制度，乙方必须严格遵守执行。</w:t>
      </w:r>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甲方有权对乙方的违章行为进行处罚，处罚原则为：</w:t>
      </w:r>
    </w:p>
    <w:p>
      <w:pPr>
        <w:pStyle w:val="22"/>
        <w:numPr>
          <w:ilvl w:val="0"/>
          <w:numId w:val="30"/>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一般性违章视情节可处以200到3000元罚款。</w:t>
      </w:r>
    </w:p>
    <w:p>
      <w:pPr>
        <w:pStyle w:val="22"/>
        <w:numPr>
          <w:ilvl w:val="0"/>
          <w:numId w:val="30"/>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对严重性违章、反复性违章视情节可处以3000到20000元罚款。</w:t>
      </w:r>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对于乙方发生的生产安全事故，甲方有权对乙方进行事故责任处罚，处罚原则为：</w:t>
      </w:r>
    </w:p>
    <w:p>
      <w:pPr>
        <w:pStyle w:val="22"/>
        <w:numPr>
          <w:ilvl w:val="0"/>
          <w:numId w:val="31"/>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人身伤亡事故</w:t>
      </w:r>
    </w:p>
    <w:p>
      <w:pPr>
        <w:pStyle w:val="22"/>
        <w:numPr>
          <w:ilvl w:val="0"/>
          <w:numId w:val="32"/>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发生1起人身轻伤事件，由事发单位自行依据本单位的奖惩细则对相关单位进行处罚。</w:t>
      </w:r>
    </w:p>
    <w:p>
      <w:pPr>
        <w:pStyle w:val="22"/>
        <w:numPr>
          <w:ilvl w:val="0"/>
          <w:numId w:val="32"/>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发生轻伤事件（单次或多次）导致人身轻伤事故率不达标，按事故性质处以2万元以上10万元以下罚款。</w:t>
      </w:r>
    </w:p>
    <w:p>
      <w:pPr>
        <w:pStyle w:val="22"/>
        <w:numPr>
          <w:ilvl w:val="0"/>
          <w:numId w:val="32"/>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发生1-2人人身重伤事件，处以20万元以上100万元以下的罚款。</w:t>
      </w:r>
    </w:p>
    <w:p>
      <w:pPr>
        <w:pStyle w:val="22"/>
        <w:numPr>
          <w:ilvl w:val="0"/>
          <w:numId w:val="32"/>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发生3人及以上重伤或死亡事故，处以100万元以上200万元以下的罚款，并且甲方有权解除本合同。</w:t>
      </w:r>
    </w:p>
    <w:p>
      <w:pPr>
        <w:pStyle w:val="22"/>
        <w:numPr>
          <w:ilvl w:val="0"/>
          <w:numId w:val="31"/>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机械设备事故、火灾事故、生产性交通事故等造成一定经济损失的生产安全事故</w:t>
      </w:r>
    </w:p>
    <w:p>
      <w:pPr>
        <w:pStyle w:val="22"/>
        <w:numPr>
          <w:ilvl w:val="0"/>
          <w:numId w:val="33"/>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发生一般以下机械设备事故、火灾事故、生产性交通事故或5万元以下其他经济损失事故，由事发单位自行依据本单位的奖惩细则对相关单位进行处罚。</w:t>
      </w:r>
    </w:p>
    <w:p>
      <w:pPr>
        <w:pStyle w:val="22"/>
        <w:numPr>
          <w:ilvl w:val="0"/>
          <w:numId w:val="33"/>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发生一般机械设备事故、火灾事故、负同等及以上责任的生产性交通事故，处以5万元以上20万元以下的罚款。</w:t>
      </w:r>
    </w:p>
    <w:p>
      <w:pPr>
        <w:pStyle w:val="22"/>
        <w:numPr>
          <w:ilvl w:val="0"/>
          <w:numId w:val="33"/>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较大、重大和特别重大机械设备事故、火灾事故、生产性交通事故，除主管部门进行行政处罚外，甲方将比照事故调查结论和处理意见和国家安全生产监督管理总局发布的《生产安全事故罚款处罚规定》（试行）的规定中较重责任进行处罚。</w:t>
      </w:r>
    </w:p>
    <w:p>
      <w:pPr>
        <w:pStyle w:val="22"/>
        <w:numPr>
          <w:ilvl w:val="0"/>
          <w:numId w:val="31"/>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环境污染事故</w:t>
      </w:r>
    </w:p>
    <w:p>
      <w:pPr>
        <w:pStyle w:val="22"/>
        <w:numPr>
          <w:ilvl w:val="0"/>
          <w:numId w:val="34"/>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发生一般以下环境污染事件，由事发单位自行依据本单位的奖惩细则对相关单位进行处罚。</w:t>
      </w:r>
    </w:p>
    <w:p>
      <w:pPr>
        <w:pStyle w:val="22"/>
        <w:numPr>
          <w:ilvl w:val="0"/>
          <w:numId w:val="34"/>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发生一般及以上环境污染事故，根据事故调查结论和处理意见，处以5万元以上20万元以下的罚款；或依据当地环境保护主管部门的处罚意见实施落实。</w:t>
      </w:r>
    </w:p>
    <w:p>
      <w:pPr>
        <w:pStyle w:val="22"/>
        <w:numPr>
          <w:ilvl w:val="0"/>
          <w:numId w:val="34"/>
        </w:numPr>
        <w:adjustRightInd w:val="0"/>
        <w:snapToGrid w:val="0"/>
        <w:spacing w:line="30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超过污染物排放标准或者超过重点污染物排放总量控制指标排放污染物的，处以10万元以上20万元以下的罚款。</w:t>
      </w:r>
    </w:p>
    <w:p>
      <w:pPr>
        <w:pStyle w:val="22"/>
        <w:numPr>
          <w:ilvl w:val="0"/>
          <w:numId w:val="31"/>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类事故：诸如垮（坍）塌事故、群伤恶性事故、一般及以上电网事故、恶性电气误操作事故、一般及以上职业病危害事故和职业中毒事故、群体食物中毒事故和造成不良影响的生产安全事件，参照上述条款执行。</w:t>
      </w:r>
    </w:p>
    <w:p>
      <w:pPr>
        <w:pStyle w:val="22"/>
        <w:numPr>
          <w:ilvl w:val="0"/>
          <w:numId w:val="31"/>
        </w:numPr>
        <w:adjustRightInd w:val="0"/>
        <w:snapToGrid w:val="0"/>
        <w:spacing w:line="300" w:lineRule="auto"/>
        <w:ind w:left="0" w:firstLine="523" w:firstLineChars="218"/>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对隐瞒事故的责任单位，按照相应事故等级加倍扣罚。</w:t>
      </w:r>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对于甲方签发的安健环罚款通知单，将在当期工程款中直接扣除。</w:t>
      </w:r>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安全文明施工处罚具体内容详见甲方《建设项目安健环奖惩管理规定》及相关管理制度。</w:t>
      </w:r>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在收到甲方安全文明施工整改要求后，一个工作日内无明显行动时，甲方有权委派其他单位进行整改作业，由此产生的相关费用，甲方将在乙方的工程款中双倍扣除，且甲方委派的作业队伍在实施作业时乙方须提供必要的配合，不得有干扰行为，否则甲方将视情节对乙方处以每次1万至5万元罚款。</w:t>
      </w:r>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由乙方原因导致的安全事故、火灾事故 、责任交通事故、环境污染事故的处理费用由乙方承担，甲方由此遭受的损失，将在乙方工程款中双倍扣除。</w:t>
      </w:r>
    </w:p>
    <w:p>
      <w:pPr>
        <w:pStyle w:val="22"/>
        <w:numPr>
          <w:ilvl w:val="0"/>
          <w:numId w:val="29"/>
        </w:numPr>
        <w:adjustRightInd w:val="0"/>
        <w:snapToGrid w:val="0"/>
        <w:spacing w:line="300" w:lineRule="auto"/>
        <w:ind w:left="0" w:firstLine="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甲方有权对乙方与安全相关的管理人员、作业人员的专业技能、工作态度、管理能力等方面进行考核，有权对其认为不合格人员进行清退。</w:t>
      </w:r>
    </w:p>
    <w:p>
      <w:pPr>
        <w:pStyle w:val="6"/>
        <w:ind w:firstLine="482"/>
      </w:pPr>
      <w:bookmarkStart w:id="116" w:name="_Toc1736200"/>
      <w:r>
        <w:rPr>
          <w:rFonts w:hint="eastAsia"/>
        </w:rPr>
        <w:t>三、有关说明</w:t>
      </w:r>
      <w:bookmarkEnd w:id="116"/>
    </w:p>
    <w:p>
      <w:pPr>
        <w:pStyle w:val="22"/>
        <w:adjustRightInd w:val="0"/>
        <w:snapToGrid w:val="0"/>
        <w:spacing w:line="30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甲方有权对项目各项管理制度进行升级换版，乙方须无条件接受甲方现场各项管理制度的相关规定，确保甲方各项管理制度对乙方实施有效。</w:t>
      </w:r>
    </w:p>
    <w:p>
      <w:pPr>
        <w:pStyle w:val="22"/>
        <w:adjustRightInd w:val="0"/>
        <w:snapToGrid w:val="0"/>
        <w:spacing w:line="30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附录1： 《安全文明施工措施费项目投入总体计划》</w:t>
      </w:r>
    </w:p>
    <w:p>
      <w:pPr>
        <w:pStyle w:val="22"/>
        <w:adjustRightInd w:val="0"/>
        <w:snapToGrid w:val="0"/>
        <w:spacing w:line="300" w:lineRule="auto"/>
        <w:ind w:firstLine="480" w:firstLineChars="200"/>
        <w:rPr>
          <w:b/>
          <w:color w:val="000000" w:themeColor="text1"/>
          <w14:textFill>
            <w14:solidFill>
              <w14:schemeClr w14:val="tx1"/>
            </w14:solidFill>
          </w14:textFill>
        </w:rPr>
        <w:sectPr>
          <w:headerReference r:id="rId28" w:type="first"/>
          <w:headerReference r:id="rId26" w:type="default"/>
          <w:headerReference r:id="rId27" w:type="even"/>
          <w:footerReference r:id="rId29" w:type="even"/>
          <w:pgSz w:w="11907" w:h="16840"/>
          <w:pgMar w:top="1247" w:right="1247" w:bottom="1247" w:left="1474" w:header="851" w:footer="624" w:gutter="567"/>
          <w:pgNumType w:fmt="decimal"/>
          <w:cols w:space="720" w:num="1"/>
          <w:docGrid w:linePitch="634" w:charSpace="4132"/>
        </w:sectPr>
      </w:pPr>
      <w:r>
        <w:rPr>
          <w:rFonts w:hint="eastAsia" w:asciiTheme="minorEastAsia" w:hAnsiTheme="minorEastAsia" w:eastAsiaTheme="minorEastAsia"/>
          <w:color w:val="000000" w:themeColor="text1"/>
          <w:sz w:val="24"/>
          <w:szCs w:val="24"/>
          <w14:textFill>
            <w14:solidFill>
              <w14:schemeClr w14:val="tx1"/>
            </w14:solidFill>
          </w14:textFill>
        </w:rPr>
        <w:t>附录2： 《安全文明施工措施费项目投入情况报审表》</w:t>
      </w:r>
    </w:p>
    <w:p>
      <w:pPr>
        <w:snapToGrid w:val="0"/>
        <w:spacing w:line="360" w:lineRule="auto"/>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附录1：安全文明施工措施费项目投入总体计划</w:t>
      </w:r>
    </w:p>
    <w:p>
      <w:pPr>
        <w:snapToGrid w:val="0"/>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工程标段：                                                     填报单位（盖章）：</w:t>
      </w:r>
    </w:p>
    <w:tbl>
      <w:tblPr>
        <w:tblStyle w:val="42"/>
        <w:tblW w:w="14335" w:type="dxa"/>
        <w:tblInd w:w="0" w:type="dxa"/>
        <w:tblLayout w:type="fixed"/>
        <w:tblCellMar>
          <w:top w:w="0" w:type="dxa"/>
          <w:left w:w="108" w:type="dxa"/>
          <w:bottom w:w="0" w:type="dxa"/>
          <w:right w:w="108" w:type="dxa"/>
        </w:tblCellMar>
      </w:tblPr>
      <w:tblGrid>
        <w:gridCol w:w="1028"/>
        <w:gridCol w:w="1488"/>
        <w:gridCol w:w="1230"/>
        <w:gridCol w:w="1749"/>
        <w:gridCol w:w="4679"/>
        <w:gridCol w:w="1041"/>
        <w:gridCol w:w="1041"/>
        <w:gridCol w:w="1041"/>
        <w:gridCol w:w="1038"/>
      </w:tblGrid>
      <w:tr>
        <w:tblPrEx>
          <w:tblLayout w:type="fixed"/>
          <w:tblCellMar>
            <w:top w:w="0" w:type="dxa"/>
            <w:left w:w="108" w:type="dxa"/>
            <w:bottom w:w="0" w:type="dxa"/>
            <w:right w:w="108" w:type="dxa"/>
          </w:tblCellMar>
        </w:tblPrEx>
        <w:trPr>
          <w:trHeight w:val="615" w:hRule="atLeast"/>
          <w:tblHeader/>
        </w:trPr>
        <w:tc>
          <w:tcPr>
            <w:tcW w:w="10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序号</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项目</w:t>
            </w:r>
          </w:p>
        </w:tc>
        <w:tc>
          <w:tcPr>
            <w:tcW w:w="2979"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子项目</w:t>
            </w:r>
          </w:p>
        </w:tc>
        <w:tc>
          <w:tcPr>
            <w:tcW w:w="4679"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规格要求</w:t>
            </w:r>
          </w:p>
        </w:tc>
        <w:tc>
          <w:tcPr>
            <w:tcW w:w="1041"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单位</w:t>
            </w:r>
          </w:p>
        </w:tc>
        <w:tc>
          <w:tcPr>
            <w:tcW w:w="1041"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数量</w:t>
            </w:r>
          </w:p>
        </w:tc>
        <w:tc>
          <w:tcPr>
            <w:tcW w:w="1041"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单价</w:t>
            </w:r>
          </w:p>
        </w:tc>
        <w:tc>
          <w:tcPr>
            <w:tcW w:w="1038"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合价</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ind w:left="-249" w:leftChars="-119" w:right="-107" w:rightChars="-51" w:hanging="1"/>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标准化施工</w:t>
            </w:r>
          </w:p>
          <w:p>
            <w:pPr>
              <w:widowControl/>
              <w:spacing w:line="300" w:lineRule="exact"/>
              <w:ind w:left="-249" w:leftChars="-119" w:right="-107" w:rightChars="-51" w:hanging="1"/>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用电</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二级低压配电盘（固定式）</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符合电气设备有关标准、规范</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三级低压配电盘（固定式）</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符合电气设备有关标准、规范</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线轴（便携式）</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符合电气设备有关标准、规范</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电源箱内外标识</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施工现场固定式灯塔</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吨</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固定式灯塔灯具</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7</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施工现场移动式灯塔</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8</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小型落地式照明架</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9</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接地线</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符合电力安全工器具标准、规范</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10</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绝缘杆</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符合电力安全工器具标准、规范</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11</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高压验电器</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符合电力安全工器具标准、规范</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12</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多功能皮线挂钩</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电源箱围蔽</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14</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ind w:left="-105" w:leftChars="-50" w:right="-107" w:rightChars="-51"/>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安全标志、安全宣传栏及标牌</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企业标志</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15</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五牌一图</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图幅、样式不限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幅</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16</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nil"/>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现场围挡</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符合建筑或电力行业标准、规范</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米</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3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17</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安全宣传栏</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参考广环投集团《建设项目安全标识标准化图集》要求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幅</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18</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安全警示标志牌</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19</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安全标识牌</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参考广环投集团《建设项目安全标识标准化图集》要求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块</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3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安全宣传标语</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参考广环投集团《建设项目安全标识标准化图集》要求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21</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场地硬地临时化（全厂区的主干道路除外）、垃圾箱、吸烟室、物料定置化标识牌、地下管线标识牌、临时饮水点、卷扬机机棚、空压机棚</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场地硬地临时化（全厂区的主干道路除外）</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按合同要求执行</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22</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吸烟室</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23</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垃圾箱</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24</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物料定置化标识牌</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参考广环投集团《建设项目安全标识标准化图集》要求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25</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地下管线标识牌</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参考广环投集团《建设项目安全标识标准化图集》要求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26</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临时饮水点</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27</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卷扬机机棚</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28</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空压机棚</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29</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标准化防护围栏、安全立网（必须全新采购并在本项目不得周转使用）、挡脚板、水平安全扶绳</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标准化防护围栏</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米</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临时护栏</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米</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31</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孔洞防护网</w:t>
            </w:r>
          </w:p>
        </w:tc>
        <w:tc>
          <w:tcPr>
            <w:tcW w:w="4679" w:type="dxa"/>
            <w:tcBorders>
              <w:top w:val="nil"/>
              <w:left w:val="nil"/>
              <w:bottom w:val="single" w:color="auto" w:sz="4" w:space="0"/>
              <w:right w:val="single" w:color="auto" w:sz="4" w:space="0"/>
            </w:tcBorders>
            <w:shd w:val="clear" w:color="auto" w:fill="auto"/>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32</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建筑安全立网</w:t>
            </w:r>
          </w:p>
        </w:tc>
        <w:tc>
          <w:tcPr>
            <w:tcW w:w="4679" w:type="dxa"/>
            <w:tcBorders>
              <w:top w:val="nil"/>
              <w:left w:val="nil"/>
              <w:bottom w:val="single" w:color="auto" w:sz="4" w:space="0"/>
              <w:right w:val="single" w:color="auto" w:sz="4" w:space="0"/>
            </w:tcBorders>
            <w:shd w:val="clear" w:color="auto" w:fill="auto"/>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33</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水平安全扶绳</w:t>
            </w:r>
          </w:p>
        </w:tc>
        <w:tc>
          <w:tcPr>
            <w:tcW w:w="4679" w:type="dxa"/>
            <w:tcBorders>
              <w:top w:val="nil"/>
              <w:left w:val="nil"/>
              <w:bottom w:val="single" w:color="auto" w:sz="4" w:space="0"/>
              <w:right w:val="single" w:color="auto" w:sz="4" w:space="0"/>
            </w:tcBorders>
            <w:shd w:val="clear" w:color="auto" w:fill="auto"/>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米</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84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34</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挡脚板</w:t>
            </w:r>
          </w:p>
        </w:tc>
        <w:tc>
          <w:tcPr>
            <w:tcW w:w="4679" w:type="dxa"/>
            <w:tcBorders>
              <w:top w:val="nil"/>
              <w:left w:val="nil"/>
              <w:bottom w:val="single" w:color="auto" w:sz="4" w:space="0"/>
              <w:right w:val="single" w:color="auto" w:sz="4" w:space="0"/>
            </w:tcBorders>
            <w:shd w:val="clear" w:color="auto" w:fill="auto"/>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米</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35</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扣件箱、孔洞盖板</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洞口盖板</w:t>
            </w:r>
          </w:p>
        </w:tc>
        <w:tc>
          <w:tcPr>
            <w:tcW w:w="4679" w:type="dxa"/>
            <w:tcBorders>
              <w:top w:val="nil"/>
              <w:left w:val="nil"/>
              <w:bottom w:val="single" w:color="auto" w:sz="4" w:space="0"/>
              <w:right w:val="single" w:color="auto" w:sz="4" w:space="0"/>
            </w:tcBorders>
            <w:shd w:val="clear" w:color="auto" w:fill="auto"/>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吨</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36</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扣件箱</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37</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防护通道防护棚、各层电梯防护门</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防护通道</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米</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38</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防护棚</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39</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电梯防护门</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87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40</w:t>
            </w:r>
          </w:p>
        </w:tc>
        <w:tc>
          <w:tcPr>
            <w:tcW w:w="148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场地、作业区、道路的日常维护</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场地、作业区、道路、排水沟、施工厕所的日常维护</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按合同要求执行</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人工</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41</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电焊机集装箱、电焊机二次线快速插头布设等、氧气乙炔布置存放</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电焊机集装箱</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符合安全用电要求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42</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电焊机二次线快速插头及通道</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符合安全用电要求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43</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氧气、乙炔供气口及防雨罩</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44</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氧气、乙炔笼及托架</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45</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氧气、乙炔临时存放点</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46</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氧气、乙炔瓶吊篮</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参考广环投集团《建设项目安全设施标准化图集》样式规格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47</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特殊个人防护用品</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荧光服</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件</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48</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速差自控器</w:t>
            </w:r>
          </w:p>
        </w:tc>
        <w:tc>
          <w:tcPr>
            <w:tcW w:w="4679" w:type="dxa"/>
            <w:tcBorders>
              <w:top w:val="nil"/>
              <w:left w:val="nil"/>
              <w:bottom w:val="single" w:color="auto" w:sz="4" w:space="0"/>
              <w:right w:val="single" w:color="auto" w:sz="4" w:space="0"/>
            </w:tcBorders>
            <w:shd w:val="clear" w:color="auto" w:fill="auto"/>
            <w:vAlign w:val="center"/>
          </w:tcPr>
          <w:p>
            <w:pPr>
              <w:pStyle w:val="22"/>
              <w:adjustRightInd w:val="0"/>
              <w:snapToGrid w:val="0"/>
              <w:spacing w:line="300" w:lineRule="exac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49</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煤气报警器</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50</w:t>
            </w:r>
          </w:p>
        </w:tc>
        <w:tc>
          <w:tcPr>
            <w:tcW w:w="148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现场防火防雨</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防火布</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51</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消防器材</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组</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52</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彩条布</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53</w:t>
            </w:r>
          </w:p>
        </w:tc>
        <w:tc>
          <w:tcPr>
            <w:tcW w:w="148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三防雨布</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不限</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54</w:t>
            </w:r>
          </w:p>
        </w:tc>
        <w:tc>
          <w:tcPr>
            <w:tcW w:w="1488" w:type="dxa"/>
            <w:vMerge w:val="restart"/>
            <w:tcBorders>
              <w:top w:val="nil"/>
              <w:left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脚手架</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全钢质内脚手架</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55</w:t>
            </w:r>
          </w:p>
        </w:tc>
        <w:tc>
          <w:tcPr>
            <w:tcW w:w="1488"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全钢质外脚手架</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m2</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56</w:t>
            </w:r>
          </w:p>
        </w:tc>
        <w:tc>
          <w:tcPr>
            <w:tcW w:w="1488"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内外脚手架配套设施</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57</w:t>
            </w:r>
          </w:p>
        </w:tc>
        <w:tc>
          <w:tcPr>
            <w:tcW w:w="1488" w:type="dxa"/>
            <w:vMerge w:val="continue"/>
            <w:tcBorders>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结构模板的全钢质主体支撑杆件</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国家标准规格</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吨</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vMerge w:val="restart"/>
            <w:tcBorders>
              <w:top w:val="nil"/>
              <w:left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58</w:t>
            </w:r>
          </w:p>
        </w:tc>
        <w:tc>
          <w:tcPr>
            <w:tcW w:w="1488" w:type="dxa"/>
            <w:vMerge w:val="restart"/>
            <w:tcBorders>
              <w:left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临时设施</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办公室</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符合安全要求</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vMerge w:val="continue"/>
            <w:tcBorders>
              <w:left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88"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宿舍</w:t>
            </w:r>
          </w:p>
        </w:tc>
        <w:tc>
          <w:tcPr>
            <w:tcW w:w="4679" w:type="dxa"/>
            <w:tcBorders>
              <w:top w:val="single" w:color="auto" w:sz="4" w:space="0"/>
              <w:left w:val="nil"/>
              <w:bottom w:val="single" w:color="auto" w:sz="4" w:space="0"/>
              <w:right w:val="single" w:color="auto" w:sz="4" w:space="0"/>
            </w:tcBorders>
            <w:shd w:val="clear" w:color="auto" w:fill="auto"/>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符合安全要求</w:t>
            </w:r>
          </w:p>
        </w:tc>
        <w:tc>
          <w:tcPr>
            <w:tcW w:w="1041" w:type="dxa"/>
            <w:tcBorders>
              <w:top w:val="single" w:color="auto" w:sz="4" w:space="0"/>
              <w:left w:val="nil"/>
              <w:bottom w:val="single" w:color="auto" w:sz="4" w:space="0"/>
              <w:right w:val="single" w:color="auto" w:sz="4" w:space="0"/>
            </w:tcBorders>
            <w:shd w:val="clear" w:color="000000" w:fill="FFFFFF"/>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vMerge w:val="continue"/>
            <w:tcBorders>
              <w:left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88"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食堂</w:t>
            </w:r>
          </w:p>
        </w:tc>
        <w:tc>
          <w:tcPr>
            <w:tcW w:w="4679" w:type="dxa"/>
            <w:tcBorders>
              <w:top w:val="nil"/>
              <w:left w:val="nil"/>
              <w:bottom w:val="single" w:color="auto" w:sz="4" w:space="0"/>
              <w:right w:val="single" w:color="auto" w:sz="4" w:space="0"/>
            </w:tcBorders>
            <w:shd w:val="clear" w:color="auto" w:fill="auto"/>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符合安全要求</w:t>
            </w:r>
          </w:p>
        </w:tc>
        <w:tc>
          <w:tcPr>
            <w:tcW w:w="1041"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vMerge w:val="continue"/>
            <w:tcBorders>
              <w:left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88"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卫生间</w:t>
            </w:r>
          </w:p>
        </w:tc>
        <w:tc>
          <w:tcPr>
            <w:tcW w:w="4679" w:type="dxa"/>
            <w:tcBorders>
              <w:top w:val="nil"/>
              <w:left w:val="nil"/>
              <w:bottom w:val="single" w:color="auto" w:sz="4" w:space="0"/>
              <w:right w:val="single" w:color="auto" w:sz="4" w:space="0"/>
            </w:tcBorders>
            <w:shd w:val="clear" w:color="auto" w:fill="auto"/>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符合安全要求</w:t>
            </w:r>
          </w:p>
        </w:tc>
        <w:tc>
          <w:tcPr>
            <w:tcW w:w="1041"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vMerge w:val="continue"/>
            <w:tcBorders>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88" w:type="dxa"/>
            <w:vMerge w:val="continue"/>
            <w:tcBorders>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淋浴间</w:t>
            </w:r>
          </w:p>
        </w:tc>
        <w:tc>
          <w:tcPr>
            <w:tcW w:w="4679" w:type="dxa"/>
            <w:tcBorders>
              <w:top w:val="nil"/>
              <w:left w:val="nil"/>
              <w:bottom w:val="single" w:color="auto" w:sz="4" w:space="0"/>
              <w:right w:val="single" w:color="auto" w:sz="4" w:space="0"/>
            </w:tcBorders>
            <w:shd w:val="clear" w:color="auto" w:fill="auto"/>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符合安全要求</w:t>
            </w:r>
          </w:p>
        </w:tc>
        <w:tc>
          <w:tcPr>
            <w:tcW w:w="1041"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个</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59</w:t>
            </w:r>
          </w:p>
        </w:tc>
        <w:tc>
          <w:tcPr>
            <w:tcW w:w="1488" w:type="dxa"/>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其它</w:t>
            </w: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w:t>
            </w:r>
          </w:p>
        </w:tc>
      </w:tr>
      <w:tr>
        <w:tblPrEx>
          <w:tblLayout w:type="fixed"/>
          <w:tblCellMar>
            <w:top w:w="0" w:type="dxa"/>
            <w:left w:w="108" w:type="dxa"/>
            <w:bottom w:w="0" w:type="dxa"/>
            <w:right w:w="108" w:type="dxa"/>
          </w:tblCellMar>
        </w:tblPrEx>
        <w:trPr>
          <w:trHeight w:val="600"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1488" w:type="dxa"/>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eastAsiaTheme="minorEastAsia"/>
                <w:color w:val="000000" w:themeColor="text1"/>
                <w:kern w:val="0"/>
                <w:szCs w:val="21"/>
                <w14:textFill>
                  <w14:solidFill>
                    <w14:schemeClr w14:val="tx1"/>
                  </w14:solidFill>
                </w14:textFill>
              </w:rPr>
            </w:pPr>
          </w:p>
        </w:tc>
        <w:tc>
          <w:tcPr>
            <w:tcW w:w="2979" w:type="dxa"/>
            <w:gridSpan w:val="2"/>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600" w:hRule="atLeast"/>
        </w:trPr>
        <w:tc>
          <w:tcPr>
            <w:tcW w:w="5495" w:type="dxa"/>
            <w:gridSpan w:val="4"/>
            <w:tcBorders>
              <w:top w:val="nil"/>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合计</w:t>
            </w:r>
          </w:p>
        </w:tc>
        <w:tc>
          <w:tcPr>
            <w:tcW w:w="467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41"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c>
          <w:tcPr>
            <w:tcW w:w="1038" w:type="dxa"/>
            <w:tcBorders>
              <w:top w:val="nil"/>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10" w:hRule="atLeast"/>
        </w:trPr>
        <w:tc>
          <w:tcPr>
            <w:tcW w:w="3746" w:type="dxa"/>
            <w:gridSpan w:val="3"/>
            <w:tcBorders>
              <w:top w:val="nil"/>
              <w:left w:val="nil"/>
              <w:bottom w:val="nil"/>
              <w:right w:val="nil"/>
            </w:tcBorders>
            <w:shd w:val="clear" w:color="000000" w:fill="FFFFFF"/>
            <w:noWrap/>
            <w:vAlign w:val="center"/>
          </w:tcPr>
          <w:p>
            <w:pPr>
              <w:widowControl/>
              <w:spacing w:line="300" w:lineRule="exact"/>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填报人：</w:t>
            </w:r>
          </w:p>
        </w:tc>
        <w:tc>
          <w:tcPr>
            <w:tcW w:w="6428" w:type="dxa"/>
            <w:gridSpan w:val="2"/>
            <w:tcBorders>
              <w:top w:val="nil"/>
              <w:left w:val="nil"/>
              <w:bottom w:val="nil"/>
              <w:right w:val="nil"/>
            </w:tcBorders>
            <w:shd w:val="clear" w:color="000000" w:fill="FFFFFF"/>
            <w:noWrap/>
            <w:vAlign w:val="center"/>
          </w:tcPr>
          <w:p>
            <w:pPr>
              <w:widowControl/>
              <w:spacing w:line="300" w:lineRule="exact"/>
              <w:jc w:val="center"/>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 xml:space="preserve">审核人： </w:t>
            </w:r>
          </w:p>
        </w:tc>
        <w:tc>
          <w:tcPr>
            <w:tcW w:w="4161" w:type="dxa"/>
            <w:gridSpan w:val="4"/>
            <w:tcBorders>
              <w:top w:val="nil"/>
              <w:left w:val="nil"/>
              <w:bottom w:val="nil"/>
              <w:right w:val="nil"/>
            </w:tcBorders>
            <w:shd w:val="clear" w:color="000000" w:fill="FFFFFF"/>
            <w:noWrap/>
            <w:vAlign w:val="center"/>
          </w:tcPr>
          <w:p>
            <w:pPr>
              <w:widowControl/>
              <w:spacing w:line="300" w:lineRule="exact"/>
              <w:ind w:firstLine="310" w:firstLineChars="147"/>
              <w:jc w:val="left"/>
              <w:rPr>
                <w:rFonts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填报时间：</w:t>
            </w:r>
          </w:p>
        </w:tc>
      </w:tr>
      <w:tr>
        <w:tblPrEx>
          <w:tblLayout w:type="fixed"/>
          <w:tblCellMar>
            <w:top w:w="0" w:type="dxa"/>
            <w:left w:w="108" w:type="dxa"/>
            <w:bottom w:w="0" w:type="dxa"/>
            <w:right w:w="108" w:type="dxa"/>
          </w:tblCellMar>
        </w:tblPrEx>
        <w:trPr>
          <w:trHeight w:val="1485" w:hRule="atLeast"/>
        </w:trPr>
        <w:tc>
          <w:tcPr>
            <w:tcW w:w="14335" w:type="dxa"/>
            <w:gridSpan w:val="9"/>
            <w:tcBorders>
              <w:top w:val="nil"/>
              <w:left w:val="nil"/>
              <w:bottom w:val="nil"/>
              <w:right w:val="nil"/>
            </w:tcBorders>
            <w:shd w:val="clear" w:color="auto" w:fill="auto"/>
            <w:vAlign w:val="center"/>
          </w:tcPr>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备注：</w:t>
            </w:r>
            <w:r>
              <w:rPr>
                <w:rFonts w:hint="eastAsia" w:cs="宋体" w:asciiTheme="minorEastAsia" w:hAnsiTheme="minorEastAsia" w:eastAsiaTheme="minorEastAsia"/>
                <w:color w:val="000000" w:themeColor="text1"/>
                <w:kern w:val="0"/>
                <w:szCs w:val="21"/>
                <w14:textFill>
                  <w14:solidFill>
                    <w14:schemeClr w14:val="tx1"/>
                  </w14:solidFill>
                </w14:textFill>
              </w:rPr>
              <w:br w:type="textWrapping"/>
            </w:r>
            <w:r>
              <w:rPr>
                <w:rFonts w:hint="eastAsia" w:cs="宋体" w:asciiTheme="minorEastAsia" w:hAnsiTheme="minorEastAsia" w:eastAsiaTheme="minorEastAsia"/>
                <w:color w:val="000000" w:themeColor="text1"/>
                <w:kern w:val="0"/>
                <w:szCs w:val="21"/>
                <w14:textFill>
                  <w14:solidFill>
                    <w14:schemeClr w14:val="tx1"/>
                  </w14:solidFill>
                </w14:textFill>
              </w:rPr>
              <w:t>1、本表所列安全文明施工措施项目，是依据现行法律法规及标准规范确定。如修订法律法规和标准规范，本表所列项目应按照修订后的法律法规和标准规范进行调整； “其它”子项目是指符合国家及地方电力、建筑行业相关安全文明施工措施费用规定范围，且经甲方审核确认同意增加的安全文明施工相关投入项目。</w:t>
            </w:r>
          </w:p>
          <w:p>
            <w:pPr>
              <w:widowControl/>
              <w:spacing w:line="30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2、本表由施工单位在本标段工程开工15天内填报，按照项目文件报审流程，上报监理、第三方造价咨询、甲方审查、批准后按此计划实施</w:t>
            </w:r>
          </w:p>
        </w:tc>
      </w:tr>
    </w:tbl>
    <w:p>
      <w:pPr>
        <w:snapToGrid w:val="0"/>
        <w:spacing w:line="360" w:lineRule="auto"/>
        <w:ind w:firstLine="683"/>
        <w:rPr>
          <w:b/>
          <w:color w:val="000000" w:themeColor="text1"/>
          <w:szCs w:val="21"/>
          <w14:textFill>
            <w14:solidFill>
              <w14:schemeClr w14:val="tx1"/>
            </w14:solidFill>
          </w14:textFill>
        </w:rPr>
      </w:pPr>
    </w:p>
    <w:p>
      <w:pPr>
        <w:snapToGrid w:val="0"/>
        <w:spacing w:line="360" w:lineRule="auto"/>
        <w:rPr>
          <w:rFonts w:ascii="仿宋_GB2312"/>
          <w:color w:val="000000" w:themeColor="text1"/>
          <w14:textFill>
            <w14:solidFill>
              <w14:schemeClr w14:val="tx1"/>
            </w14:solidFill>
          </w14:textFill>
        </w:rPr>
        <w:sectPr>
          <w:pgSz w:w="16840" w:h="11907" w:orient="landscape"/>
          <w:pgMar w:top="1247" w:right="1247" w:bottom="1247" w:left="1474" w:header="851" w:footer="624" w:gutter="567"/>
          <w:pgNumType w:fmt="decimal"/>
          <w:cols w:space="720" w:num="1"/>
          <w:titlePg/>
          <w:docGrid w:linePitch="634" w:charSpace="4132"/>
        </w:sectPr>
      </w:pPr>
    </w:p>
    <w:p>
      <w:pPr>
        <w:jc w:val="left"/>
        <w:rPr>
          <w:rFonts w:hAnsi="宋体"/>
          <w:b/>
          <w:color w:val="000000" w:themeColor="text1"/>
          <w:szCs w:val="32"/>
          <w14:textFill>
            <w14:solidFill>
              <w14:schemeClr w14:val="tx1"/>
            </w14:solidFill>
          </w14:textFill>
        </w:rPr>
      </w:pPr>
      <w:r>
        <w:rPr>
          <w:rFonts w:hint="eastAsia" w:hAnsi="宋体"/>
          <w:b/>
          <w:color w:val="000000" w:themeColor="text1"/>
          <w:szCs w:val="32"/>
          <w14:textFill>
            <w14:solidFill>
              <w14:schemeClr w14:val="tx1"/>
            </w14:solidFill>
          </w14:textFill>
        </w:rPr>
        <w:t>附录2：</w:t>
      </w:r>
    </w:p>
    <w:p>
      <w:pPr>
        <w:spacing w:after="240" w:afterLines="100"/>
        <w:jc w:val="center"/>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安全文明施工措施费项目投入情况报审表</w:t>
      </w:r>
    </w:p>
    <w:p>
      <w:pPr>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工程标段：          填报单位:                    填报时间：</w:t>
      </w:r>
    </w:p>
    <w:tbl>
      <w:tblPr>
        <w:tblStyle w:val="42"/>
        <w:tblW w:w="919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3"/>
        <w:gridCol w:w="2168"/>
        <w:gridCol w:w="1218"/>
        <w:gridCol w:w="1216"/>
        <w:gridCol w:w="1218"/>
        <w:gridCol w:w="1081"/>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1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16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218" w:type="dxa"/>
          </w:tcPr>
          <w:p>
            <w:pPr>
              <w:ind w:left="420" w:hanging="4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实际投入</w:t>
            </w:r>
          </w:p>
          <w:p>
            <w:pPr>
              <w:ind w:left="420" w:hanging="4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216"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单价（元）</w:t>
            </w:r>
          </w:p>
        </w:tc>
        <w:tc>
          <w:tcPr>
            <w:tcW w:w="121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合计（元）</w:t>
            </w:r>
          </w:p>
        </w:tc>
        <w:tc>
          <w:tcPr>
            <w:tcW w:w="1081" w:type="dxa"/>
            <w:tcBorders>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累计</w:t>
            </w:r>
          </w:p>
        </w:tc>
        <w:tc>
          <w:tcPr>
            <w:tcW w:w="1482" w:type="dxa"/>
            <w:tcBorders>
              <w:lef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报批总额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restart"/>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03</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04</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06</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07</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jc w:val="cente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81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09</w:t>
            </w:r>
          </w:p>
        </w:tc>
        <w:tc>
          <w:tcPr>
            <w:tcW w:w="2168" w:type="dxa"/>
            <w:vAlign w:val="center"/>
          </w:tcPr>
          <w:p>
            <w:pPr>
              <w:jc w:val="center"/>
              <w:rPr>
                <w:color w:val="000000" w:themeColor="text1"/>
                <w:szCs w:val="21"/>
                <w14:textFill>
                  <w14:solidFill>
                    <w14:schemeClr w14:val="tx1"/>
                  </w14:solidFill>
                </w14:textFill>
              </w:rPr>
            </w:pPr>
          </w:p>
        </w:tc>
        <w:tc>
          <w:tcPr>
            <w:tcW w:w="1218" w:type="dxa"/>
          </w:tcPr>
          <w:p>
            <w:pPr>
              <w:jc w:val="center"/>
              <w:rPr>
                <w:color w:val="000000" w:themeColor="text1"/>
                <w:szCs w:val="21"/>
                <w14:textFill>
                  <w14:solidFill>
                    <w14:schemeClr w14:val="tx1"/>
                  </w14:solidFill>
                </w14:textFill>
              </w:rPr>
            </w:pPr>
          </w:p>
        </w:tc>
        <w:tc>
          <w:tcPr>
            <w:tcW w:w="1216" w:type="dxa"/>
            <w:vAlign w:val="center"/>
          </w:tcPr>
          <w:p>
            <w:pPr>
              <w:jc w:val="center"/>
              <w:rPr>
                <w:color w:val="000000" w:themeColor="text1"/>
                <w:szCs w:val="21"/>
                <w14:textFill>
                  <w14:solidFill>
                    <w14:schemeClr w14:val="tx1"/>
                  </w14:solidFill>
                </w14:textFill>
              </w:rPr>
            </w:pPr>
          </w:p>
        </w:tc>
        <w:tc>
          <w:tcPr>
            <w:tcW w:w="1218" w:type="dxa"/>
            <w:vAlign w:val="center"/>
          </w:tcPr>
          <w:p>
            <w:pPr>
              <w:jc w:val="center"/>
              <w:rPr>
                <w:color w:val="000000" w:themeColor="text1"/>
                <w:szCs w:val="21"/>
                <w14:textFill>
                  <w14:solidFill>
                    <w14:schemeClr w14:val="tx1"/>
                  </w14:solidFill>
                </w14:textFill>
              </w:rPr>
            </w:pPr>
          </w:p>
        </w:tc>
        <w:tc>
          <w:tcPr>
            <w:tcW w:w="1081" w:type="dxa"/>
            <w:tcBorders>
              <w:right w:val="single" w:color="auto" w:sz="4" w:space="0"/>
            </w:tcBorders>
            <w:vAlign w:val="center"/>
          </w:tcPr>
          <w:p>
            <w:pPr>
              <w:rPr>
                <w:color w:val="000000" w:themeColor="text1"/>
                <w:szCs w:val="21"/>
                <w14:textFill>
                  <w14:solidFill>
                    <w14:schemeClr w14:val="tx1"/>
                  </w14:solidFill>
                </w14:textFill>
              </w:rPr>
            </w:pPr>
          </w:p>
        </w:tc>
        <w:tc>
          <w:tcPr>
            <w:tcW w:w="1482" w:type="dxa"/>
            <w:vMerge w:val="continue"/>
            <w:tcBorders>
              <w:left w:val="single" w:color="auto" w:sz="4" w:space="0"/>
            </w:tcBorders>
            <w:vAlign w:val="center"/>
          </w:tcPr>
          <w:p>
            <w:pP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81"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项目施工单位审查意见</w:t>
            </w:r>
          </w:p>
        </w:tc>
        <w:tc>
          <w:tcPr>
            <w:tcW w:w="6215" w:type="dxa"/>
            <w:gridSpan w:val="5"/>
            <w:vAlign w:val="center"/>
          </w:tcPr>
          <w:p>
            <w:pPr>
              <w:jc w:val="cente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ind w:firstLine="3885" w:firstLineChars="18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（盖章）</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项目负责人：年月日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81"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项目监理单位审查意见</w:t>
            </w:r>
          </w:p>
        </w:tc>
        <w:tc>
          <w:tcPr>
            <w:tcW w:w="6215" w:type="dxa"/>
            <w:gridSpan w:val="5"/>
            <w:vAlign w:val="center"/>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ind w:firstLine="3780" w:firstLineChars="1800"/>
              <w:rPr>
                <w:color w:val="000000" w:themeColor="text1"/>
                <w:szCs w:val="21"/>
                <w14:textFill>
                  <w14:solidFill>
                    <w14:schemeClr w14:val="tx1"/>
                  </w14:solidFill>
                </w14:textFill>
              </w:rPr>
            </w:pPr>
          </w:p>
          <w:p>
            <w:pPr>
              <w:ind w:firstLine="3885" w:firstLineChars="18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（盖章）</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安全副总监</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工程师：年月日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81"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第三方造价咨询单位审查意见</w:t>
            </w:r>
          </w:p>
        </w:tc>
        <w:tc>
          <w:tcPr>
            <w:tcW w:w="6215" w:type="dxa"/>
            <w:gridSpan w:val="5"/>
            <w:vAlign w:val="center"/>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ind w:firstLine="3780" w:firstLineChars="1800"/>
              <w:rPr>
                <w:color w:val="000000" w:themeColor="text1"/>
                <w:szCs w:val="21"/>
                <w14:textFill>
                  <w14:solidFill>
                    <w14:schemeClr w14:val="tx1"/>
                  </w14:solidFill>
                </w14:textFill>
              </w:rPr>
            </w:pPr>
          </w:p>
          <w:p>
            <w:pPr>
              <w:ind w:firstLine="3885" w:firstLineChars="18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（盖章）</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造价咨询工程师：年月日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3" w:hRule="atLeast"/>
        </w:trPr>
        <w:tc>
          <w:tcPr>
            <w:tcW w:w="2981"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业主项目指挥部审查意见</w:t>
            </w:r>
          </w:p>
        </w:tc>
        <w:tc>
          <w:tcPr>
            <w:tcW w:w="6215" w:type="dxa"/>
            <w:gridSpan w:val="5"/>
            <w:vAlign w:val="center"/>
          </w:tcPr>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ind w:firstLine="3885" w:firstLineChars="18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（盖章）</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安健环经理</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主管：年月日</w:t>
            </w:r>
          </w:p>
        </w:tc>
      </w:tr>
    </w:tbl>
    <w:p>
      <w:pPr>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备注：</w:t>
      </w:r>
      <w:r>
        <w:rPr>
          <w:rFonts w:hint="eastAsia"/>
          <w:color w:val="000000" w:themeColor="text1"/>
          <w:szCs w:val="21"/>
          <w14:textFill>
            <w14:solidFill>
              <w14:schemeClr w14:val="tx1"/>
            </w14:solidFill>
          </w14:textFill>
        </w:rPr>
        <w:t>本表由乙方在每次申请安全文明措施费支付时填报（一般随工程进度款申请一并进行），经监理、第三方造价咨询、甲方审查、批准后支付实际发生的费用。（填写内容超出时，请另行附页。）</w:t>
      </w:r>
    </w:p>
    <w:p>
      <w:pPr>
        <w:pStyle w:val="225"/>
        <w:jc w:val="both"/>
        <w:rPr>
          <w:rFonts w:ascii="宋体" w:hAnsi="宋体" w:eastAsia="宋体" w:cs="Arial Unicode MS"/>
          <w:color w:val="000000" w:themeColor="text1"/>
          <w:w w:val="97"/>
          <w:sz w:val="36"/>
          <w:szCs w:val="36"/>
          <w14:textFill>
            <w14:solidFill>
              <w14:schemeClr w14:val="tx1"/>
            </w14:solidFill>
          </w14:textFill>
        </w:rPr>
      </w:pPr>
    </w:p>
    <w:p>
      <w:pPr>
        <w:pStyle w:val="225"/>
        <w:jc w:val="both"/>
        <w:rPr>
          <w:rFonts w:ascii="宋体" w:hAnsi="宋体" w:eastAsia="宋体" w:cs="Arial Unicode MS"/>
          <w:color w:val="000000" w:themeColor="text1"/>
          <w:w w:val="97"/>
          <w:sz w:val="36"/>
          <w:szCs w:val="36"/>
          <w14:textFill>
            <w14:solidFill>
              <w14:schemeClr w14:val="tx1"/>
            </w14:solidFill>
          </w14:textFill>
        </w:rPr>
      </w:pPr>
    </w:p>
    <w:p>
      <w:pPr>
        <w:pStyle w:val="4"/>
        <w:rPr>
          <w:w w:val="97"/>
        </w:rPr>
      </w:pPr>
      <w:bookmarkStart w:id="117" w:name="_Toc1736201"/>
      <w:r>
        <w:rPr>
          <w:rFonts w:hint="eastAsia"/>
          <w:w w:val="97"/>
        </w:rPr>
        <w:t>附件十一：综合治理</w:t>
      </w:r>
      <w:bookmarkEnd w:id="117"/>
    </w:p>
    <w:p>
      <w:pPr>
        <w:rPr>
          <w:rFonts w:ascii="宋体" w:hAnsi="宋体"/>
          <w:color w:val="000000" w:themeColor="text1"/>
          <w14:textFill>
            <w14:solidFill>
              <w14:schemeClr w14:val="tx1"/>
            </w14:solidFill>
          </w14:textFill>
        </w:rPr>
      </w:pPr>
    </w:p>
    <w:p>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综合治理</w:t>
      </w:r>
    </w:p>
    <w:p>
      <w:pPr>
        <w:ind w:firstLine="1160" w:firstLineChars="550"/>
        <w:rPr>
          <w:rFonts w:ascii="宋体" w:hAnsi="宋体"/>
          <w:b/>
          <w:color w:val="000000" w:themeColor="text1"/>
          <w:szCs w:val="21"/>
          <w14:textFill>
            <w14:solidFill>
              <w14:schemeClr w14:val="tx1"/>
            </w14:solidFill>
          </w14:textFill>
        </w:rPr>
      </w:pPr>
    </w:p>
    <w:p>
      <w:pPr>
        <w:pStyle w:val="6"/>
        <w:ind w:firstLine="482"/>
      </w:pPr>
      <w:bookmarkStart w:id="118" w:name="_Toc1736202"/>
      <w:r>
        <w:rPr>
          <w:rFonts w:hint="eastAsia"/>
        </w:rPr>
        <w:t>一、施工现场保卫管理要求</w:t>
      </w:r>
      <w:bookmarkEnd w:id="118"/>
    </w:p>
    <w:p>
      <w:pPr>
        <w:spacing w:line="300" w:lineRule="auto"/>
        <w:ind w:firstLine="420"/>
        <w:contextualSpacing/>
        <w:jc w:val="left"/>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 乙方负责其区域内的保卫工作，厂区门岗及围墙保卫管理由甲方负责。</w:t>
      </w:r>
    </w:p>
    <w:p>
      <w:pPr>
        <w:spacing w:line="300" w:lineRule="auto"/>
        <w:ind w:firstLine="420"/>
        <w:contextualSpacing/>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 乙方应服从甲方的保卫管理要求及配合管理工作。</w:t>
      </w:r>
    </w:p>
    <w:p>
      <w:pPr>
        <w:spacing w:line="300" w:lineRule="auto"/>
        <w:ind w:firstLine="420"/>
        <w:contextualSpacing/>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 乙方应加强治安防范管理，与当地各级公安部门保持密切联系，参与现场的联合保卫活动，防止重大、突发性案件的发生。</w:t>
      </w:r>
    </w:p>
    <w:p>
      <w:pPr>
        <w:pStyle w:val="6"/>
        <w:ind w:firstLine="482"/>
      </w:pPr>
      <w:bookmarkStart w:id="119" w:name="_Toc1736203"/>
      <w:r>
        <w:rPr>
          <w:rFonts w:hint="eastAsia"/>
        </w:rPr>
        <w:t>二、出入证管理要求</w:t>
      </w:r>
      <w:bookmarkEnd w:id="119"/>
    </w:p>
    <w:p>
      <w:pPr>
        <w:spacing w:line="300" w:lineRule="auto"/>
        <w:ind w:firstLine="482" w:firstLineChars="200"/>
        <w:contextualSpacing/>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2.1凭证出入要求</w:t>
      </w:r>
    </w:p>
    <w:p>
      <w:pPr>
        <w:spacing w:line="300" w:lineRule="auto"/>
        <w:ind w:firstLine="480" w:firstLineChars="200"/>
        <w:contextualSpacing/>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2.1.1 所</w:t>
      </w:r>
      <w:r>
        <w:rPr>
          <w:rFonts w:hint="eastAsia" w:ascii="宋体" w:hAnsi="宋体"/>
          <w:bCs/>
          <w:color w:val="000000" w:themeColor="text1"/>
          <w:sz w:val="24"/>
          <w:szCs w:val="24"/>
          <w14:textFill>
            <w14:solidFill>
              <w14:schemeClr w14:val="tx1"/>
            </w14:solidFill>
          </w14:textFill>
        </w:rPr>
        <w:t>有进出厂区大门</w:t>
      </w:r>
      <w:r>
        <w:rPr>
          <w:rFonts w:hint="eastAsia" w:ascii="宋体" w:hAnsi="宋体"/>
          <w:color w:val="000000" w:themeColor="text1"/>
          <w:sz w:val="24"/>
          <w:szCs w:val="24"/>
          <w14:textFill>
            <w14:solidFill>
              <w14:schemeClr w14:val="tx1"/>
            </w14:solidFill>
          </w14:textFill>
        </w:rPr>
        <w:t>的人员必须凭《工程出入证》方可进出。</w:t>
      </w:r>
    </w:p>
    <w:p>
      <w:pPr>
        <w:spacing w:line="300" w:lineRule="auto"/>
        <w:ind w:firstLine="480" w:firstLineChars="200"/>
        <w:contextualSpacing/>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2.1.2 乙方所有办公用小汽车、工程车辆必须凭《工程车辆通行证》并接受检查，方可进出工程现场。</w:t>
      </w:r>
    </w:p>
    <w:p>
      <w:pPr>
        <w:spacing w:line="300" w:lineRule="auto"/>
        <w:ind w:firstLine="480" w:firstLineChars="200"/>
        <w:contextualSpacing/>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2.1.3 《工程出入证》、《工程车辆通行证》由甲方统一制作发放，乙方按甲方的管理要求进行办证。</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2.1.4甲方有权对乙方随意进入甲方其他生产区域的人员进行处罚。</w:t>
      </w:r>
    </w:p>
    <w:p>
      <w:pPr>
        <w:spacing w:line="300" w:lineRule="auto"/>
        <w:ind w:firstLine="482" w:firstLineChars="200"/>
        <w:contextualSpacing/>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2.2 </w:t>
      </w:r>
      <w:r>
        <w:rPr>
          <w:rFonts w:hint="eastAsia" w:ascii="宋体" w:hAnsi="宋体"/>
          <w:b/>
          <w:bCs/>
          <w:color w:val="000000" w:themeColor="text1"/>
          <w:sz w:val="24"/>
          <w:szCs w:val="24"/>
          <w14:textFill>
            <w14:solidFill>
              <w14:schemeClr w14:val="tx1"/>
            </w14:solidFill>
          </w14:textFill>
        </w:rPr>
        <w:t>办证要求</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办理《工程出入证》的单位、部门、个人，必须填写《工程出入证申请表》，并提供办证人2张一寸的免冠照片，按程序审批后，交到甲方现场项目指挥部统一办理。办理出入证每人需交100元押金，人员调离时须将出入证交回甲方，方可返还押金。乙方可按本规定集中办理出入证申请。</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办理《工程车辆通行证》的单位，必须填写《工程车辆通行证申请表》，并提供车辆行驶证复印件，按程序审批后，交到甲方现场项目指挥部统一办理。办理出入证每证需交500元押金，车辆调离时，须将通行证交回甲方，方可返还押金。乙方可按本规定集中办理通行证申请。</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证件均须妥善保管，遗失应立即报告甲方并及时补办，补办时按每证50元收取工本费。证件不得借用，现场保卫门岗有权没收人与证或车与证不符的证件。车辆通行证借给他人从事偷盗等违法、违规行为的，甲方将按现场该类违法、违规行为累计造成的损失向证件借出追究赔偿损失并相应罚款。</w:t>
      </w:r>
    </w:p>
    <w:p>
      <w:pPr>
        <w:spacing w:line="300" w:lineRule="auto"/>
        <w:ind w:firstLine="482" w:firstLineChars="200"/>
        <w:contextualSpacing/>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2.3 出入证管理</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2.3.1 出入电厂大门的所有人员应凭《工程出入证》，将有照片的一面朝外，主动出示，接受保安人员查询；未按规定佩戴出入证的，一律不得入场；对忘记佩戴的人员由门卫保安人员核实有关信息，登记后准许进场。</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2.3.2 所有来访人员（上级领导、参观考察人员）由接待单位事先办理临时出入证，在接待人员陪同下凭证进入，出场时临时出入证由接待人员统一交门岗保安收回。</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2.3.3 设备厂家服务人员、业务关系外来人员、实习人员在厂内工作15天以上，必须办理出入证；在厂内工作15天以内，每天凭有效身份证件登记，换取临时出入证使用，临时出入证当天必须归还门岗。</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2.3.出入现场的所有车辆一律凭通行证进出，通行证应正面朝上置于车辆前档风玻璃处，并须接受保安人员的检查。</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2.3.6 所有来访车辆（上级领导、参观考察人员）由接待单位事先办理临时通行证，在接待人员陪同下凭证出入。其他车辆（包括各单位员工自有车辆），可停在厂区门外停车场，一律不得进入厂区。</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2.3.7 办理临时通行证，可凭甲方通行证或行驶证、驾驶证、身份证登记换取。</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2.3.8 任何人不得涂改、伪造出入证、通行证。乱用他人出入证，一经发现对行为人或责任单位罚款500元/次。</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2.3.9 乙方应加强车辆通行证管理，不得为一般外来车辆、职工个人车辆办理厂区通通行证。</w:t>
      </w:r>
    </w:p>
    <w:p>
      <w:pPr>
        <w:pStyle w:val="6"/>
        <w:ind w:firstLine="482"/>
      </w:pPr>
      <w:bookmarkStart w:id="120" w:name="_Toc1736204"/>
      <w:r>
        <w:rPr>
          <w:rFonts w:hint="eastAsia"/>
        </w:rPr>
        <w:t>三、物资出入管理要求</w:t>
      </w:r>
      <w:bookmarkEnd w:id="120"/>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 一切物资运输进（出）厂门时，必须主动停车接受保安检查。</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 凡运出厂外的一切物资、设备、材料等必须持乙方项目部统一印发的物资放行条（加盖项目专用章），按规定认真填写品名、规格、数量、车牌号、携物人、批准人，并加盖本单位项目专用章，做到证物相符，在门岗登记处办理放行手续，经门卫核查物证相符后才准予出门。</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对无物资放行条直接携带物资出厂者，门岗保安将情况通报该单位负责人；两次以上违规携带物资出厂或明显有偷盗目的（不能合理解释）或强行携带物资出厂者，按偷盗处理，情节轻微的，给予警告或罚款5000—10000元处理；情节严重的，移送当地公安机关处理。</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施工单位的大型施工机械、设备和大宗材料必须列明进（出）厂物资清单经乙方项目部项目经理、业主单位工程经理审批后，持进（出）厂物资清单经门卫查验后方可出厂，门岗保安留存一份进（出）厂物资清单备案。</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 所有物品（包括废旧物资）原则上在20：00至次日8：00时不准出厂门。</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 供应商送货到电厂的必须有接货单位的接货人到厂大门接货，大门保安对供应商说明电厂交通、治安管理规定等情况后方可办理入厂手续（登记手续及临时通行证）。</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 送货人对电厂交通、治安管理规定熟知，送货次数已达两次的，且运送的是普通物资材料、小型设备等，保安与接货单位或接货人联系确认后，办理完登记手续及临时通行证后准予进入。</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 供应商所送货物属于易燃易爆、化学危险品，必须由接货单位的接货人到厂大门，按有关规定进行安全检查。符合规定的，接货人签名确认，方可办理入厂手续。</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3.9 运送化学危险品进入电厂现场的车辆,必须严格遵守厂内的交通管理规则，按指定的路线(直达)行驶与停放。 </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3.10 瓶装乙炔和氧气必须分开运输,瓶体必须有防震圈、保护帽；乙炔和氧气瓶没有防震圈、保护帽的运输车辆不准进入大门。</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3.11未用完的火工材料退库，必须持使用单位签发的放行条，由使用单位安全保卫人员送到门卫处，经门卫核查，品种数量相符方可放行。</w:t>
      </w:r>
    </w:p>
    <w:p>
      <w:pPr>
        <w:pStyle w:val="6"/>
        <w:ind w:firstLine="482"/>
      </w:pPr>
      <w:bookmarkStart w:id="121" w:name="_Toc1736205"/>
      <w:r>
        <w:rPr>
          <w:rFonts w:hint="eastAsia"/>
        </w:rPr>
        <w:t>四、施工现场消防管理要求</w:t>
      </w:r>
      <w:bookmarkEnd w:id="121"/>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4.1乙方必须建立防火组织，健全消防管理体系，并报甲方备案。</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4.2乙方的消防安全责任要接受甲方的监督检查，乙方应按规定实行逐级防火责任制，项目经理是消防安全第一责任人。</w:t>
      </w:r>
    </w:p>
    <w:p>
      <w:pPr>
        <w:spacing w:line="300" w:lineRule="auto"/>
        <w:ind w:firstLine="480" w:firstLineChars="200"/>
        <w:contextualSpacing/>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4.3乙方应绘制现场重点防火部位及消防设施存放位置平面图，消防设施要有明显标志。</w:t>
      </w:r>
    </w:p>
    <w:p>
      <w:pPr>
        <w:spacing w:line="300" w:lineRule="auto"/>
        <w:ind w:firstLine="480" w:firstLineChars="200"/>
        <w:contextualSpacing/>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4.4 在责任范围内，各类消防设施、器材是防火、灭火专用的工具，由乙方统一配置、保养和更换，严禁挪用消防器材和损坏消防设施。</w:t>
      </w:r>
    </w:p>
    <w:p>
      <w:pPr>
        <w:spacing w:line="300" w:lineRule="auto"/>
        <w:ind w:firstLine="480" w:firstLineChars="200"/>
        <w:rPr>
          <w:color w:val="000000" w:themeColor="text1"/>
          <w:sz w:val="24"/>
          <w:szCs w:val="24"/>
          <w14:textFill>
            <w14:solidFill>
              <w14:schemeClr w14:val="tx1"/>
            </w14:solidFill>
          </w14:textFill>
        </w:rPr>
      </w:pPr>
    </w:p>
    <w:p>
      <w:pPr>
        <w:spacing w:line="300" w:lineRule="auto"/>
        <w:jc w:val="left"/>
        <w:rPr>
          <w:rFonts w:ascii="宋体" w:hAnsi="宋体"/>
          <w:color w:val="000000"/>
          <w:sz w:val="28"/>
          <w:szCs w:val="28"/>
        </w:rPr>
      </w:pPr>
    </w:p>
    <w:p>
      <w:pPr>
        <w:spacing w:line="300" w:lineRule="auto"/>
        <w:jc w:val="left"/>
        <w:rPr>
          <w:rFonts w:ascii="宋体" w:hAnsi="宋体"/>
          <w:color w:val="000000"/>
          <w:sz w:val="28"/>
          <w:szCs w:val="28"/>
        </w:rPr>
      </w:pPr>
    </w:p>
    <w:p>
      <w:pPr>
        <w:spacing w:line="300" w:lineRule="auto"/>
        <w:jc w:val="left"/>
        <w:rPr>
          <w:rFonts w:ascii="宋体" w:hAnsi="宋体"/>
          <w:color w:val="000000"/>
          <w:sz w:val="28"/>
          <w:szCs w:val="28"/>
        </w:rPr>
      </w:pPr>
    </w:p>
    <w:p>
      <w:pPr>
        <w:spacing w:line="300" w:lineRule="auto"/>
        <w:jc w:val="left"/>
        <w:rPr>
          <w:rFonts w:ascii="宋体" w:hAnsi="宋体"/>
          <w:color w:val="000000"/>
          <w:sz w:val="28"/>
          <w:szCs w:val="28"/>
        </w:rPr>
      </w:pPr>
    </w:p>
    <w:bookmarkEnd w:id="28"/>
    <w:p>
      <w:pPr>
        <w:pStyle w:val="4"/>
      </w:pPr>
    </w:p>
    <w:p>
      <w:pPr>
        <w:pStyle w:val="4"/>
      </w:pPr>
    </w:p>
    <w:p>
      <w:pPr>
        <w:pStyle w:val="4"/>
      </w:pPr>
    </w:p>
    <w:p>
      <w:pPr>
        <w:pStyle w:val="4"/>
      </w:pPr>
    </w:p>
    <w:p>
      <w:pPr>
        <w:pStyle w:val="4"/>
      </w:pPr>
    </w:p>
    <w:p>
      <w:pPr>
        <w:pStyle w:val="4"/>
      </w:pPr>
    </w:p>
    <w:p>
      <w:pPr>
        <w:pStyle w:val="4"/>
      </w:pPr>
    </w:p>
    <w:p>
      <w:pPr>
        <w:pStyle w:val="4"/>
      </w:pPr>
    </w:p>
    <w:p>
      <w:pPr>
        <w:spacing w:line="300" w:lineRule="auto"/>
        <w:jc w:val="center"/>
        <w:rPr>
          <w:rFonts w:ascii="宋体" w:hAnsi="宋体"/>
          <w:b/>
          <w:color w:val="000000"/>
          <w:sz w:val="28"/>
          <w:szCs w:val="28"/>
        </w:rPr>
      </w:pPr>
    </w:p>
    <w:p>
      <w:pPr>
        <w:pStyle w:val="4"/>
        <w:rPr>
          <w:rFonts w:hint="eastAsia"/>
        </w:rPr>
      </w:pPr>
      <w:r>
        <w:rPr>
          <w:rFonts w:hint="eastAsia"/>
        </w:rPr>
        <w:t>附件十二：中标通知书</w:t>
      </w:r>
    </w:p>
    <w:p>
      <w:pPr>
        <w:rPr>
          <w:rFonts w:hint="default" w:eastAsia="宋体"/>
          <w:lang w:val="en-US" w:eastAsia="zh-CN"/>
        </w:rPr>
      </w:pPr>
    </w:p>
    <w:p>
      <w:pPr>
        <w:pStyle w:val="4"/>
      </w:pPr>
    </w:p>
    <w:p/>
    <w:p>
      <w:pPr>
        <w:pStyle w:val="4"/>
      </w:pPr>
    </w:p>
    <w:p>
      <w:pPr>
        <w:spacing w:line="300" w:lineRule="auto"/>
        <w:rPr>
          <w:rFonts w:ascii="宋体" w:hAnsi="宋体"/>
          <w:b/>
          <w:color w:val="000000"/>
          <w:sz w:val="28"/>
          <w:szCs w:val="28"/>
        </w:rPr>
      </w:pPr>
    </w:p>
    <w:p>
      <w:pPr>
        <w:pStyle w:val="41"/>
        <w:ind w:firstLine="562"/>
        <w:rPr>
          <w:rFonts w:hAnsi="宋体"/>
          <w:b/>
          <w:color w:val="000000"/>
          <w:sz w:val="28"/>
          <w:szCs w:val="28"/>
        </w:rPr>
      </w:pPr>
    </w:p>
    <w:p/>
    <w:p>
      <w:pPr>
        <w:pStyle w:val="41"/>
        <w:ind w:left="0" w:leftChars="0" w:firstLine="0" w:firstLineChars="0"/>
        <w:rPr>
          <w:rFonts w:hAnsi="宋体"/>
          <w:b/>
          <w:color w:val="000000"/>
          <w:sz w:val="28"/>
          <w:szCs w:val="28"/>
        </w:rPr>
      </w:pPr>
    </w:p>
    <w:sectPr>
      <w:headerReference r:id="rId32" w:type="first"/>
      <w:footerReference r:id="rId34" w:type="first"/>
      <w:headerReference r:id="rId30" w:type="default"/>
      <w:headerReference r:id="rId31" w:type="even"/>
      <w:footerReference r:id="rId33" w:type="even"/>
      <w:pgSz w:w="11906" w:h="16838"/>
      <w:pgMar w:top="1247" w:right="1247" w:bottom="1247" w:left="1474" w:header="851" w:footer="62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script"/>
    <w:pitch w:val="default"/>
    <w:sig w:usb0="00000000" w:usb1="00000000" w:usb2="00000010" w:usb3="00000000" w:csb0="00040001" w:csb1="00000000"/>
  </w:font>
  <w:font w:name="iconfontstat_1">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firstLine="360"/>
      <w:rPr>
        <w:rStyle w:val="46"/>
      </w:rPr>
    </w:pPr>
    <w:r>
      <w:fldChar w:fldCharType="begin"/>
    </w:r>
    <w:r>
      <w:rPr>
        <w:rStyle w:val="46"/>
      </w:rPr>
      <w:instrText xml:space="preserve">PAGE  </w:instrText>
    </w:r>
    <w:r>
      <w:fldChar w:fldCharType="end"/>
    </w:r>
  </w:p>
  <w:p>
    <w:pPr>
      <w:pStyle w:val="27"/>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7481020"/>
    </w:sdtPr>
    <w:sdtContent>
      <w:p>
        <w:pPr>
          <w:pStyle w:val="27"/>
          <w:jc w:val="center"/>
        </w:pPr>
        <w:r>
          <w:fldChar w:fldCharType="begin"/>
        </w:r>
        <w:r>
          <w:instrText xml:space="preserve"> PAGE   \* MERGEFORMAT </w:instrText>
        </w:r>
        <w:r>
          <w:fldChar w:fldCharType="separate"/>
        </w:r>
        <w:r>
          <w:rPr>
            <w:lang w:val="zh-CN"/>
          </w:rPr>
          <w:t>79</w:t>
        </w:r>
        <w:r>
          <w:rPr>
            <w:lang w:val="zh-CN"/>
          </w:rPr>
          <w:fldChar w:fldCharType="end"/>
        </w:r>
      </w:p>
    </w:sdtContent>
  </w:sdt>
  <w:p>
    <w:pPr>
      <w:pStyle w:val="2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6"/>
      </w:rPr>
    </w:pPr>
    <w:r>
      <w:fldChar w:fldCharType="begin"/>
    </w:r>
    <w:r>
      <w:rPr>
        <w:rStyle w:val="46"/>
      </w:rPr>
      <w:instrText xml:space="preserve">PAGE  </w:instrText>
    </w:r>
    <w:r>
      <w:fldChar w:fldCharType="end"/>
    </w:r>
  </w:p>
  <w:p>
    <w:pPr>
      <w:pStyle w:val="27"/>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firstLine="360"/>
      <w:rPr>
        <w:rStyle w:val="46"/>
      </w:rPr>
    </w:pPr>
    <w:r>
      <w:fldChar w:fldCharType="begin"/>
    </w:r>
    <w:r>
      <w:rPr>
        <w:rStyle w:val="46"/>
      </w:rPr>
      <w:instrText xml:space="preserve">PAGE  </w:instrText>
    </w:r>
    <w:r>
      <w:fldChar w:fldCharType="end"/>
    </w:r>
  </w:p>
  <w:p>
    <w:pPr>
      <w:pStyle w:val="27"/>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sdt>
      <w:sdtPr>
        <w:id w:val="-1087481017"/>
      </w:sdtPr>
      <w:sdtContent/>
    </w:sdt>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168</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359" w:hanging="359" w:hangingChars="17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0" w:hanging="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0" w:hanging="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0" w:hanging="4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0"/>
      </w:numPr>
      <w:ind w:left="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0"/>
      </w:numPr>
      <w:ind w:left="4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00000007"/>
    <w:multiLevelType w:val="multilevel"/>
    <w:tmpl w:val="00000007"/>
    <w:lvl w:ilvl="0" w:tentative="0">
      <w:start w:val="1"/>
      <w:numFmt w:val="bullet"/>
      <w:lvlText w:val=""/>
      <w:lvlJc w:val="left"/>
      <w:pPr>
        <w:tabs>
          <w:tab w:val="left" w:pos="1320"/>
        </w:tabs>
        <w:ind w:left="1320" w:hanging="420"/>
      </w:pPr>
      <w:rPr>
        <w:rFonts w:hint="default" w:ascii="Wingdings" w:hAnsi="Wingdings" w:eastAsia="宋体"/>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8"/>
    <w:multiLevelType w:val="multilevel"/>
    <w:tmpl w:val="00000008"/>
    <w:lvl w:ilvl="0" w:tentative="0">
      <w:start w:val="1"/>
      <w:numFmt w:val="decimal"/>
      <w:lvlText w:val="%1."/>
      <w:lvlJc w:val="left"/>
      <w:pPr>
        <w:tabs>
          <w:tab w:val="left" w:pos="1155"/>
        </w:tabs>
        <w:ind w:left="1155" w:hanging="420"/>
      </w:p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3">
    <w:nsid w:val="00000009"/>
    <w:multiLevelType w:val="singleLevel"/>
    <w:tmpl w:val="00000009"/>
    <w:lvl w:ilvl="0" w:tentative="0">
      <w:start w:val="1"/>
      <w:numFmt w:val="lowerLetter"/>
      <w:lvlText w:val="%1)"/>
      <w:lvlJc w:val="left"/>
      <w:pPr>
        <w:ind w:left="420" w:hanging="420"/>
      </w:pPr>
      <w:rPr>
        <w:rFonts w:hint="eastAsia"/>
        <w:lang w:val="en-US"/>
      </w:rPr>
    </w:lvl>
  </w:abstractNum>
  <w:abstractNum w:abstractNumId="4">
    <w:nsid w:val="0000000B"/>
    <w:multiLevelType w:val="multilevel"/>
    <w:tmpl w:val="0000000B"/>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
    <w:nsid w:val="0000000D"/>
    <w:multiLevelType w:val="multilevel"/>
    <w:tmpl w:val="0000000D"/>
    <w:lvl w:ilvl="0" w:tentative="0">
      <w:start w:val="1"/>
      <w:numFmt w:val="decimal"/>
      <w:lvlText w:val="%1."/>
      <w:lvlJc w:val="left"/>
      <w:pPr>
        <w:tabs>
          <w:tab w:val="left" w:pos="1224"/>
        </w:tabs>
        <w:ind w:left="1224" w:hanging="420"/>
      </w:pPr>
    </w:lvl>
    <w:lvl w:ilvl="1" w:tentative="0">
      <w:start w:val="1"/>
      <w:numFmt w:val="lowerLetter"/>
      <w:lvlText w:val="%2)"/>
      <w:lvlJc w:val="left"/>
      <w:pPr>
        <w:tabs>
          <w:tab w:val="left" w:pos="1644"/>
        </w:tabs>
        <w:ind w:left="1644" w:hanging="420"/>
      </w:pPr>
    </w:lvl>
    <w:lvl w:ilvl="2" w:tentative="0">
      <w:start w:val="1"/>
      <w:numFmt w:val="lowerRoman"/>
      <w:lvlText w:val="%3."/>
      <w:lvlJc w:val="right"/>
      <w:pPr>
        <w:tabs>
          <w:tab w:val="left" w:pos="2064"/>
        </w:tabs>
        <w:ind w:left="2064" w:hanging="420"/>
      </w:pPr>
    </w:lvl>
    <w:lvl w:ilvl="3" w:tentative="0">
      <w:start w:val="1"/>
      <w:numFmt w:val="decimal"/>
      <w:lvlText w:val="%4."/>
      <w:lvlJc w:val="left"/>
      <w:pPr>
        <w:tabs>
          <w:tab w:val="left" w:pos="2484"/>
        </w:tabs>
        <w:ind w:left="2484" w:hanging="420"/>
      </w:pPr>
    </w:lvl>
    <w:lvl w:ilvl="4" w:tentative="0">
      <w:start w:val="1"/>
      <w:numFmt w:val="lowerLetter"/>
      <w:lvlText w:val="%5)"/>
      <w:lvlJc w:val="left"/>
      <w:pPr>
        <w:tabs>
          <w:tab w:val="left" w:pos="2904"/>
        </w:tabs>
        <w:ind w:left="2904" w:hanging="420"/>
      </w:pPr>
    </w:lvl>
    <w:lvl w:ilvl="5" w:tentative="0">
      <w:start w:val="1"/>
      <w:numFmt w:val="lowerRoman"/>
      <w:lvlText w:val="%6."/>
      <w:lvlJc w:val="right"/>
      <w:pPr>
        <w:tabs>
          <w:tab w:val="left" w:pos="3324"/>
        </w:tabs>
        <w:ind w:left="3324" w:hanging="420"/>
      </w:pPr>
    </w:lvl>
    <w:lvl w:ilvl="6" w:tentative="0">
      <w:start w:val="1"/>
      <w:numFmt w:val="decimal"/>
      <w:lvlText w:val="%7."/>
      <w:lvlJc w:val="left"/>
      <w:pPr>
        <w:tabs>
          <w:tab w:val="left" w:pos="3744"/>
        </w:tabs>
        <w:ind w:left="3744" w:hanging="420"/>
      </w:pPr>
    </w:lvl>
    <w:lvl w:ilvl="7" w:tentative="0">
      <w:start w:val="1"/>
      <w:numFmt w:val="lowerLetter"/>
      <w:lvlText w:val="%8)"/>
      <w:lvlJc w:val="left"/>
      <w:pPr>
        <w:tabs>
          <w:tab w:val="left" w:pos="4164"/>
        </w:tabs>
        <w:ind w:left="4164" w:hanging="420"/>
      </w:pPr>
    </w:lvl>
    <w:lvl w:ilvl="8" w:tentative="0">
      <w:start w:val="1"/>
      <w:numFmt w:val="lowerRoman"/>
      <w:lvlText w:val="%9."/>
      <w:lvlJc w:val="right"/>
      <w:pPr>
        <w:tabs>
          <w:tab w:val="left" w:pos="4584"/>
        </w:tabs>
        <w:ind w:left="4584" w:hanging="420"/>
      </w:pPr>
    </w:lvl>
  </w:abstractNum>
  <w:abstractNum w:abstractNumId="6">
    <w:nsid w:val="0000000E"/>
    <w:multiLevelType w:val="multilevel"/>
    <w:tmpl w:val="0000000E"/>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10"/>
    <w:multiLevelType w:val="multilevel"/>
    <w:tmpl w:val="000000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15"/>
    <w:multiLevelType w:val="multilevel"/>
    <w:tmpl w:val="00000015"/>
    <w:lvl w:ilvl="0" w:tentative="0">
      <w:start w:val="1"/>
      <w:numFmt w:val="decimal"/>
      <w:lvlText w:val="%1."/>
      <w:lvlJc w:val="left"/>
      <w:pPr>
        <w:ind w:left="1155" w:hanging="420"/>
      </w:p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9">
    <w:nsid w:val="00000016"/>
    <w:multiLevelType w:val="multilevel"/>
    <w:tmpl w:val="000000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18"/>
    <w:multiLevelType w:val="multilevel"/>
    <w:tmpl w:val="00000018"/>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1">
    <w:nsid w:val="0000001A"/>
    <w:multiLevelType w:val="multilevel"/>
    <w:tmpl w:val="0000001A"/>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2">
    <w:nsid w:val="0000001C"/>
    <w:multiLevelType w:val="multilevel"/>
    <w:tmpl w:val="0000001C"/>
    <w:lvl w:ilvl="0" w:tentative="0">
      <w:start w:val="1"/>
      <w:numFmt w:val="decimal"/>
      <w:lvlText w:val="%1."/>
      <w:lvlJc w:val="left"/>
      <w:pPr>
        <w:tabs>
          <w:tab w:val="left" w:pos="987"/>
        </w:tabs>
        <w:ind w:left="987"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000001D"/>
    <w:multiLevelType w:val="multilevel"/>
    <w:tmpl w:val="0000001D"/>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4">
    <w:nsid w:val="0000001E"/>
    <w:multiLevelType w:val="multilevel"/>
    <w:tmpl w:val="0000001E"/>
    <w:lvl w:ilvl="0" w:tentative="0">
      <w:start w:val="1"/>
      <w:numFmt w:val="decimal"/>
      <w:lvlText w:val="%1."/>
      <w:lvlJc w:val="left"/>
      <w:pPr>
        <w:tabs>
          <w:tab w:val="left" w:pos="846"/>
        </w:tabs>
        <w:ind w:left="846"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0000001F"/>
    <w:multiLevelType w:val="multilevel"/>
    <w:tmpl w:val="0000001F"/>
    <w:lvl w:ilvl="0" w:tentative="0">
      <w:start w:val="1"/>
      <w:numFmt w:val="decimal"/>
      <w:lvlText w:val="%1."/>
      <w:lvlJc w:val="left"/>
      <w:pPr>
        <w:ind w:left="840" w:hanging="420"/>
      </w:pPr>
    </w:lvl>
    <w:lvl w:ilvl="1" w:tentative="0">
      <w:start w:val="1"/>
      <w:numFmt w:val="decimal"/>
      <w:lvlText w:val="%2、"/>
      <w:lvlJc w:val="left"/>
      <w:pPr>
        <w:ind w:left="1515" w:hanging="67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00000020"/>
    <w:multiLevelType w:val="multilevel"/>
    <w:tmpl w:val="00000020"/>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17">
    <w:nsid w:val="054B4528"/>
    <w:multiLevelType w:val="multilevel"/>
    <w:tmpl w:val="054B45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CB3616D"/>
    <w:multiLevelType w:val="multilevel"/>
    <w:tmpl w:val="0CB3616D"/>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2224AB9"/>
    <w:multiLevelType w:val="multilevel"/>
    <w:tmpl w:val="12224AB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41E00D4"/>
    <w:multiLevelType w:val="multilevel"/>
    <w:tmpl w:val="141E00D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195203EB"/>
    <w:multiLevelType w:val="multilevel"/>
    <w:tmpl w:val="195203E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989610D"/>
    <w:multiLevelType w:val="multilevel"/>
    <w:tmpl w:val="1989610D"/>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08E2BFE"/>
    <w:multiLevelType w:val="multilevel"/>
    <w:tmpl w:val="208E2B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AEB273E"/>
    <w:multiLevelType w:val="multilevel"/>
    <w:tmpl w:val="2AEB27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D165E98"/>
    <w:multiLevelType w:val="multilevel"/>
    <w:tmpl w:val="2D165E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F12C9A"/>
    <w:multiLevelType w:val="multilevel"/>
    <w:tmpl w:val="2DF12C9A"/>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39FA5BE2"/>
    <w:multiLevelType w:val="multilevel"/>
    <w:tmpl w:val="39FA5BE2"/>
    <w:lvl w:ilvl="0" w:tentative="0">
      <w:start w:val="1"/>
      <w:numFmt w:val="chineseCountingThousand"/>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4E8A53C6"/>
    <w:multiLevelType w:val="multilevel"/>
    <w:tmpl w:val="4E8A53C6"/>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9">
    <w:nsid w:val="5CD17EBC"/>
    <w:multiLevelType w:val="multilevel"/>
    <w:tmpl w:val="5CD17EBC"/>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0">
    <w:nsid w:val="60B70824"/>
    <w:multiLevelType w:val="multilevel"/>
    <w:tmpl w:val="60B70824"/>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31">
    <w:nsid w:val="64792F48"/>
    <w:multiLevelType w:val="multilevel"/>
    <w:tmpl w:val="64792F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2">
    <w:nsid w:val="64B41FF3"/>
    <w:multiLevelType w:val="multilevel"/>
    <w:tmpl w:val="64B41FF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7EF973D4"/>
    <w:multiLevelType w:val="multilevel"/>
    <w:tmpl w:val="7EF973D4"/>
    <w:lvl w:ilvl="0" w:tentative="0">
      <w:start w:val="1"/>
      <w:numFmt w:val="chineseCountingThousand"/>
      <w:lvlText w:val="（%1）"/>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20"/>
  </w:num>
  <w:num w:numId="2">
    <w:abstractNumId w:val="22"/>
  </w:num>
  <w:num w:numId="3">
    <w:abstractNumId w:val="18"/>
  </w:num>
  <w:num w:numId="4">
    <w:abstractNumId w:val="26"/>
    <w:lvlOverride w:ilvl="0">
      <w:startOverride w:val="1"/>
    </w:lvlOverride>
  </w:num>
  <w:num w:numId="5">
    <w:abstractNumId w:val="29"/>
  </w:num>
  <w:num w:numId="6">
    <w:abstractNumId w:val="6"/>
  </w:num>
  <w:num w:numId="7">
    <w:abstractNumId w:val="27"/>
  </w:num>
  <w:num w:numId="8">
    <w:abstractNumId w:val="8"/>
  </w:num>
  <w:num w:numId="9">
    <w:abstractNumId w:val="2"/>
  </w:num>
  <w:num w:numId="10">
    <w:abstractNumId w:val="14"/>
  </w:num>
  <w:num w:numId="11">
    <w:abstractNumId w:val="10"/>
  </w:num>
  <w:num w:numId="12">
    <w:abstractNumId w:val="11"/>
  </w:num>
  <w:num w:numId="13">
    <w:abstractNumId w:val="3"/>
  </w:num>
  <w:num w:numId="14">
    <w:abstractNumId w:val="0"/>
  </w:num>
  <w:num w:numId="15">
    <w:abstractNumId w:val="32"/>
  </w:num>
  <w:num w:numId="16">
    <w:abstractNumId w:val="13"/>
  </w:num>
  <w:num w:numId="17">
    <w:abstractNumId w:val="4"/>
  </w:num>
  <w:num w:numId="18">
    <w:abstractNumId w:val="15"/>
  </w:num>
  <w:num w:numId="19">
    <w:abstractNumId w:val="9"/>
  </w:num>
  <w:num w:numId="20">
    <w:abstractNumId w:val="12"/>
  </w:num>
  <w:num w:numId="21">
    <w:abstractNumId w:val="7"/>
  </w:num>
  <w:num w:numId="22">
    <w:abstractNumId w:val="31"/>
  </w:num>
  <w:num w:numId="23">
    <w:abstractNumId w:val="1"/>
  </w:num>
  <w:num w:numId="24">
    <w:abstractNumId w:val="16"/>
  </w:num>
  <w:num w:numId="25">
    <w:abstractNumId w:val="5"/>
  </w:num>
  <w:num w:numId="26">
    <w:abstractNumId w:val="30"/>
  </w:num>
  <w:num w:numId="27">
    <w:abstractNumId w:val="17"/>
  </w:num>
  <w:num w:numId="28">
    <w:abstractNumId w:val="28"/>
  </w:num>
  <w:num w:numId="29">
    <w:abstractNumId w:val="33"/>
  </w:num>
  <w:num w:numId="30">
    <w:abstractNumId w:val="25"/>
  </w:num>
  <w:num w:numId="31">
    <w:abstractNumId w:val="19"/>
  </w:num>
  <w:num w:numId="32">
    <w:abstractNumId w:val="21"/>
  </w:num>
  <w:num w:numId="33">
    <w:abstractNumId w:val="2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revisionView w:markup="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ZDhkMTRlODRiYWNhNmE4Y2Q2MWFhNDhhYTlkMmMifQ=="/>
  </w:docVars>
  <w:rsids>
    <w:rsidRoot w:val="00172A27"/>
    <w:rsid w:val="000016DC"/>
    <w:rsid w:val="00001C67"/>
    <w:rsid w:val="0000529A"/>
    <w:rsid w:val="00013D22"/>
    <w:rsid w:val="00015DCB"/>
    <w:rsid w:val="00020BB7"/>
    <w:rsid w:val="0002172F"/>
    <w:rsid w:val="00030067"/>
    <w:rsid w:val="0003299D"/>
    <w:rsid w:val="00032EFC"/>
    <w:rsid w:val="000335CC"/>
    <w:rsid w:val="0003632F"/>
    <w:rsid w:val="00040054"/>
    <w:rsid w:val="000530DD"/>
    <w:rsid w:val="00053C95"/>
    <w:rsid w:val="00054876"/>
    <w:rsid w:val="00062D30"/>
    <w:rsid w:val="00075F20"/>
    <w:rsid w:val="00086923"/>
    <w:rsid w:val="00087823"/>
    <w:rsid w:val="0008783F"/>
    <w:rsid w:val="00087FE5"/>
    <w:rsid w:val="00095C8E"/>
    <w:rsid w:val="00097D40"/>
    <w:rsid w:val="000A36E2"/>
    <w:rsid w:val="000A45BA"/>
    <w:rsid w:val="000B30F0"/>
    <w:rsid w:val="000C3A26"/>
    <w:rsid w:val="000D2FD0"/>
    <w:rsid w:val="000D43C6"/>
    <w:rsid w:val="000E0655"/>
    <w:rsid w:val="000E1BC9"/>
    <w:rsid w:val="000E6E5E"/>
    <w:rsid w:val="000E718E"/>
    <w:rsid w:val="000E728D"/>
    <w:rsid w:val="000F04EC"/>
    <w:rsid w:val="000F1CDD"/>
    <w:rsid w:val="000F350D"/>
    <w:rsid w:val="000F454B"/>
    <w:rsid w:val="00100945"/>
    <w:rsid w:val="00103AC1"/>
    <w:rsid w:val="001049D5"/>
    <w:rsid w:val="001103C9"/>
    <w:rsid w:val="00111969"/>
    <w:rsid w:val="001148D8"/>
    <w:rsid w:val="00115F3F"/>
    <w:rsid w:val="0011795D"/>
    <w:rsid w:val="00123B65"/>
    <w:rsid w:val="00124444"/>
    <w:rsid w:val="001257DF"/>
    <w:rsid w:val="00131991"/>
    <w:rsid w:val="0013348B"/>
    <w:rsid w:val="00143A6D"/>
    <w:rsid w:val="00144970"/>
    <w:rsid w:val="001459BC"/>
    <w:rsid w:val="0014737B"/>
    <w:rsid w:val="001540CD"/>
    <w:rsid w:val="001608A7"/>
    <w:rsid w:val="00161757"/>
    <w:rsid w:val="00161B40"/>
    <w:rsid w:val="0016308E"/>
    <w:rsid w:val="00165C52"/>
    <w:rsid w:val="00165CDC"/>
    <w:rsid w:val="00167E4C"/>
    <w:rsid w:val="00172A27"/>
    <w:rsid w:val="00173889"/>
    <w:rsid w:val="00175929"/>
    <w:rsid w:val="001864F6"/>
    <w:rsid w:val="001923E0"/>
    <w:rsid w:val="00193CCD"/>
    <w:rsid w:val="00194768"/>
    <w:rsid w:val="00197BFD"/>
    <w:rsid w:val="001A3730"/>
    <w:rsid w:val="001A437A"/>
    <w:rsid w:val="001B15A0"/>
    <w:rsid w:val="001B1AB0"/>
    <w:rsid w:val="001B61FC"/>
    <w:rsid w:val="001C0425"/>
    <w:rsid w:val="001C161B"/>
    <w:rsid w:val="001C49C9"/>
    <w:rsid w:val="001D07BF"/>
    <w:rsid w:val="001D08C7"/>
    <w:rsid w:val="001D22BE"/>
    <w:rsid w:val="001D7E17"/>
    <w:rsid w:val="001E7082"/>
    <w:rsid w:val="001F6145"/>
    <w:rsid w:val="001F7CE0"/>
    <w:rsid w:val="00200D42"/>
    <w:rsid w:val="00210501"/>
    <w:rsid w:val="002117E1"/>
    <w:rsid w:val="00211AAF"/>
    <w:rsid w:val="002120D1"/>
    <w:rsid w:val="002131B4"/>
    <w:rsid w:val="00213E21"/>
    <w:rsid w:val="002140DD"/>
    <w:rsid w:val="002148A4"/>
    <w:rsid w:val="00217AC9"/>
    <w:rsid w:val="00224D25"/>
    <w:rsid w:val="00224E64"/>
    <w:rsid w:val="002268B0"/>
    <w:rsid w:val="00227083"/>
    <w:rsid w:val="00227F17"/>
    <w:rsid w:val="00237031"/>
    <w:rsid w:val="00241FDB"/>
    <w:rsid w:val="00251198"/>
    <w:rsid w:val="00252CAC"/>
    <w:rsid w:val="002542AD"/>
    <w:rsid w:val="00257DE8"/>
    <w:rsid w:val="00261D90"/>
    <w:rsid w:val="0026414B"/>
    <w:rsid w:val="002658F8"/>
    <w:rsid w:val="00271B96"/>
    <w:rsid w:val="0027287D"/>
    <w:rsid w:val="00272983"/>
    <w:rsid w:val="0027371A"/>
    <w:rsid w:val="00274B18"/>
    <w:rsid w:val="0027735A"/>
    <w:rsid w:val="0027747F"/>
    <w:rsid w:val="00277773"/>
    <w:rsid w:val="00281160"/>
    <w:rsid w:val="00283756"/>
    <w:rsid w:val="0028552E"/>
    <w:rsid w:val="002937D3"/>
    <w:rsid w:val="00294FCF"/>
    <w:rsid w:val="002A3E90"/>
    <w:rsid w:val="002A538D"/>
    <w:rsid w:val="002A7107"/>
    <w:rsid w:val="002B29A3"/>
    <w:rsid w:val="002B35A9"/>
    <w:rsid w:val="002C0A3A"/>
    <w:rsid w:val="002C0C1D"/>
    <w:rsid w:val="002C7758"/>
    <w:rsid w:val="002E58A1"/>
    <w:rsid w:val="002E6048"/>
    <w:rsid w:val="002F0112"/>
    <w:rsid w:val="002F1C43"/>
    <w:rsid w:val="002F304A"/>
    <w:rsid w:val="002F5C4D"/>
    <w:rsid w:val="002F7049"/>
    <w:rsid w:val="003014E9"/>
    <w:rsid w:val="003015DA"/>
    <w:rsid w:val="00303043"/>
    <w:rsid w:val="003037DB"/>
    <w:rsid w:val="00304688"/>
    <w:rsid w:val="00312D2D"/>
    <w:rsid w:val="00314800"/>
    <w:rsid w:val="00314AE9"/>
    <w:rsid w:val="003326D1"/>
    <w:rsid w:val="00342E6A"/>
    <w:rsid w:val="0034723E"/>
    <w:rsid w:val="003524E9"/>
    <w:rsid w:val="00355A31"/>
    <w:rsid w:val="0035614A"/>
    <w:rsid w:val="00356C13"/>
    <w:rsid w:val="00356C85"/>
    <w:rsid w:val="00362D9B"/>
    <w:rsid w:val="00371690"/>
    <w:rsid w:val="0039101F"/>
    <w:rsid w:val="00392BDE"/>
    <w:rsid w:val="00394DDD"/>
    <w:rsid w:val="003A053D"/>
    <w:rsid w:val="003A34BC"/>
    <w:rsid w:val="003B3171"/>
    <w:rsid w:val="003B68D1"/>
    <w:rsid w:val="003C4899"/>
    <w:rsid w:val="003C7E2A"/>
    <w:rsid w:val="003D122D"/>
    <w:rsid w:val="003D12E0"/>
    <w:rsid w:val="003D3994"/>
    <w:rsid w:val="003D3AEC"/>
    <w:rsid w:val="003E2701"/>
    <w:rsid w:val="003E2FD6"/>
    <w:rsid w:val="003E45B9"/>
    <w:rsid w:val="003E4A4D"/>
    <w:rsid w:val="003E76DF"/>
    <w:rsid w:val="003F08B1"/>
    <w:rsid w:val="003F5482"/>
    <w:rsid w:val="003F7B86"/>
    <w:rsid w:val="00402330"/>
    <w:rsid w:val="0041069B"/>
    <w:rsid w:val="00410A35"/>
    <w:rsid w:val="00410D70"/>
    <w:rsid w:val="00412917"/>
    <w:rsid w:val="004167FF"/>
    <w:rsid w:val="00423429"/>
    <w:rsid w:val="004237A1"/>
    <w:rsid w:val="00425C44"/>
    <w:rsid w:val="004312F5"/>
    <w:rsid w:val="0043160C"/>
    <w:rsid w:val="0043199F"/>
    <w:rsid w:val="00434212"/>
    <w:rsid w:val="0044591F"/>
    <w:rsid w:val="004470E4"/>
    <w:rsid w:val="00447F04"/>
    <w:rsid w:val="004551E2"/>
    <w:rsid w:val="004618BD"/>
    <w:rsid w:val="00465BFE"/>
    <w:rsid w:val="004732CC"/>
    <w:rsid w:val="004733C9"/>
    <w:rsid w:val="00473E25"/>
    <w:rsid w:val="00475B6B"/>
    <w:rsid w:val="00476118"/>
    <w:rsid w:val="00493C90"/>
    <w:rsid w:val="004A0864"/>
    <w:rsid w:val="004B12BF"/>
    <w:rsid w:val="004B165E"/>
    <w:rsid w:val="004B430C"/>
    <w:rsid w:val="004C05A5"/>
    <w:rsid w:val="004C0C37"/>
    <w:rsid w:val="004C48CB"/>
    <w:rsid w:val="004C4B4B"/>
    <w:rsid w:val="004C7374"/>
    <w:rsid w:val="004C7FEE"/>
    <w:rsid w:val="004D2039"/>
    <w:rsid w:val="004E0B73"/>
    <w:rsid w:val="004E70E1"/>
    <w:rsid w:val="004F0939"/>
    <w:rsid w:val="004F19D4"/>
    <w:rsid w:val="004F3687"/>
    <w:rsid w:val="004F40EB"/>
    <w:rsid w:val="004F59E6"/>
    <w:rsid w:val="00511BD9"/>
    <w:rsid w:val="00514168"/>
    <w:rsid w:val="00514655"/>
    <w:rsid w:val="005148C5"/>
    <w:rsid w:val="0051738A"/>
    <w:rsid w:val="00524F1D"/>
    <w:rsid w:val="0052724A"/>
    <w:rsid w:val="00531ACF"/>
    <w:rsid w:val="0053235D"/>
    <w:rsid w:val="00545F8A"/>
    <w:rsid w:val="0055220F"/>
    <w:rsid w:val="00556651"/>
    <w:rsid w:val="00557145"/>
    <w:rsid w:val="0055771B"/>
    <w:rsid w:val="0056190A"/>
    <w:rsid w:val="00564A2B"/>
    <w:rsid w:val="005653B6"/>
    <w:rsid w:val="005660DB"/>
    <w:rsid w:val="00571030"/>
    <w:rsid w:val="00577623"/>
    <w:rsid w:val="00582DCA"/>
    <w:rsid w:val="005841A0"/>
    <w:rsid w:val="00591214"/>
    <w:rsid w:val="005955C5"/>
    <w:rsid w:val="00597BB1"/>
    <w:rsid w:val="005A3CAC"/>
    <w:rsid w:val="005A4DF3"/>
    <w:rsid w:val="005A5F75"/>
    <w:rsid w:val="005A6136"/>
    <w:rsid w:val="005A6DE6"/>
    <w:rsid w:val="005A6E4F"/>
    <w:rsid w:val="005A784C"/>
    <w:rsid w:val="005A7A5A"/>
    <w:rsid w:val="005C03A3"/>
    <w:rsid w:val="005D0E8A"/>
    <w:rsid w:val="005D0E9C"/>
    <w:rsid w:val="005D4722"/>
    <w:rsid w:val="005D73BA"/>
    <w:rsid w:val="005E37D6"/>
    <w:rsid w:val="005E4C2E"/>
    <w:rsid w:val="005E636C"/>
    <w:rsid w:val="005E6795"/>
    <w:rsid w:val="005F141E"/>
    <w:rsid w:val="005F1F48"/>
    <w:rsid w:val="005F2850"/>
    <w:rsid w:val="005F3F18"/>
    <w:rsid w:val="005F6EDC"/>
    <w:rsid w:val="0060255B"/>
    <w:rsid w:val="006118F3"/>
    <w:rsid w:val="00613D5A"/>
    <w:rsid w:val="00615670"/>
    <w:rsid w:val="00625B84"/>
    <w:rsid w:val="00631140"/>
    <w:rsid w:val="0063139A"/>
    <w:rsid w:val="006333B0"/>
    <w:rsid w:val="006377B4"/>
    <w:rsid w:val="00641590"/>
    <w:rsid w:val="00641C3E"/>
    <w:rsid w:val="006421D8"/>
    <w:rsid w:val="00643AFF"/>
    <w:rsid w:val="00643E80"/>
    <w:rsid w:val="00644324"/>
    <w:rsid w:val="00645E5D"/>
    <w:rsid w:val="006476B1"/>
    <w:rsid w:val="006560C6"/>
    <w:rsid w:val="00660934"/>
    <w:rsid w:val="00661617"/>
    <w:rsid w:val="0066568F"/>
    <w:rsid w:val="00673DD1"/>
    <w:rsid w:val="00676EA2"/>
    <w:rsid w:val="006823A5"/>
    <w:rsid w:val="0068322E"/>
    <w:rsid w:val="00686845"/>
    <w:rsid w:val="0068781A"/>
    <w:rsid w:val="00690381"/>
    <w:rsid w:val="00692844"/>
    <w:rsid w:val="00695D74"/>
    <w:rsid w:val="00696AB9"/>
    <w:rsid w:val="006A0CE2"/>
    <w:rsid w:val="006A1A7D"/>
    <w:rsid w:val="006A2713"/>
    <w:rsid w:val="006A3BC4"/>
    <w:rsid w:val="006B5633"/>
    <w:rsid w:val="006C5BB7"/>
    <w:rsid w:val="006D31D0"/>
    <w:rsid w:val="006D3273"/>
    <w:rsid w:val="006D3E99"/>
    <w:rsid w:val="006D5E70"/>
    <w:rsid w:val="006D603B"/>
    <w:rsid w:val="006E0407"/>
    <w:rsid w:val="006E32BF"/>
    <w:rsid w:val="006E3CDE"/>
    <w:rsid w:val="006F2201"/>
    <w:rsid w:val="006F2D7F"/>
    <w:rsid w:val="006F6E69"/>
    <w:rsid w:val="00701DEA"/>
    <w:rsid w:val="00711841"/>
    <w:rsid w:val="0071272A"/>
    <w:rsid w:val="00715EFF"/>
    <w:rsid w:val="00716AC6"/>
    <w:rsid w:val="0071715A"/>
    <w:rsid w:val="00721513"/>
    <w:rsid w:val="00725148"/>
    <w:rsid w:val="007269BC"/>
    <w:rsid w:val="0072789F"/>
    <w:rsid w:val="0074122A"/>
    <w:rsid w:val="00745EFE"/>
    <w:rsid w:val="00745F45"/>
    <w:rsid w:val="00753AD3"/>
    <w:rsid w:val="00756A36"/>
    <w:rsid w:val="00760960"/>
    <w:rsid w:val="0076506A"/>
    <w:rsid w:val="00767A83"/>
    <w:rsid w:val="007709DF"/>
    <w:rsid w:val="00772A39"/>
    <w:rsid w:val="0077582A"/>
    <w:rsid w:val="0077635B"/>
    <w:rsid w:val="00777AF9"/>
    <w:rsid w:val="00783D0E"/>
    <w:rsid w:val="007A2366"/>
    <w:rsid w:val="007A485C"/>
    <w:rsid w:val="007A68AB"/>
    <w:rsid w:val="007A792F"/>
    <w:rsid w:val="007B0EC1"/>
    <w:rsid w:val="007B3E51"/>
    <w:rsid w:val="007C16D9"/>
    <w:rsid w:val="007C1981"/>
    <w:rsid w:val="007C3741"/>
    <w:rsid w:val="007C5861"/>
    <w:rsid w:val="007D17B7"/>
    <w:rsid w:val="007D377F"/>
    <w:rsid w:val="007D7C23"/>
    <w:rsid w:val="007E0B9F"/>
    <w:rsid w:val="007E7545"/>
    <w:rsid w:val="007F0D16"/>
    <w:rsid w:val="007F0F2A"/>
    <w:rsid w:val="007F4CB9"/>
    <w:rsid w:val="007F5824"/>
    <w:rsid w:val="007F69E0"/>
    <w:rsid w:val="007F780A"/>
    <w:rsid w:val="0080022C"/>
    <w:rsid w:val="00800C87"/>
    <w:rsid w:val="008011B4"/>
    <w:rsid w:val="008011EE"/>
    <w:rsid w:val="00805991"/>
    <w:rsid w:val="0081190C"/>
    <w:rsid w:val="008129D5"/>
    <w:rsid w:val="008202FE"/>
    <w:rsid w:val="0082304E"/>
    <w:rsid w:val="00823D60"/>
    <w:rsid w:val="00827597"/>
    <w:rsid w:val="00833573"/>
    <w:rsid w:val="00835BE2"/>
    <w:rsid w:val="00855991"/>
    <w:rsid w:val="00856D50"/>
    <w:rsid w:val="008578BB"/>
    <w:rsid w:val="00860ECB"/>
    <w:rsid w:val="0086365F"/>
    <w:rsid w:val="00864B2C"/>
    <w:rsid w:val="00866576"/>
    <w:rsid w:val="008667E4"/>
    <w:rsid w:val="00867922"/>
    <w:rsid w:val="008714B7"/>
    <w:rsid w:val="008827BC"/>
    <w:rsid w:val="00885013"/>
    <w:rsid w:val="00885279"/>
    <w:rsid w:val="008864FF"/>
    <w:rsid w:val="008935A8"/>
    <w:rsid w:val="00893A11"/>
    <w:rsid w:val="008971E5"/>
    <w:rsid w:val="008A0836"/>
    <w:rsid w:val="008A0BE9"/>
    <w:rsid w:val="008A2E42"/>
    <w:rsid w:val="008A46DA"/>
    <w:rsid w:val="008B12B8"/>
    <w:rsid w:val="008C21BB"/>
    <w:rsid w:val="008D1C7D"/>
    <w:rsid w:val="008D3D33"/>
    <w:rsid w:val="008D4F74"/>
    <w:rsid w:val="008D51C0"/>
    <w:rsid w:val="008D7A24"/>
    <w:rsid w:val="008E40DB"/>
    <w:rsid w:val="008E4404"/>
    <w:rsid w:val="008E4E73"/>
    <w:rsid w:val="008E5456"/>
    <w:rsid w:val="008E582F"/>
    <w:rsid w:val="008F025F"/>
    <w:rsid w:val="008F2752"/>
    <w:rsid w:val="008F778C"/>
    <w:rsid w:val="008F77E4"/>
    <w:rsid w:val="0090175C"/>
    <w:rsid w:val="0090286F"/>
    <w:rsid w:val="00902F96"/>
    <w:rsid w:val="0090419A"/>
    <w:rsid w:val="00906F79"/>
    <w:rsid w:val="00910163"/>
    <w:rsid w:val="00920232"/>
    <w:rsid w:val="009222A5"/>
    <w:rsid w:val="00922E4F"/>
    <w:rsid w:val="009241DD"/>
    <w:rsid w:val="00930FE8"/>
    <w:rsid w:val="009406F1"/>
    <w:rsid w:val="00943731"/>
    <w:rsid w:val="009437FC"/>
    <w:rsid w:val="00947A68"/>
    <w:rsid w:val="00947ED2"/>
    <w:rsid w:val="0095091B"/>
    <w:rsid w:val="00955330"/>
    <w:rsid w:val="00960C01"/>
    <w:rsid w:val="009610A3"/>
    <w:rsid w:val="00963B0D"/>
    <w:rsid w:val="009733D0"/>
    <w:rsid w:val="009749E3"/>
    <w:rsid w:val="009762EB"/>
    <w:rsid w:val="0097718D"/>
    <w:rsid w:val="00980EAB"/>
    <w:rsid w:val="009854A0"/>
    <w:rsid w:val="00991A29"/>
    <w:rsid w:val="009958C7"/>
    <w:rsid w:val="009979D4"/>
    <w:rsid w:val="00997CC9"/>
    <w:rsid w:val="009A5597"/>
    <w:rsid w:val="009A5C4F"/>
    <w:rsid w:val="009B131E"/>
    <w:rsid w:val="009B39CB"/>
    <w:rsid w:val="009B60BF"/>
    <w:rsid w:val="009B7D79"/>
    <w:rsid w:val="009C04A6"/>
    <w:rsid w:val="009C4CBB"/>
    <w:rsid w:val="009C7F6D"/>
    <w:rsid w:val="009D2235"/>
    <w:rsid w:val="009D262D"/>
    <w:rsid w:val="009D5EE1"/>
    <w:rsid w:val="009E67F6"/>
    <w:rsid w:val="009E71B0"/>
    <w:rsid w:val="009F0F5E"/>
    <w:rsid w:val="00A00390"/>
    <w:rsid w:val="00A10320"/>
    <w:rsid w:val="00A1779D"/>
    <w:rsid w:val="00A22603"/>
    <w:rsid w:val="00A23311"/>
    <w:rsid w:val="00A25D9F"/>
    <w:rsid w:val="00A3019C"/>
    <w:rsid w:val="00A33A19"/>
    <w:rsid w:val="00A33BF8"/>
    <w:rsid w:val="00A40050"/>
    <w:rsid w:val="00A45B3E"/>
    <w:rsid w:val="00A45BC9"/>
    <w:rsid w:val="00A51B68"/>
    <w:rsid w:val="00A54888"/>
    <w:rsid w:val="00A57A55"/>
    <w:rsid w:val="00A64273"/>
    <w:rsid w:val="00A64D96"/>
    <w:rsid w:val="00A75BCD"/>
    <w:rsid w:val="00A7669D"/>
    <w:rsid w:val="00A77C5E"/>
    <w:rsid w:val="00A84211"/>
    <w:rsid w:val="00A9151B"/>
    <w:rsid w:val="00AA237F"/>
    <w:rsid w:val="00AA4AD0"/>
    <w:rsid w:val="00AB68CB"/>
    <w:rsid w:val="00AC25B9"/>
    <w:rsid w:val="00AC2C0F"/>
    <w:rsid w:val="00AC392C"/>
    <w:rsid w:val="00AC3E14"/>
    <w:rsid w:val="00AD2E23"/>
    <w:rsid w:val="00AD744F"/>
    <w:rsid w:val="00AD7835"/>
    <w:rsid w:val="00AE0A7F"/>
    <w:rsid w:val="00AE0D8F"/>
    <w:rsid w:val="00AE30B9"/>
    <w:rsid w:val="00AF2202"/>
    <w:rsid w:val="00AF2281"/>
    <w:rsid w:val="00AF361C"/>
    <w:rsid w:val="00B11F26"/>
    <w:rsid w:val="00B11FE1"/>
    <w:rsid w:val="00B1252E"/>
    <w:rsid w:val="00B13D07"/>
    <w:rsid w:val="00B15D57"/>
    <w:rsid w:val="00B15E51"/>
    <w:rsid w:val="00B17A9A"/>
    <w:rsid w:val="00B17DB1"/>
    <w:rsid w:val="00B21EFE"/>
    <w:rsid w:val="00B2329D"/>
    <w:rsid w:val="00B30A37"/>
    <w:rsid w:val="00B3142C"/>
    <w:rsid w:val="00B32C1C"/>
    <w:rsid w:val="00B3780F"/>
    <w:rsid w:val="00B4272E"/>
    <w:rsid w:val="00B472D9"/>
    <w:rsid w:val="00B505E0"/>
    <w:rsid w:val="00B53DEB"/>
    <w:rsid w:val="00B5560C"/>
    <w:rsid w:val="00B659C5"/>
    <w:rsid w:val="00B67E63"/>
    <w:rsid w:val="00B72227"/>
    <w:rsid w:val="00B73370"/>
    <w:rsid w:val="00B74C52"/>
    <w:rsid w:val="00B76A42"/>
    <w:rsid w:val="00B8300D"/>
    <w:rsid w:val="00B85EC8"/>
    <w:rsid w:val="00B86B2B"/>
    <w:rsid w:val="00B87EEA"/>
    <w:rsid w:val="00B90ADF"/>
    <w:rsid w:val="00B92494"/>
    <w:rsid w:val="00B92755"/>
    <w:rsid w:val="00B94823"/>
    <w:rsid w:val="00B9499E"/>
    <w:rsid w:val="00B97AD1"/>
    <w:rsid w:val="00BA02C5"/>
    <w:rsid w:val="00BA41D2"/>
    <w:rsid w:val="00BA68CE"/>
    <w:rsid w:val="00BA7D81"/>
    <w:rsid w:val="00BB5A58"/>
    <w:rsid w:val="00BC0C27"/>
    <w:rsid w:val="00BC153D"/>
    <w:rsid w:val="00BC1A78"/>
    <w:rsid w:val="00BC7899"/>
    <w:rsid w:val="00BD1304"/>
    <w:rsid w:val="00BD2909"/>
    <w:rsid w:val="00BD32C6"/>
    <w:rsid w:val="00BD5032"/>
    <w:rsid w:val="00BD513C"/>
    <w:rsid w:val="00BD51A8"/>
    <w:rsid w:val="00BE7306"/>
    <w:rsid w:val="00BF0D1B"/>
    <w:rsid w:val="00C005B5"/>
    <w:rsid w:val="00C03142"/>
    <w:rsid w:val="00C12AD5"/>
    <w:rsid w:val="00C16398"/>
    <w:rsid w:val="00C16BE8"/>
    <w:rsid w:val="00C219A3"/>
    <w:rsid w:val="00C225E0"/>
    <w:rsid w:val="00C24714"/>
    <w:rsid w:val="00C24F53"/>
    <w:rsid w:val="00C25AE0"/>
    <w:rsid w:val="00C3003E"/>
    <w:rsid w:val="00C30FFB"/>
    <w:rsid w:val="00C40D62"/>
    <w:rsid w:val="00C44A2F"/>
    <w:rsid w:val="00C4584B"/>
    <w:rsid w:val="00C551ED"/>
    <w:rsid w:val="00C561F7"/>
    <w:rsid w:val="00C57504"/>
    <w:rsid w:val="00C6427D"/>
    <w:rsid w:val="00C67C8F"/>
    <w:rsid w:val="00C70B8E"/>
    <w:rsid w:val="00C72187"/>
    <w:rsid w:val="00C75A0F"/>
    <w:rsid w:val="00C76BDD"/>
    <w:rsid w:val="00C77B2D"/>
    <w:rsid w:val="00C82267"/>
    <w:rsid w:val="00C91448"/>
    <w:rsid w:val="00C930B0"/>
    <w:rsid w:val="00CA149A"/>
    <w:rsid w:val="00CA1A43"/>
    <w:rsid w:val="00CA1C6B"/>
    <w:rsid w:val="00CA67A7"/>
    <w:rsid w:val="00CA6C46"/>
    <w:rsid w:val="00CA74E7"/>
    <w:rsid w:val="00CB1E86"/>
    <w:rsid w:val="00CB66B9"/>
    <w:rsid w:val="00CC0482"/>
    <w:rsid w:val="00CC4BCA"/>
    <w:rsid w:val="00CC7762"/>
    <w:rsid w:val="00CD0CD7"/>
    <w:rsid w:val="00CD5470"/>
    <w:rsid w:val="00CE22F8"/>
    <w:rsid w:val="00CF481E"/>
    <w:rsid w:val="00CF5E1F"/>
    <w:rsid w:val="00CF7782"/>
    <w:rsid w:val="00D02383"/>
    <w:rsid w:val="00D21B82"/>
    <w:rsid w:val="00D22A3C"/>
    <w:rsid w:val="00D24364"/>
    <w:rsid w:val="00D30974"/>
    <w:rsid w:val="00D322ED"/>
    <w:rsid w:val="00D347CD"/>
    <w:rsid w:val="00D37D4A"/>
    <w:rsid w:val="00D53941"/>
    <w:rsid w:val="00D55DC5"/>
    <w:rsid w:val="00D569DD"/>
    <w:rsid w:val="00D570D9"/>
    <w:rsid w:val="00D61738"/>
    <w:rsid w:val="00D71FEE"/>
    <w:rsid w:val="00D73644"/>
    <w:rsid w:val="00D75329"/>
    <w:rsid w:val="00D777B2"/>
    <w:rsid w:val="00D77A03"/>
    <w:rsid w:val="00D87839"/>
    <w:rsid w:val="00D95D18"/>
    <w:rsid w:val="00DA6700"/>
    <w:rsid w:val="00DA7696"/>
    <w:rsid w:val="00DB760B"/>
    <w:rsid w:val="00DC7754"/>
    <w:rsid w:val="00DD1B84"/>
    <w:rsid w:val="00DD5C05"/>
    <w:rsid w:val="00DD6E47"/>
    <w:rsid w:val="00DE2E8E"/>
    <w:rsid w:val="00DF2310"/>
    <w:rsid w:val="00DF41BD"/>
    <w:rsid w:val="00DF472F"/>
    <w:rsid w:val="00E157F0"/>
    <w:rsid w:val="00E15C9E"/>
    <w:rsid w:val="00E20D81"/>
    <w:rsid w:val="00E24DD5"/>
    <w:rsid w:val="00E33739"/>
    <w:rsid w:val="00E414D3"/>
    <w:rsid w:val="00E5012A"/>
    <w:rsid w:val="00E501E2"/>
    <w:rsid w:val="00E50DF2"/>
    <w:rsid w:val="00E52088"/>
    <w:rsid w:val="00E542C9"/>
    <w:rsid w:val="00E548CB"/>
    <w:rsid w:val="00E56E7D"/>
    <w:rsid w:val="00E60E8F"/>
    <w:rsid w:val="00E62037"/>
    <w:rsid w:val="00E63DDF"/>
    <w:rsid w:val="00E66769"/>
    <w:rsid w:val="00E71578"/>
    <w:rsid w:val="00E71F76"/>
    <w:rsid w:val="00E73484"/>
    <w:rsid w:val="00E74060"/>
    <w:rsid w:val="00E74442"/>
    <w:rsid w:val="00E76C10"/>
    <w:rsid w:val="00E8130B"/>
    <w:rsid w:val="00E82F6B"/>
    <w:rsid w:val="00E83276"/>
    <w:rsid w:val="00E85406"/>
    <w:rsid w:val="00E85DBB"/>
    <w:rsid w:val="00E8603A"/>
    <w:rsid w:val="00E86F94"/>
    <w:rsid w:val="00E94C23"/>
    <w:rsid w:val="00E94C51"/>
    <w:rsid w:val="00E94FF6"/>
    <w:rsid w:val="00EA69F3"/>
    <w:rsid w:val="00EA7842"/>
    <w:rsid w:val="00EB01A7"/>
    <w:rsid w:val="00EB531F"/>
    <w:rsid w:val="00EB58FA"/>
    <w:rsid w:val="00EB659C"/>
    <w:rsid w:val="00EC18C9"/>
    <w:rsid w:val="00EC2E89"/>
    <w:rsid w:val="00ED154C"/>
    <w:rsid w:val="00ED3BC0"/>
    <w:rsid w:val="00ED57C9"/>
    <w:rsid w:val="00EE0AE9"/>
    <w:rsid w:val="00EE1187"/>
    <w:rsid w:val="00EE224B"/>
    <w:rsid w:val="00EF0589"/>
    <w:rsid w:val="00F019A7"/>
    <w:rsid w:val="00F1652D"/>
    <w:rsid w:val="00F217F9"/>
    <w:rsid w:val="00F218FE"/>
    <w:rsid w:val="00F231BE"/>
    <w:rsid w:val="00F267BE"/>
    <w:rsid w:val="00F273FC"/>
    <w:rsid w:val="00F320E1"/>
    <w:rsid w:val="00F32307"/>
    <w:rsid w:val="00F332DC"/>
    <w:rsid w:val="00F333E7"/>
    <w:rsid w:val="00F3451D"/>
    <w:rsid w:val="00F35865"/>
    <w:rsid w:val="00F41E6B"/>
    <w:rsid w:val="00F42A50"/>
    <w:rsid w:val="00F43642"/>
    <w:rsid w:val="00F4446A"/>
    <w:rsid w:val="00F46BCC"/>
    <w:rsid w:val="00F55F13"/>
    <w:rsid w:val="00F60384"/>
    <w:rsid w:val="00F6046A"/>
    <w:rsid w:val="00F61C82"/>
    <w:rsid w:val="00F641AF"/>
    <w:rsid w:val="00F70DFD"/>
    <w:rsid w:val="00F74560"/>
    <w:rsid w:val="00F754E7"/>
    <w:rsid w:val="00F81176"/>
    <w:rsid w:val="00F82C5F"/>
    <w:rsid w:val="00F8515C"/>
    <w:rsid w:val="00F877F0"/>
    <w:rsid w:val="00F91D8D"/>
    <w:rsid w:val="00F946A5"/>
    <w:rsid w:val="00F97B6D"/>
    <w:rsid w:val="00FA6732"/>
    <w:rsid w:val="00FA6D4A"/>
    <w:rsid w:val="00FB1332"/>
    <w:rsid w:val="00FB1F26"/>
    <w:rsid w:val="00FB4196"/>
    <w:rsid w:val="00FC0789"/>
    <w:rsid w:val="00FC0982"/>
    <w:rsid w:val="00FC4968"/>
    <w:rsid w:val="00FC6C78"/>
    <w:rsid w:val="00FD151F"/>
    <w:rsid w:val="00FD7819"/>
    <w:rsid w:val="00FE182C"/>
    <w:rsid w:val="00FE2774"/>
    <w:rsid w:val="00FE6B56"/>
    <w:rsid w:val="00FF77C1"/>
    <w:rsid w:val="00FF7DC8"/>
    <w:rsid w:val="01144BF8"/>
    <w:rsid w:val="012A0988"/>
    <w:rsid w:val="013A49BA"/>
    <w:rsid w:val="013C20AE"/>
    <w:rsid w:val="01452ED0"/>
    <w:rsid w:val="01C26B0C"/>
    <w:rsid w:val="01FB0B16"/>
    <w:rsid w:val="0214614C"/>
    <w:rsid w:val="0295494D"/>
    <w:rsid w:val="02CB221B"/>
    <w:rsid w:val="03011F4C"/>
    <w:rsid w:val="03157148"/>
    <w:rsid w:val="032B5E67"/>
    <w:rsid w:val="03562D87"/>
    <w:rsid w:val="039251B7"/>
    <w:rsid w:val="03A37817"/>
    <w:rsid w:val="041E43AC"/>
    <w:rsid w:val="04286A1C"/>
    <w:rsid w:val="04475631"/>
    <w:rsid w:val="045F19EC"/>
    <w:rsid w:val="04631BA5"/>
    <w:rsid w:val="048B7B69"/>
    <w:rsid w:val="04CC15DE"/>
    <w:rsid w:val="04D854B6"/>
    <w:rsid w:val="05020503"/>
    <w:rsid w:val="054561BC"/>
    <w:rsid w:val="055A6229"/>
    <w:rsid w:val="0627033E"/>
    <w:rsid w:val="06405774"/>
    <w:rsid w:val="06416148"/>
    <w:rsid w:val="069F1502"/>
    <w:rsid w:val="06C3566F"/>
    <w:rsid w:val="06E875A2"/>
    <w:rsid w:val="078E708D"/>
    <w:rsid w:val="0796253A"/>
    <w:rsid w:val="07C14688"/>
    <w:rsid w:val="08504C5F"/>
    <w:rsid w:val="08B74E11"/>
    <w:rsid w:val="08E62A66"/>
    <w:rsid w:val="090615B3"/>
    <w:rsid w:val="092504BE"/>
    <w:rsid w:val="094E0718"/>
    <w:rsid w:val="09585933"/>
    <w:rsid w:val="099A7BA7"/>
    <w:rsid w:val="09CA3BEE"/>
    <w:rsid w:val="0A45525A"/>
    <w:rsid w:val="0AD1028F"/>
    <w:rsid w:val="0B0F7B0D"/>
    <w:rsid w:val="0B323437"/>
    <w:rsid w:val="0BE66E44"/>
    <w:rsid w:val="0C974D31"/>
    <w:rsid w:val="0D1420FF"/>
    <w:rsid w:val="0D571AAF"/>
    <w:rsid w:val="0D576611"/>
    <w:rsid w:val="0D616284"/>
    <w:rsid w:val="0DBB4B39"/>
    <w:rsid w:val="0E01498A"/>
    <w:rsid w:val="0E0E14D0"/>
    <w:rsid w:val="0E714EA4"/>
    <w:rsid w:val="0E8073F0"/>
    <w:rsid w:val="0E96456E"/>
    <w:rsid w:val="0F2C384D"/>
    <w:rsid w:val="0F751B0C"/>
    <w:rsid w:val="10157FD7"/>
    <w:rsid w:val="107448E6"/>
    <w:rsid w:val="10C67FE0"/>
    <w:rsid w:val="10DF2770"/>
    <w:rsid w:val="1134707D"/>
    <w:rsid w:val="115E4016"/>
    <w:rsid w:val="126623F7"/>
    <w:rsid w:val="126C02E7"/>
    <w:rsid w:val="127929F8"/>
    <w:rsid w:val="12B94FC4"/>
    <w:rsid w:val="133E7B80"/>
    <w:rsid w:val="13596BB7"/>
    <w:rsid w:val="135A14D9"/>
    <w:rsid w:val="13782F64"/>
    <w:rsid w:val="137C6E13"/>
    <w:rsid w:val="13AE157C"/>
    <w:rsid w:val="13FA27C0"/>
    <w:rsid w:val="14171FD2"/>
    <w:rsid w:val="144417A3"/>
    <w:rsid w:val="1455384D"/>
    <w:rsid w:val="148919EC"/>
    <w:rsid w:val="14E05FDB"/>
    <w:rsid w:val="15084B4E"/>
    <w:rsid w:val="15630F13"/>
    <w:rsid w:val="162F27BF"/>
    <w:rsid w:val="166117CB"/>
    <w:rsid w:val="17030B64"/>
    <w:rsid w:val="17275C99"/>
    <w:rsid w:val="17BA6187"/>
    <w:rsid w:val="17C216B1"/>
    <w:rsid w:val="17CC0212"/>
    <w:rsid w:val="17F1610E"/>
    <w:rsid w:val="18454BE1"/>
    <w:rsid w:val="18721ED1"/>
    <w:rsid w:val="187F7544"/>
    <w:rsid w:val="18A00D16"/>
    <w:rsid w:val="18A6102C"/>
    <w:rsid w:val="18DC2F38"/>
    <w:rsid w:val="18F72AB8"/>
    <w:rsid w:val="19250249"/>
    <w:rsid w:val="193344F7"/>
    <w:rsid w:val="19606099"/>
    <w:rsid w:val="197354E3"/>
    <w:rsid w:val="19975485"/>
    <w:rsid w:val="19D26152"/>
    <w:rsid w:val="1A860436"/>
    <w:rsid w:val="1A9624D8"/>
    <w:rsid w:val="1ABD1577"/>
    <w:rsid w:val="1B2F5EEA"/>
    <w:rsid w:val="1B451760"/>
    <w:rsid w:val="1B7119D9"/>
    <w:rsid w:val="1B7E73C6"/>
    <w:rsid w:val="1B9E3DA7"/>
    <w:rsid w:val="1BA73F61"/>
    <w:rsid w:val="1BFD64A7"/>
    <w:rsid w:val="1C20105F"/>
    <w:rsid w:val="1C212619"/>
    <w:rsid w:val="1C2928E0"/>
    <w:rsid w:val="1C2D575B"/>
    <w:rsid w:val="1C6B3DDD"/>
    <w:rsid w:val="1C974C19"/>
    <w:rsid w:val="1CC401B4"/>
    <w:rsid w:val="1D923E54"/>
    <w:rsid w:val="1E1876CE"/>
    <w:rsid w:val="1E2F7334"/>
    <w:rsid w:val="1EC540A4"/>
    <w:rsid w:val="1EF44487"/>
    <w:rsid w:val="1F0101A7"/>
    <w:rsid w:val="1F525E39"/>
    <w:rsid w:val="1F651E53"/>
    <w:rsid w:val="1F664BD4"/>
    <w:rsid w:val="1F746923"/>
    <w:rsid w:val="1FA05473"/>
    <w:rsid w:val="1FC678B7"/>
    <w:rsid w:val="1FD6617A"/>
    <w:rsid w:val="200D55E5"/>
    <w:rsid w:val="20930A09"/>
    <w:rsid w:val="20CC1867"/>
    <w:rsid w:val="211B7834"/>
    <w:rsid w:val="211D771E"/>
    <w:rsid w:val="211F201E"/>
    <w:rsid w:val="21CE182F"/>
    <w:rsid w:val="21DF4CAB"/>
    <w:rsid w:val="21E8126E"/>
    <w:rsid w:val="223E1D49"/>
    <w:rsid w:val="225270F5"/>
    <w:rsid w:val="22570924"/>
    <w:rsid w:val="234066F5"/>
    <w:rsid w:val="23742274"/>
    <w:rsid w:val="237D55E9"/>
    <w:rsid w:val="239E3EC8"/>
    <w:rsid w:val="23D70C19"/>
    <w:rsid w:val="24A70CDA"/>
    <w:rsid w:val="24AB343B"/>
    <w:rsid w:val="24CE0E53"/>
    <w:rsid w:val="25366766"/>
    <w:rsid w:val="2640208D"/>
    <w:rsid w:val="26CB2208"/>
    <w:rsid w:val="26CB71FE"/>
    <w:rsid w:val="26D32ADD"/>
    <w:rsid w:val="27593498"/>
    <w:rsid w:val="27B3656B"/>
    <w:rsid w:val="27FD5F49"/>
    <w:rsid w:val="28023C78"/>
    <w:rsid w:val="282A25D8"/>
    <w:rsid w:val="285045CB"/>
    <w:rsid w:val="288C6B82"/>
    <w:rsid w:val="28905951"/>
    <w:rsid w:val="28ED505B"/>
    <w:rsid w:val="293E0841"/>
    <w:rsid w:val="29916AE0"/>
    <w:rsid w:val="2A323D62"/>
    <w:rsid w:val="2A4D335D"/>
    <w:rsid w:val="2A751070"/>
    <w:rsid w:val="2A7B70BE"/>
    <w:rsid w:val="2A8D383D"/>
    <w:rsid w:val="2AA70B7A"/>
    <w:rsid w:val="2AB42EF3"/>
    <w:rsid w:val="2AB83369"/>
    <w:rsid w:val="2B2157B8"/>
    <w:rsid w:val="2B2D725A"/>
    <w:rsid w:val="2B647732"/>
    <w:rsid w:val="2B6E6C52"/>
    <w:rsid w:val="2B70732A"/>
    <w:rsid w:val="2B9A41E1"/>
    <w:rsid w:val="2BB14F64"/>
    <w:rsid w:val="2BC13DB5"/>
    <w:rsid w:val="2C3E1F33"/>
    <w:rsid w:val="2C577225"/>
    <w:rsid w:val="2D350782"/>
    <w:rsid w:val="2D507ABE"/>
    <w:rsid w:val="2D9C2248"/>
    <w:rsid w:val="2DE52C11"/>
    <w:rsid w:val="2DFA0DCB"/>
    <w:rsid w:val="2E0C528C"/>
    <w:rsid w:val="2E66252A"/>
    <w:rsid w:val="2ECB6C7A"/>
    <w:rsid w:val="2F3031EA"/>
    <w:rsid w:val="2F697772"/>
    <w:rsid w:val="2F9901BE"/>
    <w:rsid w:val="30087C2F"/>
    <w:rsid w:val="302070F6"/>
    <w:rsid w:val="30A07C44"/>
    <w:rsid w:val="30B36B4D"/>
    <w:rsid w:val="30BC2EED"/>
    <w:rsid w:val="311C6B8B"/>
    <w:rsid w:val="314213BF"/>
    <w:rsid w:val="31434914"/>
    <w:rsid w:val="3199120E"/>
    <w:rsid w:val="31BD5F92"/>
    <w:rsid w:val="31D27738"/>
    <w:rsid w:val="31FD3E45"/>
    <w:rsid w:val="32951BAB"/>
    <w:rsid w:val="33262156"/>
    <w:rsid w:val="334119DE"/>
    <w:rsid w:val="33510411"/>
    <w:rsid w:val="33C358CC"/>
    <w:rsid w:val="33D05447"/>
    <w:rsid w:val="340B326F"/>
    <w:rsid w:val="345D11DD"/>
    <w:rsid w:val="35171B28"/>
    <w:rsid w:val="35217837"/>
    <w:rsid w:val="354002DA"/>
    <w:rsid w:val="35425034"/>
    <w:rsid w:val="35D9799D"/>
    <w:rsid w:val="361B4DD6"/>
    <w:rsid w:val="361C6952"/>
    <w:rsid w:val="3627360B"/>
    <w:rsid w:val="36387AD0"/>
    <w:rsid w:val="36865435"/>
    <w:rsid w:val="37504468"/>
    <w:rsid w:val="37771CBD"/>
    <w:rsid w:val="380A2351"/>
    <w:rsid w:val="38AA2E2C"/>
    <w:rsid w:val="38BF3E27"/>
    <w:rsid w:val="38BF4394"/>
    <w:rsid w:val="38CF123A"/>
    <w:rsid w:val="38E32EB6"/>
    <w:rsid w:val="390A049A"/>
    <w:rsid w:val="39A96376"/>
    <w:rsid w:val="39E2336C"/>
    <w:rsid w:val="3A415492"/>
    <w:rsid w:val="3A550270"/>
    <w:rsid w:val="3A7E0ED4"/>
    <w:rsid w:val="3ACD086A"/>
    <w:rsid w:val="3AE276E2"/>
    <w:rsid w:val="3AFB5CBA"/>
    <w:rsid w:val="3AFE5D07"/>
    <w:rsid w:val="3B6955EB"/>
    <w:rsid w:val="3B8478FA"/>
    <w:rsid w:val="3BC247B1"/>
    <w:rsid w:val="3CD07C95"/>
    <w:rsid w:val="3D9C016A"/>
    <w:rsid w:val="3E241B45"/>
    <w:rsid w:val="3E2C6CD6"/>
    <w:rsid w:val="3E2D1C15"/>
    <w:rsid w:val="3E546759"/>
    <w:rsid w:val="3EE94FAA"/>
    <w:rsid w:val="3EFE7CA1"/>
    <w:rsid w:val="3F1B2874"/>
    <w:rsid w:val="3F3751F2"/>
    <w:rsid w:val="3F6F271C"/>
    <w:rsid w:val="3F9C7338"/>
    <w:rsid w:val="3FAD7B92"/>
    <w:rsid w:val="3FC63BB4"/>
    <w:rsid w:val="3FD554F6"/>
    <w:rsid w:val="3FFD3480"/>
    <w:rsid w:val="4002154F"/>
    <w:rsid w:val="40657D28"/>
    <w:rsid w:val="40A467FE"/>
    <w:rsid w:val="41215EC5"/>
    <w:rsid w:val="41310A69"/>
    <w:rsid w:val="416E53A1"/>
    <w:rsid w:val="4198546A"/>
    <w:rsid w:val="42B45D18"/>
    <w:rsid w:val="431907F6"/>
    <w:rsid w:val="43544611"/>
    <w:rsid w:val="43A25577"/>
    <w:rsid w:val="43A61CDA"/>
    <w:rsid w:val="43CF78E0"/>
    <w:rsid w:val="43D8205A"/>
    <w:rsid w:val="440A1C9B"/>
    <w:rsid w:val="4425744B"/>
    <w:rsid w:val="44760AE1"/>
    <w:rsid w:val="44CF2737"/>
    <w:rsid w:val="44E90B6A"/>
    <w:rsid w:val="450E77E0"/>
    <w:rsid w:val="451C2740"/>
    <w:rsid w:val="455C54D6"/>
    <w:rsid w:val="45657F06"/>
    <w:rsid w:val="458312EA"/>
    <w:rsid w:val="45B32BBD"/>
    <w:rsid w:val="45C95905"/>
    <w:rsid w:val="464333F8"/>
    <w:rsid w:val="465E4D12"/>
    <w:rsid w:val="46D735DB"/>
    <w:rsid w:val="46DC7C91"/>
    <w:rsid w:val="47030046"/>
    <w:rsid w:val="471D5047"/>
    <w:rsid w:val="47623C5E"/>
    <w:rsid w:val="47757ABD"/>
    <w:rsid w:val="477B1BF8"/>
    <w:rsid w:val="47C05815"/>
    <w:rsid w:val="47DA1869"/>
    <w:rsid w:val="47FB5128"/>
    <w:rsid w:val="482069E8"/>
    <w:rsid w:val="485E0BFD"/>
    <w:rsid w:val="48CE72B8"/>
    <w:rsid w:val="490B2AF7"/>
    <w:rsid w:val="496E4B5D"/>
    <w:rsid w:val="49720E36"/>
    <w:rsid w:val="498120DD"/>
    <w:rsid w:val="499E78F1"/>
    <w:rsid w:val="49DB4958"/>
    <w:rsid w:val="4A101832"/>
    <w:rsid w:val="4A256FFD"/>
    <w:rsid w:val="4A6F2082"/>
    <w:rsid w:val="4B017764"/>
    <w:rsid w:val="4B1A2E42"/>
    <w:rsid w:val="4B473FC2"/>
    <w:rsid w:val="4B820508"/>
    <w:rsid w:val="4CC11595"/>
    <w:rsid w:val="4D216EFF"/>
    <w:rsid w:val="4D270D32"/>
    <w:rsid w:val="4D3D08E1"/>
    <w:rsid w:val="4D6F1643"/>
    <w:rsid w:val="4DA06A85"/>
    <w:rsid w:val="4E642643"/>
    <w:rsid w:val="4E6479E1"/>
    <w:rsid w:val="4E922C35"/>
    <w:rsid w:val="4EAD58DD"/>
    <w:rsid w:val="4F725C98"/>
    <w:rsid w:val="4F773CB9"/>
    <w:rsid w:val="504510EE"/>
    <w:rsid w:val="505059D8"/>
    <w:rsid w:val="508A3DD1"/>
    <w:rsid w:val="50B1698C"/>
    <w:rsid w:val="51086320"/>
    <w:rsid w:val="5116627C"/>
    <w:rsid w:val="511C7C9B"/>
    <w:rsid w:val="51440556"/>
    <w:rsid w:val="514716A6"/>
    <w:rsid w:val="51C8287E"/>
    <w:rsid w:val="51EE22E5"/>
    <w:rsid w:val="5205094D"/>
    <w:rsid w:val="5219756D"/>
    <w:rsid w:val="521B1C15"/>
    <w:rsid w:val="523C27E3"/>
    <w:rsid w:val="52A438E8"/>
    <w:rsid w:val="52FE46AD"/>
    <w:rsid w:val="533C5AD8"/>
    <w:rsid w:val="536442FD"/>
    <w:rsid w:val="53964BBC"/>
    <w:rsid w:val="53C54C39"/>
    <w:rsid w:val="546C1B21"/>
    <w:rsid w:val="547463A5"/>
    <w:rsid w:val="54792ACC"/>
    <w:rsid w:val="548E61D7"/>
    <w:rsid w:val="549361E8"/>
    <w:rsid w:val="54F54C36"/>
    <w:rsid w:val="55455A68"/>
    <w:rsid w:val="556E3D51"/>
    <w:rsid w:val="559377F2"/>
    <w:rsid w:val="55990084"/>
    <w:rsid w:val="55C73BFF"/>
    <w:rsid w:val="560051EC"/>
    <w:rsid w:val="5641346C"/>
    <w:rsid w:val="564E7B40"/>
    <w:rsid w:val="564F6108"/>
    <w:rsid w:val="567312A6"/>
    <w:rsid w:val="56780BCB"/>
    <w:rsid w:val="569501E2"/>
    <w:rsid w:val="570C6C64"/>
    <w:rsid w:val="5767656F"/>
    <w:rsid w:val="578A2A41"/>
    <w:rsid w:val="57B976ED"/>
    <w:rsid w:val="584F7B52"/>
    <w:rsid w:val="58B678CB"/>
    <w:rsid w:val="592A03C2"/>
    <w:rsid w:val="59737CB3"/>
    <w:rsid w:val="59985E20"/>
    <w:rsid w:val="5A30152B"/>
    <w:rsid w:val="5A6152F2"/>
    <w:rsid w:val="5A9A71C9"/>
    <w:rsid w:val="5ACE0DF1"/>
    <w:rsid w:val="5B6F37F4"/>
    <w:rsid w:val="5BA13818"/>
    <w:rsid w:val="5BB75858"/>
    <w:rsid w:val="5BCB7FC2"/>
    <w:rsid w:val="5C103023"/>
    <w:rsid w:val="5C13702F"/>
    <w:rsid w:val="5C1A3F1A"/>
    <w:rsid w:val="5C1B73AB"/>
    <w:rsid w:val="5C3B1294"/>
    <w:rsid w:val="5C8F1D94"/>
    <w:rsid w:val="5CA75E08"/>
    <w:rsid w:val="5CC72A96"/>
    <w:rsid w:val="5D0B6E65"/>
    <w:rsid w:val="5D0D4A83"/>
    <w:rsid w:val="5D4B46F6"/>
    <w:rsid w:val="5D5E1520"/>
    <w:rsid w:val="5D86612F"/>
    <w:rsid w:val="5DB44306"/>
    <w:rsid w:val="5DDA01D8"/>
    <w:rsid w:val="5E3520F7"/>
    <w:rsid w:val="5E4466F8"/>
    <w:rsid w:val="5E51411C"/>
    <w:rsid w:val="5E8561C5"/>
    <w:rsid w:val="5E8A027D"/>
    <w:rsid w:val="5F137CE6"/>
    <w:rsid w:val="5FCE3843"/>
    <w:rsid w:val="5FFF49E8"/>
    <w:rsid w:val="60567F3C"/>
    <w:rsid w:val="60C51987"/>
    <w:rsid w:val="60ED2506"/>
    <w:rsid w:val="611C7BC5"/>
    <w:rsid w:val="617647E4"/>
    <w:rsid w:val="61A616A7"/>
    <w:rsid w:val="625719CF"/>
    <w:rsid w:val="626A0CFE"/>
    <w:rsid w:val="62EC73A5"/>
    <w:rsid w:val="63C806D1"/>
    <w:rsid w:val="640E0289"/>
    <w:rsid w:val="645A597E"/>
    <w:rsid w:val="64D81D9E"/>
    <w:rsid w:val="64E8591A"/>
    <w:rsid w:val="64ED5125"/>
    <w:rsid w:val="65271D0E"/>
    <w:rsid w:val="65287B34"/>
    <w:rsid w:val="65627C6D"/>
    <w:rsid w:val="6583205B"/>
    <w:rsid w:val="65923D7C"/>
    <w:rsid w:val="65AF058B"/>
    <w:rsid w:val="662A108C"/>
    <w:rsid w:val="665F2CA6"/>
    <w:rsid w:val="668D0A9C"/>
    <w:rsid w:val="66B714D6"/>
    <w:rsid w:val="66C34E00"/>
    <w:rsid w:val="66DB21AC"/>
    <w:rsid w:val="671D4233"/>
    <w:rsid w:val="67223942"/>
    <w:rsid w:val="677158B6"/>
    <w:rsid w:val="678F178E"/>
    <w:rsid w:val="67E33A0A"/>
    <w:rsid w:val="67E678EC"/>
    <w:rsid w:val="68074AE8"/>
    <w:rsid w:val="68297740"/>
    <w:rsid w:val="682E38FA"/>
    <w:rsid w:val="685F54E7"/>
    <w:rsid w:val="68733525"/>
    <w:rsid w:val="691B75E4"/>
    <w:rsid w:val="69243B20"/>
    <w:rsid w:val="69364849"/>
    <w:rsid w:val="698E0243"/>
    <w:rsid w:val="69DC0502"/>
    <w:rsid w:val="69F32A76"/>
    <w:rsid w:val="6A0D06E3"/>
    <w:rsid w:val="6A8A041A"/>
    <w:rsid w:val="6AA65ABE"/>
    <w:rsid w:val="6AB73BDD"/>
    <w:rsid w:val="6AE24A78"/>
    <w:rsid w:val="6B431619"/>
    <w:rsid w:val="6B452D1B"/>
    <w:rsid w:val="6C506F97"/>
    <w:rsid w:val="6C6A4A1A"/>
    <w:rsid w:val="6C8B1B33"/>
    <w:rsid w:val="6D151AE4"/>
    <w:rsid w:val="6D701020"/>
    <w:rsid w:val="6D945A4C"/>
    <w:rsid w:val="6D9B44C8"/>
    <w:rsid w:val="6DCB19D4"/>
    <w:rsid w:val="6E0076BD"/>
    <w:rsid w:val="6E485138"/>
    <w:rsid w:val="6F631BB9"/>
    <w:rsid w:val="6F707D72"/>
    <w:rsid w:val="7008501D"/>
    <w:rsid w:val="7017355E"/>
    <w:rsid w:val="701E673C"/>
    <w:rsid w:val="712E3332"/>
    <w:rsid w:val="7138765B"/>
    <w:rsid w:val="71C7590F"/>
    <w:rsid w:val="71D121E5"/>
    <w:rsid w:val="71D62EB6"/>
    <w:rsid w:val="71E416D2"/>
    <w:rsid w:val="724752D8"/>
    <w:rsid w:val="72910F61"/>
    <w:rsid w:val="729A7CC8"/>
    <w:rsid w:val="734D07EE"/>
    <w:rsid w:val="73CA601A"/>
    <w:rsid w:val="73D026C8"/>
    <w:rsid w:val="73DF5E59"/>
    <w:rsid w:val="74057CD5"/>
    <w:rsid w:val="74217F18"/>
    <w:rsid w:val="74304279"/>
    <w:rsid w:val="74514AC0"/>
    <w:rsid w:val="74B7766E"/>
    <w:rsid w:val="74EF1D31"/>
    <w:rsid w:val="75DA1E06"/>
    <w:rsid w:val="763F19A6"/>
    <w:rsid w:val="767A0A95"/>
    <w:rsid w:val="76BB5E87"/>
    <w:rsid w:val="770011B4"/>
    <w:rsid w:val="7720007A"/>
    <w:rsid w:val="77461988"/>
    <w:rsid w:val="77842348"/>
    <w:rsid w:val="77976D98"/>
    <w:rsid w:val="77F73F19"/>
    <w:rsid w:val="78D01A3E"/>
    <w:rsid w:val="7905291E"/>
    <w:rsid w:val="79223DF7"/>
    <w:rsid w:val="79477658"/>
    <w:rsid w:val="79883079"/>
    <w:rsid w:val="799F2FC7"/>
    <w:rsid w:val="79C00B1E"/>
    <w:rsid w:val="7A075242"/>
    <w:rsid w:val="7A2400F9"/>
    <w:rsid w:val="7A6F3D99"/>
    <w:rsid w:val="7ADD3823"/>
    <w:rsid w:val="7AEC1684"/>
    <w:rsid w:val="7AF12387"/>
    <w:rsid w:val="7B436E87"/>
    <w:rsid w:val="7B51252D"/>
    <w:rsid w:val="7C0E36A9"/>
    <w:rsid w:val="7C6628D3"/>
    <w:rsid w:val="7C66536D"/>
    <w:rsid w:val="7D1E0704"/>
    <w:rsid w:val="7E271F2D"/>
    <w:rsid w:val="7E295466"/>
    <w:rsid w:val="7E2C0A95"/>
    <w:rsid w:val="7E53042D"/>
    <w:rsid w:val="7EA71FD0"/>
    <w:rsid w:val="7EC80860"/>
    <w:rsid w:val="7F112E9F"/>
    <w:rsid w:val="7F483D40"/>
    <w:rsid w:val="7F577905"/>
    <w:rsid w:val="7F617449"/>
    <w:rsid w:val="7F6D3646"/>
    <w:rsid w:val="7FE500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2"/>
    <w:qFormat/>
    <w:uiPriority w:val="9"/>
    <w:pPr>
      <w:keepNext/>
      <w:keepLines/>
      <w:spacing w:before="240" w:after="120" w:line="420" w:lineRule="auto"/>
      <w:jc w:val="center"/>
      <w:outlineLvl w:val="0"/>
    </w:pPr>
    <w:rPr>
      <w:b/>
      <w:bCs/>
      <w:kern w:val="44"/>
      <w:sz w:val="32"/>
      <w:szCs w:val="44"/>
    </w:rPr>
  </w:style>
  <w:style w:type="paragraph" w:styleId="4">
    <w:name w:val="heading 2"/>
    <w:basedOn w:val="1"/>
    <w:next w:val="1"/>
    <w:link w:val="53"/>
    <w:qFormat/>
    <w:uiPriority w:val="0"/>
    <w:pPr>
      <w:keepNext/>
      <w:keepLines/>
      <w:spacing w:before="240" w:after="120" w:line="360" w:lineRule="auto"/>
      <w:jc w:val="left"/>
      <w:outlineLvl w:val="1"/>
    </w:pPr>
    <w:rPr>
      <w:rFonts w:ascii="Cambria" w:hAnsi="Cambria"/>
      <w:b/>
      <w:bCs/>
      <w:sz w:val="28"/>
      <w:szCs w:val="32"/>
    </w:rPr>
  </w:style>
  <w:style w:type="paragraph" w:styleId="5">
    <w:name w:val="heading 3"/>
    <w:basedOn w:val="1"/>
    <w:next w:val="1"/>
    <w:link w:val="54"/>
    <w:qFormat/>
    <w:uiPriority w:val="9"/>
    <w:pPr>
      <w:keepNext/>
      <w:keepLines/>
      <w:spacing w:before="120" w:after="120" w:line="360" w:lineRule="auto"/>
      <w:ind w:firstLine="200" w:firstLineChars="200"/>
      <w:jc w:val="left"/>
      <w:outlineLvl w:val="2"/>
    </w:pPr>
    <w:rPr>
      <w:b/>
      <w:bCs/>
      <w:sz w:val="28"/>
      <w:szCs w:val="32"/>
    </w:rPr>
  </w:style>
  <w:style w:type="paragraph" w:styleId="6">
    <w:name w:val="heading 4"/>
    <w:basedOn w:val="1"/>
    <w:next w:val="1"/>
    <w:link w:val="55"/>
    <w:qFormat/>
    <w:uiPriority w:val="9"/>
    <w:pPr>
      <w:keepNext/>
      <w:keepLines/>
      <w:spacing w:before="120" w:after="120"/>
      <w:ind w:firstLine="200" w:firstLineChars="200"/>
      <w:outlineLvl w:val="3"/>
    </w:pPr>
    <w:rPr>
      <w:rFonts w:ascii="Cambria" w:hAnsi="Cambria"/>
      <w:b/>
      <w:bCs/>
      <w:sz w:val="24"/>
      <w:szCs w:val="28"/>
    </w:rPr>
  </w:style>
  <w:style w:type="paragraph" w:styleId="7">
    <w:name w:val="heading 5"/>
    <w:basedOn w:val="1"/>
    <w:next w:val="1"/>
    <w:link w:val="56"/>
    <w:qFormat/>
    <w:uiPriority w:val="0"/>
    <w:pPr>
      <w:keepNext/>
      <w:keepLines/>
      <w:spacing w:before="280" w:after="290" w:line="372" w:lineRule="auto"/>
      <w:outlineLvl w:val="4"/>
    </w:pPr>
    <w:rPr>
      <w:b/>
      <w:bCs/>
      <w:sz w:val="28"/>
      <w:szCs w:val="28"/>
    </w:rPr>
  </w:style>
  <w:style w:type="paragraph" w:styleId="8">
    <w:name w:val="heading 6"/>
    <w:basedOn w:val="1"/>
    <w:next w:val="1"/>
    <w:link w:val="57"/>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link w:val="58"/>
    <w:qFormat/>
    <w:uiPriority w:val="0"/>
    <w:pPr>
      <w:keepNext/>
      <w:keepLines/>
      <w:spacing w:before="240" w:after="64" w:line="317" w:lineRule="auto"/>
      <w:outlineLvl w:val="6"/>
    </w:pPr>
    <w:rPr>
      <w:b/>
      <w:bCs/>
      <w:sz w:val="24"/>
      <w:szCs w:val="24"/>
    </w:rPr>
  </w:style>
  <w:style w:type="paragraph" w:styleId="10">
    <w:name w:val="heading 8"/>
    <w:basedOn w:val="1"/>
    <w:next w:val="1"/>
    <w:link w:val="59"/>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link w:val="60"/>
    <w:qFormat/>
    <w:uiPriority w:val="0"/>
    <w:pPr>
      <w:keepNext/>
      <w:keepLines/>
      <w:spacing w:before="240" w:after="64" w:line="317" w:lineRule="auto"/>
      <w:outlineLvl w:val="8"/>
    </w:pPr>
    <w:rPr>
      <w:rFonts w:ascii="Cambria" w:hAnsi="Cambria"/>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82"/>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12">
    <w:name w:val="toc 7"/>
    <w:basedOn w:val="1"/>
    <w:next w:val="1"/>
    <w:qFormat/>
    <w:uiPriority w:val="39"/>
    <w:pPr>
      <w:ind w:left="1260"/>
      <w:jc w:val="left"/>
    </w:pPr>
    <w:rPr>
      <w:rFonts w:asciiTheme="minorHAnsi" w:hAnsiTheme="minorHAnsi" w:cstheme="minorHAnsi"/>
      <w:sz w:val="18"/>
      <w:szCs w:val="18"/>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14">
    <w:name w:val="caption"/>
    <w:basedOn w:val="1"/>
    <w:next w:val="1"/>
    <w:qFormat/>
    <w:uiPriority w:val="0"/>
    <w:rPr>
      <w:rFonts w:ascii="Cambria" w:hAnsi="Cambria" w:eastAsia="黑体"/>
      <w:sz w:val="20"/>
      <w:szCs w:val="20"/>
    </w:rPr>
  </w:style>
  <w:style w:type="paragraph" w:styleId="15">
    <w:name w:val="List Bullet"/>
    <w:basedOn w:val="1"/>
    <w:unhideWhenUsed/>
    <w:qFormat/>
    <w:uiPriority w:val="99"/>
    <w:pPr>
      <w:tabs>
        <w:tab w:val="left" w:pos="360"/>
      </w:tabs>
      <w:spacing w:line="360" w:lineRule="auto"/>
      <w:ind w:left="360" w:hanging="360" w:hangingChars="200"/>
      <w:contextualSpacing/>
    </w:pPr>
    <w:rPr>
      <w:rFonts w:ascii="Times New Roman" w:hAnsi="Times New Roman" w:cs="Calibri"/>
      <w:szCs w:val="24"/>
    </w:rPr>
  </w:style>
  <w:style w:type="paragraph" w:styleId="16">
    <w:name w:val="Document Map"/>
    <w:basedOn w:val="1"/>
    <w:link w:val="85"/>
    <w:semiHidden/>
    <w:unhideWhenUsed/>
    <w:qFormat/>
    <w:uiPriority w:val="0"/>
    <w:rPr>
      <w:rFonts w:ascii="宋体"/>
      <w:sz w:val="18"/>
      <w:szCs w:val="18"/>
    </w:rPr>
  </w:style>
  <w:style w:type="paragraph" w:styleId="17">
    <w:name w:val="annotation text"/>
    <w:basedOn w:val="1"/>
    <w:link w:val="65"/>
    <w:qFormat/>
    <w:uiPriority w:val="99"/>
    <w:pPr>
      <w:jc w:val="left"/>
    </w:pPr>
  </w:style>
  <w:style w:type="paragraph" w:styleId="18">
    <w:name w:val="Body Text Indent"/>
    <w:basedOn w:val="1"/>
    <w:link w:val="111"/>
    <w:qFormat/>
    <w:uiPriority w:val="0"/>
    <w:pPr>
      <w:ind w:firstLine="600" w:firstLineChars="200"/>
    </w:pPr>
    <w:rPr>
      <w:rFonts w:ascii="宋体" w:hAnsi="Times New Roman"/>
      <w:kern w:val="0"/>
      <w:sz w:val="30"/>
      <w:szCs w:val="20"/>
    </w:rPr>
  </w:style>
  <w:style w:type="paragraph" w:styleId="19">
    <w:name w:val="index 4"/>
    <w:basedOn w:val="1"/>
    <w:next w:val="1"/>
    <w:qFormat/>
    <w:uiPriority w:val="0"/>
    <w:pPr>
      <w:ind w:left="600" w:leftChars="600"/>
    </w:pPr>
    <w:rPr>
      <w:rFonts w:ascii="Times New Roman" w:hAnsi="Times New Roman"/>
      <w:szCs w:val="24"/>
    </w:rPr>
  </w:style>
  <w:style w:type="paragraph" w:styleId="20">
    <w:name w:val="toc 5"/>
    <w:basedOn w:val="1"/>
    <w:next w:val="1"/>
    <w:qFormat/>
    <w:uiPriority w:val="39"/>
    <w:pPr>
      <w:ind w:left="840"/>
      <w:jc w:val="left"/>
    </w:pPr>
    <w:rPr>
      <w:rFonts w:asciiTheme="minorHAnsi" w:hAnsiTheme="minorHAnsi" w:cstheme="minorHAnsi"/>
      <w:sz w:val="18"/>
      <w:szCs w:val="18"/>
    </w:rPr>
  </w:style>
  <w:style w:type="paragraph" w:styleId="21">
    <w:name w:val="toc 3"/>
    <w:basedOn w:val="1"/>
    <w:next w:val="1"/>
    <w:qFormat/>
    <w:uiPriority w:val="39"/>
    <w:pPr>
      <w:ind w:left="420"/>
      <w:jc w:val="left"/>
    </w:pPr>
    <w:rPr>
      <w:rFonts w:asciiTheme="minorHAnsi" w:hAnsiTheme="minorHAnsi" w:cstheme="minorHAnsi"/>
      <w:i/>
      <w:iCs/>
      <w:sz w:val="20"/>
      <w:szCs w:val="20"/>
    </w:rPr>
  </w:style>
  <w:style w:type="paragraph" w:styleId="22">
    <w:name w:val="Plain Text"/>
    <w:basedOn w:val="1"/>
    <w:link w:val="92"/>
    <w:qFormat/>
    <w:uiPriority w:val="99"/>
    <w:rPr>
      <w:rFonts w:ascii="宋体" w:hAnsi="Courier New" w:cs="Courier New"/>
      <w:szCs w:val="21"/>
    </w:rPr>
  </w:style>
  <w:style w:type="paragraph" w:styleId="23">
    <w:name w:val="toc 8"/>
    <w:basedOn w:val="1"/>
    <w:next w:val="1"/>
    <w:qFormat/>
    <w:uiPriority w:val="39"/>
    <w:pPr>
      <w:ind w:left="1470"/>
      <w:jc w:val="left"/>
    </w:pPr>
    <w:rPr>
      <w:rFonts w:asciiTheme="minorHAnsi" w:hAnsiTheme="minorHAnsi" w:cstheme="minorHAnsi"/>
      <w:sz w:val="18"/>
      <w:szCs w:val="18"/>
    </w:rPr>
  </w:style>
  <w:style w:type="paragraph" w:styleId="24">
    <w:name w:val="Date"/>
    <w:basedOn w:val="1"/>
    <w:next w:val="1"/>
    <w:link w:val="61"/>
    <w:qFormat/>
    <w:uiPriority w:val="0"/>
    <w:pPr>
      <w:ind w:left="100" w:leftChars="2500"/>
    </w:pPr>
    <w:rPr>
      <w:rFonts w:ascii="宋体" w:hAnsi="Times New Roman"/>
      <w:kern w:val="0"/>
      <w:sz w:val="28"/>
      <w:szCs w:val="20"/>
    </w:rPr>
  </w:style>
  <w:style w:type="paragraph" w:styleId="25">
    <w:name w:val="Body Text Indent 2"/>
    <w:basedOn w:val="1"/>
    <w:link w:val="91"/>
    <w:qFormat/>
    <w:uiPriority w:val="0"/>
    <w:pPr>
      <w:spacing w:after="120" w:line="480" w:lineRule="auto"/>
      <w:ind w:left="420" w:leftChars="200"/>
    </w:pPr>
    <w:rPr>
      <w:rFonts w:ascii="Times New Roman" w:hAnsi="Times New Roman"/>
      <w:sz w:val="24"/>
      <w:szCs w:val="24"/>
    </w:rPr>
  </w:style>
  <w:style w:type="paragraph" w:styleId="26">
    <w:name w:val="Balloon Text"/>
    <w:basedOn w:val="1"/>
    <w:link w:val="79"/>
    <w:qFormat/>
    <w:uiPriority w:val="99"/>
    <w:rPr>
      <w:rFonts w:ascii="宋体" w:hAnsi="Times New Roman"/>
      <w:kern w:val="0"/>
      <w:sz w:val="18"/>
      <w:szCs w:val="18"/>
    </w:rPr>
  </w:style>
  <w:style w:type="paragraph" w:styleId="27">
    <w:name w:val="footer"/>
    <w:basedOn w:val="1"/>
    <w:link w:val="81"/>
    <w:qFormat/>
    <w:uiPriority w:val="99"/>
    <w:pPr>
      <w:tabs>
        <w:tab w:val="center" w:pos="4153"/>
        <w:tab w:val="right" w:pos="8306"/>
      </w:tabs>
      <w:snapToGrid w:val="0"/>
      <w:jc w:val="left"/>
    </w:pPr>
    <w:rPr>
      <w:sz w:val="18"/>
      <w:szCs w:val="18"/>
    </w:rPr>
  </w:style>
  <w:style w:type="paragraph" w:styleId="28">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0">
    <w:name w:val="toc 4"/>
    <w:basedOn w:val="1"/>
    <w:next w:val="1"/>
    <w:qFormat/>
    <w:uiPriority w:val="39"/>
    <w:pPr>
      <w:ind w:left="630"/>
      <w:jc w:val="left"/>
    </w:pPr>
    <w:rPr>
      <w:rFonts w:asciiTheme="minorHAnsi" w:hAnsiTheme="minorHAnsi" w:cstheme="minorHAnsi"/>
      <w:sz w:val="18"/>
      <w:szCs w:val="18"/>
    </w:rPr>
  </w:style>
  <w:style w:type="paragraph" w:styleId="31">
    <w:name w:val="Subtitle"/>
    <w:basedOn w:val="1"/>
    <w:next w:val="1"/>
    <w:link w:val="68"/>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1050"/>
      <w:jc w:val="left"/>
    </w:pPr>
    <w:rPr>
      <w:rFonts w:asciiTheme="minorHAnsi" w:hAnsiTheme="minorHAnsi" w:cstheme="minorHAnsi"/>
      <w:sz w:val="18"/>
      <w:szCs w:val="18"/>
    </w:rPr>
  </w:style>
  <w:style w:type="paragraph" w:styleId="33">
    <w:name w:val="Body Text Indent 3"/>
    <w:basedOn w:val="1"/>
    <w:link w:val="121"/>
    <w:qFormat/>
    <w:uiPriority w:val="0"/>
    <w:pPr>
      <w:spacing w:after="120" w:line="360" w:lineRule="auto"/>
      <w:ind w:left="420" w:leftChars="200"/>
    </w:pPr>
    <w:rPr>
      <w:rFonts w:ascii="Times New Roman" w:hAnsi="Times New Roman"/>
      <w:sz w:val="16"/>
      <w:szCs w:val="16"/>
    </w:rPr>
  </w:style>
  <w:style w:type="paragraph" w:styleId="34">
    <w:name w:val="toc 2"/>
    <w:basedOn w:val="1"/>
    <w:next w:val="1"/>
    <w:qFormat/>
    <w:uiPriority w:val="39"/>
    <w:pPr>
      <w:ind w:left="210"/>
      <w:jc w:val="left"/>
    </w:pPr>
    <w:rPr>
      <w:rFonts w:asciiTheme="minorHAnsi" w:hAnsiTheme="minorHAnsi" w:cstheme="minorHAnsi"/>
      <w:smallCaps/>
      <w:sz w:val="20"/>
      <w:szCs w:val="20"/>
    </w:rPr>
  </w:style>
  <w:style w:type="paragraph" w:styleId="35">
    <w:name w:val="toc 9"/>
    <w:basedOn w:val="1"/>
    <w:next w:val="1"/>
    <w:qFormat/>
    <w:uiPriority w:val="39"/>
    <w:pPr>
      <w:ind w:left="1680"/>
      <w:jc w:val="left"/>
    </w:pPr>
    <w:rPr>
      <w:rFonts w:asciiTheme="minorHAnsi" w:hAnsiTheme="minorHAnsi" w:cstheme="minorHAnsi"/>
      <w:sz w:val="18"/>
      <w:szCs w:val="18"/>
    </w:rPr>
  </w:style>
  <w:style w:type="paragraph" w:styleId="36">
    <w:name w:val="HTML Preformatted"/>
    <w:basedOn w:val="1"/>
    <w:link w:val="227"/>
    <w:unhideWhenUsed/>
    <w:qFormat/>
    <w:uiPriority w:val="99"/>
    <w:pPr>
      <w:spacing w:line="360" w:lineRule="auto"/>
    </w:pPr>
    <w:rPr>
      <w:rFonts w:ascii="Courier New" w:hAnsi="Courier New" w:cs="Courier New"/>
      <w:sz w:val="20"/>
      <w:szCs w:val="20"/>
    </w:rPr>
  </w:style>
  <w:style w:type="paragraph" w:styleId="37">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8">
    <w:name w:val="index 1"/>
    <w:basedOn w:val="1"/>
    <w:next w:val="1"/>
    <w:semiHidden/>
    <w:unhideWhenUsed/>
    <w:qFormat/>
    <w:uiPriority w:val="0"/>
  </w:style>
  <w:style w:type="paragraph" w:styleId="39">
    <w:name w:val="Title"/>
    <w:basedOn w:val="1"/>
    <w:next w:val="1"/>
    <w:link w:val="67"/>
    <w:qFormat/>
    <w:uiPriority w:val="0"/>
    <w:pPr>
      <w:spacing w:before="240" w:after="60"/>
      <w:jc w:val="center"/>
      <w:outlineLvl w:val="0"/>
    </w:pPr>
    <w:rPr>
      <w:rFonts w:ascii="Cambria" w:hAnsi="Cambria"/>
      <w:b/>
      <w:bCs/>
      <w:sz w:val="32"/>
      <w:szCs w:val="32"/>
    </w:rPr>
  </w:style>
  <w:style w:type="paragraph" w:styleId="40">
    <w:name w:val="annotation subject"/>
    <w:basedOn w:val="17"/>
    <w:next w:val="17"/>
    <w:link w:val="64"/>
    <w:qFormat/>
    <w:uiPriority w:val="99"/>
    <w:rPr>
      <w:rFonts w:ascii="宋体" w:hAnsi="Times New Roman"/>
      <w:b/>
      <w:bCs/>
      <w:kern w:val="0"/>
      <w:sz w:val="28"/>
      <w:szCs w:val="20"/>
    </w:rPr>
  </w:style>
  <w:style w:type="paragraph" w:styleId="41">
    <w:name w:val="Body Text First Indent 2"/>
    <w:basedOn w:val="18"/>
    <w:qFormat/>
    <w:uiPriority w:val="0"/>
    <w:pPr>
      <w:spacing w:after="120"/>
      <w:ind w:left="420" w:leftChars="200"/>
    </w:pPr>
  </w:style>
  <w:style w:type="table" w:styleId="43">
    <w:name w:val="Table Grid"/>
    <w:basedOn w:val="42"/>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45">
    <w:name w:val="Strong"/>
    <w:qFormat/>
    <w:uiPriority w:val="0"/>
    <w:rPr>
      <w:b/>
      <w:bCs/>
    </w:rPr>
  </w:style>
  <w:style w:type="character" w:styleId="46">
    <w:name w:val="page number"/>
    <w:qFormat/>
    <w:uiPriority w:val="0"/>
    <w:rPr>
      <w:rFonts w:cs="Times New Roman"/>
    </w:rPr>
  </w:style>
  <w:style w:type="character" w:styleId="47">
    <w:name w:val="FollowedHyperlink"/>
    <w:qFormat/>
    <w:uiPriority w:val="99"/>
    <w:rPr>
      <w:color w:val="800080"/>
      <w:u w:val="single"/>
    </w:rPr>
  </w:style>
  <w:style w:type="character" w:styleId="48">
    <w:name w:val="Emphasis"/>
    <w:qFormat/>
    <w:uiPriority w:val="20"/>
    <w:rPr>
      <w:i/>
      <w:iCs/>
    </w:rPr>
  </w:style>
  <w:style w:type="character" w:styleId="49">
    <w:name w:val="Hyperlink"/>
    <w:basedOn w:val="44"/>
    <w:qFormat/>
    <w:uiPriority w:val="99"/>
    <w:rPr>
      <w:rFonts w:cs="Times New Roman"/>
      <w:color w:val="0000FF"/>
      <w:u w:val="single"/>
    </w:rPr>
  </w:style>
  <w:style w:type="character" w:styleId="50">
    <w:name w:val="annotation reference"/>
    <w:qFormat/>
    <w:uiPriority w:val="0"/>
    <w:rPr>
      <w:rFonts w:cs="Times New Roman"/>
      <w:sz w:val="21"/>
      <w:szCs w:val="21"/>
    </w:rPr>
  </w:style>
  <w:style w:type="paragraph" w:customStyle="1" w:styleId="5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2">
    <w:name w:val="标题 1 字符"/>
    <w:link w:val="3"/>
    <w:qFormat/>
    <w:uiPriority w:val="9"/>
    <w:rPr>
      <w:b/>
      <w:bCs/>
      <w:kern w:val="44"/>
      <w:sz w:val="32"/>
      <w:szCs w:val="44"/>
    </w:rPr>
  </w:style>
  <w:style w:type="character" w:customStyle="1" w:styleId="53">
    <w:name w:val="标题 2 字符"/>
    <w:link w:val="4"/>
    <w:qFormat/>
    <w:uiPriority w:val="0"/>
    <w:rPr>
      <w:rFonts w:ascii="Cambria" w:hAnsi="Cambria"/>
      <w:b/>
      <w:bCs/>
      <w:kern w:val="2"/>
      <w:sz w:val="28"/>
      <w:szCs w:val="32"/>
    </w:rPr>
  </w:style>
  <w:style w:type="character" w:customStyle="1" w:styleId="54">
    <w:name w:val="标题 3 字符"/>
    <w:link w:val="5"/>
    <w:qFormat/>
    <w:uiPriority w:val="9"/>
    <w:rPr>
      <w:b/>
      <w:bCs/>
      <w:kern w:val="2"/>
      <w:sz w:val="28"/>
      <w:szCs w:val="32"/>
    </w:rPr>
  </w:style>
  <w:style w:type="character" w:customStyle="1" w:styleId="55">
    <w:name w:val="标题 4 字符"/>
    <w:link w:val="6"/>
    <w:qFormat/>
    <w:uiPriority w:val="9"/>
    <w:rPr>
      <w:rFonts w:ascii="Cambria" w:hAnsi="Cambria"/>
      <w:b/>
      <w:bCs/>
      <w:kern w:val="2"/>
      <w:sz w:val="24"/>
      <w:szCs w:val="28"/>
    </w:rPr>
  </w:style>
  <w:style w:type="character" w:customStyle="1" w:styleId="56">
    <w:name w:val="标题 5 字符"/>
    <w:link w:val="7"/>
    <w:qFormat/>
    <w:uiPriority w:val="0"/>
    <w:rPr>
      <w:b/>
      <w:bCs/>
      <w:kern w:val="2"/>
      <w:sz w:val="28"/>
      <w:szCs w:val="28"/>
    </w:rPr>
  </w:style>
  <w:style w:type="character" w:customStyle="1" w:styleId="57">
    <w:name w:val="标题 6 字符"/>
    <w:link w:val="8"/>
    <w:qFormat/>
    <w:uiPriority w:val="0"/>
    <w:rPr>
      <w:rFonts w:ascii="Cambria" w:hAnsi="Cambria" w:eastAsia="宋体" w:cs="Times New Roman"/>
      <w:b/>
      <w:bCs/>
      <w:kern w:val="2"/>
      <w:sz w:val="24"/>
      <w:szCs w:val="24"/>
    </w:rPr>
  </w:style>
  <w:style w:type="character" w:customStyle="1" w:styleId="58">
    <w:name w:val="标题 7 字符"/>
    <w:link w:val="9"/>
    <w:qFormat/>
    <w:uiPriority w:val="0"/>
    <w:rPr>
      <w:b/>
      <w:bCs/>
      <w:kern w:val="2"/>
      <w:sz w:val="24"/>
      <w:szCs w:val="24"/>
    </w:rPr>
  </w:style>
  <w:style w:type="character" w:customStyle="1" w:styleId="59">
    <w:name w:val="标题 8 字符"/>
    <w:link w:val="10"/>
    <w:qFormat/>
    <w:uiPriority w:val="0"/>
    <w:rPr>
      <w:rFonts w:ascii="Cambria" w:hAnsi="Cambria" w:eastAsia="宋体" w:cs="Times New Roman"/>
      <w:kern w:val="2"/>
      <w:sz w:val="24"/>
      <w:szCs w:val="24"/>
    </w:rPr>
  </w:style>
  <w:style w:type="character" w:customStyle="1" w:styleId="60">
    <w:name w:val="标题 9 字符"/>
    <w:link w:val="11"/>
    <w:qFormat/>
    <w:uiPriority w:val="0"/>
    <w:rPr>
      <w:rFonts w:ascii="Cambria" w:hAnsi="Cambria" w:eastAsia="宋体" w:cs="Times New Roman"/>
      <w:kern w:val="2"/>
      <w:sz w:val="21"/>
      <w:szCs w:val="21"/>
    </w:rPr>
  </w:style>
  <w:style w:type="character" w:customStyle="1" w:styleId="61">
    <w:name w:val="日期 字符"/>
    <w:link w:val="24"/>
    <w:qFormat/>
    <w:uiPriority w:val="0"/>
    <w:rPr>
      <w:rFonts w:ascii="宋体" w:hAnsi="Times New Roman"/>
      <w:sz w:val="2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next w:val="19"/>
    <w:link w:val="62"/>
    <w:qFormat/>
    <w:uiPriority w:val="0"/>
    <w:pPr>
      <w:spacing w:line="413" w:lineRule="auto"/>
    </w:pPr>
    <w:rPr>
      <w:rFonts w:ascii="Arial" w:hAnsi="Arial"/>
      <w:kern w:val="0"/>
      <w:sz w:val="24"/>
    </w:rPr>
  </w:style>
  <w:style w:type="character" w:customStyle="1" w:styleId="64">
    <w:name w:val="批注主题 字符"/>
    <w:link w:val="40"/>
    <w:qFormat/>
    <w:uiPriority w:val="99"/>
    <w:rPr>
      <w:rFonts w:ascii="宋体" w:hAnsi="Times New Roman"/>
      <w:b/>
      <w:bCs/>
      <w:sz w:val="28"/>
    </w:rPr>
  </w:style>
  <w:style w:type="character" w:customStyle="1" w:styleId="65">
    <w:name w:val="批注文字 字符"/>
    <w:link w:val="17"/>
    <w:qFormat/>
    <w:uiPriority w:val="99"/>
    <w:rPr>
      <w:kern w:val="2"/>
      <w:sz w:val="21"/>
      <w:szCs w:val="22"/>
    </w:rPr>
  </w:style>
  <w:style w:type="character" w:customStyle="1" w:styleId="66">
    <w:name w:val="书籍标题1"/>
    <w:qFormat/>
    <w:uiPriority w:val="0"/>
    <w:rPr>
      <w:b/>
      <w:bCs/>
      <w:smallCaps/>
      <w:spacing w:val="5"/>
    </w:rPr>
  </w:style>
  <w:style w:type="character" w:customStyle="1" w:styleId="67">
    <w:name w:val="标题 字符"/>
    <w:link w:val="39"/>
    <w:qFormat/>
    <w:uiPriority w:val="0"/>
    <w:rPr>
      <w:rFonts w:ascii="Cambria" w:hAnsi="Cambria" w:cs="Times New Roman"/>
      <w:b/>
      <w:bCs/>
      <w:kern w:val="2"/>
      <w:sz w:val="32"/>
      <w:szCs w:val="32"/>
    </w:rPr>
  </w:style>
  <w:style w:type="character" w:customStyle="1" w:styleId="68">
    <w:name w:val="副标题 字符"/>
    <w:link w:val="31"/>
    <w:qFormat/>
    <w:uiPriority w:val="0"/>
    <w:rPr>
      <w:rFonts w:ascii="Cambria" w:hAnsi="Cambria" w:cs="Times New Roman"/>
      <w:b/>
      <w:bCs/>
      <w:kern w:val="28"/>
      <w:sz w:val="32"/>
      <w:szCs w:val="32"/>
    </w:rPr>
  </w:style>
  <w:style w:type="character" w:customStyle="1" w:styleId="69">
    <w:name w:val="明显强调1"/>
    <w:qFormat/>
    <w:uiPriority w:val="0"/>
    <w:rPr>
      <w:b/>
      <w:bCs/>
      <w:i/>
      <w:iCs/>
      <w:color w:val="4F81BD"/>
    </w:rPr>
  </w:style>
  <w:style w:type="character" w:customStyle="1" w:styleId="70">
    <w:name w:val="标题5 Char Char"/>
    <w:link w:val="71"/>
    <w:qFormat/>
    <w:uiPriority w:val="0"/>
    <w:rPr>
      <w:rFonts w:ascii="Arial" w:hAnsi="Arial"/>
      <w:b/>
      <w:bCs/>
      <w:sz w:val="24"/>
      <w:szCs w:val="32"/>
    </w:rPr>
  </w:style>
  <w:style w:type="paragraph" w:customStyle="1" w:styleId="71">
    <w:name w:val="标题5"/>
    <w:basedOn w:val="5"/>
    <w:link w:val="70"/>
    <w:qFormat/>
    <w:uiPriority w:val="0"/>
    <w:rPr>
      <w:rFonts w:ascii="Arial" w:hAnsi="Arial"/>
      <w:kern w:val="0"/>
      <w:sz w:val="24"/>
    </w:rPr>
  </w:style>
  <w:style w:type="character" w:customStyle="1" w:styleId="72">
    <w:name w:val="textcontents"/>
    <w:qFormat/>
    <w:uiPriority w:val="0"/>
    <w:rPr>
      <w:rFonts w:cs="Times New Roman"/>
    </w:rPr>
  </w:style>
  <w:style w:type="character" w:customStyle="1" w:styleId="73">
    <w:name w:val="不明显强调1"/>
    <w:qFormat/>
    <w:uiPriority w:val="0"/>
    <w:rPr>
      <w:i/>
      <w:iCs/>
      <w:color w:val="808080"/>
    </w:rPr>
  </w:style>
  <w:style w:type="character" w:customStyle="1" w:styleId="74">
    <w:name w:val="不明显参考1"/>
    <w:qFormat/>
    <w:uiPriority w:val="0"/>
    <w:rPr>
      <w:smallCaps/>
      <w:color w:val="C0504D"/>
      <w:u w:val="single"/>
    </w:rPr>
  </w:style>
  <w:style w:type="character" w:customStyle="1" w:styleId="75">
    <w:name w:val="日期 Char1"/>
    <w:qFormat/>
    <w:uiPriority w:val="0"/>
    <w:rPr>
      <w:kern w:val="2"/>
      <w:sz w:val="21"/>
      <w:szCs w:val="22"/>
    </w:rPr>
  </w:style>
  <w:style w:type="character" w:customStyle="1" w:styleId="76">
    <w:name w:val="正文文本 Char1"/>
    <w:qFormat/>
    <w:uiPriority w:val="0"/>
    <w:rPr>
      <w:kern w:val="2"/>
      <w:sz w:val="21"/>
      <w:szCs w:val="22"/>
    </w:rPr>
  </w:style>
  <w:style w:type="character" w:customStyle="1" w:styleId="77">
    <w:name w:val="页眉 字符"/>
    <w:link w:val="28"/>
    <w:qFormat/>
    <w:uiPriority w:val="0"/>
    <w:rPr>
      <w:kern w:val="2"/>
      <w:sz w:val="18"/>
      <w:szCs w:val="18"/>
    </w:rPr>
  </w:style>
  <w:style w:type="character" w:customStyle="1" w:styleId="78">
    <w:name w:val="批注主题 Char1"/>
    <w:qFormat/>
    <w:uiPriority w:val="0"/>
    <w:rPr>
      <w:b/>
      <w:bCs/>
      <w:kern w:val="2"/>
      <w:sz w:val="21"/>
      <w:szCs w:val="22"/>
    </w:rPr>
  </w:style>
  <w:style w:type="character" w:customStyle="1" w:styleId="79">
    <w:name w:val="批注框文本 字符"/>
    <w:link w:val="26"/>
    <w:qFormat/>
    <w:uiPriority w:val="99"/>
    <w:rPr>
      <w:rFonts w:ascii="宋体" w:hAnsi="Times New Roman"/>
      <w:sz w:val="18"/>
      <w:szCs w:val="18"/>
    </w:rPr>
  </w:style>
  <w:style w:type="character" w:customStyle="1" w:styleId="80">
    <w:name w:val="批注文字 Char Char"/>
    <w:qFormat/>
    <w:uiPriority w:val="0"/>
    <w:rPr>
      <w:rFonts w:ascii="宋体" w:hAnsi="Times New Roman" w:eastAsia="宋体" w:cs="Times New Roman"/>
      <w:sz w:val="28"/>
      <w:szCs w:val="20"/>
    </w:rPr>
  </w:style>
  <w:style w:type="character" w:customStyle="1" w:styleId="81">
    <w:name w:val="页脚 字符"/>
    <w:link w:val="27"/>
    <w:qFormat/>
    <w:uiPriority w:val="99"/>
    <w:rPr>
      <w:kern w:val="2"/>
      <w:sz w:val="18"/>
      <w:szCs w:val="18"/>
    </w:rPr>
  </w:style>
  <w:style w:type="character" w:customStyle="1" w:styleId="82">
    <w:name w:val="正文文本 字符"/>
    <w:link w:val="2"/>
    <w:qFormat/>
    <w:uiPriority w:val="0"/>
    <w:rPr>
      <w:rFonts w:ascii="Times New Roman" w:hAnsi="Times New Roman"/>
    </w:rPr>
  </w:style>
  <w:style w:type="character" w:customStyle="1" w:styleId="83">
    <w:name w:val="引用 字符"/>
    <w:link w:val="84"/>
    <w:qFormat/>
    <w:uiPriority w:val="0"/>
    <w:rPr>
      <w:i/>
      <w:iCs/>
      <w:color w:val="000000"/>
      <w:kern w:val="2"/>
      <w:sz w:val="21"/>
      <w:szCs w:val="22"/>
    </w:rPr>
  </w:style>
  <w:style w:type="paragraph" w:styleId="84">
    <w:name w:val="Quote"/>
    <w:basedOn w:val="1"/>
    <w:next w:val="1"/>
    <w:link w:val="83"/>
    <w:qFormat/>
    <w:uiPriority w:val="0"/>
    <w:rPr>
      <w:i/>
      <w:iCs/>
      <w:color w:val="000000"/>
    </w:rPr>
  </w:style>
  <w:style w:type="character" w:customStyle="1" w:styleId="85">
    <w:name w:val="文档结构图 字符"/>
    <w:basedOn w:val="44"/>
    <w:link w:val="16"/>
    <w:semiHidden/>
    <w:qFormat/>
    <w:uiPriority w:val="0"/>
    <w:rPr>
      <w:rFonts w:ascii="宋体"/>
      <w:kern w:val="2"/>
      <w:sz w:val="18"/>
      <w:szCs w:val="18"/>
    </w:rPr>
  </w:style>
  <w:style w:type="character" w:customStyle="1" w:styleId="86">
    <w:name w:val="文档结构图 Char1"/>
    <w:qFormat/>
    <w:uiPriority w:val="0"/>
    <w:rPr>
      <w:rFonts w:ascii="宋体"/>
      <w:kern w:val="2"/>
      <w:sz w:val="18"/>
      <w:szCs w:val="18"/>
    </w:rPr>
  </w:style>
  <w:style w:type="character" w:customStyle="1" w:styleId="87">
    <w:name w:val="批注框文本 Char1"/>
    <w:qFormat/>
    <w:uiPriority w:val="0"/>
    <w:rPr>
      <w:kern w:val="2"/>
      <w:sz w:val="18"/>
      <w:szCs w:val="18"/>
    </w:rPr>
  </w:style>
  <w:style w:type="character" w:customStyle="1" w:styleId="88">
    <w:name w:val="明显引用 字符"/>
    <w:link w:val="89"/>
    <w:qFormat/>
    <w:uiPriority w:val="0"/>
    <w:rPr>
      <w:b/>
      <w:bCs/>
      <w:i/>
      <w:iCs/>
      <w:color w:val="4F81BD"/>
      <w:kern w:val="2"/>
      <w:sz w:val="21"/>
      <w:szCs w:val="22"/>
    </w:rPr>
  </w:style>
  <w:style w:type="paragraph" w:styleId="89">
    <w:name w:val="Intense Quote"/>
    <w:basedOn w:val="1"/>
    <w:next w:val="1"/>
    <w:link w:val="88"/>
    <w:qFormat/>
    <w:uiPriority w:val="0"/>
    <w:pPr>
      <w:pBdr>
        <w:bottom w:val="single" w:color="4F81BD" w:sz="4" w:space="4"/>
      </w:pBdr>
      <w:spacing w:before="200" w:after="280"/>
      <w:ind w:left="936" w:right="936"/>
    </w:pPr>
    <w:rPr>
      <w:b/>
      <w:bCs/>
      <w:i/>
      <w:iCs/>
      <w:color w:val="4F81BD"/>
    </w:rPr>
  </w:style>
  <w:style w:type="character" w:customStyle="1" w:styleId="90">
    <w:name w:val="明显参考1"/>
    <w:qFormat/>
    <w:uiPriority w:val="0"/>
    <w:rPr>
      <w:b/>
      <w:bCs/>
      <w:smallCaps/>
      <w:color w:val="C0504D"/>
      <w:spacing w:val="5"/>
      <w:u w:val="single"/>
    </w:rPr>
  </w:style>
  <w:style w:type="character" w:customStyle="1" w:styleId="91">
    <w:name w:val="正文文本缩进 2 字符"/>
    <w:basedOn w:val="44"/>
    <w:link w:val="25"/>
    <w:qFormat/>
    <w:uiPriority w:val="0"/>
    <w:rPr>
      <w:rFonts w:ascii="Times New Roman" w:hAnsi="Times New Roman"/>
      <w:kern w:val="2"/>
      <w:sz w:val="24"/>
      <w:szCs w:val="24"/>
    </w:rPr>
  </w:style>
  <w:style w:type="character" w:customStyle="1" w:styleId="92">
    <w:name w:val="纯文本 字符"/>
    <w:basedOn w:val="44"/>
    <w:link w:val="22"/>
    <w:qFormat/>
    <w:uiPriority w:val="99"/>
    <w:rPr>
      <w:rFonts w:ascii="宋体" w:hAnsi="Courier New" w:cs="Courier New"/>
      <w:kern w:val="2"/>
      <w:sz w:val="21"/>
      <w:szCs w:val="21"/>
    </w:rPr>
  </w:style>
  <w:style w:type="paragraph" w:customStyle="1" w:styleId="9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Cs w:val="20"/>
    </w:rPr>
  </w:style>
  <w:style w:type="paragraph" w:styleId="94">
    <w:name w:val="List Paragraph"/>
    <w:basedOn w:val="1"/>
    <w:qFormat/>
    <w:uiPriority w:val="99"/>
    <w:pPr>
      <w:ind w:firstLine="420" w:firstLineChars="200"/>
    </w:pPr>
  </w:style>
  <w:style w:type="paragraph" w:customStyle="1" w:styleId="95">
    <w:name w:val="修订1"/>
    <w:qFormat/>
    <w:uiPriority w:val="99"/>
    <w:rPr>
      <w:rFonts w:ascii="Times New Roman" w:hAnsi="Times New Roman" w:eastAsia="宋体" w:cs="Times New Roman"/>
      <w:kern w:val="2"/>
      <w:sz w:val="21"/>
      <w:szCs w:val="24"/>
      <w:lang w:val="en-US" w:eastAsia="zh-CN" w:bidi="ar-SA"/>
    </w:rPr>
  </w:style>
  <w:style w:type="paragraph" w:customStyle="1" w:styleId="96">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z w:val="24"/>
      <w:szCs w:val="20"/>
    </w:rPr>
  </w:style>
  <w:style w:type="paragraph" w:customStyle="1" w:styleId="97">
    <w:name w:val="TOC 标题1"/>
    <w:basedOn w:val="3"/>
    <w:next w:val="1"/>
    <w:qFormat/>
    <w:uiPriority w:val="39"/>
    <w:pPr>
      <w:outlineLvl w:val="9"/>
    </w:pPr>
  </w:style>
  <w:style w:type="paragraph" w:styleId="98">
    <w:name w:val="No Spacing"/>
    <w:link w:val="99"/>
    <w:qFormat/>
    <w:uiPriority w:val="1"/>
    <w:pPr>
      <w:widowControl w:val="0"/>
      <w:jc w:val="both"/>
    </w:pPr>
    <w:rPr>
      <w:rFonts w:ascii="Calibri" w:hAnsi="Calibri" w:eastAsia="宋体" w:cs="Times New Roman"/>
      <w:kern w:val="2"/>
      <w:sz w:val="21"/>
      <w:szCs w:val="22"/>
      <w:lang w:val="en-US" w:eastAsia="zh-CN" w:bidi="ar-SA"/>
    </w:rPr>
  </w:style>
  <w:style w:type="character" w:customStyle="1" w:styleId="99">
    <w:name w:val="无间隔 字符"/>
    <w:basedOn w:val="44"/>
    <w:link w:val="98"/>
    <w:qFormat/>
    <w:uiPriority w:val="1"/>
    <w:rPr>
      <w:kern w:val="2"/>
      <w:sz w:val="21"/>
      <w:szCs w:val="22"/>
      <w:lang w:val="en-US" w:eastAsia="zh-CN" w:bidi="ar-SA"/>
    </w:rPr>
  </w:style>
  <w:style w:type="paragraph" w:customStyle="1" w:styleId="100">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01">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02">
    <w:name w:val="列出段落1"/>
    <w:basedOn w:val="1"/>
    <w:qFormat/>
    <w:uiPriority w:val="99"/>
    <w:pPr>
      <w:ind w:firstLine="420" w:firstLineChars="200"/>
    </w:pPr>
    <w:rPr>
      <w:rFonts w:ascii="Times New Roman" w:hAnsi="Times New Roman" w:eastAsia="仿宋_GB2312"/>
      <w:sz w:val="32"/>
      <w:szCs w:val="21"/>
    </w:rPr>
  </w:style>
  <w:style w:type="paragraph" w:customStyle="1" w:styleId="103">
    <w:name w:val="无间隔1"/>
    <w:qFormat/>
    <w:uiPriority w:val="99"/>
    <w:pPr>
      <w:widowControl w:val="0"/>
      <w:spacing w:line="360" w:lineRule="auto"/>
      <w:ind w:firstLine="561"/>
      <w:jc w:val="both"/>
    </w:pPr>
    <w:rPr>
      <w:rFonts w:ascii="Calibri" w:hAnsi="Calibri" w:eastAsia="宋体" w:cs="Times New Roman"/>
      <w:kern w:val="2"/>
      <w:sz w:val="21"/>
      <w:szCs w:val="22"/>
      <w:lang w:val="en-US" w:eastAsia="zh-CN" w:bidi="ar-SA"/>
    </w:rPr>
  </w:style>
  <w:style w:type="paragraph" w:customStyle="1" w:styleId="104">
    <w:name w:val="列出段落2"/>
    <w:basedOn w:val="1"/>
    <w:qFormat/>
    <w:uiPriority w:val="34"/>
    <w:pPr>
      <w:ind w:firstLine="420" w:firstLineChars="200"/>
    </w:pPr>
    <w:rPr>
      <w:sz w:val="24"/>
    </w:rPr>
  </w:style>
  <w:style w:type="character" w:customStyle="1" w:styleId="105">
    <w:name w:val="引用 Char1"/>
    <w:basedOn w:val="44"/>
    <w:qFormat/>
    <w:uiPriority w:val="29"/>
    <w:rPr>
      <w:rFonts w:ascii="Times New Roman" w:hAnsi="Times New Roman" w:eastAsia="宋体" w:cs="Times New Roman"/>
      <w:i/>
      <w:iCs/>
      <w:color w:val="000000"/>
      <w:sz w:val="24"/>
      <w:szCs w:val="24"/>
    </w:rPr>
  </w:style>
  <w:style w:type="character" w:customStyle="1" w:styleId="106">
    <w:name w:val="明显引用 Char1"/>
    <w:basedOn w:val="44"/>
    <w:qFormat/>
    <w:uiPriority w:val="30"/>
    <w:rPr>
      <w:rFonts w:ascii="Times New Roman" w:hAnsi="Times New Roman" w:eastAsia="宋体" w:cs="Times New Roman"/>
      <w:b/>
      <w:bCs/>
      <w:i/>
      <w:iCs/>
      <w:color w:val="4F81BD"/>
      <w:sz w:val="24"/>
      <w:szCs w:val="24"/>
    </w:rPr>
  </w:style>
  <w:style w:type="character" w:customStyle="1" w:styleId="107">
    <w:name w:val="标题 2 Char1"/>
    <w:qFormat/>
    <w:uiPriority w:val="0"/>
    <w:rPr>
      <w:rFonts w:ascii="Arial" w:hAnsi="Arial" w:eastAsia="宋体" w:cs="Times New Roman"/>
      <w:b/>
      <w:color w:val="000000"/>
      <w:sz w:val="24"/>
      <w:szCs w:val="24"/>
    </w:rPr>
  </w:style>
  <w:style w:type="character" w:customStyle="1" w:styleId="108">
    <w:name w:val="文本正文 Char"/>
    <w:link w:val="109"/>
    <w:qFormat/>
    <w:uiPriority w:val="0"/>
    <w:rPr>
      <w:rFonts w:ascii="Times New Roman" w:hAnsi="Times New Roman"/>
      <w:sz w:val="28"/>
      <w:szCs w:val="24"/>
    </w:rPr>
  </w:style>
  <w:style w:type="paragraph" w:customStyle="1" w:styleId="109">
    <w:name w:val="文本正文"/>
    <w:basedOn w:val="1"/>
    <w:link w:val="108"/>
    <w:qFormat/>
    <w:uiPriority w:val="0"/>
    <w:pPr>
      <w:snapToGrid w:val="0"/>
      <w:spacing w:line="360" w:lineRule="auto"/>
      <w:ind w:firstLine="560" w:firstLineChars="200"/>
      <w:jc w:val="left"/>
    </w:pPr>
    <w:rPr>
      <w:rFonts w:ascii="Times New Roman" w:hAnsi="Times New Roman"/>
      <w:kern w:val="0"/>
      <w:sz w:val="28"/>
      <w:szCs w:val="24"/>
    </w:rPr>
  </w:style>
  <w:style w:type="character" w:customStyle="1" w:styleId="110">
    <w:name w:val="正文文本缩进 Char"/>
    <w:qFormat/>
    <w:uiPriority w:val="0"/>
    <w:rPr>
      <w:rFonts w:ascii="宋体" w:hAnsi="Times New Roman"/>
      <w:sz w:val="30"/>
    </w:rPr>
  </w:style>
  <w:style w:type="character" w:customStyle="1" w:styleId="111">
    <w:name w:val="正文文本缩进 字符"/>
    <w:basedOn w:val="44"/>
    <w:link w:val="18"/>
    <w:semiHidden/>
    <w:qFormat/>
    <w:uiPriority w:val="99"/>
    <w:rPr>
      <w:kern w:val="2"/>
      <w:sz w:val="21"/>
      <w:szCs w:val="22"/>
    </w:rPr>
  </w:style>
  <w:style w:type="paragraph" w:customStyle="1" w:styleId="112">
    <w:name w:val="Char"/>
    <w:basedOn w:val="1"/>
    <w:qFormat/>
    <w:uiPriority w:val="0"/>
    <w:pPr>
      <w:tabs>
        <w:tab w:val="left" w:pos="1800"/>
      </w:tabs>
      <w:ind w:left="1800" w:hanging="1080"/>
    </w:pPr>
    <w:rPr>
      <w:rFonts w:ascii="Times New Roman" w:hAnsi="Times New Roman"/>
      <w:sz w:val="24"/>
      <w:szCs w:val="24"/>
    </w:rPr>
  </w:style>
  <w:style w:type="paragraph" w:customStyle="1" w:styleId="113">
    <w:name w:val="样式 标题 3 + 首行缩进:  1.06 厘米"/>
    <w:basedOn w:val="5"/>
    <w:qFormat/>
    <w:uiPriority w:val="0"/>
    <w:pPr>
      <w:spacing w:after="0" w:line="240" w:lineRule="auto"/>
      <w:jc w:val="center"/>
    </w:pPr>
    <w:rPr>
      <w:rFonts w:ascii="宋体" w:hAnsi="宋体" w:cs="宋体"/>
      <w:bCs w:val="0"/>
      <w:color w:val="000000"/>
      <w:kern w:val="0"/>
    </w:rPr>
  </w:style>
  <w:style w:type="paragraph" w:customStyle="1" w:styleId="114">
    <w:name w:val="列出段落[858D7CFB-ED40-4347-BF05-701D383B685F][858D7CFB-ED40-4347-BF05-701D383B685F]1"/>
    <w:basedOn w:val="1"/>
    <w:qFormat/>
    <w:uiPriority w:val="0"/>
    <w:pPr>
      <w:ind w:firstLine="420" w:firstLineChars="200"/>
    </w:pPr>
  </w:style>
  <w:style w:type="paragraph" w:customStyle="1" w:styleId="115">
    <w:name w:val="Char Char Char Char"/>
    <w:basedOn w:val="1"/>
    <w:qFormat/>
    <w:uiPriority w:val="0"/>
    <w:pPr>
      <w:spacing w:afterLines="50" w:line="520" w:lineRule="exact"/>
      <w:jc w:val="center"/>
    </w:pPr>
    <w:rPr>
      <w:rFonts w:ascii="Arial" w:hAnsi="Arial" w:eastAsia="仿宋_GB2312"/>
      <w:sz w:val="28"/>
      <w:szCs w:val="28"/>
    </w:rPr>
  </w:style>
  <w:style w:type="paragraph" w:customStyle="1" w:styleId="116">
    <w:name w:val="列出段落3"/>
    <w:basedOn w:val="1"/>
    <w:qFormat/>
    <w:uiPriority w:val="34"/>
    <w:pPr>
      <w:ind w:firstLine="420" w:firstLineChars="200"/>
    </w:pPr>
  </w:style>
  <w:style w:type="paragraph" w:customStyle="1" w:styleId="117">
    <w:name w:val="Char Char Char Char Char Char Char"/>
    <w:basedOn w:val="1"/>
    <w:qFormat/>
    <w:uiPriority w:val="0"/>
    <w:pPr>
      <w:tabs>
        <w:tab w:val="left" w:pos="425"/>
      </w:tabs>
      <w:ind w:left="425" w:hanging="425"/>
    </w:pPr>
    <w:rPr>
      <w:rFonts w:ascii="Times New Roman" w:hAnsi="Times New Roman" w:eastAsia="仿宋_GB2312"/>
      <w:kern w:val="24"/>
      <w:sz w:val="24"/>
      <w:szCs w:val="24"/>
    </w:rPr>
  </w:style>
  <w:style w:type="paragraph" w:customStyle="1" w:styleId="118">
    <w:name w:val="修订11"/>
    <w:qFormat/>
    <w:uiPriority w:val="0"/>
    <w:rPr>
      <w:rFonts w:ascii="Times New Roman" w:hAnsi="Times New Roman" w:eastAsia="宋体" w:cs="Times New Roman"/>
      <w:kern w:val="2"/>
      <w:sz w:val="21"/>
      <w:szCs w:val="24"/>
      <w:lang w:val="en-US" w:eastAsia="zh-CN" w:bidi="ar-SA"/>
    </w:rPr>
  </w:style>
  <w:style w:type="paragraph" w:customStyle="1" w:styleId="119">
    <w:name w:val="p0"/>
    <w:basedOn w:val="1"/>
    <w:qFormat/>
    <w:uiPriority w:val="0"/>
    <w:pPr>
      <w:widowControl/>
    </w:pPr>
    <w:rPr>
      <w:rFonts w:ascii="Times New Roman" w:hAnsi="Times New Roman"/>
      <w:kern w:val="0"/>
      <w:szCs w:val="21"/>
    </w:rPr>
  </w:style>
  <w:style w:type="character" w:customStyle="1" w:styleId="120">
    <w:name w:val="纯文本 Char1"/>
    <w:qFormat/>
    <w:uiPriority w:val="0"/>
    <w:rPr>
      <w:rFonts w:ascii="宋体" w:hAnsi="Courier New" w:eastAsia="宋体" w:cs="Times New Roman"/>
      <w:szCs w:val="20"/>
    </w:rPr>
  </w:style>
  <w:style w:type="character" w:customStyle="1" w:styleId="121">
    <w:name w:val="正文文本缩进 3 字符"/>
    <w:basedOn w:val="44"/>
    <w:link w:val="33"/>
    <w:qFormat/>
    <w:uiPriority w:val="0"/>
    <w:rPr>
      <w:rFonts w:ascii="Times New Roman" w:hAnsi="Times New Roman"/>
      <w:kern w:val="2"/>
      <w:sz w:val="16"/>
      <w:szCs w:val="16"/>
    </w:rPr>
  </w:style>
  <w:style w:type="paragraph" w:customStyle="1" w:styleId="122">
    <w:name w:val="样式 标题 2 + 黑体 小三 自定义颜(RGB(1020204)) 阴影"/>
    <w:basedOn w:val="4"/>
    <w:qFormat/>
    <w:uiPriority w:val="0"/>
    <w:pPr>
      <w:tabs>
        <w:tab w:val="left" w:pos="576"/>
      </w:tabs>
      <w:adjustRightInd w:val="0"/>
      <w:snapToGrid w:val="0"/>
      <w:spacing w:before="0" w:after="0"/>
      <w:jc w:val="center"/>
    </w:pPr>
    <w:rPr>
      <w:rFonts w:ascii="宋体" w:hAnsi="宋体"/>
      <w:bCs w:val="0"/>
      <w:color w:val="000000"/>
      <w:kern w:val="0"/>
      <w:szCs w:val="28"/>
    </w:rPr>
  </w:style>
  <w:style w:type="character" w:customStyle="1" w:styleId="123">
    <w:name w:val="正文的格式1.5倍行距 Char Char"/>
    <w:link w:val="124"/>
    <w:qFormat/>
    <w:uiPriority w:val="0"/>
    <w:rPr>
      <w:sz w:val="28"/>
    </w:rPr>
  </w:style>
  <w:style w:type="paragraph" w:customStyle="1" w:styleId="124">
    <w:name w:val="正文的格式1.5倍行距"/>
    <w:basedOn w:val="1"/>
    <w:link w:val="123"/>
    <w:qFormat/>
    <w:uiPriority w:val="0"/>
    <w:pPr>
      <w:spacing w:line="360" w:lineRule="auto"/>
      <w:ind w:firstLine="200" w:firstLineChars="200"/>
    </w:pPr>
    <w:rPr>
      <w:kern w:val="0"/>
      <w:sz w:val="28"/>
      <w:szCs w:val="20"/>
    </w:rPr>
  </w:style>
  <w:style w:type="paragraph" w:customStyle="1" w:styleId="125">
    <w:name w:val="默认段落字体 Para Char Char Char Char"/>
    <w:basedOn w:val="1"/>
    <w:qFormat/>
    <w:uiPriority w:val="0"/>
    <w:pPr>
      <w:spacing w:line="360" w:lineRule="auto"/>
      <w:jc w:val="center"/>
    </w:pPr>
    <w:rPr>
      <w:rFonts w:ascii="Times New Roman" w:hAnsi="Times New Roman"/>
      <w:color w:val="000000"/>
      <w:sz w:val="24"/>
      <w:szCs w:val="24"/>
    </w:rPr>
  </w:style>
  <w:style w:type="paragraph" w:customStyle="1" w:styleId="126">
    <w:name w:val="图片标题"/>
    <w:basedOn w:val="1"/>
    <w:qFormat/>
    <w:uiPriority w:val="0"/>
    <w:pPr>
      <w:spacing w:line="360" w:lineRule="auto"/>
      <w:jc w:val="center"/>
    </w:pPr>
    <w:rPr>
      <w:rFonts w:ascii="Times New Roman" w:hAnsi="Times New Roman" w:cs="宋体"/>
      <w:b/>
      <w:bCs/>
      <w:sz w:val="24"/>
      <w:szCs w:val="20"/>
    </w:rPr>
  </w:style>
  <w:style w:type="paragraph" w:customStyle="1" w:styleId="127">
    <w:name w:val="正文缩进2字符1.5行距"/>
    <w:basedOn w:val="1"/>
    <w:link w:val="128"/>
    <w:qFormat/>
    <w:uiPriority w:val="0"/>
    <w:pPr>
      <w:spacing w:line="360" w:lineRule="auto"/>
      <w:ind w:firstLine="480" w:firstLineChars="200"/>
    </w:pPr>
    <w:rPr>
      <w:rFonts w:ascii="Times New Roman" w:hAnsi="Times New Roman"/>
      <w:sz w:val="24"/>
      <w:szCs w:val="20"/>
    </w:rPr>
  </w:style>
  <w:style w:type="character" w:customStyle="1" w:styleId="128">
    <w:name w:val="正文缩进2字符1.5行距 Char"/>
    <w:link w:val="127"/>
    <w:qFormat/>
    <w:uiPriority w:val="0"/>
    <w:rPr>
      <w:rFonts w:ascii="Times New Roman" w:hAnsi="Times New Roman"/>
      <w:kern w:val="2"/>
      <w:sz w:val="24"/>
    </w:rPr>
  </w:style>
  <w:style w:type="paragraph" w:customStyle="1" w:styleId="129">
    <w:name w:val="图片"/>
    <w:basedOn w:val="127"/>
    <w:qFormat/>
    <w:uiPriority w:val="0"/>
    <w:pPr>
      <w:spacing w:line="240" w:lineRule="atLeast"/>
      <w:ind w:firstLine="0" w:firstLineChars="0"/>
      <w:jc w:val="center"/>
    </w:p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134">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35">
    <w:name w:val="font10"/>
    <w:basedOn w:val="1"/>
    <w:qFormat/>
    <w:uiPriority w:val="0"/>
    <w:pPr>
      <w:widowControl/>
      <w:spacing w:before="100" w:beforeAutospacing="1" w:after="100" w:afterAutospacing="1"/>
      <w:jc w:val="left"/>
    </w:pPr>
    <w:rPr>
      <w:rFonts w:ascii="黑体" w:hAnsi="黑体" w:eastAsia="黑体" w:cs="宋体"/>
      <w:b/>
      <w:bCs/>
      <w:color w:val="000000"/>
      <w:kern w:val="0"/>
      <w:sz w:val="16"/>
      <w:szCs w:val="16"/>
    </w:rPr>
  </w:style>
  <w:style w:type="paragraph" w:customStyle="1" w:styleId="136">
    <w:name w:val="font11"/>
    <w:basedOn w:val="1"/>
    <w:qFormat/>
    <w:uiPriority w:val="0"/>
    <w:pPr>
      <w:widowControl/>
      <w:spacing w:before="100" w:beforeAutospacing="1" w:after="100" w:afterAutospacing="1"/>
      <w:jc w:val="left"/>
    </w:pPr>
    <w:rPr>
      <w:rFonts w:ascii="宋体" w:hAnsi="宋体" w:cs="宋体"/>
      <w:b/>
      <w:bCs/>
      <w:color w:val="000000"/>
      <w:kern w:val="0"/>
      <w:sz w:val="16"/>
      <w:szCs w:val="16"/>
    </w:rPr>
  </w:style>
  <w:style w:type="paragraph" w:customStyle="1" w:styleId="137">
    <w:name w:val="xl293"/>
    <w:basedOn w:val="1"/>
    <w:qFormat/>
    <w:uiPriority w:val="0"/>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38">
    <w:name w:val="xl2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39">
    <w:name w:val="xl2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0">
    <w:name w:val="xl2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1">
    <w:name w:val="xl2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2">
    <w:name w:val="xl2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000000"/>
      <w:kern w:val="0"/>
      <w:sz w:val="20"/>
      <w:szCs w:val="20"/>
    </w:rPr>
  </w:style>
  <w:style w:type="paragraph" w:customStyle="1" w:styleId="143">
    <w:name w:val="xl2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Times New Roman" w:hAnsi="Times New Roman"/>
      <w:b/>
      <w:bCs/>
      <w:color w:val="000000"/>
      <w:kern w:val="0"/>
      <w:sz w:val="20"/>
      <w:szCs w:val="20"/>
    </w:rPr>
  </w:style>
  <w:style w:type="paragraph" w:customStyle="1" w:styleId="144">
    <w:name w:val="xl3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color w:val="000000"/>
      <w:kern w:val="0"/>
      <w:sz w:val="20"/>
      <w:szCs w:val="20"/>
    </w:rPr>
  </w:style>
  <w:style w:type="paragraph" w:customStyle="1" w:styleId="145">
    <w:name w:val="xl3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000000"/>
      <w:kern w:val="0"/>
      <w:sz w:val="20"/>
      <w:szCs w:val="20"/>
    </w:rPr>
  </w:style>
  <w:style w:type="paragraph" w:customStyle="1" w:styleId="146">
    <w:name w:val="xl302"/>
    <w:basedOn w:val="1"/>
    <w:qFormat/>
    <w:uiPriority w:val="0"/>
    <w:pPr>
      <w:widowControl/>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47">
    <w:name w:val="xl30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b/>
      <w:bCs/>
      <w:color w:val="000000"/>
      <w:kern w:val="0"/>
      <w:sz w:val="20"/>
      <w:szCs w:val="20"/>
    </w:rPr>
  </w:style>
  <w:style w:type="paragraph" w:customStyle="1" w:styleId="148">
    <w:name w:val="xl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b/>
      <w:bCs/>
      <w:color w:val="000000"/>
      <w:kern w:val="0"/>
      <w:sz w:val="20"/>
      <w:szCs w:val="20"/>
    </w:rPr>
  </w:style>
  <w:style w:type="paragraph" w:customStyle="1" w:styleId="149">
    <w:name w:val="xl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Times New Roman" w:hAnsi="Times New Roman"/>
      <w:b/>
      <w:bCs/>
      <w:color w:val="000000"/>
      <w:kern w:val="0"/>
      <w:sz w:val="20"/>
      <w:szCs w:val="20"/>
    </w:rPr>
  </w:style>
  <w:style w:type="paragraph" w:customStyle="1" w:styleId="150">
    <w:name w:val="xl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Times New Roman" w:hAnsi="Times New Roman"/>
      <w:b/>
      <w:bCs/>
      <w:color w:val="000000"/>
      <w:kern w:val="0"/>
      <w:sz w:val="20"/>
      <w:szCs w:val="20"/>
    </w:rPr>
  </w:style>
  <w:style w:type="paragraph" w:customStyle="1" w:styleId="151">
    <w:name w:val="xl3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52">
    <w:name w:val="xl308"/>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center"/>
    </w:pPr>
    <w:rPr>
      <w:rFonts w:ascii="宋体" w:hAnsi="宋体" w:cs="宋体"/>
      <w:b/>
      <w:bCs/>
      <w:color w:val="000000"/>
      <w:kern w:val="0"/>
      <w:sz w:val="20"/>
      <w:szCs w:val="20"/>
    </w:rPr>
  </w:style>
  <w:style w:type="paragraph" w:customStyle="1" w:styleId="153">
    <w:name w:val="xl309"/>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right"/>
    </w:pPr>
    <w:rPr>
      <w:rFonts w:ascii="Times New Roman" w:hAnsi="Times New Roman"/>
      <w:b/>
      <w:bCs/>
      <w:color w:val="000000"/>
      <w:kern w:val="0"/>
      <w:sz w:val="20"/>
      <w:szCs w:val="20"/>
    </w:rPr>
  </w:style>
  <w:style w:type="paragraph" w:customStyle="1" w:styleId="154">
    <w:name w:val="xl310"/>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right"/>
    </w:pPr>
    <w:rPr>
      <w:rFonts w:ascii="Times New Roman" w:hAnsi="Times New Roman"/>
      <w:color w:val="000000"/>
      <w:kern w:val="0"/>
      <w:sz w:val="20"/>
      <w:szCs w:val="20"/>
    </w:rPr>
  </w:style>
  <w:style w:type="paragraph" w:customStyle="1" w:styleId="155">
    <w:name w:val="xl311"/>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center"/>
    </w:pPr>
    <w:rPr>
      <w:rFonts w:ascii="宋体" w:hAnsi="宋体" w:cs="宋体"/>
      <w:b/>
      <w:bCs/>
      <w:color w:val="000000"/>
      <w:kern w:val="0"/>
      <w:sz w:val="20"/>
      <w:szCs w:val="20"/>
    </w:rPr>
  </w:style>
  <w:style w:type="paragraph" w:customStyle="1" w:styleId="156">
    <w:name w:val="xl312"/>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left"/>
    </w:pPr>
    <w:rPr>
      <w:rFonts w:ascii="宋体" w:hAnsi="宋体" w:cs="宋体"/>
      <w:b/>
      <w:bCs/>
      <w:color w:val="000000"/>
      <w:kern w:val="0"/>
      <w:sz w:val="20"/>
      <w:szCs w:val="20"/>
    </w:rPr>
  </w:style>
  <w:style w:type="paragraph" w:customStyle="1" w:styleId="157">
    <w:name w:val="xl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58">
    <w:name w:val="xl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59">
    <w:name w:val="xl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60">
    <w:name w:val="xl316"/>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center"/>
    </w:pPr>
    <w:rPr>
      <w:rFonts w:ascii="宋体" w:hAnsi="宋体" w:cs="宋体"/>
      <w:color w:val="000000"/>
      <w:kern w:val="0"/>
      <w:sz w:val="18"/>
      <w:szCs w:val="18"/>
    </w:rPr>
  </w:style>
  <w:style w:type="paragraph" w:customStyle="1" w:styleId="161">
    <w:name w:val="xl317"/>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left"/>
    </w:pPr>
    <w:rPr>
      <w:rFonts w:ascii="宋体" w:hAnsi="宋体" w:cs="宋体"/>
      <w:color w:val="000000"/>
      <w:kern w:val="0"/>
      <w:sz w:val="18"/>
      <w:szCs w:val="18"/>
    </w:rPr>
  </w:style>
  <w:style w:type="paragraph" w:customStyle="1" w:styleId="162">
    <w:name w:val="xl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color w:val="000000"/>
      <w:kern w:val="0"/>
      <w:sz w:val="18"/>
      <w:szCs w:val="18"/>
    </w:rPr>
  </w:style>
  <w:style w:type="paragraph" w:customStyle="1" w:styleId="163">
    <w:name w:val="xl319"/>
    <w:basedOn w:val="1"/>
    <w:qFormat/>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64">
    <w:name w:val="xl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65">
    <w:name w:val="xl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66">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EA298"/>
      <w:spacing w:before="100" w:beforeAutospacing="1" w:after="100" w:afterAutospacing="1"/>
      <w:jc w:val="left"/>
    </w:pPr>
    <w:rPr>
      <w:rFonts w:ascii="宋体" w:hAnsi="宋体" w:cs="宋体"/>
      <w:color w:val="000000"/>
      <w:kern w:val="0"/>
      <w:sz w:val="18"/>
      <w:szCs w:val="18"/>
    </w:rPr>
  </w:style>
  <w:style w:type="paragraph" w:customStyle="1" w:styleId="167">
    <w:name w:val="xl323"/>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center"/>
    </w:pPr>
    <w:rPr>
      <w:rFonts w:ascii="Times New Roman" w:hAnsi="Times New Roman"/>
      <w:b/>
      <w:bCs/>
      <w:color w:val="000000"/>
      <w:kern w:val="0"/>
      <w:sz w:val="20"/>
      <w:szCs w:val="20"/>
    </w:rPr>
  </w:style>
  <w:style w:type="paragraph" w:customStyle="1" w:styleId="168">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left"/>
    </w:pPr>
    <w:rPr>
      <w:rFonts w:ascii="宋体" w:hAnsi="宋体" w:cs="宋体"/>
      <w:b/>
      <w:bCs/>
      <w:color w:val="000000"/>
      <w:kern w:val="0"/>
      <w:sz w:val="20"/>
      <w:szCs w:val="20"/>
    </w:rPr>
  </w:style>
  <w:style w:type="paragraph" w:customStyle="1" w:styleId="169">
    <w:name w:val="xl325"/>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center"/>
    </w:pPr>
    <w:rPr>
      <w:rFonts w:ascii="宋体" w:hAnsi="宋体" w:cs="宋体"/>
      <w:b/>
      <w:bCs/>
      <w:color w:val="000000"/>
      <w:kern w:val="0"/>
      <w:sz w:val="20"/>
      <w:szCs w:val="20"/>
    </w:rPr>
  </w:style>
  <w:style w:type="paragraph" w:customStyle="1" w:styleId="170">
    <w:name w:val="xl326"/>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center"/>
    </w:pPr>
    <w:rPr>
      <w:rFonts w:ascii="宋体" w:hAnsi="宋体" w:cs="宋体"/>
      <w:b/>
      <w:bCs/>
      <w:color w:val="000000"/>
      <w:kern w:val="0"/>
      <w:sz w:val="20"/>
      <w:szCs w:val="20"/>
    </w:rPr>
  </w:style>
  <w:style w:type="paragraph" w:customStyle="1" w:styleId="171">
    <w:name w:val="xl327"/>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center"/>
    </w:pPr>
    <w:rPr>
      <w:rFonts w:ascii="Times New Roman" w:hAnsi="Times New Roman"/>
      <w:b/>
      <w:bCs/>
      <w:color w:val="000000"/>
      <w:kern w:val="0"/>
      <w:sz w:val="20"/>
      <w:szCs w:val="20"/>
    </w:rPr>
  </w:style>
  <w:style w:type="paragraph" w:customStyle="1" w:styleId="172">
    <w:name w:val="xl328"/>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center"/>
    </w:pPr>
    <w:rPr>
      <w:rFonts w:ascii="宋体" w:hAnsi="宋体" w:cs="宋体"/>
      <w:b/>
      <w:bCs/>
      <w:color w:val="000000"/>
      <w:kern w:val="0"/>
      <w:sz w:val="20"/>
      <w:szCs w:val="20"/>
    </w:rPr>
  </w:style>
  <w:style w:type="paragraph" w:customStyle="1" w:styleId="173">
    <w:name w:val="xl329"/>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right"/>
    </w:pPr>
    <w:rPr>
      <w:rFonts w:ascii="Times New Roman" w:hAnsi="Times New Roman"/>
      <w:b/>
      <w:bCs/>
      <w:color w:val="000000"/>
      <w:kern w:val="0"/>
      <w:sz w:val="20"/>
      <w:szCs w:val="20"/>
    </w:rPr>
  </w:style>
  <w:style w:type="paragraph" w:customStyle="1" w:styleId="174">
    <w:name w:val="xl330"/>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left"/>
    </w:pPr>
    <w:rPr>
      <w:rFonts w:ascii="宋体" w:hAnsi="宋体" w:cs="宋体"/>
      <w:color w:val="000000"/>
      <w:kern w:val="0"/>
      <w:sz w:val="20"/>
      <w:szCs w:val="20"/>
    </w:rPr>
  </w:style>
  <w:style w:type="paragraph" w:customStyle="1" w:styleId="175">
    <w:name w:val="xl331"/>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center"/>
    </w:pPr>
    <w:rPr>
      <w:rFonts w:ascii="Times New Roman" w:hAnsi="Times New Roman"/>
      <w:color w:val="000000"/>
      <w:kern w:val="0"/>
      <w:sz w:val="20"/>
      <w:szCs w:val="20"/>
    </w:rPr>
  </w:style>
  <w:style w:type="paragraph" w:customStyle="1" w:styleId="176">
    <w:name w:val="xl332"/>
    <w:basedOn w:val="1"/>
    <w:qFormat/>
    <w:uiPriority w:val="0"/>
    <w:pPr>
      <w:widowControl/>
      <w:pBdr>
        <w:top w:val="single" w:color="auto" w:sz="4" w:space="0"/>
        <w:left w:val="single" w:color="auto" w:sz="4" w:space="0"/>
        <w:bottom w:val="single" w:color="auto" w:sz="4" w:space="0"/>
        <w:right w:val="single" w:color="auto" w:sz="4" w:space="0"/>
      </w:pBdr>
      <w:shd w:val="clear" w:color="000000" w:fill="D2FCFE"/>
      <w:spacing w:before="100" w:beforeAutospacing="1" w:after="100" w:afterAutospacing="1"/>
      <w:jc w:val="center"/>
    </w:pPr>
    <w:rPr>
      <w:rFonts w:ascii="宋体" w:hAnsi="宋体" w:cs="宋体"/>
      <w:b/>
      <w:bCs/>
      <w:color w:val="000000"/>
      <w:kern w:val="0"/>
      <w:sz w:val="20"/>
      <w:szCs w:val="20"/>
    </w:rPr>
  </w:style>
  <w:style w:type="paragraph" w:customStyle="1" w:styleId="177">
    <w:name w:val="xl333"/>
    <w:basedOn w:val="1"/>
    <w:qFormat/>
    <w:uiPriority w:val="0"/>
    <w:pPr>
      <w:widowControl/>
      <w:pBdr>
        <w:top w:val="single" w:color="auto" w:sz="4" w:space="0"/>
        <w:left w:val="single" w:color="auto" w:sz="4" w:space="0"/>
        <w:bottom w:val="single" w:color="auto" w:sz="4" w:space="0"/>
        <w:right w:val="single" w:color="auto" w:sz="4" w:space="0"/>
      </w:pBdr>
      <w:shd w:val="clear" w:color="000000" w:fill="D2FCFE"/>
      <w:spacing w:before="100" w:beforeAutospacing="1" w:after="100" w:afterAutospacing="1"/>
      <w:jc w:val="left"/>
    </w:pPr>
    <w:rPr>
      <w:rFonts w:ascii="宋体" w:hAnsi="宋体" w:cs="宋体"/>
      <w:b/>
      <w:bCs/>
      <w:color w:val="000000"/>
      <w:kern w:val="0"/>
      <w:sz w:val="20"/>
      <w:szCs w:val="20"/>
    </w:rPr>
  </w:style>
  <w:style w:type="paragraph" w:customStyle="1" w:styleId="178">
    <w:name w:val="xl334"/>
    <w:basedOn w:val="1"/>
    <w:qFormat/>
    <w:uiPriority w:val="0"/>
    <w:pPr>
      <w:widowControl/>
      <w:pBdr>
        <w:top w:val="single" w:color="auto" w:sz="4" w:space="0"/>
        <w:left w:val="single" w:color="auto" w:sz="4" w:space="0"/>
        <w:bottom w:val="single" w:color="auto" w:sz="4" w:space="0"/>
        <w:right w:val="single" w:color="auto" w:sz="4" w:space="0"/>
      </w:pBdr>
      <w:shd w:val="clear" w:color="000000" w:fill="D2FCFE"/>
      <w:spacing w:before="100" w:beforeAutospacing="1" w:after="100" w:afterAutospacing="1"/>
      <w:jc w:val="center"/>
    </w:pPr>
    <w:rPr>
      <w:rFonts w:ascii="Times New Roman" w:hAnsi="Times New Roman"/>
      <w:b/>
      <w:bCs/>
      <w:color w:val="000000"/>
      <w:kern w:val="0"/>
      <w:sz w:val="20"/>
      <w:szCs w:val="20"/>
    </w:rPr>
  </w:style>
  <w:style w:type="paragraph" w:customStyle="1" w:styleId="179">
    <w:name w:val="xl335"/>
    <w:basedOn w:val="1"/>
    <w:qFormat/>
    <w:uiPriority w:val="0"/>
    <w:pPr>
      <w:widowControl/>
      <w:pBdr>
        <w:top w:val="single" w:color="auto" w:sz="4" w:space="0"/>
        <w:left w:val="single" w:color="auto" w:sz="4" w:space="0"/>
        <w:bottom w:val="single" w:color="auto" w:sz="4" w:space="0"/>
        <w:right w:val="single" w:color="auto" w:sz="4" w:space="0"/>
      </w:pBdr>
      <w:shd w:val="clear" w:color="000000" w:fill="D2FCFE"/>
      <w:spacing w:before="100" w:beforeAutospacing="1" w:after="100" w:afterAutospacing="1"/>
      <w:jc w:val="right"/>
    </w:pPr>
    <w:rPr>
      <w:rFonts w:ascii="Times New Roman" w:hAnsi="Times New Roman"/>
      <w:b/>
      <w:bCs/>
      <w:color w:val="000000"/>
      <w:kern w:val="0"/>
      <w:sz w:val="20"/>
      <w:szCs w:val="20"/>
    </w:rPr>
  </w:style>
  <w:style w:type="paragraph" w:customStyle="1" w:styleId="180">
    <w:name w:val="xl336"/>
    <w:basedOn w:val="1"/>
    <w:qFormat/>
    <w:uiPriority w:val="0"/>
    <w:pPr>
      <w:widowControl/>
      <w:pBdr>
        <w:top w:val="single" w:color="auto" w:sz="4" w:space="0"/>
        <w:left w:val="single" w:color="auto" w:sz="4" w:space="0"/>
        <w:bottom w:val="single" w:color="auto" w:sz="4" w:space="0"/>
        <w:right w:val="single" w:color="auto" w:sz="4" w:space="0"/>
      </w:pBdr>
      <w:shd w:val="clear" w:color="000000" w:fill="D2FCFE"/>
      <w:spacing w:before="100" w:beforeAutospacing="1" w:after="100" w:afterAutospacing="1"/>
      <w:jc w:val="center"/>
    </w:pPr>
    <w:rPr>
      <w:rFonts w:ascii="Times New Roman" w:hAnsi="Times New Roman"/>
      <w:color w:val="000000"/>
      <w:kern w:val="0"/>
      <w:sz w:val="20"/>
      <w:szCs w:val="20"/>
    </w:rPr>
  </w:style>
  <w:style w:type="paragraph" w:customStyle="1" w:styleId="181">
    <w:name w:val="xl3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182">
    <w:name w:val="xl338"/>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right"/>
    </w:pPr>
    <w:rPr>
      <w:rFonts w:ascii="宋体" w:hAnsi="宋体" w:cs="宋体"/>
      <w:b/>
      <w:bCs/>
      <w:color w:val="000000"/>
      <w:kern w:val="0"/>
      <w:sz w:val="20"/>
      <w:szCs w:val="20"/>
    </w:rPr>
  </w:style>
  <w:style w:type="paragraph" w:customStyle="1" w:styleId="183">
    <w:name w:val="xl339"/>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right"/>
    </w:pPr>
    <w:rPr>
      <w:rFonts w:ascii="宋体" w:hAnsi="宋体" w:cs="宋体"/>
      <w:b/>
      <w:bCs/>
      <w:color w:val="000000"/>
      <w:kern w:val="0"/>
      <w:sz w:val="20"/>
      <w:szCs w:val="20"/>
    </w:rPr>
  </w:style>
  <w:style w:type="paragraph" w:customStyle="1" w:styleId="184">
    <w:name w:val="xl3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185">
    <w:name w:val="xl3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186">
    <w:name w:val="xl342"/>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right"/>
    </w:pPr>
    <w:rPr>
      <w:rFonts w:ascii="宋体" w:hAnsi="宋体" w:cs="宋体"/>
      <w:b/>
      <w:bCs/>
      <w:color w:val="000000"/>
      <w:kern w:val="0"/>
      <w:sz w:val="20"/>
      <w:szCs w:val="20"/>
    </w:rPr>
  </w:style>
  <w:style w:type="paragraph" w:customStyle="1" w:styleId="187">
    <w:name w:val="xl34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color w:val="000000"/>
      <w:kern w:val="0"/>
      <w:sz w:val="20"/>
      <w:szCs w:val="20"/>
    </w:rPr>
  </w:style>
  <w:style w:type="paragraph" w:customStyle="1" w:styleId="188">
    <w:name w:val="xl344"/>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right"/>
    </w:pPr>
    <w:rPr>
      <w:rFonts w:ascii="宋体" w:hAnsi="宋体" w:cs="宋体"/>
      <w:b/>
      <w:bCs/>
      <w:color w:val="000000"/>
      <w:kern w:val="0"/>
      <w:sz w:val="20"/>
      <w:szCs w:val="20"/>
    </w:rPr>
  </w:style>
  <w:style w:type="paragraph" w:customStyle="1" w:styleId="189">
    <w:name w:val="xl3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color w:val="000000"/>
      <w:kern w:val="0"/>
      <w:sz w:val="20"/>
      <w:szCs w:val="20"/>
    </w:rPr>
  </w:style>
  <w:style w:type="paragraph" w:customStyle="1" w:styleId="190">
    <w:name w:val="xl346"/>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right"/>
    </w:pPr>
    <w:rPr>
      <w:rFonts w:ascii="宋体" w:hAnsi="宋体" w:cs="宋体"/>
      <w:b/>
      <w:bCs/>
      <w:color w:val="000000"/>
      <w:kern w:val="0"/>
      <w:sz w:val="20"/>
      <w:szCs w:val="20"/>
    </w:rPr>
  </w:style>
  <w:style w:type="paragraph" w:customStyle="1" w:styleId="191">
    <w:name w:val="xl347"/>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right"/>
    </w:pPr>
    <w:rPr>
      <w:rFonts w:ascii="宋体" w:hAnsi="宋体" w:cs="宋体"/>
      <w:b/>
      <w:bCs/>
      <w:color w:val="000000"/>
      <w:kern w:val="0"/>
      <w:sz w:val="20"/>
      <w:szCs w:val="20"/>
    </w:rPr>
  </w:style>
  <w:style w:type="paragraph" w:customStyle="1" w:styleId="192">
    <w:name w:val="xl348"/>
    <w:basedOn w:val="1"/>
    <w:qFormat/>
    <w:uiPriority w:val="0"/>
    <w:pPr>
      <w:widowControl/>
      <w:pBdr>
        <w:top w:val="single" w:color="auto" w:sz="4" w:space="0"/>
        <w:left w:val="single" w:color="auto" w:sz="4" w:space="0"/>
        <w:bottom w:val="single" w:color="auto" w:sz="4" w:space="0"/>
        <w:right w:val="single" w:color="auto" w:sz="4" w:space="0"/>
      </w:pBdr>
      <w:shd w:val="clear" w:color="000000" w:fill="D2FCFE"/>
      <w:spacing w:before="100" w:beforeAutospacing="1" w:after="100" w:afterAutospacing="1"/>
      <w:jc w:val="right"/>
    </w:pPr>
    <w:rPr>
      <w:rFonts w:ascii="宋体" w:hAnsi="宋体" w:cs="宋体"/>
      <w:b/>
      <w:bCs/>
      <w:color w:val="000000"/>
      <w:kern w:val="0"/>
      <w:sz w:val="20"/>
      <w:szCs w:val="20"/>
    </w:rPr>
  </w:style>
  <w:style w:type="paragraph" w:customStyle="1" w:styleId="193">
    <w:name w:val="xl349"/>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center"/>
    </w:pPr>
    <w:rPr>
      <w:rFonts w:ascii="宋体" w:hAnsi="宋体" w:cs="宋体"/>
      <w:color w:val="000000"/>
      <w:kern w:val="0"/>
      <w:sz w:val="20"/>
      <w:szCs w:val="20"/>
    </w:rPr>
  </w:style>
  <w:style w:type="paragraph" w:customStyle="1" w:styleId="194">
    <w:name w:val="xl350"/>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center"/>
    </w:pPr>
    <w:rPr>
      <w:rFonts w:ascii="宋体" w:hAnsi="宋体" w:cs="宋体"/>
      <w:color w:val="000000"/>
      <w:kern w:val="0"/>
      <w:sz w:val="20"/>
      <w:szCs w:val="20"/>
    </w:rPr>
  </w:style>
  <w:style w:type="paragraph" w:customStyle="1" w:styleId="195">
    <w:name w:val="xl3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96">
    <w:name w:val="xl3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97">
    <w:name w:val="xl353"/>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center"/>
    </w:pPr>
    <w:rPr>
      <w:rFonts w:ascii="宋体" w:hAnsi="宋体" w:cs="宋体"/>
      <w:b/>
      <w:bCs/>
      <w:color w:val="000000"/>
      <w:kern w:val="0"/>
      <w:sz w:val="18"/>
      <w:szCs w:val="18"/>
    </w:rPr>
  </w:style>
  <w:style w:type="paragraph" w:customStyle="1" w:styleId="198">
    <w:name w:val="xl3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Times New Roman" w:hAnsi="Times New Roman"/>
      <w:color w:val="000000"/>
      <w:kern w:val="0"/>
      <w:sz w:val="20"/>
      <w:szCs w:val="20"/>
    </w:rPr>
  </w:style>
  <w:style w:type="paragraph" w:customStyle="1" w:styleId="199">
    <w:name w:val="xl3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Times New Roman" w:hAnsi="Times New Roman"/>
      <w:color w:val="000000"/>
      <w:kern w:val="0"/>
      <w:sz w:val="20"/>
      <w:szCs w:val="20"/>
    </w:rPr>
  </w:style>
  <w:style w:type="paragraph" w:customStyle="1" w:styleId="200">
    <w:name w:val="xl356"/>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left"/>
    </w:pPr>
    <w:rPr>
      <w:rFonts w:ascii="宋体" w:hAnsi="宋体" w:cs="宋体"/>
      <w:b/>
      <w:bCs/>
      <w:color w:val="000000"/>
      <w:kern w:val="0"/>
      <w:sz w:val="18"/>
      <w:szCs w:val="18"/>
    </w:rPr>
  </w:style>
  <w:style w:type="paragraph" w:customStyle="1" w:styleId="201">
    <w:name w:val="xl357"/>
    <w:basedOn w:val="1"/>
    <w:qFormat/>
    <w:uiPriority w:val="0"/>
    <w:pPr>
      <w:widowControl/>
      <w:pBdr>
        <w:top w:val="single" w:color="auto" w:sz="4" w:space="0"/>
        <w:left w:val="single" w:color="auto" w:sz="4" w:space="0"/>
        <w:bottom w:val="single" w:color="auto" w:sz="4" w:space="0"/>
        <w:right w:val="single" w:color="auto" w:sz="4" w:space="0"/>
      </w:pBdr>
      <w:shd w:val="clear" w:color="000000" w:fill="D9FDCF"/>
      <w:spacing w:before="100" w:beforeAutospacing="1" w:after="100" w:afterAutospacing="1"/>
      <w:jc w:val="left"/>
    </w:pPr>
    <w:rPr>
      <w:rFonts w:ascii="宋体" w:hAnsi="宋体" w:cs="宋体"/>
      <w:b/>
      <w:bCs/>
      <w:color w:val="000000"/>
      <w:kern w:val="0"/>
      <w:sz w:val="18"/>
      <w:szCs w:val="18"/>
    </w:rPr>
  </w:style>
  <w:style w:type="paragraph" w:customStyle="1" w:styleId="202">
    <w:name w:val="xl358"/>
    <w:basedOn w:val="1"/>
    <w:qFormat/>
    <w:uiPriority w:val="0"/>
    <w:pPr>
      <w:widowControl/>
      <w:pBdr>
        <w:top w:val="single" w:color="auto" w:sz="4" w:space="0"/>
        <w:left w:val="single" w:color="auto" w:sz="4" w:space="0"/>
        <w:bottom w:val="single" w:color="auto" w:sz="4" w:space="0"/>
        <w:right w:val="single" w:color="auto" w:sz="4" w:space="0"/>
      </w:pBdr>
      <w:shd w:val="clear" w:color="000000" w:fill="D2FCFE"/>
      <w:spacing w:before="100" w:beforeAutospacing="1" w:after="100" w:afterAutospacing="1"/>
      <w:jc w:val="left"/>
    </w:pPr>
    <w:rPr>
      <w:rFonts w:ascii="宋体" w:hAnsi="宋体" w:cs="宋体"/>
      <w:b/>
      <w:bCs/>
      <w:color w:val="000000"/>
      <w:kern w:val="0"/>
      <w:sz w:val="18"/>
      <w:szCs w:val="18"/>
    </w:rPr>
  </w:style>
  <w:style w:type="paragraph" w:customStyle="1" w:styleId="203">
    <w:name w:val="xl35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4">
    <w:name w:val="xl3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color w:val="000000"/>
      <w:kern w:val="0"/>
      <w:sz w:val="20"/>
      <w:szCs w:val="20"/>
    </w:rPr>
  </w:style>
  <w:style w:type="paragraph" w:customStyle="1" w:styleId="205">
    <w:name w:val="xl3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206">
    <w:name w:val="xl3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Times New Roman" w:hAnsi="Times New Roman"/>
      <w:color w:val="000000"/>
      <w:kern w:val="0"/>
      <w:sz w:val="20"/>
      <w:szCs w:val="20"/>
    </w:rPr>
  </w:style>
  <w:style w:type="paragraph" w:customStyle="1" w:styleId="207">
    <w:name w:val="xl3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Times New Roman" w:hAnsi="Times New Roman"/>
      <w:color w:val="000000"/>
      <w:kern w:val="0"/>
      <w:sz w:val="20"/>
      <w:szCs w:val="20"/>
    </w:rPr>
  </w:style>
  <w:style w:type="paragraph" w:customStyle="1" w:styleId="208">
    <w:name w:val="xl3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3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3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11">
    <w:name w:val="xl3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2">
    <w:name w:val="xl3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color w:val="000000"/>
      <w:kern w:val="0"/>
      <w:sz w:val="20"/>
      <w:szCs w:val="20"/>
    </w:rPr>
  </w:style>
  <w:style w:type="paragraph" w:customStyle="1" w:styleId="213">
    <w:name w:val="xl3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214">
    <w:name w:val="xl370"/>
    <w:basedOn w:val="1"/>
    <w:qFormat/>
    <w:uiPriority w:val="0"/>
    <w:pPr>
      <w:widowControl/>
      <w:pBdr>
        <w:top w:val="single" w:color="auto" w:sz="4" w:space="0"/>
        <w:left w:val="single" w:color="auto" w:sz="4" w:space="0"/>
        <w:bottom w:val="single" w:color="auto" w:sz="4" w:space="0"/>
        <w:right w:val="single" w:color="auto" w:sz="4" w:space="0"/>
      </w:pBdr>
      <w:shd w:val="clear" w:color="000000" w:fill="BFFAFD"/>
      <w:spacing w:before="100" w:beforeAutospacing="1" w:after="100" w:afterAutospacing="1"/>
      <w:jc w:val="right"/>
    </w:pPr>
    <w:rPr>
      <w:rFonts w:ascii="宋体" w:hAnsi="宋体" w:cs="宋体"/>
      <w:b/>
      <w:bCs/>
      <w:color w:val="000000"/>
      <w:kern w:val="0"/>
      <w:sz w:val="20"/>
      <w:szCs w:val="20"/>
    </w:rPr>
  </w:style>
  <w:style w:type="paragraph" w:customStyle="1" w:styleId="215">
    <w:name w:val="xl37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216">
    <w:name w:val="xl372"/>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Times New Roman" w:hAnsi="Times New Roman"/>
      <w:color w:val="000000"/>
      <w:kern w:val="0"/>
      <w:sz w:val="16"/>
      <w:szCs w:val="16"/>
    </w:rPr>
  </w:style>
  <w:style w:type="paragraph" w:customStyle="1" w:styleId="217">
    <w:name w:val="xl37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color w:val="000000"/>
      <w:kern w:val="0"/>
      <w:sz w:val="16"/>
      <w:szCs w:val="16"/>
    </w:rPr>
  </w:style>
  <w:style w:type="paragraph" w:customStyle="1" w:styleId="218">
    <w:name w:val="xl3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color w:val="000000"/>
      <w:kern w:val="0"/>
      <w:sz w:val="18"/>
      <w:szCs w:val="18"/>
    </w:rPr>
  </w:style>
  <w:style w:type="paragraph" w:customStyle="1" w:styleId="219">
    <w:name w:val="xl3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character" w:customStyle="1" w:styleId="222">
    <w:name w:val="正文样式 Char"/>
    <w:link w:val="223"/>
    <w:qFormat/>
    <w:uiPriority w:val="0"/>
    <w:rPr>
      <w:sz w:val="24"/>
      <w:szCs w:val="24"/>
    </w:rPr>
  </w:style>
  <w:style w:type="paragraph" w:customStyle="1" w:styleId="223">
    <w:name w:val="正文样式"/>
    <w:basedOn w:val="1"/>
    <w:link w:val="222"/>
    <w:qFormat/>
    <w:uiPriority w:val="0"/>
    <w:pPr>
      <w:spacing w:line="480" w:lineRule="exact"/>
      <w:ind w:firstLine="480" w:firstLineChars="200"/>
    </w:pPr>
    <w:rPr>
      <w:kern w:val="0"/>
      <w:sz w:val="24"/>
      <w:szCs w:val="24"/>
    </w:rPr>
  </w:style>
  <w:style w:type="paragraph" w:customStyle="1" w:styleId="22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25">
    <w:name w:val="封面一级标题文字"/>
    <w:basedOn w:val="223"/>
    <w:qFormat/>
    <w:uiPriority w:val="0"/>
    <w:pPr>
      <w:spacing w:line="640" w:lineRule="exact"/>
      <w:ind w:firstLine="0" w:firstLineChars="0"/>
      <w:jc w:val="center"/>
    </w:pPr>
    <w:rPr>
      <w:rFonts w:ascii="黑体" w:hAnsi="黑体" w:eastAsia="黑体"/>
      <w:b/>
      <w:bCs/>
      <w:sz w:val="52"/>
    </w:rPr>
  </w:style>
  <w:style w:type="paragraph" w:customStyle="1" w:styleId="226">
    <w:name w:val="“目录”"/>
    <w:basedOn w:val="223"/>
    <w:qFormat/>
    <w:uiPriority w:val="0"/>
    <w:pPr>
      <w:ind w:firstLine="0" w:firstLineChars="0"/>
      <w:jc w:val="center"/>
    </w:pPr>
    <w:rPr>
      <w:b/>
      <w:sz w:val="44"/>
    </w:rPr>
  </w:style>
  <w:style w:type="character" w:customStyle="1" w:styleId="227">
    <w:name w:val="HTML 预设格式 字符"/>
    <w:basedOn w:val="44"/>
    <w:link w:val="36"/>
    <w:qFormat/>
    <w:uiPriority w:val="99"/>
    <w:rPr>
      <w:rFonts w:ascii="Courier New" w:hAnsi="Courier New" w:cs="Courier New"/>
      <w:kern w:val="2"/>
    </w:rPr>
  </w:style>
  <w:style w:type="character" w:customStyle="1" w:styleId="228">
    <w:name w:val="不明显强调11"/>
    <w:qFormat/>
    <w:uiPriority w:val="0"/>
    <w:rPr>
      <w:i/>
      <w:iCs/>
      <w:color w:val="808080"/>
    </w:rPr>
  </w:style>
  <w:style w:type="character" w:customStyle="1" w:styleId="229">
    <w:name w:val="明显强调11"/>
    <w:qFormat/>
    <w:uiPriority w:val="0"/>
    <w:rPr>
      <w:b/>
      <w:bCs/>
      <w:i/>
      <w:iCs/>
      <w:color w:val="4F81BD"/>
    </w:rPr>
  </w:style>
  <w:style w:type="character" w:customStyle="1" w:styleId="230">
    <w:name w:val="不明显参考11"/>
    <w:qFormat/>
    <w:uiPriority w:val="0"/>
    <w:rPr>
      <w:smallCaps/>
      <w:color w:val="C0504D"/>
      <w:u w:val="single"/>
    </w:rPr>
  </w:style>
  <w:style w:type="character" w:customStyle="1" w:styleId="231">
    <w:name w:val="明显参考11"/>
    <w:qFormat/>
    <w:uiPriority w:val="0"/>
    <w:rPr>
      <w:b/>
      <w:bCs/>
      <w:smallCaps/>
      <w:color w:val="C0504D"/>
      <w:spacing w:val="5"/>
      <w:u w:val="single"/>
    </w:rPr>
  </w:style>
  <w:style w:type="character" w:customStyle="1" w:styleId="232">
    <w:name w:val="书籍标题11"/>
    <w:qFormat/>
    <w:uiPriority w:val="0"/>
    <w:rPr>
      <w:b/>
      <w:bCs/>
      <w:smallCaps/>
      <w:spacing w:val="5"/>
    </w:rPr>
  </w:style>
  <w:style w:type="paragraph" w:customStyle="1" w:styleId="233">
    <w:name w:val="TOC 标题11"/>
    <w:basedOn w:val="3"/>
    <w:next w:val="1"/>
    <w:unhideWhenUsed/>
    <w:qFormat/>
    <w:uiPriority w:val="39"/>
    <w:pPr>
      <w:spacing w:before="340" w:after="330" w:line="578" w:lineRule="auto"/>
      <w:jc w:val="both"/>
      <w:outlineLvl w:val="9"/>
    </w:pPr>
    <w:rPr>
      <w:rFonts w:ascii="Times New Roman" w:hAnsi="Times New Roman"/>
      <w:sz w:val="44"/>
    </w:rPr>
  </w:style>
  <w:style w:type="paragraph" w:customStyle="1" w:styleId="234">
    <w:name w:val="引用1"/>
    <w:basedOn w:val="1"/>
    <w:next w:val="1"/>
    <w:qFormat/>
    <w:uiPriority w:val="0"/>
    <w:pPr>
      <w:spacing w:before="200" w:line="360" w:lineRule="auto"/>
      <w:ind w:left="360" w:right="360"/>
    </w:pPr>
    <w:rPr>
      <w:rFonts w:ascii="Times New Roman" w:hAnsi="Times New Roman" w:cs="Calibri"/>
      <w:i/>
      <w:iCs/>
      <w:szCs w:val="24"/>
    </w:rPr>
  </w:style>
  <w:style w:type="paragraph" w:customStyle="1" w:styleId="235">
    <w:name w:val="明显引用1"/>
    <w:basedOn w:val="1"/>
    <w:next w:val="1"/>
    <w:qFormat/>
    <w:uiPriority w:val="0"/>
    <w:pPr>
      <w:pBdr>
        <w:bottom w:val="single" w:color="auto" w:sz="4" w:space="1"/>
      </w:pBdr>
      <w:spacing w:before="200" w:after="280" w:line="360" w:lineRule="auto"/>
      <w:ind w:left="1008" w:right="1152"/>
    </w:pPr>
    <w:rPr>
      <w:rFonts w:ascii="Times New Roman" w:hAnsi="Times New Roman" w:cs="Calibri"/>
      <w:b/>
      <w:bCs/>
      <w:i/>
      <w:iCs/>
      <w:szCs w:val="24"/>
    </w:rPr>
  </w:style>
  <w:style w:type="paragraph" w:customStyle="1" w:styleId="236">
    <w:name w:val="cucd-3"/>
    <w:next w:val="237"/>
    <w:link w:val="241"/>
    <w:qFormat/>
    <w:uiPriority w:val="99"/>
    <w:pPr>
      <w:tabs>
        <w:tab w:val="left" w:pos="1135"/>
      </w:tabs>
      <w:spacing w:line="360" w:lineRule="auto"/>
      <w:ind w:left="1135" w:hanging="709"/>
      <w:jc w:val="both"/>
      <w:outlineLvl w:val="2"/>
    </w:pPr>
    <w:rPr>
      <w:rFonts w:ascii="Calibri" w:hAnsi="Calibri" w:eastAsia="宋体" w:cs="Times New Roman"/>
      <w:b/>
      <w:kern w:val="2"/>
      <w:sz w:val="28"/>
      <w:szCs w:val="24"/>
      <w:lang w:val="en-US" w:eastAsia="zh-CN" w:bidi="ar-SA"/>
    </w:rPr>
  </w:style>
  <w:style w:type="paragraph" w:customStyle="1" w:styleId="237">
    <w:name w:val="cucd-4"/>
    <w:next w:val="238"/>
    <w:link w:val="240"/>
    <w:qFormat/>
    <w:uiPriority w:val="99"/>
    <w:pPr>
      <w:tabs>
        <w:tab w:val="left" w:pos="425"/>
      </w:tabs>
      <w:spacing w:line="360" w:lineRule="auto"/>
      <w:ind w:left="851" w:hanging="851"/>
      <w:jc w:val="both"/>
      <w:outlineLvl w:val="3"/>
    </w:pPr>
    <w:rPr>
      <w:rFonts w:ascii="Calibri" w:hAnsi="Calibri" w:eastAsia="宋体" w:cs="Times New Roman"/>
      <w:b/>
      <w:kern w:val="2"/>
      <w:sz w:val="24"/>
      <w:szCs w:val="24"/>
      <w:lang w:val="en-US" w:eastAsia="zh-CN" w:bidi="ar-SA"/>
    </w:rPr>
  </w:style>
  <w:style w:type="paragraph" w:customStyle="1" w:styleId="238">
    <w:name w:val="cucd-0"/>
    <w:link w:val="239"/>
    <w:qFormat/>
    <w:uiPriority w:val="99"/>
    <w:pPr>
      <w:spacing w:line="360" w:lineRule="auto"/>
      <w:ind w:firstLine="480" w:firstLineChars="200"/>
      <w:jc w:val="both"/>
    </w:pPr>
    <w:rPr>
      <w:rFonts w:ascii="Calibri" w:hAnsi="Calibri" w:eastAsia="宋体" w:cs="Times New Roman"/>
      <w:kern w:val="2"/>
      <w:sz w:val="24"/>
      <w:szCs w:val="24"/>
      <w:lang w:val="en-US" w:eastAsia="zh-CN" w:bidi="ar-SA"/>
    </w:rPr>
  </w:style>
  <w:style w:type="character" w:customStyle="1" w:styleId="239">
    <w:name w:val="cucd-0 Char Char"/>
    <w:link w:val="238"/>
    <w:qFormat/>
    <w:locked/>
    <w:uiPriority w:val="99"/>
    <w:rPr>
      <w:kern w:val="2"/>
      <w:sz w:val="24"/>
      <w:szCs w:val="24"/>
      <w:lang w:bidi="ar-SA"/>
    </w:rPr>
  </w:style>
  <w:style w:type="character" w:customStyle="1" w:styleId="240">
    <w:name w:val="cucd-4 Char Char"/>
    <w:link w:val="237"/>
    <w:qFormat/>
    <w:locked/>
    <w:uiPriority w:val="99"/>
    <w:rPr>
      <w:b/>
      <w:kern w:val="2"/>
      <w:sz w:val="24"/>
      <w:szCs w:val="24"/>
      <w:lang w:bidi="ar-SA"/>
    </w:rPr>
  </w:style>
  <w:style w:type="character" w:customStyle="1" w:styleId="241">
    <w:name w:val="cucd-3 Char Char"/>
    <w:link w:val="236"/>
    <w:qFormat/>
    <w:locked/>
    <w:uiPriority w:val="99"/>
    <w:rPr>
      <w:b/>
      <w:kern w:val="2"/>
      <w:sz w:val="28"/>
      <w:szCs w:val="24"/>
      <w:lang w:bidi="ar-SA"/>
    </w:rPr>
  </w:style>
  <w:style w:type="paragraph" w:customStyle="1" w:styleId="242">
    <w:name w:val="cucd-1"/>
    <w:next w:val="243"/>
    <w:link w:val="245"/>
    <w:qFormat/>
    <w:uiPriority w:val="99"/>
    <w:pPr>
      <w:pageBreakBefore/>
      <w:tabs>
        <w:tab w:val="left" w:pos="360"/>
      </w:tabs>
      <w:spacing w:beforeLines="100" w:afterLines="50" w:line="360" w:lineRule="auto"/>
      <w:jc w:val="center"/>
      <w:outlineLvl w:val="0"/>
    </w:pPr>
    <w:rPr>
      <w:rFonts w:ascii="Calibri" w:hAnsi="Calibri" w:eastAsia="黑体" w:cs="Times New Roman"/>
      <w:b/>
      <w:kern w:val="2"/>
      <w:sz w:val="36"/>
      <w:szCs w:val="24"/>
      <w:lang w:val="en-US" w:eastAsia="zh-CN" w:bidi="ar-SA"/>
    </w:rPr>
  </w:style>
  <w:style w:type="paragraph" w:customStyle="1" w:styleId="243">
    <w:name w:val="cucd-2"/>
    <w:next w:val="236"/>
    <w:link w:val="244"/>
    <w:qFormat/>
    <w:uiPriority w:val="99"/>
    <w:pPr>
      <w:tabs>
        <w:tab w:val="left" w:pos="709"/>
      </w:tabs>
      <w:spacing w:line="360" w:lineRule="auto"/>
      <w:ind w:left="709" w:hanging="567"/>
      <w:jc w:val="both"/>
      <w:outlineLvl w:val="1"/>
    </w:pPr>
    <w:rPr>
      <w:rFonts w:ascii="Calibri" w:hAnsi="Calibri" w:eastAsia="黑体" w:cs="Times New Roman"/>
      <w:b/>
      <w:kern w:val="2"/>
      <w:sz w:val="30"/>
      <w:szCs w:val="24"/>
      <w:lang w:val="en-US" w:eastAsia="zh-CN" w:bidi="ar-SA"/>
    </w:rPr>
  </w:style>
  <w:style w:type="character" w:customStyle="1" w:styleId="244">
    <w:name w:val="cucd-2 Char Char"/>
    <w:link w:val="243"/>
    <w:qFormat/>
    <w:locked/>
    <w:uiPriority w:val="99"/>
    <w:rPr>
      <w:rFonts w:eastAsia="黑体"/>
      <w:b/>
      <w:kern w:val="2"/>
      <w:sz w:val="30"/>
      <w:szCs w:val="24"/>
      <w:lang w:bidi="ar-SA"/>
    </w:rPr>
  </w:style>
  <w:style w:type="character" w:customStyle="1" w:styleId="245">
    <w:name w:val="cucd-1 Char Char"/>
    <w:link w:val="242"/>
    <w:qFormat/>
    <w:locked/>
    <w:uiPriority w:val="99"/>
    <w:rPr>
      <w:rFonts w:eastAsia="黑体"/>
      <w:b/>
      <w:kern w:val="2"/>
      <w:sz w:val="36"/>
      <w:szCs w:val="24"/>
      <w:lang w:bidi="ar-SA"/>
    </w:rPr>
  </w:style>
  <w:style w:type="paragraph" w:customStyle="1" w:styleId="246">
    <w:name w:val="Char Char Char"/>
    <w:basedOn w:val="1"/>
    <w:qFormat/>
    <w:uiPriority w:val="99"/>
    <w:pPr>
      <w:adjustRightInd w:val="0"/>
      <w:spacing w:line="360" w:lineRule="atLeast"/>
      <w:ind w:left="1165" w:hanging="425"/>
      <w:textAlignment w:val="baseline"/>
    </w:pPr>
    <w:rPr>
      <w:rFonts w:ascii="Times New Roman" w:hAnsi="Times New Roman"/>
      <w:kern w:val="0"/>
      <w:sz w:val="24"/>
      <w:szCs w:val="20"/>
    </w:rPr>
  </w:style>
  <w:style w:type="paragraph" w:customStyle="1" w:styleId="247">
    <w:name w:val="Char1 Char Char Char"/>
    <w:basedOn w:val="1"/>
    <w:qFormat/>
    <w:uiPriority w:val="99"/>
    <w:pPr>
      <w:spacing w:line="360" w:lineRule="auto"/>
      <w:ind w:firstLine="200" w:firstLineChars="200"/>
    </w:pPr>
    <w:rPr>
      <w:rFonts w:ascii="宋体" w:hAnsi="宋体" w:eastAsia="仿宋_GB2312" w:cs="宋体"/>
      <w:sz w:val="24"/>
      <w:szCs w:val="24"/>
    </w:rPr>
  </w:style>
  <w:style w:type="paragraph" w:customStyle="1" w:styleId="248">
    <w:name w:val="表格1"/>
    <w:basedOn w:val="1"/>
    <w:next w:val="1"/>
    <w:qFormat/>
    <w:uiPriority w:val="0"/>
    <w:pPr>
      <w:adjustRightInd w:val="0"/>
      <w:snapToGrid w:val="0"/>
      <w:spacing w:line="240" w:lineRule="exact"/>
      <w:jc w:val="center"/>
    </w:pPr>
    <w:rPr>
      <w:rFonts w:ascii="宋体" w:hAnsi="宋体" w:eastAsia="仿宋_GB2312" w:cs="Calibri"/>
      <w:sz w:val="18"/>
      <w:szCs w:val="21"/>
    </w:rPr>
  </w:style>
  <w:style w:type="paragraph" w:customStyle="1" w:styleId="249">
    <w:name w:val="cauc-0"/>
    <w:link w:val="250"/>
    <w:qFormat/>
    <w:uiPriority w:val="99"/>
    <w:pPr>
      <w:spacing w:line="360" w:lineRule="auto"/>
      <w:ind w:firstLine="480" w:firstLineChars="200"/>
      <w:jc w:val="both"/>
    </w:pPr>
    <w:rPr>
      <w:rFonts w:ascii="Calibri" w:hAnsi="Calibri" w:eastAsia="宋体" w:cs="Times New Roman"/>
      <w:kern w:val="2"/>
      <w:sz w:val="24"/>
      <w:szCs w:val="24"/>
      <w:lang w:val="en-US" w:eastAsia="zh-CN" w:bidi="ar-SA"/>
    </w:rPr>
  </w:style>
  <w:style w:type="character" w:customStyle="1" w:styleId="250">
    <w:name w:val="cauc-0 Char Char"/>
    <w:link w:val="249"/>
    <w:qFormat/>
    <w:locked/>
    <w:uiPriority w:val="99"/>
    <w:rPr>
      <w:kern w:val="2"/>
      <w:sz w:val="24"/>
      <w:szCs w:val="24"/>
      <w:lang w:bidi="ar-SA"/>
    </w:rPr>
  </w:style>
  <w:style w:type="paragraph" w:customStyle="1" w:styleId="251">
    <w:name w:val="cucd-TB-Head"/>
    <w:basedOn w:val="1"/>
    <w:next w:val="238"/>
    <w:link w:val="252"/>
    <w:qFormat/>
    <w:uiPriority w:val="99"/>
    <w:pPr>
      <w:spacing w:line="360" w:lineRule="auto"/>
      <w:jc w:val="center"/>
    </w:pPr>
    <w:rPr>
      <w:rFonts w:ascii="Times New Roman" w:hAnsi="Times New Roman"/>
      <w:b/>
      <w:sz w:val="24"/>
      <w:szCs w:val="24"/>
    </w:rPr>
  </w:style>
  <w:style w:type="character" w:customStyle="1" w:styleId="252">
    <w:name w:val="cucd-TB-Head Char"/>
    <w:link w:val="251"/>
    <w:qFormat/>
    <w:locked/>
    <w:uiPriority w:val="99"/>
    <w:rPr>
      <w:rFonts w:ascii="Times New Roman" w:hAnsi="Times New Roman"/>
      <w:b/>
      <w:kern w:val="2"/>
      <w:sz w:val="24"/>
      <w:szCs w:val="24"/>
    </w:rPr>
  </w:style>
  <w:style w:type="character" w:customStyle="1" w:styleId="253">
    <w:name w:val="cucd-2 Char Char Char"/>
    <w:qFormat/>
    <w:uiPriority w:val="99"/>
    <w:rPr>
      <w:rFonts w:eastAsia="黑体"/>
      <w:b/>
      <w:kern w:val="2"/>
      <w:sz w:val="24"/>
      <w:lang w:val="en-US" w:eastAsia="zh-CN"/>
    </w:rPr>
  </w:style>
  <w:style w:type="character" w:customStyle="1" w:styleId="254">
    <w:name w:val="cucd-0 Char Char Char Char"/>
    <w:qFormat/>
    <w:uiPriority w:val="99"/>
    <w:rPr>
      <w:kern w:val="2"/>
      <w:sz w:val="24"/>
      <w:lang w:val="en-US" w:eastAsia="zh-CN"/>
    </w:rPr>
  </w:style>
  <w:style w:type="character" w:customStyle="1" w:styleId="255">
    <w:name w:val="页码1"/>
    <w:qFormat/>
    <w:uiPriority w:val="99"/>
    <w:rPr>
      <w:rFonts w:cs="Times New Roman"/>
    </w:rPr>
  </w:style>
  <w:style w:type="character" w:customStyle="1" w:styleId="256">
    <w:name w:val="批注引用1"/>
    <w:qFormat/>
    <w:uiPriority w:val="99"/>
    <w:rPr>
      <w:sz w:val="18"/>
    </w:rPr>
  </w:style>
  <w:style w:type="character" w:customStyle="1" w:styleId="257">
    <w:name w:val="cucd-0 Char Char Char"/>
    <w:qFormat/>
    <w:uiPriority w:val="99"/>
    <w:rPr>
      <w:kern w:val="2"/>
      <w:sz w:val="24"/>
      <w:lang w:val="en-US" w:eastAsia="zh-CN"/>
    </w:rPr>
  </w:style>
  <w:style w:type="character" w:customStyle="1" w:styleId="258">
    <w:name w:val="cucd-3 Char Char Char"/>
    <w:qFormat/>
    <w:uiPriority w:val="99"/>
    <w:rPr>
      <w:b/>
      <w:kern w:val="2"/>
      <w:sz w:val="24"/>
      <w:lang w:val="en-US" w:eastAsia="zh-CN"/>
    </w:rPr>
  </w:style>
  <w:style w:type="character" w:customStyle="1" w:styleId="259">
    <w:name w:val="cucd-0 Char"/>
    <w:qFormat/>
    <w:locked/>
    <w:uiPriority w:val="99"/>
    <w:rPr>
      <w:rFonts w:ascii="Arial" w:hAnsi="Arial"/>
      <w:kern w:val="2"/>
      <w:sz w:val="24"/>
    </w:rPr>
  </w:style>
  <w:style w:type="character" w:customStyle="1" w:styleId="260">
    <w:name w:val="cucd-0 Char1"/>
    <w:qFormat/>
    <w:locked/>
    <w:uiPriority w:val="99"/>
    <w:rPr>
      <w:rFonts w:cs="Times New Roman"/>
      <w:kern w:val="2"/>
      <w:sz w:val="24"/>
      <w:szCs w:val="24"/>
      <w:lang w:val="en-US" w:eastAsia="zh-CN" w:bidi="ar-SA"/>
    </w:rPr>
  </w:style>
  <w:style w:type="paragraph" w:customStyle="1" w:styleId="261">
    <w:name w:val="列出段落[858D7CFB-ED40-4347-BF05-701D383B685F][858D7CFB-ED40-4347-BF05-701D383B685F]"/>
    <w:basedOn w:val="1"/>
    <w:qFormat/>
    <w:uiPriority w:val="0"/>
    <w:pPr>
      <w:spacing w:line="360" w:lineRule="auto"/>
      <w:ind w:firstLine="420" w:firstLineChars="200"/>
    </w:pPr>
  </w:style>
  <w:style w:type="character" w:customStyle="1" w:styleId="262">
    <w:name w:val="表格字体 Char"/>
    <w:link w:val="263"/>
    <w:qFormat/>
    <w:uiPriority w:val="0"/>
    <w:rPr>
      <w:sz w:val="24"/>
      <w:szCs w:val="24"/>
    </w:rPr>
  </w:style>
  <w:style w:type="paragraph" w:customStyle="1" w:styleId="263">
    <w:name w:val="表格字体"/>
    <w:basedOn w:val="1"/>
    <w:link w:val="262"/>
    <w:qFormat/>
    <w:uiPriority w:val="0"/>
    <w:pPr>
      <w:adjustRightInd w:val="0"/>
      <w:snapToGrid w:val="0"/>
      <w:spacing w:line="360" w:lineRule="auto"/>
      <w:jc w:val="center"/>
    </w:pPr>
    <w:rPr>
      <w:kern w:val="0"/>
      <w:sz w:val="24"/>
      <w:szCs w:val="24"/>
    </w:rPr>
  </w:style>
  <w:style w:type="character" w:customStyle="1" w:styleId="264">
    <w:name w:val="表头字体 Char"/>
    <w:link w:val="265"/>
    <w:qFormat/>
    <w:uiPriority w:val="0"/>
    <w:rPr>
      <w:b/>
      <w:snapToGrid w:val="0"/>
      <w:kern w:val="28"/>
      <w:sz w:val="24"/>
      <w:szCs w:val="24"/>
    </w:rPr>
  </w:style>
  <w:style w:type="paragraph" w:customStyle="1" w:styleId="265">
    <w:name w:val="表头字体"/>
    <w:basedOn w:val="1"/>
    <w:link w:val="264"/>
    <w:qFormat/>
    <w:uiPriority w:val="0"/>
    <w:pPr>
      <w:spacing w:line="360" w:lineRule="auto"/>
      <w:jc w:val="left"/>
    </w:pPr>
    <w:rPr>
      <w:b/>
      <w:snapToGrid w:val="0"/>
      <w:kern w:val="28"/>
      <w:sz w:val="24"/>
      <w:szCs w:val="24"/>
    </w:rPr>
  </w:style>
  <w:style w:type="paragraph" w:customStyle="1" w:styleId="266">
    <w:name w:val="a 正文"/>
    <w:basedOn w:val="1"/>
    <w:qFormat/>
    <w:uiPriority w:val="0"/>
    <w:pPr>
      <w:spacing w:line="360" w:lineRule="auto"/>
      <w:ind w:firstLine="480" w:firstLineChars="200"/>
    </w:pPr>
    <w:rPr>
      <w:rFonts w:ascii="Times New Roman" w:hAnsi="Times New Roman" w:cs="宋体"/>
      <w:kern w:val="0"/>
      <w:sz w:val="24"/>
      <w:szCs w:val="20"/>
    </w:rPr>
  </w:style>
  <w:style w:type="paragraph" w:customStyle="1" w:styleId="2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8">
    <w:name w:val="Char Char Char Char Char Char Char Char Char Char Char Char Char Char Char Char Char Char Char"/>
    <w:basedOn w:val="1"/>
    <w:qFormat/>
    <w:uiPriority w:val="0"/>
    <w:rPr>
      <w:rFonts w:ascii="Times New Roman" w:hAnsi="Times New Roman"/>
      <w:szCs w:val="24"/>
    </w:rPr>
  </w:style>
  <w:style w:type="paragraph" w:customStyle="1" w:styleId="269">
    <w:name w:val="修订2"/>
    <w:hidden/>
    <w:qFormat/>
    <w:uiPriority w:val="99"/>
    <w:rPr>
      <w:rFonts w:ascii="Times New Roman" w:hAnsi="Times New Roman" w:eastAsia="宋体" w:cs="Calibri"/>
      <w:kern w:val="2"/>
      <w:sz w:val="21"/>
      <w:szCs w:val="24"/>
      <w:lang w:val="en-US" w:eastAsia="zh-CN" w:bidi="ar-SA"/>
    </w:rPr>
  </w:style>
  <w:style w:type="paragraph" w:customStyle="1" w:styleId="270">
    <w:name w:val="G-0"/>
    <w:basedOn w:val="1"/>
    <w:link w:val="271"/>
    <w:qFormat/>
    <w:uiPriority w:val="0"/>
    <w:pPr>
      <w:adjustRightInd w:val="0"/>
      <w:snapToGrid w:val="0"/>
      <w:spacing w:line="360" w:lineRule="auto"/>
      <w:ind w:firstLine="420" w:firstLineChars="200"/>
      <w:textAlignment w:val="baseline"/>
    </w:pPr>
    <w:rPr>
      <w:rFonts w:ascii="Times New Roman" w:hAnsi="Times New Roman"/>
      <w:sz w:val="24"/>
      <w:szCs w:val="20"/>
    </w:rPr>
  </w:style>
  <w:style w:type="character" w:customStyle="1" w:styleId="271">
    <w:name w:val="G-0 Char"/>
    <w:link w:val="270"/>
    <w:qFormat/>
    <w:uiPriority w:val="0"/>
    <w:rPr>
      <w:rFonts w:ascii="Times New Roman" w:hAnsi="Times New Roman"/>
      <w:kern w:val="2"/>
      <w:sz w:val="24"/>
    </w:rPr>
  </w:style>
  <w:style w:type="paragraph" w:customStyle="1" w:styleId="272">
    <w:name w:val="列出段落11"/>
    <w:basedOn w:val="1"/>
    <w:qFormat/>
    <w:uiPriority w:val="34"/>
    <w:pPr>
      <w:spacing w:line="360" w:lineRule="auto"/>
      <w:ind w:firstLine="420" w:firstLineChars="200"/>
    </w:pPr>
    <w:rPr>
      <w:rFonts w:ascii="Times New Roman" w:hAnsi="Times New Roman" w:eastAsia="仿宋_GB2312" w:cs="Calibri"/>
      <w:sz w:val="32"/>
      <w:szCs w:val="21"/>
    </w:rPr>
  </w:style>
  <w:style w:type="paragraph" w:customStyle="1" w:styleId="273">
    <w:name w:val="无间隔11"/>
    <w:qFormat/>
    <w:uiPriority w:val="99"/>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274">
    <w:name w:val="页脚 Char1"/>
    <w:semiHidden/>
    <w:qFormat/>
    <w:uiPriority w:val="99"/>
    <w:rPr>
      <w:rFonts w:ascii="Times New Roman" w:hAnsi="Times New Roman" w:eastAsia="仿宋_GB2312" w:cs="Calibri"/>
      <w:sz w:val="18"/>
      <w:szCs w:val="18"/>
    </w:rPr>
  </w:style>
  <w:style w:type="character" w:customStyle="1" w:styleId="275">
    <w:name w:val="页眉 Char1"/>
    <w:semiHidden/>
    <w:qFormat/>
    <w:uiPriority w:val="99"/>
    <w:rPr>
      <w:rFonts w:ascii="Times New Roman" w:hAnsi="Times New Roman" w:eastAsia="仿宋_GB2312" w:cs="Calibri"/>
      <w:sz w:val="18"/>
      <w:szCs w:val="18"/>
    </w:rPr>
  </w:style>
  <w:style w:type="character" w:customStyle="1" w:styleId="276">
    <w:name w:val="批注文字 Char1"/>
    <w:semiHidden/>
    <w:qFormat/>
    <w:uiPriority w:val="99"/>
    <w:rPr>
      <w:rFonts w:ascii="Times New Roman" w:hAnsi="Times New Roman" w:eastAsia="仿宋_GB2312" w:cs="Calibri"/>
      <w:sz w:val="32"/>
      <w:szCs w:val="21"/>
    </w:rPr>
  </w:style>
  <w:style w:type="character" w:customStyle="1" w:styleId="277">
    <w:name w:val="文档结构图 Char2"/>
    <w:basedOn w:val="44"/>
    <w:semiHidden/>
    <w:qFormat/>
    <w:uiPriority w:val="99"/>
    <w:rPr>
      <w:rFonts w:ascii="宋体" w:hAnsi="Times New Roman" w:cs="Times New Roman"/>
      <w:kern w:val="2"/>
      <w:sz w:val="18"/>
      <w:szCs w:val="18"/>
    </w:rPr>
  </w:style>
  <w:style w:type="character" w:customStyle="1" w:styleId="278">
    <w:name w:val="日期 Char2"/>
    <w:basedOn w:val="44"/>
    <w:semiHidden/>
    <w:qFormat/>
    <w:uiPriority w:val="99"/>
    <w:rPr>
      <w:rFonts w:ascii="Times New Roman" w:hAnsi="Times New Roman" w:cs="Times New Roman"/>
      <w:kern w:val="2"/>
      <w:sz w:val="21"/>
      <w:szCs w:val="24"/>
    </w:rPr>
  </w:style>
  <w:style w:type="character" w:customStyle="1" w:styleId="279">
    <w:name w:val="批注主题 Char2"/>
    <w:basedOn w:val="276"/>
    <w:semiHidden/>
    <w:qFormat/>
    <w:uiPriority w:val="99"/>
    <w:rPr>
      <w:rFonts w:ascii="Times New Roman" w:hAnsi="Times New Roman" w:eastAsia="仿宋_GB2312" w:cs="Times New Roman"/>
      <w:b/>
      <w:bCs/>
      <w:kern w:val="2"/>
      <w:sz w:val="21"/>
      <w:szCs w:val="24"/>
    </w:rPr>
  </w:style>
  <w:style w:type="character" w:customStyle="1" w:styleId="280">
    <w:name w:val="批注框文本 Char2"/>
    <w:basedOn w:val="44"/>
    <w:semiHidden/>
    <w:qFormat/>
    <w:uiPriority w:val="99"/>
    <w:rPr>
      <w:rFonts w:ascii="Times New Roman" w:hAnsi="Times New Roman" w:cs="Times New Roman"/>
      <w:kern w:val="2"/>
      <w:sz w:val="18"/>
      <w:szCs w:val="18"/>
    </w:rPr>
  </w:style>
  <w:style w:type="character" w:customStyle="1" w:styleId="281">
    <w:name w:val="正文文本 Char2"/>
    <w:basedOn w:val="44"/>
    <w:semiHidden/>
    <w:qFormat/>
    <w:uiPriority w:val="99"/>
    <w:rPr>
      <w:rFonts w:ascii="Times New Roman" w:hAnsi="Times New Roman" w:cs="Times New Roman"/>
      <w:kern w:val="2"/>
      <w:sz w:val="21"/>
      <w:szCs w:val="24"/>
    </w:rPr>
  </w:style>
  <w:style w:type="character" w:customStyle="1" w:styleId="282">
    <w:name w:val="表格 Char"/>
    <w:link w:val="283"/>
    <w:qFormat/>
    <w:locked/>
    <w:uiPriority w:val="0"/>
    <w:rPr>
      <w:sz w:val="24"/>
      <w:szCs w:val="21"/>
    </w:rPr>
  </w:style>
  <w:style w:type="paragraph" w:customStyle="1" w:styleId="283">
    <w:name w:val="表格"/>
    <w:basedOn w:val="1"/>
    <w:link w:val="282"/>
    <w:qFormat/>
    <w:uiPriority w:val="0"/>
    <w:pPr>
      <w:adjustRightInd w:val="0"/>
      <w:snapToGrid w:val="0"/>
      <w:jc w:val="center"/>
    </w:pPr>
    <w:rPr>
      <w:kern w:val="0"/>
      <w:sz w:val="24"/>
      <w:szCs w:val="21"/>
    </w:rPr>
  </w:style>
  <w:style w:type="paragraph" w:customStyle="1" w:styleId="284">
    <w:name w:val="修订4"/>
    <w:hidden/>
    <w:unhideWhenUsed/>
    <w:qFormat/>
    <w:uiPriority w:val="99"/>
    <w:rPr>
      <w:rFonts w:ascii="Times New Roman" w:hAnsi="Times New Roman" w:eastAsia="宋体" w:cs="Calibri"/>
      <w:kern w:val="2"/>
      <w:sz w:val="21"/>
      <w:szCs w:val="24"/>
      <w:lang w:val="en-US" w:eastAsia="zh-CN" w:bidi="ar-SA"/>
    </w:rPr>
  </w:style>
  <w:style w:type="paragraph" w:customStyle="1" w:styleId="285">
    <w:name w:val="正文1"/>
    <w:basedOn w:val="1"/>
    <w:link w:val="286"/>
    <w:qFormat/>
    <w:uiPriority w:val="0"/>
    <w:pPr>
      <w:spacing w:line="360" w:lineRule="auto"/>
      <w:ind w:firstLine="480" w:firstLineChars="200"/>
    </w:pPr>
    <w:rPr>
      <w:rFonts w:ascii="Times New Roman" w:hAnsi="Times New Roman"/>
      <w:sz w:val="24"/>
      <w:szCs w:val="21"/>
    </w:rPr>
  </w:style>
  <w:style w:type="character" w:customStyle="1" w:styleId="286">
    <w:name w:val="正文1 Char"/>
    <w:link w:val="285"/>
    <w:qFormat/>
    <w:uiPriority w:val="0"/>
    <w:rPr>
      <w:rFonts w:ascii="Times New Roman" w:hAnsi="Times New Roman"/>
      <w:kern w:val="2"/>
      <w:sz w:val="24"/>
      <w:szCs w:val="21"/>
    </w:rPr>
  </w:style>
  <w:style w:type="paragraph" w:customStyle="1" w:styleId="287">
    <w:name w:val="表格0"/>
    <w:basedOn w:val="1"/>
    <w:link w:val="288"/>
    <w:qFormat/>
    <w:uiPriority w:val="0"/>
    <w:pPr>
      <w:widowControl/>
      <w:jc w:val="center"/>
    </w:pPr>
    <w:rPr>
      <w:rFonts w:ascii="Times New Roman" w:hAnsi="Times New Roman"/>
      <w:color w:val="000000"/>
      <w:kern w:val="0"/>
      <w:sz w:val="18"/>
      <w:szCs w:val="18"/>
    </w:rPr>
  </w:style>
  <w:style w:type="character" w:customStyle="1" w:styleId="288">
    <w:name w:val="表格0 Char"/>
    <w:link w:val="287"/>
    <w:qFormat/>
    <w:uiPriority w:val="0"/>
    <w:rPr>
      <w:rFonts w:ascii="Times New Roman" w:hAnsi="Times New Roman"/>
      <w:color w:val="000000"/>
      <w:sz w:val="18"/>
      <w:szCs w:val="18"/>
    </w:rPr>
  </w:style>
  <w:style w:type="paragraph" w:customStyle="1" w:styleId="289">
    <w:name w:val="列出段落{858D7CFB-ED40-4347-BF05-701D383B685F}{858D7CFB-ED40-4347-BF05-701D383B685F}"/>
    <w:basedOn w:val="1"/>
    <w:qFormat/>
    <w:uiPriority w:val="0"/>
    <w:pPr>
      <w:ind w:firstLine="420" w:firstLineChars="200"/>
    </w:pPr>
  </w:style>
  <w:style w:type="paragraph" w:customStyle="1" w:styleId="290">
    <w:name w:val="封面二级标题文字"/>
    <w:basedOn w:val="1"/>
    <w:semiHidden/>
    <w:qFormat/>
    <w:uiPriority w:val="0"/>
    <w:pPr>
      <w:spacing w:line="480" w:lineRule="exact"/>
      <w:jc w:val="center"/>
    </w:pPr>
    <w:rPr>
      <w:rFonts w:ascii="黑体" w:hAnsi="Times New Roman" w:eastAsia="黑体"/>
      <w:b/>
      <w:sz w:val="44"/>
      <w:szCs w:val="44"/>
    </w:rPr>
  </w:style>
  <w:style w:type="paragraph" w:customStyle="1" w:styleId="291">
    <w:name w:val="修订3"/>
    <w:hidden/>
    <w:semiHidden/>
    <w:qFormat/>
    <w:uiPriority w:val="99"/>
    <w:rPr>
      <w:rFonts w:ascii="Calibri" w:hAnsi="Calibri" w:eastAsia="宋体" w:cs="Times New Roman"/>
      <w:kern w:val="2"/>
      <w:sz w:val="21"/>
      <w:szCs w:val="22"/>
      <w:lang w:val="en-US" w:eastAsia="zh-CN" w:bidi="ar-SA"/>
    </w:rPr>
  </w:style>
  <w:style w:type="paragraph" w:customStyle="1" w:styleId="292">
    <w:name w:val="图名"/>
    <w:basedOn w:val="1"/>
    <w:qFormat/>
    <w:uiPriority w:val="0"/>
    <w:pPr>
      <w:spacing w:afterLines="50" w:line="360" w:lineRule="auto"/>
      <w:jc w:val="center"/>
    </w:pPr>
    <w:rPr>
      <w:rFonts w:ascii="宋体" w:hAnsi="宋体"/>
      <w:b/>
      <w:sz w:val="28"/>
    </w:rPr>
  </w:style>
  <w:style w:type="paragraph" w:customStyle="1" w:styleId="293">
    <w:name w:val="列表段落1"/>
    <w:basedOn w:val="1"/>
    <w:qFormat/>
    <w:uiPriority w:val="34"/>
    <w:pPr>
      <w:ind w:firstLine="420" w:firstLineChars="200"/>
    </w:pPr>
  </w:style>
  <w:style w:type="character" w:customStyle="1" w:styleId="294">
    <w:name w:val="before"/>
    <w:basedOn w:val="44"/>
    <w:qFormat/>
    <w:uiPriority w:val="0"/>
    <w:rPr>
      <w:bdr w:val="single" w:color="auto" w:sz="48" w:space="0"/>
    </w:rPr>
  </w:style>
  <w:style w:type="character" w:customStyle="1" w:styleId="295">
    <w:name w:val="before1"/>
    <w:basedOn w:val="44"/>
    <w:qFormat/>
    <w:uiPriority w:val="0"/>
  </w:style>
  <w:style w:type="character" w:customStyle="1" w:styleId="296">
    <w:name w:val="before2"/>
    <w:basedOn w:val="44"/>
    <w:qFormat/>
    <w:uiPriority w:val="0"/>
    <w:rPr>
      <w:rFonts w:hint="default" w:ascii="iconfontstat_1" w:hAnsi="iconfontstat_1" w:eastAsia="iconfontstat_1" w:cs="iconfontstat_1"/>
    </w:rPr>
  </w:style>
  <w:style w:type="character" w:customStyle="1" w:styleId="297">
    <w:name w:val="before3"/>
    <w:basedOn w:val="44"/>
    <w:qFormat/>
    <w:uiPriority w:val="0"/>
  </w:style>
  <w:style w:type="character" w:customStyle="1" w:styleId="298">
    <w:name w:val="before4"/>
    <w:basedOn w:val="44"/>
    <w:qFormat/>
    <w:uiPriority w:val="0"/>
  </w:style>
  <w:style w:type="character" w:customStyle="1" w:styleId="299">
    <w:name w:val="before5"/>
    <w:basedOn w:val="44"/>
    <w:qFormat/>
    <w:uiPriority w:val="0"/>
  </w:style>
  <w:style w:type="character" w:customStyle="1" w:styleId="300">
    <w:name w:val="before6"/>
    <w:basedOn w:val="44"/>
    <w:qFormat/>
    <w:uiPriority w:val="0"/>
  </w:style>
  <w:style w:type="character" w:customStyle="1" w:styleId="301">
    <w:name w:val="before7"/>
    <w:basedOn w:val="44"/>
    <w:qFormat/>
    <w:uiPriority w:val="0"/>
  </w:style>
  <w:style w:type="character" w:customStyle="1" w:styleId="302">
    <w:name w:val="before8"/>
    <w:basedOn w:val="44"/>
    <w:qFormat/>
    <w:uiPriority w:val="0"/>
  </w:style>
  <w:style w:type="character" w:customStyle="1" w:styleId="303">
    <w:name w:val="before9"/>
    <w:basedOn w:val="44"/>
    <w:qFormat/>
    <w:uiPriority w:val="0"/>
  </w:style>
  <w:style w:type="character" w:customStyle="1" w:styleId="304">
    <w:name w:val="before10"/>
    <w:basedOn w:val="44"/>
    <w:qFormat/>
    <w:uiPriority w:val="0"/>
  </w:style>
  <w:style w:type="character" w:customStyle="1" w:styleId="305">
    <w:name w:val="before11"/>
    <w:basedOn w:val="44"/>
    <w:qFormat/>
    <w:uiPriority w:val="0"/>
    <w:rPr>
      <w:shd w:val="clear" w:color="auto" w:fill="D8D8D8"/>
    </w:rPr>
  </w:style>
  <w:style w:type="character" w:customStyle="1" w:styleId="306">
    <w:name w:val="credit"/>
    <w:basedOn w:val="44"/>
    <w:qFormat/>
    <w:uiPriority w:val="0"/>
    <w:rPr>
      <w:sz w:val="18"/>
      <w:szCs w:val="18"/>
    </w:rPr>
  </w:style>
  <w:style w:type="character" w:customStyle="1" w:styleId="307">
    <w:name w:val="after7"/>
    <w:basedOn w:val="44"/>
    <w:qFormat/>
    <w:uiPriority w:val="0"/>
    <w:rPr>
      <w:bdr w:val="dashed" w:color="auto" w:sz="48" w:space="0"/>
    </w:rPr>
  </w:style>
  <w:style w:type="character" w:customStyle="1" w:styleId="308">
    <w:name w:val="after8"/>
    <w:basedOn w:val="44"/>
    <w:qFormat/>
    <w:uiPriority w:val="0"/>
    <w:rPr>
      <w:shd w:val="clear" w:color="auto" w:fill="F84345"/>
    </w:rPr>
  </w:style>
  <w:style w:type="character" w:customStyle="1" w:styleId="309">
    <w:name w:val="after9"/>
    <w:basedOn w:val="44"/>
    <w:qFormat/>
    <w:uiPriority w:val="0"/>
  </w:style>
  <w:style w:type="character" w:customStyle="1" w:styleId="310">
    <w:name w:val="hover56"/>
    <w:basedOn w:val="44"/>
    <w:qFormat/>
    <w:uiPriority w:val="0"/>
    <w:rPr>
      <w:shd w:val="clear" w:color="auto" w:fill="D23237"/>
    </w:rPr>
  </w:style>
  <w:style w:type="character" w:customStyle="1" w:styleId="311">
    <w:name w:val="hover57"/>
    <w:basedOn w:val="44"/>
    <w:qFormat/>
    <w:uiPriority w:val="0"/>
  </w:style>
  <w:style w:type="character" w:customStyle="1" w:styleId="312">
    <w:name w:val="hover58"/>
    <w:basedOn w:val="44"/>
    <w:qFormat/>
    <w:uiPriority w:val="0"/>
    <w:rPr>
      <w:color w:val="F84345"/>
    </w:rPr>
  </w:style>
  <w:style w:type="character" w:customStyle="1" w:styleId="313">
    <w:name w:val="hover59"/>
    <w:basedOn w:val="44"/>
    <w:qFormat/>
    <w:uiPriority w:val="0"/>
    <w:rPr>
      <w:color w:val="F84345"/>
    </w:rPr>
  </w:style>
  <w:style w:type="character" w:customStyle="1" w:styleId="314">
    <w:name w:val="hover60"/>
    <w:basedOn w:val="44"/>
    <w:qFormat/>
    <w:uiPriority w:val="0"/>
    <w:rPr>
      <w:color w:val="F84345"/>
      <w:u w:val="none"/>
    </w:rPr>
  </w:style>
  <w:style w:type="character" w:customStyle="1" w:styleId="315">
    <w:name w:val="hover61"/>
    <w:basedOn w:val="44"/>
    <w:qFormat/>
    <w:uiPriority w:val="0"/>
    <w:rPr>
      <w:color w:val="1A85D7"/>
    </w:rPr>
  </w:style>
  <w:style w:type="character" w:customStyle="1" w:styleId="316">
    <w:name w:val="first-child"/>
    <w:basedOn w:val="44"/>
    <w:qFormat/>
    <w:uiPriority w:val="0"/>
    <w:rPr>
      <w:shd w:val="clear" w:color="auto" w:fill="F84345"/>
    </w:rPr>
  </w:style>
  <w:style w:type="character" w:customStyle="1" w:styleId="317">
    <w:name w:val="first-child1"/>
    <w:basedOn w:val="44"/>
    <w:qFormat/>
    <w:uiPriority w:val="0"/>
  </w:style>
  <w:style w:type="character" w:customStyle="1" w:styleId="318">
    <w:name w:val="empty"/>
    <w:basedOn w:val="44"/>
    <w:qFormat/>
    <w:uiPriority w:val="0"/>
  </w:style>
  <w:style w:type="character" w:customStyle="1" w:styleId="319">
    <w:name w:val="lui-classic-hidden"/>
    <w:basedOn w:val="44"/>
    <w:qFormat/>
    <w:uiPriority w:val="0"/>
    <w:rPr>
      <w:vanish/>
    </w:rPr>
  </w:style>
  <w:style w:type="character" w:customStyle="1" w:styleId="320">
    <w:name w:val="last-child"/>
    <w:basedOn w:val="44"/>
    <w:qFormat/>
    <w:uiPriority w:val="0"/>
  </w:style>
  <w:style w:type="character" w:customStyle="1" w:styleId="321">
    <w:name w:val="active2"/>
    <w:basedOn w:val="44"/>
    <w:qFormat/>
    <w:uiPriority w:val="0"/>
    <w:rPr>
      <w:color w:val="F84345"/>
      <w:bdr w:val="single" w:color="F84345" w:sz="6" w:space="0"/>
    </w:rPr>
  </w:style>
  <w:style w:type="character" w:customStyle="1" w:styleId="322">
    <w:name w:val="file"/>
    <w:basedOn w:val="44"/>
    <w:qFormat/>
    <w:uiPriority w:val="0"/>
    <w:rPr>
      <w:color w:val="333333"/>
      <w:sz w:val="18"/>
      <w:szCs w:val="18"/>
    </w:rPr>
  </w:style>
  <w:style w:type="character" w:customStyle="1" w:styleId="323">
    <w:name w:val="folder"/>
    <w:basedOn w:val="44"/>
    <w:qFormat/>
    <w:uiPriority w:val="0"/>
    <w:rPr>
      <w:color w:val="333333"/>
      <w:sz w:val="18"/>
      <w:szCs w:val="18"/>
    </w:rPr>
  </w:style>
  <w:style w:type="paragraph" w:customStyle="1" w:styleId="324">
    <w:name w:val="Body text|1"/>
    <w:basedOn w:val="1"/>
    <w:qFormat/>
    <w:uiPriority w:val="0"/>
    <w:pPr>
      <w:spacing w:line="439" w:lineRule="auto"/>
      <w:ind w:firstLine="400"/>
    </w:pPr>
    <w:rPr>
      <w:rFonts w:ascii="宋体" w:hAnsi="宋体" w:cs="宋体"/>
      <w:sz w:val="22"/>
      <w:lang w:val="zh-TW" w:eastAsia="zh-TW" w:bidi="zh-TW"/>
    </w:rPr>
  </w:style>
  <w:style w:type="paragraph" w:customStyle="1" w:styleId="325">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4.xml"/><Relationship Id="rId33" Type="http://schemas.openxmlformats.org/officeDocument/2006/relationships/footer" Target="footer13.xml"/><Relationship Id="rId32" Type="http://schemas.openxmlformats.org/officeDocument/2006/relationships/header" Target="header18.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header" Target="header1.xml"/><Relationship Id="rId29" Type="http://schemas.openxmlformats.org/officeDocument/2006/relationships/footer" Target="footer12.xml"/><Relationship Id="rId28" Type="http://schemas.openxmlformats.org/officeDocument/2006/relationships/header" Target="header15.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1740DE-1D38-4445-AEFC-588537350D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131</Pages>
  <Words>15085</Words>
  <Characters>85986</Characters>
  <Lines>716</Lines>
  <Paragraphs>201</Paragraphs>
  <TotalTime>24</TotalTime>
  <ScaleCrop>false</ScaleCrop>
  <LinksUpToDate>false</LinksUpToDate>
  <CharactersWithSpaces>100870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2020-01-03T08:18:00Z</dcterms:created>
  <dc:creator>熊又球</dc:creator>
  <cp:lastModifiedBy>朱柳</cp:lastModifiedBy>
  <cp:lastPrinted>2019-03-20T08:48:00Z</cp:lastPrinted>
  <dcterms:modified xsi:type="dcterms:W3CDTF">2023-06-21T06:34:52Z</dcterms:modified>
  <dc:title>建设工程施工合同</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2C9C4AAACD30423EB5076DB466B930BB</vt:lpwstr>
  </property>
</Properties>
</file>