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rPr>
          <w:rFonts w:ascii="Times New Roman"/>
          <w:color w:val="auto"/>
          <w:sz w:val="11"/>
          <w:highlight w:val="none"/>
        </w:rPr>
      </w:pPr>
    </w:p>
    <w:p>
      <w:pPr>
        <w:pStyle w:val="11"/>
        <w:spacing w:line="360" w:lineRule="auto"/>
        <w:rPr>
          <w:color w:val="auto"/>
          <w:sz w:val="20"/>
          <w:highlight w:val="none"/>
        </w:rPr>
      </w:pPr>
    </w:p>
    <w:p>
      <w:pPr>
        <w:pStyle w:val="11"/>
        <w:spacing w:line="360" w:lineRule="auto"/>
        <w:rPr>
          <w:color w:val="auto"/>
          <w:sz w:val="20"/>
          <w:highlight w:val="none"/>
        </w:rPr>
      </w:pPr>
    </w:p>
    <w:p>
      <w:pPr>
        <w:widowControl/>
        <w:spacing w:line="360" w:lineRule="auto"/>
        <w:jc w:val="center"/>
        <w:rPr>
          <w:b/>
          <w:color w:val="auto"/>
          <w:kern w:val="2"/>
          <w:sz w:val="48"/>
          <w:szCs w:val="48"/>
          <w:highlight w:val="none"/>
          <w:lang w:val="en-US" w:bidi="ar-SA"/>
        </w:rPr>
      </w:pPr>
      <w:r>
        <w:rPr>
          <w:rFonts w:hint="eastAsia"/>
          <w:b/>
          <w:color w:val="auto"/>
          <w:sz w:val="48"/>
          <w:szCs w:val="48"/>
          <w:highlight w:val="none"/>
        </w:rPr>
        <w:t>南源街风雨亭片区(风雨亭、和平南、源溪社区)微改造项目房屋鉴定服务</w:t>
      </w:r>
    </w:p>
    <w:p>
      <w:pPr>
        <w:tabs>
          <w:tab w:val="left" w:pos="3149"/>
        </w:tabs>
        <w:spacing w:before="71" w:line="360" w:lineRule="auto"/>
        <w:ind w:right="459"/>
        <w:jc w:val="center"/>
        <w:rPr>
          <w:color w:val="auto"/>
          <w:sz w:val="28"/>
          <w:highlight w:val="none"/>
        </w:rPr>
      </w:pPr>
    </w:p>
    <w:p>
      <w:pPr>
        <w:pStyle w:val="11"/>
        <w:spacing w:line="360" w:lineRule="auto"/>
        <w:rPr>
          <w:color w:val="auto"/>
          <w:sz w:val="20"/>
          <w:highlight w:val="none"/>
        </w:rPr>
      </w:pPr>
    </w:p>
    <w:p>
      <w:pPr>
        <w:pStyle w:val="11"/>
        <w:spacing w:line="360" w:lineRule="auto"/>
        <w:rPr>
          <w:color w:val="auto"/>
          <w:sz w:val="20"/>
          <w:highlight w:val="none"/>
        </w:rPr>
      </w:pPr>
    </w:p>
    <w:p>
      <w:pPr>
        <w:pStyle w:val="11"/>
        <w:spacing w:line="360" w:lineRule="auto"/>
        <w:rPr>
          <w:color w:val="auto"/>
          <w:sz w:val="20"/>
          <w:highlight w:val="none"/>
        </w:rPr>
      </w:pPr>
    </w:p>
    <w:p>
      <w:pPr>
        <w:pStyle w:val="11"/>
        <w:spacing w:line="360" w:lineRule="auto"/>
        <w:rPr>
          <w:color w:val="auto"/>
          <w:sz w:val="20"/>
          <w:highlight w:val="none"/>
        </w:rPr>
      </w:pPr>
    </w:p>
    <w:p>
      <w:pPr>
        <w:pStyle w:val="11"/>
        <w:spacing w:line="360" w:lineRule="auto"/>
        <w:rPr>
          <w:color w:val="auto"/>
          <w:sz w:val="20"/>
          <w:highlight w:val="none"/>
        </w:rPr>
      </w:pPr>
    </w:p>
    <w:p>
      <w:pPr>
        <w:spacing w:before="168" w:line="360" w:lineRule="auto"/>
        <w:ind w:right="459"/>
        <w:jc w:val="center"/>
        <w:rPr>
          <w:color w:val="auto"/>
          <w:sz w:val="44"/>
          <w:highlight w:val="none"/>
        </w:rPr>
      </w:pPr>
      <w:r>
        <w:rPr>
          <w:rFonts w:hint="eastAsia"/>
          <w:b/>
          <w:color w:val="auto"/>
          <w:spacing w:val="26"/>
          <w:kern w:val="2"/>
          <w:sz w:val="110"/>
          <w:highlight w:val="none"/>
          <w:lang w:val="en-US" w:bidi="ar-SA"/>
        </w:rPr>
        <w:t>招标文件</w:t>
      </w:r>
    </w:p>
    <w:p>
      <w:pPr>
        <w:pStyle w:val="11"/>
        <w:spacing w:line="360" w:lineRule="auto"/>
        <w:rPr>
          <w:color w:val="auto"/>
          <w:sz w:val="44"/>
          <w:highlight w:val="none"/>
        </w:rPr>
      </w:pPr>
    </w:p>
    <w:p>
      <w:pPr>
        <w:pStyle w:val="11"/>
        <w:spacing w:line="360" w:lineRule="auto"/>
        <w:rPr>
          <w:color w:val="auto"/>
          <w:sz w:val="44"/>
          <w:highlight w:val="none"/>
        </w:rPr>
      </w:pPr>
    </w:p>
    <w:p>
      <w:pPr>
        <w:pStyle w:val="11"/>
        <w:spacing w:line="360" w:lineRule="auto"/>
        <w:rPr>
          <w:color w:val="auto"/>
          <w:sz w:val="44"/>
          <w:highlight w:val="none"/>
        </w:rPr>
      </w:pPr>
    </w:p>
    <w:p>
      <w:pPr>
        <w:pStyle w:val="11"/>
        <w:spacing w:line="360" w:lineRule="auto"/>
        <w:rPr>
          <w:color w:val="auto"/>
          <w:sz w:val="44"/>
          <w:highlight w:val="none"/>
        </w:rPr>
      </w:pPr>
    </w:p>
    <w:p>
      <w:pPr>
        <w:spacing w:line="360" w:lineRule="auto"/>
        <w:ind w:firstLine="945"/>
        <w:rPr>
          <w:color w:val="auto"/>
          <w:sz w:val="30"/>
          <w:highlight w:val="none"/>
          <w:u w:val="single"/>
        </w:rPr>
      </w:pPr>
      <w:r>
        <w:rPr>
          <w:rFonts w:hint="eastAsia"/>
          <w:color w:val="auto"/>
          <w:sz w:val="30"/>
          <w:highlight w:val="none"/>
        </w:rPr>
        <w:t>招  标 单 位：</w:t>
      </w:r>
      <w:r>
        <w:rPr>
          <w:rFonts w:hint="eastAsia"/>
          <w:color w:val="auto"/>
          <w:sz w:val="30"/>
          <w:highlight w:val="none"/>
          <w:u w:val="single"/>
          <w:lang w:val="en-US"/>
        </w:rPr>
        <w:t>广州市荔湾区人民政府南源街道办事处</w:t>
      </w:r>
    </w:p>
    <w:p>
      <w:pPr>
        <w:spacing w:line="360" w:lineRule="auto"/>
        <w:ind w:firstLine="945"/>
        <w:rPr>
          <w:color w:val="auto"/>
          <w:sz w:val="30"/>
          <w:highlight w:val="none"/>
          <w:u w:val="single"/>
        </w:rPr>
      </w:pPr>
      <w:r>
        <w:rPr>
          <w:rFonts w:hint="eastAsia"/>
          <w:color w:val="auto"/>
          <w:sz w:val="30"/>
          <w:highlight w:val="none"/>
        </w:rPr>
        <w:t>招标代理单位：</w:t>
      </w:r>
      <w:r>
        <w:rPr>
          <w:rFonts w:hint="eastAsia"/>
          <w:color w:val="auto"/>
          <w:sz w:val="30"/>
          <w:highlight w:val="none"/>
          <w:u w:val="single"/>
          <w:lang w:val="en-US"/>
        </w:rPr>
        <w:t>成致项目管理有限公司</w:t>
      </w:r>
    </w:p>
    <w:p>
      <w:pPr>
        <w:spacing w:line="360" w:lineRule="auto"/>
        <w:ind w:firstLine="945"/>
        <w:rPr>
          <w:b/>
          <w:color w:val="auto"/>
          <w:spacing w:val="26"/>
          <w:kern w:val="2"/>
          <w:sz w:val="110"/>
          <w:highlight w:val="none"/>
          <w:lang w:val="en-US" w:bidi="ar-SA"/>
        </w:rPr>
      </w:pPr>
      <w:r>
        <w:rPr>
          <w:rFonts w:hint="eastAsia"/>
          <w:color w:val="auto"/>
          <w:sz w:val="32"/>
          <w:highlight w:val="none"/>
        </w:rPr>
        <w:t>日       期：</w:t>
      </w:r>
      <w:r>
        <w:rPr>
          <w:rFonts w:hint="eastAsia"/>
          <w:color w:val="auto"/>
          <w:sz w:val="30"/>
          <w:highlight w:val="none"/>
          <w:u w:val="single"/>
        </w:rPr>
        <w:t>202</w:t>
      </w:r>
      <w:r>
        <w:rPr>
          <w:rFonts w:hint="eastAsia"/>
          <w:color w:val="auto"/>
          <w:sz w:val="30"/>
          <w:highlight w:val="none"/>
          <w:u w:val="single"/>
          <w:lang w:val="en-US"/>
        </w:rPr>
        <w:t>3</w:t>
      </w:r>
      <w:r>
        <w:rPr>
          <w:rFonts w:hint="eastAsia"/>
          <w:color w:val="auto"/>
          <w:sz w:val="30"/>
          <w:highlight w:val="none"/>
          <w:u w:val="single"/>
        </w:rPr>
        <w:t>年</w:t>
      </w:r>
      <w:r>
        <w:rPr>
          <w:rFonts w:hint="eastAsia"/>
          <w:color w:val="auto"/>
          <w:sz w:val="30"/>
          <w:highlight w:val="none"/>
          <w:u w:val="single"/>
          <w:lang w:val="en-US"/>
        </w:rPr>
        <w:t>6</w:t>
      </w:r>
      <w:r>
        <w:rPr>
          <w:rFonts w:hint="eastAsia"/>
          <w:color w:val="auto"/>
          <w:sz w:val="30"/>
          <w:highlight w:val="none"/>
          <w:u w:val="single"/>
        </w:rPr>
        <w:t>月</w:t>
      </w:r>
    </w:p>
    <w:p>
      <w:pPr>
        <w:pStyle w:val="11"/>
        <w:spacing w:line="360" w:lineRule="auto"/>
        <w:jc w:val="center"/>
        <w:rPr>
          <w:b/>
          <w:color w:val="auto"/>
          <w:kern w:val="2"/>
          <w:sz w:val="32"/>
          <w:szCs w:val="32"/>
          <w:highlight w:val="none"/>
          <w:lang w:val="en-US"/>
        </w:rPr>
        <w:sectPr>
          <w:pgSz w:w="11906" w:h="16838"/>
          <w:pgMar w:top="1440" w:right="1080" w:bottom="1440" w:left="1080" w:header="851" w:footer="992" w:gutter="0"/>
          <w:cols w:space="425" w:num="1"/>
          <w:docGrid w:type="lines" w:linePitch="312" w:charSpace="0"/>
        </w:sectPr>
      </w:pPr>
    </w:p>
    <w:p>
      <w:pPr>
        <w:tabs>
          <w:tab w:val="left" w:pos="559"/>
        </w:tabs>
        <w:spacing w:before="39" w:line="360" w:lineRule="auto"/>
        <w:ind w:right="457"/>
        <w:jc w:val="center"/>
        <w:rPr>
          <w:b/>
          <w:bCs/>
          <w:color w:val="auto"/>
          <w:sz w:val="36"/>
          <w:szCs w:val="36"/>
          <w:highlight w:val="none"/>
        </w:rPr>
      </w:pPr>
      <w:r>
        <w:rPr>
          <w:rFonts w:hint="eastAsia"/>
          <w:b/>
          <w:bCs/>
          <w:color w:val="auto"/>
          <w:sz w:val="36"/>
          <w:szCs w:val="36"/>
          <w:highlight w:val="none"/>
        </w:rPr>
        <w:t>目</w:t>
      </w:r>
      <w:r>
        <w:rPr>
          <w:rFonts w:hint="eastAsia"/>
          <w:b/>
          <w:bCs/>
          <w:color w:val="auto"/>
          <w:sz w:val="36"/>
          <w:szCs w:val="36"/>
          <w:highlight w:val="none"/>
        </w:rPr>
        <w:tab/>
      </w:r>
      <w:r>
        <w:rPr>
          <w:rFonts w:hint="eastAsia"/>
          <w:b/>
          <w:bCs/>
          <w:color w:val="auto"/>
          <w:sz w:val="36"/>
          <w:szCs w:val="36"/>
          <w:highlight w:val="none"/>
        </w:rPr>
        <w:t>录</w:t>
      </w:r>
    </w:p>
    <w:sdt>
      <w:sdtPr>
        <w:rPr>
          <w:color w:val="auto"/>
          <w:sz w:val="21"/>
          <w:highlight w:val="none"/>
        </w:rPr>
        <w:id w:val="147482415"/>
        <w15:color w:val="DBDBDB"/>
        <w:docPartObj>
          <w:docPartGallery w:val="Table of Contents"/>
          <w:docPartUnique/>
        </w:docPartObj>
      </w:sdtPr>
      <w:sdtEndPr>
        <w:rPr>
          <w:color w:val="auto"/>
          <w:sz w:val="21"/>
          <w:szCs w:val="21"/>
          <w:highlight w:val="none"/>
        </w:rPr>
      </w:sdtEndPr>
      <w:sdtContent>
        <w:p>
          <w:pPr>
            <w:jc w:val="center"/>
            <w:rPr>
              <w:color w:val="auto"/>
              <w:highlight w:val="none"/>
            </w:rPr>
          </w:pPr>
        </w:p>
        <w:p>
          <w:pPr>
            <w:pStyle w:val="35"/>
            <w:tabs>
              <w:tab w:val="right" w:leader="dot" w:pos="9746"/>
            </w:tabs>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highlight w:val="none"/>
            </w:rPr>
            <w:fldChar w:fldCharType="begin"/>
          </w:r>
          <w:r>
            <w:rPr>
              <w:color w:val="auto"/>
              <w:highlight w:val="none"/>
            </w:rPr>
            <w:instrText xml:space="preserve"> HYPERLINK \l "_Toc9078" </w:instrText>
          </w:r>
          <w:r>
            <w:rPr>
              <w:color w:val="auto"/>
              <w:highlight w:val="none"/>
            </w:rPr>
            <w:fldChar w:fldCharType="separate"/>
          </w:r>
          <w:r>
            <w:rPr>
              <w:rFonts w:hint="eastAsia" w:ascii="宋体" w:hAnsi="宋体" w:cs="宋体"/>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_Toc9078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35"/>
            <w:tabs>
              <w:tab w:val="right" w:leader="dot" w:pos="9746"/>
            </w:tabs>
            <w:rPr>
              <w:color w:val="auto"/>
              <w:highlight w:val="none"/>
            </w:rPr>
          </w:pPr>
          <w:r>
            <w:rPr>
              <w:color w:val="auto"/>
              <w:highlight w:val="none"/>
            </w:rPr>
            <w:fldChar w:fldCharType="begin"/>
          </w:r>
          <w:r>
            <w:rPr>
              <w:color w:val="auto"/>
              <w:highlight w:val="none"/>
            </w:rPr>
            <w:instrText xml:space="preserve"> HYPERLINK \l "_Toc19406" </w:instrText>
          </w:r>
          <w:r>
            <w:rPr>
              <w:color w:val="auto"/>
              <w:highlight w:val="none"/>
            </w:rPr>
            <w:fldChar w:fldCharType="separate"/>
          </w:r>
          <w:r>
            <w:rPr>
              <w:rFonts w:hint="eastAsia" w:ascii="Calibri" w:hAnsi="Calibri"/>
              <w:color w:val="auto"/>
              <w:kern w:val="44"/>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_Toc19406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35"/>
            <w:tabs>
              <w:tab w:val="right" w:leader="dot" w:pos="9746"/>
            </w:tabs>
            <w:rPr>
              <w:color w:val="auto"/>
              <w:highlight w:val="none"/>
            </w:rPr>
          </w:pPr>
          <w:r>
            <w:rPr>
              <w:color w:val="auto"/>
              <w:highlight w:val="none"/>
            </w:rPr>
            <w:fldChar w:fldCharType="begin"/>
          </w:r>
          <w:r>
            <w:rPr>
              <w:color w:val="auto"/>
              <w:highlight w:val="none"/>
            </w:rPr>
            <w:instrText xml:space="preserve"> HYPERLINK \l "_Toc32062" </w:instrText>
          </w:r>
          <w:r>
            <w:rPr>
              <w:color w:val="auto"/>
              <w:highlight w:val="none"/>
            </w:rPr>
            <w:fldChar w:fldCharType="separate"/>
          </w:r>
          <w:r>
            <w:rPr>
              <w:rFonts w:hint="eastAsia" w:ascii="宋体" w:hAnsi="宋体" w:cs="宋体"/>
              <w:color w:val="auto"/>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_Toc32062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35"/>
            <w:tabs>
              <w:tab w:val="right" w:leader="dot" w:pos="9746"/>
            </w:tabs>
            <w:rPr>
              <w:color w:val="auto"/>
              <w:highlight w:val="none"/>
            </w:rPr>
          </w:pPr>
          <w:r>
            <w:rPr>
              <w:color w:val="auto"/>
              <w:highlight w:val="none"/>
            </w:rPr>
            <w:fldChar w:fldCharType="begin"/>
          </w:r>
          <w:r>
            <w:rPr>
              <w:color w:val="auto"/>
              <w:highlight w:val="none"/>
            </w:rPr>
            <w:instrText xml:space="preserve"> HYPERLINK \l "_Toc757" </w:instrText>
          </w:r>
          <w:r>
            <w:rPr>
              <w:color w:val="auto"/>
              <w:highlight w:val="none"/>
            </w:rPr>
            <w:fldChar w:fldCharType="separate"/>
          </w:r>
          <w:r>
            <w:rPr>
              <w:rFonts w:hint="eastAsia"/>
              <w:color w:val="auto"/>
              <w:highlight w:val="none"/>
            </w:rPr>
            <w:t>附件一：开标记录表</w:t>
          </w:r>
          <w:r>
            <w:rPr>
              <w:color w:val="auto"/>
              <w:highlight w:val="none"/>
            </w:rPr>
            <w:tab/>
          </w:r>
          <w:r>
            <w:rPr>
              <w:color w:val="auto"/>
              <w:highlight w:val="none"/>
            </w:rPr>
            <w:fldChar w:fldCharType="begin"/>
          </w:r>
          <w:r>
            <w:rPr>
              <w:color w:val="auto"/>
              <w:highlight w:val="none"/>
            </w:rPr>
            <w:instrText xml:space="preserve"> PAGEREF _Toc757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35"/>
            <w:tabs>
              <w:tab w:val="right" w:leader="dot" w:pos="9746"/>
            </w:tabs>
            <w:rPr>
              <w:color w:val="auto"/>
              <w:highlight w:val="none"/>
            </w:rPr>
          </w:pPr>
          <w:r>
            <w:rPr>
              <w:color w:val="auto"/>
              <w:highlight w:val="none"/>
            </w:rPr>
            <w:fldChar w:fldCharType="begin"/>
          </w:r>
          <w:r>
            <w:rPr>
              <w:color w:val="auto"/>
              <w:highlight w:val="none"/>
            </w:rPr>
            <w:instrText xml:space="preserve"> HYPERLINK \l "_Toc5989" </w:instrText>
          </w:r>
          <w:r>
            <w:rPr>
              <w:color w:val="auto"/>
              <w:highlight w:val="none"/>
            </w:rPr>
            <w:fldChar w:fldCharType="separate"/>
          </w:r>
          <w:r>
            <w:rPr>
              <w:rFonts w:hint="eastAsia" w:asciiTheme="minorEastAsia" w:hAnsiTheme="minorEastAsia" w:eastAsiaTheme="minorEastAsia"/>
              <w:color w:val="auto"/>
              <w:highlight w:val="none"/>
            </w:rPr>
            <w:t>第三章 评标办法（综合评估法）</w:t>
          </w:r>
          <w:r>
            <w:rPr>
              <w:color w:val="auto"/>
              <w:highlight w:val="none"/>
            </w:rPr>
            <w:tab/>
          </w:r>
          <w:r>
            <w:rPr>
              <w:color w:val="auto"/>
              <w:highlight w:val="none"/>
            </w:rPr>
            <w:fldChar w:fldCharType="begin"/>
          </w:r>
          <w:r>
            <w:rPr>
              <w:color w:val="auto"/>
              <w:highlight w:val="none"/>
            </w:rPr>
            <w:instrText xml:space="preserve"> PAGEREF _Toc5989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35"/>
            <w:tabs>
              <w:tab w:val="right" w:leader="dot" w:pos="9746"/>
            </w:tabs>
            <w:rPr>
              <w:color w:val="auto"/>
              <w:highlight w:val="none"/>
            </w:rPr>
          </w:pPr>
          <w:r>
            <w:rPr>
              <w:color w:val="auto"/>
              <w:highlight w:val="none"/>
            </w:rPr>
            <w:fldChar w:fldCharType="begin"/>
          </w:r>
          <w:r>
            <w:rPr>
              <w:color w:val="auto"/>
              <w:highlight w:val="none"/>
            </w:rPr>
            <w:instrText xml:space="preserve"> HYPERLINK \l "_Toc20041" </w:instrText>
          </w:r>
          <w:r>
            <w:rPr>
              <w:color w:val="auto"/>
              <w:highlight w:val="none"/>
            </w:rPr>
            <w:fldChar w:fldCharType="separate"/>
          </w:r>
          <w:r>
            <w:rPr>
              <w:rFonts w:hint="eastAsia" w:asciiTheme="minorEastAsia" w:hAnsiTheme="minorEastAsia" w:eastAsiaTheme="minorEastAsia"/>
              <w:color w:val="auto"/>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_Toc20041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35"/>
            <w:tabs>
              <w:tab w:val="right" w:leader="dot" w:pos="9746"/>
            </w:tabs>
            <w:rPr>
              <w:color w:val="auto"/>
              <w:highlight w:val="none"/>
            </w:rPr>
          </w:pPr>
          <w:r>
            <w:rPr>
              <w:color w:val="auto"/>
              <w:highlight w:val="none"/>
            </w:rPr>
            <w:fldChar w:fldCharType="begin"/>
          </w:r>
          <w:r>
            <w:rPr>
              <w:color w:val="auto"/>
              <w:highlight w:val="none"/>
            </w:rPr>
            <w:instrText xml:space="preserve"> HYPERLINK \l "_Toc24117" </w:instrText>
          </w:r>
          <w:r>
            <w:rPr>
              <w:color w:val="auto"/>
              <w:highlight w:val="none"/>
            </w:rPr>
            <w:fldChar w:fldCharType="separate"/>
          </w:r>
          <w:r>
            <w:rPr>
              <w:rFonts w:hint="eastAsia" w:ascii="宋体" w:hAnsi="宋体" w:cs="宋体"/>
              <w:color w:val="auto"/>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_Toc24117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pPr>
            <w:pStyle w:val="35"/>
            <w:tabs>
              <w:tab w:val="right" w:leader="dot" w:pos="9746"/>
            </w:tabs>
            <w:rPr>
              <w:color w:val="auto"/>
              <w:highlight w:val="none"/>
            </w:rPr>
          </w:pPr>
          <w:r>
            <w:rPr>
              <w:color w:val="auto"/>
              <w:highlight w:val="none"/>
            </w:rPr>
            <w:fldChar w:fldCharType="begin"/>
          </w:r>
          <w:r>
            <w:rPr>
              <w:color w:val="auto"/>
              <w:highlight w:val="none"/>
            </w:rPr>
            <w:instrText xml:space="preserve"> HYPERLINK \l "_Toc7448" </w:instrText>
          </w:r>
          <w:r>
            <w:rPr>
              <w:color w:val="auto"/>
              <w:highlight w:val="none"/>
            </w:rPr>
            <w:fldChar w:fldCharType="separate"/>
          </w:r>
          <w:r>
            <w:rPr>
              <w:rFonts w:hint="eastAsia" w:ascii="宋体" w:hAnsi="宋体" w:cs="宋体"/>
              <w:color w:val="auto"/>
              <w:highlight w:val="none"/>
            </w:rPr>
            <w:t>第二卷</w:t>
          </w:r>
          <w:r>
            <w:rPr>
              <w:color w:val="auto"/>
              <w:highlight w:val="none"/>
            </w:rPr>
            <w:tab/>
          </w:r>
          <w:r>
            <w:rPr>
              <w:color w:val="auto"/>
              <w:highlight w:val="none"/>
            </w:rPr>
            <w:fldChar w:fldCharType="begin"/>
          </w:r>
          <w:r>
            <w:rPr>
              <w:color w:val="auto"/>
              <w:highlight w:val="none"/>
            </w:rPr>
            <w:instrText xml:space="preserve"> PAGEREF _Toc7448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pStyle w:val="35"/>
            <w:tabs>
              <w:tab w:val="right" w:leader="dot" w:pos="9746"/>
            </w:tabs>
            <w:rPr>
              <w:color w:val="auto"/>
              <w:highlight w:val="none"/>
            </w:rPr>
          </w:pPr>
          <w:r>
            <w:rPr>
              <w:color w:val="auto"/>
              <w:highlight w:val="none"/>
            </w:rPr>
            <w:fldChar w:fldCharType="begin"/>
          </w:r>
          <w:r>
            <w:rPr>
              <w:color w:val="auto"/>
              <w:highlight w:val="none"/>
            </w:rPr>
            <w:instrText xml:space="preserve"> HYPERLINK \l "_Toc12073" </w:instrText>
          </w:r>
          <w:r>
            <w:rPr>
              <w:color w:val="auto"/>
              <w:highlight w:val="none"/>
            </w:rPr>
            <w:fldChar w:fldCharType="separate"/>
          </w:r>
          <w:r>
            <w:rPr>
              <w:rFonts w:hint="eastAsia" w:ascii="宋体" w:hAnsi="宋体" w:cs="宋体"/>
              <w:color w:val="auto"/>
              <w:highlight w:val="none"/>
            </w:rPr>
            <w:t>第五章 委托人要求</w:t>
          </w:r>
          <w:r>
            <w:rPr>
              <w:color w:val="auto"/>
              <w:highlight w:val="none"/>
            </w:rPr>
            <w:tab/>
          </w:r>
          <w:r>
            <w:rPr>
              <w:color w:val="auto"/>
              <w:highlight w:val="none"/>
            </w:rPr>
            <w:fldChar w:fldCharType="begin"/>
          </w:r>
          <w:r>
            <w:rPr>
              <w:color w:val="auto"/>
              <w:highlight w:val="none"/>
            </w:rPr>
            <w:instrText xml:space="preserve"> PAGEREF _Toc12073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pStyle w:val="35"/>
            <w:tabs>
              <w:tab w:val="right" w:leader="dot" w:pos="9746"/>
            </w:tabs>
            <w:rPr>
              <w:color w:val="auto"/>
              <w:highlight w:val="none"/>
            </w:rPr>
          </w:pPr>
          <w:r>
            <w:rPr>
              <w:color w:val="auto"/>
              <w:highlight w:val="none"/>
            </w:rPr>
            <w:fldChar w:fldCharType="begin"/>
          </w:r>
          <w:r>
            <w:rPr>
              <w:color w:val="auto"/>
              <w:highlight w:val="none"/>
            </w:rPr>
            <w:instrText xml:space="preserve"> HYPERLINK \l "_Toc31926" </w:instrText>
          </w:r>
          <w:r>
            <w:rPr>
              <w:color w:val="auto"/>
              <w:highlight w:val="none"/>
            </w:rPr>
            <w:fldChar w:fldCharType="separate"/>
          </w:r>
          <w:r>
            <w:rPr>
              <w:rFonts w:hint="eastAsia" w:ascii="宋体" w:hAnsi="宋体" w:cs="宋体"/>
              <w:color w:val="auto"/>
              <w:highlight w:val="none"/>
            </w:rPr>
            <w:t>第三卷</w:t>
          </w:r>
          <w:r>
            <w:rPr>
              <w:color w:val="auto"/>
              <w:highlight w:val="none"/>
            </w:rPr>
            <w:tab/>
          </w:r>
          <w:r>
            <w:rPr>
              <w:color w:val="auto"/>
              <w:highlight w:val="none"/>
            </w:rPr>
            <w:fldChar w:fldCharType="begin"/>
          </w:r>
          <w:r>
            <w:rPr>
              <w:color w:val="auto"/>
              <w:highlight w:val="none"/>
            </w:rPr>
            <w:instrText xml:space="preserve"> PAGEREF _Toc31926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35"/>
            <w:tabs>
              <w:tab w:val="right" w:leader="dot" w:pos="9746"/>
            </w:tabs>
            <w:rPr>
              <w:color w:val="auto"/>
              <w:highlight w:val="none"/>
            </w:rPr>
          </w:pPr>
          <w:r>
            <w:rPr>
              <w:color w:val="auto"/>
              <w:highlight w:val="none"/>
            </w:rPr>
            <w:fldChar w:fldCharType="begin"/>
          </w:r>
          <w:r>
            <w:rPr>
              <w:color w:val="auto"/>
              <w:highlight w:val="none"/>
            </w:rPr>
            <w:instrText xml:space="preserve"> HYPERLINK \l "_Toc30980" </w:instrText>
          </w:r>
          <w:r>
            <w:rPr>
              <w:color w:val="auto"/>
              <w:highlight w:val="none"/>
            </w:rPr>
            <w:fldChar w:fldCharType="separate"/>
          </w:r>
          <w:r>
            <w:rPr>
              <w:rFonts w:hint="eastAsia" w:ascii="宋体" w:hAnsi="宋体" w:cs="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_Toc30980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17"/>
            <w:tabs>
              <w:tab w:val="left" w:leader="dot" w:pos="8526"/>
            </w:tabs>
            <w:spacing w:before="304" w:line="360" w:lineRule="auto"/>
            <w:ind w:right="704"/>
            <w:rPr>
              <w:color w:val="auto"/>
              <w:highlight w:val="none"/>
            </w:rPr>
          </w:pPr>
          <w:r>
            <w:rPr>
              <w:color w:val="auto"/>
              <w:highlight w:val="none"/>
            </w:rPr>
            <w:fldChar w:fldCharType="end"/>
          </w:r>
        </w:p>
      </w:sdtContent>
    </w:sdt>
    <w:p>
      <w:pPr>
        <w:pStyle w:val="3"/>
        <w:spacing w:line="360" w:lineRule="auto"/>
        <w:rPr>
          <w:rFonts w:ascii="宋体" w:hAnsi="宋体" w:eastAsia="宋体" w:cs="宋体"/>
          <w:color w:val="auto"/>
          <w:highlight w:val="none"/>
        </w:rPr>
        <w:sectPr>
          <w:footerReference r:id="rId3" w:type="default"/>
          <w:pgSz w:w="11906" w:h="16838"/>
          <w:pgMar w:top="1440" w:right="1080" w:bottom="1440" w:left="1080" w:header="0" w:footer="841" w:gutter="0"/>
          <w:cols w:space="720" w:num="1"/>
        </w:sectPr>
      </w:pPr>
    </w:p>
    <w:p>
      <w:pPr>
        <w:pStyle w:val="3"/>
        <w:spacing w:line="360" w:lineRule="auto"/>
        <w:rPr>
          <w:rFonts w:ascii="宋体" w:hAnsi="宋体" w:eastAsia="宋体" w:cs="宋体"/>
          <w:color w:val="auto"/>
          <w:highlight w:val="none"/>
        </w:rPr>
      </w:pPr>
      <w:bookmarkStart w:id="0" w:name="_Toc9078"/>
      <w:r>
        <w:rPr>
          <w:rFonts w:hint="eastAsia" w:ascii="宋体" w:hAnsi="宋体" w:eastAsia="宋体" w:cs="宋体"/>
          <w:color w:val="auto"/>
          <w:highlight w:val="none"/>
        </w:rPr>
        <w:t>第一卷</w:t>
      </w:r>
      <w:bookmarkEnd w:id="0"/>
    </w:p>
    <w:p>
      <w:pPr>
        <w:numPr>
          <w:ilvl w:val="0"/>
          <w:numId w:val="1"/>
        </w:numPr>
        <w:spacing w:line="360" w:lineRule="auto"/>
        <w:jc w:val="center"/>
        <w:outlineLvl w:val="0"/>
        <w:rPr>
          <w:rFonts w:ascii="Calibri" w:hAnsi="Calibri" w:cs="Times New Roman"/>
          <w:b/>
          <w:color w:val="auto"/>
          <w:kern w:val="44"/>
          <w:sz w:val="44"/>
          <w:szCs w:val="20"/>
          <w:highlight w:val="none"/>
          <w:lang w:val="en-US" w:bidi="ar-SA"/>
        </w:rPr>
      </w:pPr>
      <w:bookmarkStart w:id="1" w:name="_Toc23825"/>
      <w:bookmarkStart w:id="2" w:name="_Toc153"/>
      <w:bookmarkStart w:id="3" w:name="_Toc526786483"/>
      <w:bookmarkStart w:id="4" w:name="_Toc19406"/>
      <w:r>
        <w:rPr>
          <w:rFonts w:hint="eastAsia" w:ascii="Calibri" w:hAnsi="Calibri" w:cs="Times New Roman"/>
          <w:b/>
          <w:color w:val="auto"/>
          <w:kern w:val="44"/>
          <w:sz w:val="44"/>
          <w:szCs w:val="20"/>
          <w:highlight w:val="none"/>
          <w:lang w:val="en-US" w:bidi="ar-SA"/>
        </w:rPr>
        <w:t>招标公告</w:t>
      </w:r>
      <w:bookmarkEnd w:id="1"/>
      <w:bookmarkEnd w:id="2"/>
      <w:bookmarkEnd w:id="3"/>
      <w:bookmarkEnd w:id="4"/>
    </w:p>
    <w:p>
      <w:pPr>
        <w:spacing w:line="360" w:lineRule="auto"/>
        <w:jc w:val="center"/>
        <w:rPr>
          <w:bCs/>
          <w:color w:val="auto"/>
          <w:kern w:val="2"/>
          <w:sz w:val="32"/>
          <w:szCs w:val="32"/>
          <w:highlight w:val="none"/>
          <w:lang w:val="en-US" w:bidi="ar-SA"/>
        </w:rPr>
        <w:sectPr>
          <w:footerReference r:id="rId4" w:type="default"/>
          <w:pgSz w:w="11906" w:h="16838"/>
          <w:pgMar w:top="1500" w:right="1100" w:bottom="1040" w:left="1134" w:header="0" w:footer="841" w:gutter="0"/>
          <w:pgNumType w:start="1"/>
          <w:cols w:space="720" w:num="1"/>
        </w:sectPr>
      </w:pPr>
      <w:r>
        <w:rPr>
          <w:rFonts w:hint="eastAsia"/>
          <w:bCs/>
          <w:color w:val="auto"/>
          <w:kern w:val="2"/>
          <w:sz w:val="32"/>
          <w:szCs w:val="32"/>
          <w:highlight w:val="none"/>
          <w:lang w:val="en-US" w:bidi="ar-SA"/>
        </w:rPr>
        <w:t>（略）</w:t>
      </w:r>
    </w:p>
    <w:p>
      <w:pPr>
        <w:pStyle w:val="3"/>
        <w:numPr>
          <w:ilvl w:val="0"/>
          <w:numId w:val="1"/>
        </w:numPr>
        <w:spacing w:line="360" w:lineRule="auto"/>
        <w:rPr>
          <w:rFonts w:ascii="宋体" w:hAnsi="宋体" w:eastAsia="宋体" w:cs="宋体"/>
          <w:color w:val="auto"/>
          <w:highlight w:val="none"/>
        </w:rPr>
      </w:pPr>
      <w:bookmarkStart w:id="5" w:name="_Toc32062"/>
      <w:r>
        <w:rPr>
          <w:rFonts w:hint="eastAsia" w:ascii="宋体" w:hAnsi="宋体" w:eastAsia="宋体" w:cs="宋体"/>
          <w:color w:val="auto"/>
          <w:highlight w:val="none"/>
        </w:rPr>
        <w:t>投标人须知</w:t>
      </w:r>
      <w:bookmarkEnd w:id="5"/>
    </w:p>
    <w:p>
      <w:pPr>
        <w:jc w:val="center"/>
        <w:rPr>
          <w:color w:val="auto"/>
          <w:highlight w:val="none"/>
        </w:rPr>
      </w:pPr>
      <w:r>
        <w:rPr>
          <w:rFonts w:hint="eastAsia"/>
          <w:bCs/>
          <w:color w:val="auto"/>
          <w:kern w:val="2"/>
          <w:sz w:val="32"/>
          <w:szCs w:val="32"/>
          <w:highlight w:val="none"/>
          <w:lang w:val="en-US" w:bidi="ar-SA"/>
        </w:rPr>
        <w:t>投标人须知前附表</w:t>
      </w:r>
    </w:p>
    <w:tbl>
      <w:tblPr>
        <w:tblStyle w:val="21"/>
        <w:tblW w:w="100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2"/>
        <w:gridCol w:w="3360"/>
        <w:gridCol w:w="54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1252" w:type="dxa"/>
            <w:vAlign w:val="center"/>
          </w:tcPr>
          <w:p>
            <w:pPr>
              <w:autoSpaceDE/>
              <w:autoSpaceDN/>
              <w:adjustRightInd w:val="0"/>
              <w:snapToGrid w:val="0"/>
              <w:spacing w:line="400" w:lineRule="exact"/>
              <w:ind w:left="44" w:leftChars="20" w:right="44" w:rightChars="20"/>
              <w:jc w:val="center"/>
              <w:rPr>
                <w:bCs/>
                <w:color w:val="auto"/>
                <w:kern w:val="2"/>
                <w:sz w:val="21"/>
                <w:szCs w:val="21"/>
                <w:highlight w:val="none"/>
                <w:lang w:val="en-US" w:bidi="ar-SA"/>
              </w:rPr>
            </w:pPr>
            <w:bookmarkStart w:id="6" w:name="_bookmark19"/>
            <w:bookmarkEnd w:id="6"/>
            <w:r>
              <w:rPr>
                <w:rFonts w:hint="eastAsia"/>
                <w:bCs/>
                <w:color w:val="auto"/>
                <w:kern w:val="2"/>
                <w:sz w:val="21"/>
                <w:szCs w:val="21"/>
                <w:highlight w:val="none"/>
                <w:lang w:val="en-US" w:bidi="ar-SA"/>
              </w:rPr>
              <w:t>条款号</w:t>
            </w:r>
          </w:p>
        </w:tc>
        <w:tc>
          <w:tcPr>
            <w:tcW w:w="3360" w:type="dxa"/>
            <w:vAlign w:val="center"/>
          </w:tcPr>
          <w:p>
            <w:pPr>
              <w:autoSpaceDE/>
              <w:autoSpaceDN/>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条款名称</w:t>
            </w:r>
          </w:p>
        </w:tc>
        <w:tc>
          <w:tcPr>
            <w:tcW w:w="5440" w:type="dxa"/>
            <w:vAlign w:val="center"/>
          </w:tcPr>
          <w:p>
            <w:pPr>
              <w:autoSpaceDE/>
              <w:autoSpaceDN/>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52" w:type="dxa"/>
            <w:vAlign w:val="center"/>
          </w:tcPr>
          <w:p>
            <w:pPr>
              <w:autoSpaceDE/>
              <w:autoSpaceDN/>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1.1.2</w:t>
            </w:r>
          </w:p>
        </w:tc>
        <w:tc>
          <w:tcPr>
            <w:tcW w:w="3360" w:type="dxa"/>
            <w:vAlign w:val="center"/>
          </w:tcPr>
          <w:p>
            <w:pPr>
              <w:autoSpaceDE/>
              <w:autoSpaceDN/>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招标人</w:t>
            </w:r>
          </w:p>
        </w:tc>
        <w:tc>
          <w:tcPr>
            <w:tcW w:w="5440" w:type="dxa"/>
            <w:vAlign w:val="center"/>
          </w:tcPr>
          <w:p>
            <w:pPr>
              <w:rPr>
                <w:color w:val="auto"/>
                <w:sz w:val="21"/>
                <w:szCs w:val="21"/>
                <w:highlight w:val="none"/>
                <w:u w:val="single"/>
                <w:lang w:val="en-US"/>
              </w:rPr>
            </w:pPr>
            <w:r>
              <w:rPr>
                <w:rFonts w:hint="eastAsia"/>
                <w:color w:val="auto"/>
                <w:sz w:val="21"/>
                <w:szCs w:val="21"/>
                <w:highlight w:val="none"/>
                <w:lang w:val="en-US"/>
              </w:rPr>
              <w:t>招标人名称：</w:t>
            </w:r>
            <w:r>
              <w:rPr>
                <w:rFonts w:hint="eastAsia"/>
                <w:color w:val="auto"/>
                <w:sz w:val="21"/>
                <w:szCs w:val="21"/>
                <w:highlight w:val="none"/>
                <w:u w:val="single"/>
                <w:lang w:val="en-US"/>
              </w:rPr>
              <w:t>广州市荔湾区人民政府南源街道办事处</w:t>
            </w:r>
          </w:p>
          <w:p>
            <w:pPr>
              <w:rPr>
                <w:color w:val="auto"/>
                <w:sz w:val="21"/>
                <w:szCs w:val="21"/>
                <w:highlight w:val="none"/>
                <w:lang w:val="en-US"/>
              </w:rPr>
            </w:pPr>
            <w:r>
              <w:rPr>
                <w:rFonts w:hint="eastAsia"/>
                <w:color w:val="auto"/>
                <w:sz w:val="21"/>
                <w:szCs w:val="21"/>
                <w:highlight w:val="none"/>
                <w:lang w:val="en-US"/>
              </w:rPr>
              <w:t>联系人：</w:t>
            </w:r>
            <w:r>
              <w:rPr>
                <w:rFonts w:hint="eastAsia"/>
                <w:color w:val="auto"/>
                <w:sz w:val="21"/>
                <w:szCs w:val="21"/>
                <w:highlight w:val="none"/>
                <w:u w:val="single"/>
                <w:lang w:val="en-US"/>
              </w:rPr>
              <w:t xml:space="preserve">万科 </w:t>
            </w:r>
          </w:p>
          <w:p>
            <w:pPr>
              <w:rPr>
                <w:color w:val="auto"/>
                <w:sz w:val="21"/>
                <w:szCs w:val="21"/>
                <w:highlight w:val="none"/>
                <w:u w:val="single"/>
                <w:lang w:val="en-US"/>
              </w:rPr>
            </w:pPr>
            <w:r>
              <w:rPr>
                <w:rFonts w:hint="eastAsia"/>
                <w:color w:val="auto"/>
                <w:sz w:val="21"/>
                <w:szCs w:val="21"/>
                <w:highlight w:val="none"/>
                <w:lang w:val="en-US"/>
              </w:rPr>
              <w:t>地址：</w:t>
            </w:r>
            <w:r>
              <w:rPr>
                <w:rFonts w:hint="eastAsia"/>
                <w:color w:val="auto"/>
                <w:sz w:val="21"/>
                <w:szCs w:val="21"/>
                <w:highlight w:val="none"/>
                <w:u w:val="single"/>
                <w:lang w:val="en-US"/>
              </w:rPr>
              <w:t xml:space="preserve"> 广州市荔湾区南岸路92号</w:t>
            </w:r>
          </w:p>
          <w:p>
            <w:pPr>
              <w:autoSpaceDE/>
              <w:autoSpaceDN/>
              <w:adjustRightInd w:val="0"/>
              <w:snapToGrid w:val="0"/>
              <w:spacing w:line="400" w:lineRule="exact"/>
              <w:ind w:left="44" w:leftChars="20" w:right="44" w:rightChars="20"/>
              <w:rPr>
                <w:bCs/>
                <w:color w:val="auto"/>
                <w:kern w:val="2"/>
                <w:sz w:val="21"/>
                <w:szCs w:val="21"/>
                <w:highlight w:val="none"/>
                <w:lang w:val="en-US" w:bidi="ar-SA"/>
              </w:rPr>
            </w:pPr>
            <w:r>
              <w:rPr>
                <w:rFonts w:hint="eastAsia"/>
                <w:color w:val="auto"/>
                <w:sz w:val="21"/>
                <w:szCs w:val="21"/>
                <w:highlight w:val="none"/>
                <w:lang w:val="en-US"/>
              </w:rPr>
              <w:t>联系电话：</w:t>
            </w:r>
            <w:r>
              <w:rPr>
                <w:rFonts w:hint="eastAsia"/>
                <w:color w:val="auto"/>
                <w:sz w:val="21"/>
                <w:szCs w:val="21"/>
                <w:highlight w:val="none"/>
                <w:u w:val="single"/>
                <w:lang w:val="en-US"/>
              </w:rPr>
              <w:t xml:space="preserve"> 020-81938682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1" w:hRule="atLeast"/>
          <w:jc w:val="center"/>
        </w:trPr>
        <w:tc>
          <w:tcPr>
            <w:tcW w:w="1252" w:type="dxa"/>
            <w:vAlign w:val="center"/>
          </w:tcPr>
          <w:p>
            <w:pPr>
              <w:autoSpaceDE/>
              <w:autoSpaceDN/>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1.1.3</w:t>
            </w:r>
          </w:p>
        </w:tc>
        <w:tc>
          <w:tcPr>
            <w:tcW w:w="3360" w:type="dxa"/>
            <w:vAlign w:val="center"/>
          </w:tcPr>
          <w:p>
            <w:pPr>
              <w:autoSpaceDE/>
              <w:autoSpaceDN/>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招标代理机构</w:t>
            </w:r>
          </w:p>
        </w:tc>
        <w:tc>
          <w:tcPr>
            <w:tcW w:w="5440" w:type="dxa"/>
            <w:vAlign w:val="center"/>
          </w:tcPr>
          <w:p>
            <w:pPr>
              <w:rPr>
                <w:color w:val="auto"/>
                <w:sz w:val="21"/>
                <w:szCs w:val="21"/>
                <w:highlight w:val="none"/>
                <w:u w:val="single"/>
              </w:rPr>
            </w:pPr>
            <w:r>
              <w:rPr>
                <w:rFonts w:hint="eastAsia"/>
                <w:bCs/>
                <w:color w:val="auto"/>
                <w:kern w:val="2"/>
                <w:sz w:val="21"/>
                <w:szCs w:val="21"/>
                <w:highlight w:val="none"/>
                <w:lang w:val="en-US" w:bidi="ar-SA"/>
              </w:rPr>
              <w:t>招标代理机构</w:t>
            </w:r>
            <w:r>
              <w:rPr>
                <w:rFonts w:hint="eastAsia"/>
                <w:color w:val="auto"/>
                <w:sz w:val="21"/>
                <w:szCs w:val="21"/>
                <w:highlight w:val="none"/>
              </w:rPr>
              <w:t>：</w:t>
            </w:r>
            <w:r>
              <w:rPr>
                <w:rFonts w:hint="eastAsia"/>
                <w:color w:val="auto"/>
                <w:sz w:val="21"/>
                <w:szCs w:val="21"/>
                <w:highlight w:val="none"/>
                <w:u w:val="single"/>
                <w:lang w:val="en-US"/>
              </w:rPr>
              <w:t>成致项目管理有限公司</w:t>
            </w:r>
          </w:p>
          <w:p>
            <w:pPr>
              <w:rPr>
                <w:color w:val="auto"/>
                <w:sz w:val="21"/>
                <w:szCs w:val="21"/>
                <w:highlight w:val="none"/>
                <w:u w:val="single"/>
              </w:rPr>
            </w:pPr>
            <w:r>
              <w:rPr>
                <w:rFonts w:hint="eastAsia"/>
                <w:color w:val="auto"/>
                <w:sz w:val="21"/>
                <w:szCs w:val="21"/>
                <w:highlight w:val="none"/>
              </w:rPr>
              <w:t>地址：</w:t>
            </w:r>
            <w:r>
              <w:rPr>
                <w:rFonts w:hint="eastAsia"/>
                <w:color w:val="auto"/>
                <w:sz w:val="21"/>
                <w:szCs w:val="21"/>
                <w:highlight w:val="none"/>
                <w:u w:val="single"/>
                <w:lang w:val="en-US"/>
              </w:rPr>
              <w:t>广州市天河区黄埔大道中1</w:t>
            </w:r>
            <w:r>
              <w:rPr>
                <w:rFonts w:hint="eastAsia"/>
                <w:color w:val="auto"/>
                <w:sz w:val="21"/>
                <w:szCs w:val="21"/>
                <w:highlight w:val="none"/>
                <w:u w:val="single"/>
                <w:lang w:val="en-US" w:eastAsia="zh-CN"/>
              </w:rPr>
              <w:t>2</w:t>
            </w:r>
            <w:r>
              <w:rPr>
                <w:rFonts w:hint="eastAsia"/>
                <w:color w:val="auto"/>
                <w:sz w:val="21"/>
                <w:szCs w:val="21"/>
                <w:highlight w:val="none"/>
                <w:u w:val="single"/>
                <w:lang w:val="en-US"/>
              </w:rPr>
              <w:t>2号412室</w:t>
            </w:r>
          </w:p>
          <w:p>
            <w:pPr>
              <w:rPr>
                <w:color w:val="auto"/>
                <w:sz w:val="21"/>
                <w:szCs w:val="21"/>
                <w:highlight w:val="none"/>
              </w:rPr>
            </w:pPr>
            <w:r>
              <w:rPr>
                <w:rFonts w:hint="eastAsia"/>
                <w:color w:val="auto"/>
                <w:sz w:val="21"/>
                <w:szCs w:val="21"/>
                <w:highlight w:val="none"/>
              </w:rPr>
              <w:t>联系人：</w:t>
            </w:r>
            <w:r>
              <w:rPr>
                <w:rFonts w:hint="eastAsia"/>
                <w:color w:val="auto"/>
                <w:sz w:val="21"/>
                <w:szCs w:val="21"/>
                <w:highlight w:val="none"/>
                <w:u w:val="single"/>
                <w:lang w:val="en-US"/>
              </w:rPr>
              <w:t>王工</w:t>
            </w:r>
            <w:r>
              <w:rPr>
                <w:rFonts w:hint="eastAsia"/>
                <w:color w:val="auto"/>
                <w:sz w:val="21"/>
                <w:szCs w:val="21"/>
                <w:highlight w:val="none"/>
              </w:rPr>
              <w:t xml:space="preserve"> </w:t>
            </w:r>
          </w:p>
          <w:p>
            <w:pPr>
              <w:autoSpaceDE/>
              <w:autoSpaceDN/>
              <w:adjustRightInd w:val="0"/>
              <w:snapToGrid w:val="0"/>
              <w:spacing w:line="400" w:lineRule="exact"/>
              <w:ind w:left="44" w:leftChars="20" w:right="44" w:rightChars="20"/>
              <w:rPr>
                <w:bCs/>
                <w:color w:val="auto"/>
                <w:kern w:val="2"/>
                <w:sz w:val="21"/>
                <w:szCs w:val="21"/>
                <w:highlight w:val="none"/>
                <w:lang w:val="en-US" w:bidi="ar-SA"/>
              </w:rPr>
            </w:pPr>
            <w:r>
              <w:rPr>
                <w:rFonts w:hint="eastAsia"/>
                <w:color w:val="auto"/>
                <w:sz w:val="21"/>
                <w:szCs w:val="21"/>
                <w:highlight w:val="none"/>
              </w:rPr>
              <w:t>电话：</w:t>
            </w:r>
            <w:r>
              <w:rPr>
                <w:rFonts w:hint="eastAsia"/>
                <w:color w:val="auto"/>
                <w:sz w:val="21"/>
                <w:szCs w:val="21"/>
                <w:highlight w:val="none"/>
                <w:u w:val="single"/>
              </w:rPr>
              <w:t>020-</w:t>
            </w:r>
            <w:r>
              <w:rPr>
                <w:rFonts w:hint="eastAsia"/>
                <w:color w:val="auto"/>
                <w:sz w:val="21"/>
                <w:szCs w:val="21"/>
                <w:highlight w:val="none"/>
                <w:u w:val="single"/>
                <w:lang w:val="en-US"/>
              </w:rPr>
              <w:t>87578511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252" w:type="dxa"/>
            <w:vAlign w:val="center"/>
          </w:tcPr>
          <w:p>
            <w:pPr>
              <w:autoSpaceDE/>
              <w:autoSpaceDN/>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1.1.4</w:t>
            </w:r>
          </w:p>
        </w:tc>
        <w:tc>
          <w:tcPr>
            <w:tcW w:w="3360" w:type="dxa"/>
            <w:vAlign w:val="center"/>
          </w:tcPr>
          <w:p>
            <w:pPr>
              <w:autoSpaceDE/>
              <w:autoSpaceDN/>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招标项目名称</w:t>
            </w:r>
          </w:p>
        </w:tc>
        <w:tc>
          <w:tcPr>
            <w:tcW w:w="5440" w:type="dxa"/>
            <w:vAlign w:val="center"/>
          </w:tcPr>
          <w:p>
            <w:pPr>
              <w:autoSpaceDE/>
              <w:autoSpaceDN/>
              <w:adjustRightInd w:val="0"/>
              <w:snapToGrid w:val="0"/>
              <w:spacing w:line="400" w:lineRule="exact"/>
              <w:ind w:left="44" w:leftChars="20" w:right="44" w:rightChars="20"/>
              <w:rPr>
                <w:bCs/>
                <w:color w:val="auto"/>
                <w:kern w:val="2"/>
                <w:sz w:val="21"/>
                <w:szCs w:val="21"/>
                <w:highlight w:val="none"/>
                <w:lang w:val="en-US" w:bidi="ar-SA"/>
              </w:rPr>
            </w:pPr>
            <w:r>
              <w:rPr>
                <w:rFonts w:hint="eastAsia"/>
                <w:bCs/>
                <w:color w:val="auto"/>
                <w:sz w:val="21"/>
                <w:szCs w:val="21"/>
                <w:highlight w:val="none"/>
                <w:u w:val="single"/>
              </w:rPr>
              <w:t>南源街风雨亭片区(风雨亭、和平南、源溪社区)微改造项目房屋鉴定服务</w:t>
            </w:r>
            <w:r>
              <w:rPr>
                <w:rFonts w:hint="eastAsia"/>
                <w:color w:val="auto"/>
                <w:sz w:val="21"/>
                <w:szCs w:val="21"/>
                <w:highlight w:val="none"/>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252" w:type="dxa"/>
            <w:vAlign w:val="center"/>
          </w:tcPr>
          <w:p>
            <w:pPr>
              <w:autoSpaceDE/>
              <w:autoSpaceDN/>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1.1.5</w:t>
            </w:r>
          </w:p>
        </w:tc>
        <w:tc>
          <w:tcPr>
            <w:tcW w:w="3360" w:type="dxa"/>
            <w:vAlign w:val="center"/>
          </w:tcPr>
          <w:p>
            <w:pPr>
              <w:autoSpaceDE/>
              <w:autoSpaceDN/>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项目建设地点</w:t>
            </w:r>
          </w:p>
        </w:tc>
        <w:tc>
          <w:tcPr>
            <w:tcW w:w="5440" w:type="dxa"/>
            <w:vAlign w:val="center"/>
          </w:tcPr>
          <w:p>
            <w:pPr>
              <w:autoSpaceDE/>
              <w:autoSpaceDN/>
              <w:adjustRightInd w:val="0"/>
              <w:snapToGrid w:val="0"/>
              <w:spacing w:line="400" w:lineRule="exact"/>
              <w:ind w:left="44" w:leftChars="20" w:right="44" w:rightChars="20"/>
              <w:rPr>
                <w:bCs/>
                <w:color w:val="auto"/>
                <w:kern w:val="2"/>
                <w:sz w:val="21"/>
                <w:szCs w:val="21"/>
                <w:highlight w:val="none"/>
                <w:lang w:val="en-US" w:bidi="ar-SA"/>
              </w:rPr>
            </w:pPr>
            <w:r>
              <w:rPr>
                <w:rFonts w:hint="eastAsia"/>
                <w:color w:val="auto"/>
                <w:sz w:val="21"/>
                <w:szCs w:val="21"/>
                <w:highlight w:val="none"/>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252" w:type="dxa"/>
            <w:vAlign w:val="center"/>
          </w:tcPr>
          <w:p>
            <w:pPr>
              <w:autoSpaceDE/>
              <w:autoSpaceDN/>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1.1.6</w:t>
            </w:r>
          </w:p>
        </w:tc>
        <w:tc>
          <w:tcPr>
            <w:tcW w:w="3360" w:type="dxa"/>
            <w:vAlign w:val="center"/>
          </w:tcPr>
          <w:p>
            <w:pPr>
              <w:autoSpaceDE/>
              <w:autoSpaceDN/>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项目建设规模</w:t>
            </w:r>
          </w:p>
        </w:tc>
        <w:tc>
          <w:tcPr>
            <w:tcW w:w="5440" w:type="dxa"/>
            <w:vAlign w:val="center"/>
          </w:tcPr>
          <w:p>
            <w:pPr>
              <w:autoSpaceDE/>
              <w:autoSpaceDN/>
              <w:adjustRightInd w:val="0"/>
              <w:snapToGrid w:val="0"/>
              <w:spacing w:line="400" w:lineRule="exact"/>
              <w:ind w:left="44" w:leftChars="20" w:right="44" w:rightChars="20"/>
              <w:rPr>
                <w:bCs/>
                <w:color w:val="auto"/>
                <w:kern w:val="2"/>
                <w:sz w:val="21"/>
                <w:szCs w:val="21"/>
                <w:highlight w:val="none"/>
                <w:lang w:val="en-US" w:bidi="ar-SA"/>
              </w:rPr>
            </w:pPr>
            <w:r>
              <w:rPr>
                <w:rFonts w:hint="eastAsia"/>
                <w:color w:val="auto"/>
                <w:sz w:val="21"/>
                <w:szCs w:val="21"/>
                <w:highlight w:val="none"/>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52" w:type="dxa"/>
            <w:vAlign w:val="center"/>
          </w:tcPr>
          <w:p>
            <w:pPr>
              <w:autoSpaceDE/>
              <w:autoSpaceDN/>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1.1.7</w:t>
            </w:r>
          </w:p>
        </w:tc>
        <w:tc>
          <w:tcPr>
            <w:tcW w:w="3360" w:type="dxa"/>
            <w:vAlign w:val="center"/>
          </w:tcPr>
          <w:p>
            <w:pPr>
              <w:autoSpaceDE/>
              <w:autoSpaceDN/>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工程项目施工预计开工日期和建设周期</w:t>
            </w:r>
          </w:p>
        </w:tc>
        <w:tc>
          <w:tcPr>
            <w:tcW w:w="5440" w:type="dxa"/>
            <w:vAlign w:val="center"/>
          </w:tcPr>
          <w:p>
            <w:pPr>
              <w:adjustRightInd w:val="0"/>
              <w:snapToGrid w:val="0"/>
              <w:spacing w:line="400" w:lineRule="exact"/>
              <w:ind w:left="44" w:leftChars="20" w:right="44" w:rightChars="20"/>
              <w:rPr>
                <w:bCs/>
                <w:color w:val="auto"/>
                <w:kern w:val="2"/>
                <w:sz w:val="21"/>
                <w:szCs w:val="21"/>
                <w:highlight w:val="none"/>
                <w:lang w:val="en-US" w:bidi="ar-SA"/>
              </w:rPr>
            </w:pPr>
            <w:r>
              <w:rPr>
                <w:rFonts w:hint="eastAsia"/>
                <w:color w:val="auto"/>
                <w:sz w:val="21"/>
                <w:szCs w:val="21"/>
                <w:highlight w:val="none"/>
                <w:u w:val="single"/>
                <w:lang w:val="en-US"/>
              </w:rPr>
              <w:t>本项目总工期为</w:t>
            </w:r>
            <w:r>
              <w:rPr>
                <w:color w:val="auto"/>
                <w:sz w:val="21"/>
                <w:szCs w:val="21"/>
                <w:highlight w:val="none"/>
                <w:u w:val="single"/>
                <w:lang w:val="en-US"/>
              </w:rPr>
              <w:t>840</w:t>
            </w:r>
            <w:r>
              <w:rPr>
                <w:rFonts w:hint="eastAsia"/>
                <w:color w:val="auto"/>
                <w:sz w:val="21"/>
                <w:szCs w:val="21"/>
                <w:highlight w:val="none"/>
                <w:u w:val="single"/>
                <w:lang w:val="en-US"/>
              </w:rPr>
              <w:t>日历</w:t>
            </w:r>
            <w:r>
              <w:rPr>
                <w:rFonts w:hint="eastAsia"/>
                <w:color w:val="auto"/>
                <w:sz w:val="21"/>
                <w:szCs w:val="21"/>
                <w:highlight w:val="none"/>
                <w:u w:val="single"/>
              </w:rPr>
              <w:t>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252" w:type="dxa"/>
            <w:vAlign w:val="center"/>
          </w:tcPr>
          <w:p>
            <w:pPr>
              <w:autoSpaceDE/>
              <w:autoSpaceDN/>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1.1.8</w:t>
            </w:r>
          </w:p>
        </w:tc>
        <w:tc>
          <w:tcPr>
            <w:tcW w:w="3360" w:type="dxa"/>
            <w:vAlign w:val="center"/>
          </w:tcPr>
          <w:p>
            <w:pPr>
              <w:autoSpaceDE/>
              <w:autoSpaceDN/>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建筑安装工程费/工程概算</w:t>
            </w:r>
          </w:p>
        </w:tc>
        <w:tc>
          <w:tcPr>
            <w:tcW w:w="5440" w:type="dxa"/>
            <w:vAlign w:val="center"/>
          </w:tcPr>
          <w:p>
            <w:pPr>
              <w:autoSpaceDE/>
              <w:autoSpaceDN/>
              <w:adjustRightInd w:val="0"/>
              <w:snapToGrid w:val="0"/>
              <w:spacing w:line="400" w:lineRule="exact"/>
              <w:ind w:left="44" w:leftChars="20" w:right="44" w:rightChars="20"/>
              <w:rPr>
                <w:bCs/>
                <w:color w:val="auto"/>
                <w:kern w:val="2"/>
                <w:sz w:val="21"/>
                <w:szCs w:val="21"/>
                <w:highlight w:val="none"/>
                <w:lang w:val="en-US" w:bidi="ar-SA"/>
              </w:rPr>
            </w:pPr>
            <w:r>
              <w:rPr>
                <w:rFonts w:hint="eastAsia"/>
                <w:color w:val="auto"/>
                <w:sz w:val="21"/>
                <w:szCs w:val="21"/>
                <w:highlight w:val="none"/>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252" w:type="dxa"/>
            <w:vAlign w:val="center"/>
          </w:tcPr>
          <w:p>
            <w:pPr>
              <w:autoSpaceDE/>
              <w:autoSpaceDN/>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1.2.1</w:t>
            </w:r>
          </w:p>
        </w:tc>
        <w:tc>
          <w:tcPr>
            <w:tcW w:w="3360" w:type="dxa"/>
            <w:vAlign w:val="center"/>
          </w:tcPr>
          <w:p>
            <w:pPr>
              <w:autoSpaceDE/>
              <w:autoSpaceDN/>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资金来源及比例</w:t>
            </w:r>
          </w:p>
        </w:tc>
        <w:tc>
          <w:tcPr>
            <w:tcW w:w="5440" w:type="dxa"/>
            <w:vAlign w:val="center"/>
          </w:tcPr>
          <w:p>
            <w:pPr>
              <w:autoSpaceDE/>
              <w:autoSpaceDN/>
              <w:adjustRightInd w:val="0"/>
              <w:snapToGrid w:val="0"/>
              <w:spacing w:line="400" w:lineRule="exact"/>
              <w:ind w:left="44" w:leftChars="20" w:right="44" w:rightChars="20"/>
              <w:rPr>
                <w:bCs/>
                <w:color w:val="auto"/>
                <w:kern w:val="2"/>
                <w:sz w:val="21"/>
                <w:szCs w:val="21"/>
                <w:highlight w:val="none"/>
                <w:lang w:val="en-US" w:bidi="ar-SA"/>
              </w:rPr>
            </w:pPr>
            <w:r>
              <w:rPr>
                <w:rFonts w:hint="eastAsia"/>
                <w:color w:val="auto"/>
                <w:sz w:val="21"/>
                <w:szCs w:val="21"/>
                <w:highlight w:val="none"/>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252" w:type="dxa"/>
            <w:vAlign w:val="center"/>
          </w:tcPr>
          <w:p>
            <w:pPr>
              <w:autoSpaceDE/>
              <w:autoSpaceDN/>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1.2.2</w:t>
            </w:r>
          </w:p>
        </w:tc>
        <w:tc>
          <w:tcPr>
            <w:tcW w:w="3360" w:type="dxa"/>
            <w:vAlign w:val="center"/>
          </w:tcPr>
          <w:p>
            <w:pPr>
              <w:autoSpaceDE/>
              <w:autoSpaceDN/>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资金落实情况</w:t>
            </w:r>
          </w:p>
        </w:tc>
        <w:tc>
          <w:tcPr>
            <w:tcW w:w="5440" w:type="dxa"/>
            <w:vAlign w:val="center"/>
          </w:tcPr>
          <w:p>
            <w:pPr>
              <w:autoSpaceDE/>
              <w:autoSpaceDN/>
              <w:adjustRightInd w:val="0"/>
              <w:snapToGrid w:val="0"/>
              <w:spacing w:line="400" w:lineRule="exact"/>
              <w:ind w:left="44" w:leftChars="20" w:right="44" w:rightChars="20"/>
              <w:rPr>
                <w:bCs/>
                <w:color w:val="auto"/>
                <w:kern w:val="2"/>
                <w:sz w:val="21"/>
                <w:szCs w:val="21"/>
                <w:highlight w:val="none"/>
                <w:lang w:val="en-US" w:bidi="ar-SA"/>
              </w:rPr>
            </w:pPr>
            <w:r>
              <w:rPr>
                <w:rFonts w:hint="eastAsia"/>
                <w:color w:val="auto"/>
                <w:sz w:val="21"/>
                <w:szCs w:val="21"/>
                <w:highlight w:val="none"/>
                <w:u w:val="single"/>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252" w:type="dxa"/>
            <w:vAlign w:val="center"/>
          </w:tcPr>
          <w:p>
            <w:pPr>
              <w:autoSpaceDE/>
              <w:autoSpaceDN/>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1.3.1</w:t>
            </w:r>
          </w:p>
        </w:tc>
        <w:tc>
          <w:tcPr>
            <w:tcW w:w="3360" w:type="dxa"/>
            <w:vAlign w:val="center"/>
          </w:tcPr>
          <w:p>
            <w:pPr>
              <w:autoSpaceDE/>
              <w:autoSpaceDN/>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招标范围</w:t>
            </w:r>
          </w:p>
        </w:tc>
        <w:tc>
          <w:tcPr>
            <w:tcW w:w="5440" w:type="dxa"/>
            <w:vAlign w:val="center"/>
          </w:tcPr>
          <w:p>
            <w:pPr>
              <w:autoSpaceDE/>
              <w:autoSpaceDN/>
              <w:adjustRightInd w:val="0"/>
              <w:snapToGrid w:val="0"/>
              <w:spacing w:line="400" w:lineRule="exact"/>
              <w:ind w:left="44" w:leftChars="20" w:right="44" w:rightChars="20"/>
              <w:rPr>
                <w:bCs/>
                <w:color w:val="auto"/>
                <w:kern w:val="2"/>
                <w:sz w:val="21"/>
                <w:szCs w:val="21"/>
                <w:highlight w:val="none"/>
                <w:lang w:val="en-US" w:bidi="ar-SA"/>
              </w:rPr>
            </w:pPr>
            <w:r>
              <w:rPr>
                <w:rFonts w:hint="eastAsia"/>
                <w:color w:val="auto"/>
                <w:sz w:val="21"/>
                <w:szCs w:val="21"/>
                <w:highlight w:val="none"/>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252" w:type="dxa"/>
            <w:vAlign w:val="center"/>
          </w:tcPr>
          <w:p>
            <w:pPr>
              <w:autoSpaceDE/>
              <w:autoSpaceDN/>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1.3.2</w:t>
            </w:r>
          </w:p>
        </w:tc>
        <w:tc>
          <w:tcPr>
            <w:tcW w:w="3360" w:type="dxa"/>
            <w:vAlign w:val="center"/>
          </w:tcPr>
          <w:p>
            <w:pPr>
              <w:autoSpaceDE/>
              <w:autoSpaceDN/>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服务期限</w:t>
            </w:r>
          </w:p>
        </w:tc>
        <w:tc>
          <w:tcPr>
            <w:tcW w:w="5440" w:type="dxa"/>
            <w:vAlign w:val="center"/>
          </w:tcPr>
          <w:p>
            <w:pPr>
              <w:autoSpaceDE/>
              <w:autoSpaceDN/>
              <w:adjustRightInd w:val="0"/>
              <w:snapToGrid w:val="0"/>
              <w:spacing w:line="400" w:lineRule="exact"/>
              <w:ind w:left="44" w:leftChars="20" w:right="44" w:rightChars="20"/>
              <w:rPr>
                <w:bCs/>
                <w:color w:val="auto"/>
                <w:kern w:val="2"/>
                <w:sz w:val="21"/>
                <w:szCs w:val="21"/>
                <w:highlight w:val="none"/>
                <w:lang w:val="en-US" w:bidi="ar-SA"/>
              </w:rPr>
            </w:pPr>
            <w:r>
              <w:rPr>
                <w:rFonts w:hint="eastAsia"/>
                <w:color w:val="auto"/>
                <w:sz w:val="21"/>
                <w:szCs w:val="21"/>
                <w:highlight w:val="none"/>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252" w:type="dxa"/>
            <w:vAlign w:val="center"/>
          </w:tcPr>
          <w:p>
            <w:pPr>
              <w:autoSpaceDE/>
              <w:autoSpaceDN/>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1.3.3</w:t>
            </w:r>
          </w:p>
        </w:tc>
        <w:tc>
          <w:tcPr>
            <w:tcW w:w="3360" w:type="dxa"/>
            <w:vAlign w:val="center"/>
          </w:tcPr>
          <w:p>
            <w:pPr>
              <w:autoSpaceDE/>
              <w:autoSpaceDN/>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质量标准</w:t>
            </w:r>
          </w:p>
        </w:tc>
        <w:tc>
          <w:tcPr>
            <w:tcW w:w="5440" w:type="dxa"/>
            <w:vAlign w:val="center"/>
          </w:tcPr>
          <w:p>
            <w:pPr>
              <w:pStyle w:val="32"/>
              <w:topLinePunct w:val="0"/>
              <w:spacing w:line="400" w:lineRule="exact"/>
              <w:ind w:left="44" w:leftChars="20" w:right="44" w:rightChars="20" w:firstLine="23" w:firstLineChars="11"/>
              <w:rPr>
                <w:rFonts w:ascii="仿宋" w:hAnsi="仿宋" w:cs="仿宋"/>
                <w:b/>
                <w:bCs/>
                <w:color w:val="auto"/>
                <w:sz w:val="21"/>
                <w:szCs w:val="21"/>
                <w:highlight w:val="none"/>
              </w:rPr>
            </w:pPr>
            <w:r>
              <w:rPr>
                <w:rFonts w:hint="eastAsia" w:ascii="宋体" w:hAnsi="宋体" w:cs="宋体"/>
                <w:color w:val="auto"/>
                <w:sz w:val="21"/>
                <w:szCs w:val="21"/>
                <w:highlight w:val="none"/>
                <w:u w:val="single"/>
              </w:rPr>
              <w:t>按国家相关规定执行的合格标准。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52" w:type="dxa"/>
            <w:vAlign w:val="center"/>
          </w:tcPr>
          <w:p>
            <w:pPr>
              <w:autoSpaceDE/>
              <w:autoSpaceDN/>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1.4.1</w:t>
            </w:r>
          </w:p>
        </w:tc>
        <w:tc>
          <w:tcPr>
            <w:tcW w:w="3360" w:type="dxa"/>
            <w:vAlign w:val="center"/>
          </w:tcPr>
          <w:p>
            <w:pPr>
              <w:autoSpaceDE/>
              <w:autoSpaceDN/>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bCs/>
                <w:color w:val="auto"/>
                <w:kern w:val="2"/>
                <w:sz w:val="21"/>
                <w:szCs w:val="21"/>
                <w:highlight w:val="none"/>
                <w:lang w:val="en-US" w:bidi="ar-SA"/>
              </w:rPr>
              <w:t>投标人资质条件、能力、信誉</w:t>
            </w:r>
          </w:p>
        </w:tc>
        <w:tc>
          <w:tcPr>
            <w:tcW w:w="5440" w:type="dxa"/>
            <w:vAlign w:val="center"/>
          </w:tcPr>
          <w:p>
            <w:pPr>
              <w:autoSpaceDE/>
              <w:autoSpaceDN/>
              <w:adjustRightInd w:val="0"/>
              <w:snapToGrid w:val="0"/>
              <w:spacing w:line="400" w:lineRule="exact"/>
              <w:ind w:left="44" w:leftChars="20" w:right="44" w:rightChars="20"/>
              <w:rPr>
                <w:bCs/>
                <w:color w:val="auto"/>
                <w:kern w:val="2"/>
                <w:sz w:val="21"/>
                <w:szCs w:val="21"/>
                <w:highlight w:val="none"/>
                <w:lang w:val="en-US" w:bidi="ar-SA"/>
              </w:rPr>
            </w:pPr>
            <w:r>
              <w:rPr>
                <w:rFonts w:hint="eastAsia"/>
                <w:bCs/>
                <w:color w:val="auto"/>
                <w:kern w:val="2"/>
                <w:sz w:val="21"/>
                <w:szCs w:val="21"/>
                <w:highlight w:val="none"/>
                <w:lang w:val="en-US" w:bidi="ar-SA"/>
              </w:rPr>
              <w:t>（1）资质要求：</w:t>
            </w:r>
            <w:r>
              <w:rPr>
                <w:rFonts w:hint="eastAsia"/>
                <w:color w:val="auto"/>
                <w:sz w:val="21"/>
                <w:szCs w:val="21"/>
                <w:highlight w:val="none"/>
              </w:rPr>
              <w:t>见招标公告投标人资格要求。</w:t>
            </w:r>
          </w:p>
          <w:p>
            <w:pPr>
              <w:autoSpaceDE/>
              <w:autoSpaceDN/>
              <w:adjustRightInd w:val="0"/>
              <w:snapToGrid w:val="0"/>
              <w:spacing w:line="400" w:lineRule="exact"/>
              <w:ind w:left="44" w:leftChars="20" w:right="44" w:rightChars="20"/>
              <w:rPr>
                <w:bCs/>
                <w:color w:val="auto"/>
                <w:kern w:val="2"/>
                <w:sz w:val="21"/>
                <w:szCs w:val="21"/>
                <w:highlight w:val="none"/>
                <w:lang w:val="en-US" w:bidi="ar-SA"/>
              </w:rPr>
            </w:pPr>
            <w:r>
              <w:rPr>
                <w:rFonts w:hint="eastAsia"/>
                <w:bCs/>
                <w:color w:val="auto"/>
                <w:kern w:val="2"/>
                <w:sz w:val="21"/>
                <w:szCs w:val="21"/>
                <w:highlight w:val="none"/>
                <w:lang w:val="en-US" w:bidi="ar-SA"/>
              </w:rPr>
              <w:t>（2）财务要求：/</w:t>
            </w:r>
          </w:p>
          <w:p>
            <w:pPr>
              <w:autoSpaceDE/>
              <w:autoSpaceDN/>
              <w:adjustRightInd w:val="0"/>
              <w:snapToGrid w:val="0"/>
              <w:spacing w:line="400" w:lineRule="exact"/>
              <w:ind w:left="44" w:leftChars="20" w:right="44" w:rightChars="20"/>
              <w:rPr>
                <w:bCs/>
                <w:color w:val="auto"/>
                <w:kern w:val="2"/>
                <w:sz w:val="21"/>
                <w:szCs w:val="21"/>
                <w:highlight w:val="none"/>
                <w:lang w:val="en-US" w:bidi="ar-SA"/>
              </w:rPr>
            </w:pPr>
            <w:r>
              <w:rPr>
                <w:rFonts w:hint="eastAsia"/>
                <w:bCs/>
                <w:color w:val="auto"/>
                <w:kern w:val="2"/>
                <w:sz w:val="21"/>
                <w:szCs w:val="21"/>
                <w:highlight w:val="none"/>
                <w:lang w:val="en-US" w:bidi="ar-SA"/>
              </w:rPr>
              <w:t>（3）业绩要求：</w:t>
            </w:r>
            <w:r>
              <w:rPr>
                <w:rFonts w:hint="eastAsia"/>
                <w:color w:val="auto"/>
                <w:sz w:val="21"/>
                <w:szCs w:val="21"/>
                <w:highlight w:val="none"/>
                <w:lang w:val="en-US"/>
              </w:rPr>
              <w:t>/</w:t>
            </w:r>
          </w:p>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（4）信誉要求：/</w:t>
            </w:r>
          </w:p>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（5）</w:t>
            </w:r>
            <w:r>
              <w:rPr>
                <w:rFonts w:hint="eastAsia"/>
                <w:color w:val="auto"/>
                <w:sz w:val="21"/>
                <w:szCs w:val="21"/>
                <w:highlight w:val="none"/>
                <w:lang w:val="en-US"/>
              </w:rPr>
              <w:t>项目负责人</w:t>
            </w:r>
            <w:r>
              <w:rPr>
                <w:rFonts w:hint="eastAsia"/>
                <w:color w:val="auto"/>
                <w:sz w:val="21"/>
                <w:szCs w:val="21"/>
                <w:highlight w:val="none"/>
              </w:rPr>
              <w:t>的资格要求：见招标公告投标人资格要求。</w:t>
            </w:r>
          </w:p>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（6）其他主要人员要求：/</w:t>
            </w:r>
          </w:p>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（7）试验检测仪器设备要求：/</w:t>
            </w:r>
          </w:p>
          <w:p>
            <w:pPr>
              <w:autoSpaceDE/>
              <w:autoSpaceDN/>
              <w:adjustRightInd w:val="0"/>
              <w:snapToGrid w:val="0"/>
              <w:spacing w:line="400" w:lineRule="exact"/>
              <w:ind w:left="44" w:leftChars="20" w:right="44" w:rightChars="20"/>
              <w:rPr>
                <w:bCs/>
                <w:color w:val="auto"/>
                <w:kern w:val="2"/>
                <w:sz w:val="21"/>
                <w:szCs w:val="21"/>
                <w:highlight w:val="none"/>
                <w:lang w:val="en-US" w:bidi="ar-SA"/>
              </w:rPr>
            </w:pPr>
            <w:r>
              <w:rPr>
                <w:rFonts w:hint="eastAsia"/>
                <w:color w:val="auto"/>
                <w:sz w:val="21"/>
                <w:szCs w:val="21"/>
                <w:highlight w:val="none"/>
              </w:rPr>
              <w:t>（8）其他要求：见招标公告投标人资格要求。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1252"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1.4.2</w:t>
            </w:r>
          </w:p>
        </w:tc>
        <w:tc>
          <w:tcPr>
            <w:tcW w:w="3360"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是否接受联合体投标</w:t>
            </w:r>
          </w:p>
        </w:tc>
        <w:tc>
          <w:tcPr>
            <w:tcW w:w="5440" w:type="dxa"/>
            <w:vAlign w:val="center"/>
          </w:tcPr>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w:t>
            </w:r>
            <w:r>
              <w:rPr>
                <w:rFonts w:hint="eastAsia"/>
                <w:color w:val="auto"/>
                <w:position w:val="3"/>
                <w:sz w:val="21"/>
                <w:szCs w:val="21"/>
                <w:highlight w:val="none"/>
              </w:rPr>
              <w:t>不接受</w:t>
            </w:r>
          </w:p>
          <w:p>
            <w:pPr>
              <w:adjustRightInd w:val="0"/>
              <w:snapToGrid w:val="0"/>
              <w:spacing w:line="400" w:lineRule="exact"/>
              <w:ind w:left="44" w:leftChars="20" w:right="44" w:rightChars="20"/>
              <w:rPr>
                <w:color w:val="auto"/>
                <w:sz w:val="21"/>
                <w:szCs w:val="21"/>
                <w:highlight w:val="none"/>
                <w:lang w:val="en-US"/>
              </w:rPr>
            </w:pPr>
            <w:r>
              <w:rPr>
                <w:rFonts w:hint="eastAsia"/>
                <w:color w:val="auto"/>
                <w:sz w:val="21"/>
                <w:szCs w:val="21"/>
                <w:highlight w:val="none"/>
              </w:rPr>
              <w:t>□接受，应满足下列要求：</w:t>
            </w:r>
            <w:r>
              <w:rPr>
                <w:rFonts w:hint="eastAsia"/>
                <w:color w:val="auto"/>
                <w:sz w:val="21"/>
                <w:szCs w:val="21"/>
                <w:highlight w:val="none"/>
                <w:u w:val="single"/>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1252"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1.4.3</w:t>
            </w:r>
          </w:p>
        </w:tc>
        <w:tc>
          <w:tcPr>
            <w:tcW w:w="3360"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投标人不得存在的其他情形</w:t>
            </w:r>
          </w:p>
        </w:tc>
        <w:tc>
          <w:tcPr>
            <w:tcW w:w="5440" w:type="dxa"/>
            <w:vAlign w:val="center"/>
          </w:tcPr>
          <w:p>
            <w:pPr>
              <w:adjustRightInd w:val="0"/>
              <w:snapToGrid w:val="0"/>
              <w:spacing w:line="400" w:lineRule="exact"/>
              <w:ind w:left="44" w:leftChars="20" w:right="44" w:rightChars="20"/>
              <w:rPr>
                <w:color w:val="auto"/>
                <w:sz w:val="21"/>
                <w:szCs w:val="21"/>
                <w:highlight w:val="none"/>
                <w:u w:val="single"/>
              </w:rPr>
            </w:pPr>
            <w:r>
              <w:rPr>
                <w:rFonts w:hint="eastAsia"/>
                <w:color w:val="auto"/>
                <w:sz w:val="21"/>
                <w:szCs w:val="21"/>
                <w:highlight w:val="none"/>
                <w:u w:val="single"/>
              </w:rPr>
              <w:t>（16）在近三年内投标人或其法定代表人、拟委任的项目负责人有行贿犯罪行为的。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1.9.1</w:t>
            </w:r>
          </w:p>
        </w:tc>
        <w:tc>
          <w:tcPr>
            <w:tcW w:w="3360"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踏勘现场</w:t>
            </w:r>
          </w:p>
        </w:tc>
        <w:tc>
          <w:tcPr>
            <w:tcW w:w="5440" w:type="dxa"/>
            <w:vAlign w:val="center"/>
          </w:tcPr>
          <w:p>
            <w:pPr>
              <w:pStyle w:val="10"/>
              <w:adjustRightInd w:val="0"/>
              <w:snapToGrid w:val="0"/>
              <w:spacing w:after="0" w:line="400" w:lineRule="exact"/>
              <w:ind w:left="44" w:leftChars="20" w:right="44" w:rightChars="20"/>
              <w:rPr>
                <w:color w:val="auto"/>
                <w:sz w:val="21"/>
                <w:szCs w:val="21"/>
                <w:highlight w:val="none"/>
                <w:u w:val="single"/>
                <w:lang w:val="en-US"/>
              </w:rPr>
            </w:pPr>
            <w:r>
              <w:rPr>
                <w:rFonts w:hint="eastAsia"/>
                <w:color w:val="auto"/>
                <w:sz w:val="21"/>
                <w:szCs w:val="21"/>
                <w:highlight w:val="none"/>
                <w:lang w:val="en-US"/>
              </w:rPr>
              <w:t>■不组织，</w:t>
            </w:r>
            <w:r>
              <w:rPr>
                <w:rFonts w:hint="eastAsia"/>
                <w:color w:val="auto"/>
                <w:sz w:val="21"/>
                <w:szCs w:val="21"/>
                <w:highlight w:val="none"/>
                <w:u w:val="single"/>
                <w:lang w:val="en-US"/>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w:t>
            </w:r>
          </w:p>
          <w:p>
            <w:pPr>
              <w:pStyle w:val="10"/>
              <w:adjustRightInd w:val="0"/>
              <w:snapToGrid w:val="0"/>
              <w:spacing w:after="0" w:line="400" w:lineRule="exact"/>
              <w:ind w:left="44" w:leftChars="20" w:right="44" w:rightChars="20"/>
              <w:rPr>
                <w:color w:val="auto"/>
                <w:sz w:val="21"/>
                <w:szCs w:val="21"/>
                <w:highlight w:val="none"/>
                <w:u w:val="single"/>
                <w:lang w:val="en-US"/>
              </w:rPr>
            </w:pPr>
            <w:r>
              <w:rPr>
                <w:rFonts w:hint="eastAsia"/>
                <w:color w:val="auto"/>
                <w:sz w:val="21"/>
                <w:szCs w:val="21"/>
                <w:highlight w:val="none"/>
                <w:u w:val="single"/>
                <w:lang w:val="en-US"/>
              </w:rPr>
              <w:t>2.投标人及其代表必须承担那些进入现场后，由于他们的行为所造成的人身伤害（不管是否致命）、财产损失或损坏，以及其他任何原因造成的损失、损坏或费用。发包人在投标人及其代表考察过程中不负任何责任。</w:t>
            </w:r>
          </w:p>
          <w:p>
            <w:pPr>
              <w:pStyle w:val="10"/>
              <w:adjustRightInd w:val="0"/>
              <w:snapToGrid w:val="0"/>
              <w:spacing w:after="0" w:line="400" w:lineRule="exact"/>
              <w:ind w:left="44" w:leftChars="20" w:right="44" w:rightChars="20"/>
              <w:rPr>
                <w:color w:val="auto"/>
                <w:sz w:val="21"/>
                <w:szCs w:val="21"/>
                <w:highlight w:val="none"/>
                <w:u w:val="single"/>
                <w:lang w:val="en-US"/>
              </w:rPr>
            </w:pPr>
            <w:r>
              <w:rPr>
                <w:rFonts w:hint="eastAsia"/>
                <w:color w:val="auto"/>
                <w:sz w:val="21"/>
                <w:szCs w:val="21"/>
                <w:highlight w:val="none"/>
                <w:u w:val="single"/>
                <w:lang w:val="en-US"/>
              </w:rPr>
              <w:t>3.由发包人提供的资料和数据，只是为了使投标人能够利用发包人现有的资料。发包人对投标人由此而作出的推论、解释和结论概不负责。</w:t>
            </w:r>
          </w:p>
          <w:p>
            <w:pPr>
              <w:pStyle w:val="10"/>
              <w:adjustRightInd w:val="0"/>
              <w:snapToGrid w:val="0"/>
              <w:spacing w:after="0" w:line="400" w:lineRule="exact"/>
              <w:ind w:left="44" w:leftChars="20" w:right="44" w:rightChars="20"/>
              <w:rPr>
                <w:color w:val="auto"/>
                <w:sz w:val="21"/>
                <w:szCs w:val="21"/>
                <w:highlight w:val="none"/>
                <w:u w:val="single"/>
                <w:lang w:val="en-US"/>
              </w:rPr>
            </w:pPr>
            <w:r>
              <w:rPr>
                <w:rFonts w:hint="eastAsia"/>
                <w:color w:val="auto"/>
                <w:sz w:val="21"/>
                <w:szCs w:val="21"/>
                <w:highlight w:val="none"/>
                <w:u w:val="single"/>
                <w:lang w:val="en-US"/>
              </w:rPr>
              <w:t>4.不论投标结果如何，投标人应承担其投标文件编制与递交所涉及的一切费用，发包人对上述费用不负任何责任。</w:t>
            </w:r>
          </w:p>
          <w:p>
            <w:pPr>
              <w:pStyle w:val="10"/>
              <w:adjustRightInd w:val="0"/>
              <w:snapToGrid w:val="0"/>
              <w:spacing w:after="0" w:line="400" w:lineRule="exact"/>
              <w:ind w:left="44" w:leftChars="20" w:right="44" w:rightChars="20"/>
              <w:rPr>
                <w:color w:val="auto"/>
                <w:sz w:val="21"/>
                <w:szCs w:val="21"/>
                <w:highlight w:val="none"/>
                <w:lang w:val="en-US"/>
              </w:rPr>
            </w:pPr>
            <w:r>
              <w:rPr>
                <w:rFonts w:hint="eastAsia"/>
                <w:color w:val="auto"/>
                <w:sz w:val="21"/>
                <w:szCs w:val="21"/>
                <w:highlight w:val="none"/>
                <w:lang w:val="en-US"/>
              </w:rPr>
              <w:t>□组织，踏勘时间：/</w:t>
            </w:r>
          </w:p>
          <w:p>
            <w:pPr>
              <w:pStyle w:val="10"/>
              <w:adjustRightInd w:val="0"/>
              <w:snapToGrid w:val="0"/>
              <w:spacing w:after="0" w:line="400" w:lineRule="exact"/>
              <w:ind w:left="44" w:leftChars="20" w:right="44" w:rightChars="20"/>
              <w:rPr>
                <w:color w:val="auto"/>
                <w:sz w:val="21"/>
                <w:szCs w:val="21"/>
                <w:highlight w:val="none"/>
              </w:rPr>
            </w:pPr>
            <w:r>
              <w:rPr>
                <w:rFonts w:hint="eastAsia"/>
                <w:color w:val="auto"/>
                <w:sz w:val="21"/>
                <w:szCs w:val="21"/>
                <w:highlight w:val="none"/>
                <w:lang w:val="en-US"/>
              </w:rPr>
              <w:t>踏勘集中地点：/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1.10.1</w:t>
            </w:r>
          </w:p>
        </w:tc>
        <w:tc>
          <w:tcPr>
            <w:tcW w:w="3360"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投标预备会</w:t>
            </w:r>
          </w:p>
        </w:tc>
        <w:tc>
          <w:tcPr>
            <w:tcW w:w="5440" w:type="dxa"/>
            <w:vAlign w:val="center"/>
          </w:tcPr>
          <w:p>
            <w:pPr>
              <w:pStyle w:val="10"/>
              <w:adjustRightInd w:val="0"/>
              <w:snapToGrid w:val="0"/>
              <w:spacing w:after="0" w:line="400" w:lineRule="exact"/>
              <w:ind w:left="44" w:leftChars="20" w:right="44" w:rightChars="20"/>
              <w:rPr>
                <w:color w:val="auto"/>
                <w:sz w:val="21"/>
                <w:szCs w:val="21"/>
                <w:highlight w:val="none"/>
                <w:lang w:val="en-US"/>
              </w:rPr>
            </w:pPr>
            <w:r>
              <w:rPr>
                <w:rFonts w:hint="eastAsia"/>
                <w:color w:val="auto"/>
                <w:sz w:val="21"/>
                <w:szCs w:val="21"/>
                <w:highlight w:val="none"/>
                <w:lang w:val="en-US"/>
              </w:rPr>
              <w:t>■不召开</w:t>
            </w:r>
          </w:p>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□召开，召开时间：</w:t>
            </w:r>
            <w:r>
              <w:rPr>
                <w:rFonts w:hint="eastAsia"/>
                <w:color w:val="auto"/>
                <w:sz w:val="21"/>
                <w:szCs w:val="21"/>
                <w:highlight w:val="none"/>
                <w:u w:val="single"/>
              </w:rPr>
              <w:t xml:space="preserve"> / </w:t>
            </w:r>
          </w:p>
          <w:p>
            <w:pPr>
              <w:adjustRightInd w:val="0"/>
              <w:snapToGrid w:val="0"/>
              <w:spacing w:line="400" w:lineRule="exact"/>
              <w:ind w:left="44" w:leftChars="20" w:right="44" w:rightChars="20" w:firstLine="840" w:firstLineChars="400"/>
              <w:rPr>
                <w:color w:val="auto"/>
                <w:sz w:val="21"/>
                <w:szCs w:val="21"/>
                <w:highlight w:val="none"/>
              </w:rPr>
            </w:pPr>
            <w:r>
              <w:rPr>
                <w:rFonts w:hint="eastAsia"/>
                <w:color w:val="auto"/>
                <w:sz w:val="21"/>
                <w:szCs w:val="21"/>
                <w:highlight w:val="none"/>
              </w:rPr>
              <w:t>召开地点：</w:t>
            </w:r>
            <w:r>
              <w:rPr>
                <w:rFonts w:hint="eastAsia"/>
                <w:color w:val="auto"/>
                <w:sz w:val="21"/>
                <w:szCs w:val="21"/>
                <w:highlight w:val="none"/>
                <w:u w:val="single"/>
              </w:rPr>
              <w:t xml:space="preserve">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252" w:type="dxa"/>
            <w:vMerge w:val="restart"/>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1.10.2</w:t>
            </w:r>
          </w:p>
        </w:tc>
        <w:tc>
          <w:tcPr>
            <w:tcW w:w="3360" w:type="dxa"/>
            <w:vMerge w:val="restart"/>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投标人在投标预备会前提出问题</w:t>
            </w:r>
          </w:p>
        </w:tc>
        <w:tc>
          <w:tcPr>
            <w:tcW w:w="5440" w:type="dxa"/>
            <w:vAlign w:val="center"/>
          </w:tcPr>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时间：</w:t>
            </w:r>
            <w:r>
              <w:rPr>
                <w:rFonts w:hint="eastAsia"/>
                <w:color w:val="auto"/>
                <w:sz w:val="21"/>
                <w:szCs w:val="21"/>
                <w:highlight w:val="none"/>
                <w:u w:val="single"/>
              </w:rPr>
              <w:t xml:space="preserve">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1252" w:type="dxa"/>
            <w:vMerge w:val="continue"/>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p>
        </w:tc>
        <w:tc>
          <w:tcPr>
            <w:tcW w:w="3360" w:type="dxa"/>
            <w:vMerge w:val="continue"/>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p>
        </w:tc>
        <w:tc>
          <w:tcPr>
            <w:tcW w:w="5440" w:type="dxa"/>
            <w:vAlign w:val="center"/>
          </w:tcPr>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形式：</w:t>
            </w:r>
            <w:r>
              <w:rPr>
                <w:rFonts w:hint="eastAsia"/>
                <w:color w:val="auto"/>
                <w:sz w:val="21"/>
                <w:szCs w:val="21"/>
                <w:highlight w:val="none"/>
                <w:u w:val="single"/>
              </w:rPr>
              <w:t xml:space="preserve">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252"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1.10.3</w:t>
            </w:r>
          </w:p>
        </w:tc>
        <w:tc>
          <w:tcPr>
            <w:tcW w:w="3360"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招标文件澄清发出的形式</w:t>
            </w:r>
          </w:p>
        </w:tc>
        <w:tc>
          <w:tcPr>
            <w:tcW w:w="5440" w:type="dxa"/>
            <w:vAlign w:val="center"/>
          </w:tcPr>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u w:val="single"/>
              </w:rPr>
              <w:t xml:space="preserve">/ </w:t>
            </w:r>
            <w:r>
              <w:rPr>
                <w:rFonts w:hint="eastAsia"/>
                <w:color w:val="auto"/>
                <w:sz w:val="21"/>
                <w:szCs w:val="21"/>
                <w:highlight w:val="none"/>
              </w:rPr>
              <w:t xml:space="preserve"> （此为投标预备会的答疑澄清）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252"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1.12.1</w:t>
            </w:r>
          </w:p>
        </w:tc>
        <w:tc>
          <w:tcPr>
            <w:tcW w:w="3360"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实质性要求和条件</w:t>
            </w:r>
          </w:p>
        </w:tc>
        <w:tc>
          <w:tcPr>
            <w:tcW w:w="5440" w:type="dxa"/>
            <w:vAlign w:val="center"/>
          </w:tcPr>
          <w:p>
            <w:pPr>
              <w:pStyle w:val="10"/>
              <w:adjustRightInd w:val="0"/>
              <w:snapToGrid w:val="0"/>
              <w:spacing w:after="0" w:line="400" w:lineRule="exact"/>
              <w:ind w:left="44" w:leftChars="20" w:right="44" w:rightChars="20"/>
              <w:rPr>
                <w:color w:val="auto"/>
                <w:sz w:val="21"/>
                <w:szCs w:val="21"/>
                <w:highlight w:val="none"/>
              </w:rPr>
            </w:pPr>
            <w:r>
              <w:rPr>
                <w:rFonts w:hint="eastAsia"/>
                <w:color w:val="auto"/>
                <w:sz w:val="21"/>
                <w:szCs w:val="21"/>
                <w:highlight w:val="none"/>
                <w:u w:val="single"/>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1.12.3</w:t>
            </w:r>
          </w:p>
        </w:tc>
        <w:tc>
          <w:tcPr>
            <w:tcW w:w="3360"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偏差</w:t>
            </w:r>
          </w:p>
        </w:tc>
        <w:tc>
          <w:tcPr>
            <w:tcW w:w="5440" w:type="dxa"/>
          </w:tcPr>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■不允许</w:t>
            </w:r>
          </w:p>
          <w:p>
            <w:pPr>
              <w:pStyle w:val="10"/>
              <w:autoSpaceDE/>
              <w:autoSpaceDN/>
              <w:adjustRightInd w:val="0"/>
              <w:snapToGrid w:val="0"/>
              <w:spacing w:after="0" w:line="400" w:lineRule="exact"/>
              <w:ind w:left="44" w:leftChars="20" w:right="44" w:rightChars="20"/>
              <w:jc w:val="both"/>
              <w:rPr>
                <w:color w:val="auto"/>
                <w:kern w:val="2"/>
                <w:sz w:val="21"/>
                <w:szCs w:val="21"/>
                <w:highlight w:val="none"/>
                <w:lang w:val="en-US" w:bidi="ar-SA"/>
              </w:rPr>
            </w:pPr>
            <w:r>
              <w:rPr>
                <w:rFonts w:hint="eastAsia"/>
                <w:color w:val="auto"/>
                <w:kern w:val="2"/>
                <w:sz w:val="21"/>
                <w:szCs w:val="21"/>
                <w:highlight w:val="none"/>
                <w:lang w:val="en-US" w:bidi="ar-SA"/>
              </w:rPr>
              <w:t>□允许，偏差范围：/</w:t>
            </w:r>
          </w:p>
          <w:p>
            <w:pPr>
              <w:pStyle w:val="10"/>
              <w:autoSpaceDE/>
              <w:autoSpaceDN/>
              <w:adjustRightInd w:val="0"/>
              <w:snapToGrid w:val="0"/>
              <w:spacing w:after="0" w:line="400" w:lineRule="exact"/>
              <w:ind w:left="44" w:leftChars="20" w:right="44" w:rightChars="20"/>
              <w:jc w:val="both"/>
              <w:rPr>
                <w:color w:val="auto"/>
                <w:sz w:val="21"/>
                <w:szCs w:val="21"/>
                <w:highlight w:val="none"/>
              </w:rPr>
            </w:pPr>
            <w:r>
              <w:rPr>
                <w:rFonts w:hint="eastAsia"/>
                <w:color w:val="auto"/>
                <w:kern w:val="2"/>
                <w:sz w:val="21"/>
                <w:szCs w:val="21"/>
                <w:highlight w:val="none"/>
                <w:lang w:val="en-US" w:bidi="ar-SA"/>
              </w:rPr>
              <w:t>偏差幅度：/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252"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2.1</w:t>
            </w:r>
          </w:p>
        </w:tc>
        <w:tc>
          <w:tcPr>
            <w:tcW w:w="3360"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构成招标文件的其他资料</w:t>
            </w:r>
          </w:p>
        </w:tc>
        <w:tc>
          <w:tcPr>
            <w:tcW w:w="5440" w:type="dxa"/>
            <w:vAlign w:val="center"/>
          </w:tcPr>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u w:val="single"/>
              </w:rPr>
              <w:t xml:space="preserve">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1252" w:type="dxa"/>
            <w:vMerge w:val="restart"/>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2.2.1</w:t>
            </w:r>
          </w:p>
        </w:tc>
        <w:tc>
          <w:tcPr>
            <w:tcW w:w="3360" w:type="dxa"/>
            <w:vMerge w:val="restart"/>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投标人要求澄清招标文件</w:t>
            </w:r>
          </w:p>
        </w:tc>
        <w:tc>
          <w:tcPr>
            <w:tcW w:w="5440" w:type="dxa"/>
            <w:tcBorders>
              <w:bottom w:val="single" w:color="auto" w:sz="4" w:space="0"/>
            </w:tcBorders>
            <w:vAlign w:val="center"/>
          </w:tcPr>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疑问提交时间：</w:t>
            </w:r>
            <w:r>
              <w:rPr>
                <w:rFonts w:hint="eastAsia"/>
                <w:color w:val="auto"/>
                <w:sz w:val="21"/>
                <w:szCs w:val="21"/>
                <w:highlight w:val="none"/>
                <w:u w:val="single"/>
              </w:rPr>
              <w:t xml:space="preserve"> 202</w:t>
            </w:r>
            <w:r>
              <w:rPr>
                <w:rFonts w:hint="eastAsia"/>
                <w:color w:val="auto"/>
                <w:sz w:val="21"/>
                <w:szCs w:val="21"/>
                <w:highlight w:val="none"/>
                <w:u w:val="single"/>
                <w:lang w:val="en-US"/>
              </w:rPr>
              <w:t>3</w:t>
            </w:r>
            <w:r>
              <w:rPr>
                <w:rFonts w:hint="eastAsia"/>
                <w:color w:val="auto"/>
                <w:sz w:val="21"/>
                <w:szCs w:val="21"/>
                <w:highlight w:val="none"/>
                <w:u w:val="single"/>
              </w:rPr>
              <w:t>年</w:t>
            </w:r>
            <w:r>
              <w:rPr>
                <w:rFonts w:hint="eastAsia"/>
                <w:color w:val="auto"/>
                <w:sz w:val="21"/>
                <w:szCs w:val="21"/>
                <w:highlight w:val="none"/>
                <w:u w:val="single"/>
                <w:lang w:val="en-US"/>
              </w:rPr>
              <w:t xml:space="preserve"> </w:t>
            </w:r>
            <w:r>
              <w:rPr>
                <w:rFonts w:hint="eastAsia"/>
                <w:color w:val="auto"/>
                <w:sz w:val="21"/>
                <w:szCs w:val="21"/>
                <w:highlight w:val="none"/>
                <w:u w:val="single"/>
              </w:rPr>
              <w:t>月</w:t>
            </w:r>
            <w:r>
              <w:rPr>
                <w:rFonts w:hint="eastAsia"/>
                <w:color w:val="auto"/>
                <w:sz w:val="21"/>
                <w:szCs w:val="21"/>
                <w:highlight w:val="none"/>
                <w:u w:val="single"/>
                <w:lang w:val="en-US"/>
              </w:rPr>
              <w:t xml:space="preserve">  </w:t>
            </w:r>
            <w:r>
              <w:rPr>
                <w:rFonts w:hint="eastAsia"/>
                <w:color w:val="auto"/>
                <w:sz w:val="21"/>
                <w:szCs w:val="21"/>
                <w:highlight w:val="none"/>
                <w:u w:val="single"/>
              </w:rPr>
              <w:t>日</w:t>
            </w:r>
            <w:r>
              <w:rPr>
                <w:rFonts w:hint="eastAsia"/>
                <w:color w:val="auto"/>
                <w:sz w:val="21"/>
                <w:szCs w:val="21"/>
                <w:highlight w:val="none"/>
                <w:u w:val="single"/>
                <w:lang w:val="en-US"/>
              </w:rPr>
              <w:t>00</w:t>
            </w:r>
            <w:r>
              <w:rPr>
                <w:rFonts w:hint="eastAsia"/>
                <w:color w:val="auto"/>
                <w:sz w:val="21"/>
                <w:szCs w:val="21"/>
                <w:highlight w:val="none"/>
                <w:u w:val="single"/>
              </w:rPr>
              <w:t>时</w:t>
            </w:r>
            <w:r>
              <w:rPr>
                <w:rFonts w:hint="eastAsia"/>
                <w:color w:val="auto"/>
                <w:sz w:val="21"/>
                <w:szCs w:val="21"/>
                <w:highlight w:val="none"/>
              </w:rPr>
              <w:t>前</w:t>
            </w:r>
            <w:r>
              <w:rPr>
                <w:rFonts w:hint="eastAsia"/>
                <w:color w:val="auto"/>
                <w:sz w:val="21"/>
                <w:szCs w:val="21"/>
                <w:highlight w:val="none"/>
                <w:u w:val="single"/>
              </w:rPr>
              <w:t>(具体详见广州公共资源交易中心招投标日程安排)</w:t>
            </w:r>
            <w:r>
              <w:rPr>
                <w:rFonts w:hint="eastAsia"/>
                <w:color w:val="auto"/>
                <w:sz w:val="21"/>
                <w:szCs w:val="21"/>
                <w:highlight w:val="none"/>
              </w:rPr>
              <w:t>。</w:t>
            </w:r>
          </w:p>
          <w:p>
            <w:pPr>
              <w:adjustRightInd w:val="0"/>
              <w:snapToGrid w:val="0"/>
              <w:spacing w:line="400" w:lineRule="exact"/>
              <w:ind w:left="44" w:leftChars="20" w:right="44" w:rightChars="20"/>
              <w:rPr>
                <w:color w:val="auto"/>
                <w:sz w:val="21"/>
                <w:szCs w:val="21"/>
                <w:highlight w:val="none"/>
                <w:u w:val="single"/>
              </w:rPr>
            </w:pPr>
            <w:r>
              <w:rPr>
                <w:rFonts w:hint="eastAsia"/>
                <w:color w:val="auto"/>
                <w:sz w:val="21"/>
                <w:szCs w:val="21"/>
                <w:highlight w:val="none"/>
                <w:u w:val="single"/>
              </w:rPr>
              <w:t>招标答疑采用网上答疑方式进行。投标人若对招标文件有疑问的，可在规定的时间内通过广州公共资源交易中心网站凭密码进入提问区域将问题提交给招标人或招标代理人，提交问题时一律不得署名。</w:t>
            </w:r>
          </w:p>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u w:val="single"/>
              </w:rPr>
              <w:t>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jc w:val="center"/>
        </w:trPr>
        <w:tc>
          <w:tcPr>
            <w:tcW w:w="1252" w:type="dxa"/>
            <w:vMerge w:val="continue"/>
            <w:vAlign w:val="center"/>
          </w:tcPr>
          <w:p>
            <w:pPr>
              <w:adjustRightInd w:val="0"/>
              <w:snapToGrid w:val="0"/>
              <w:spacing w:line="400" w:lineRule="exact"/>
              <w:ind w:left="44" w:leftChars="20" w:right="44" w:rightChars="20"/>
              <w:jc w:val="center"/>
              <w:rPr>
                <w:color w:val="auto"/>
                <w:sz w:val="21"/>
                <w:szCs w:val="21"/>
                <w:highlight w:val="none"/>
              </w:rPr>
            </w:pPr>
          </w:p>
        </w:tc>
        <w:tc>
          <w:tcPr>
            <w:tcW w:w="3360" w:type="dxa"/>
            <w:vMerge w:val="continue"/>
            <w:vAlign w:val="center"/>
          </w:tcPr>
          <w:p>
            <w:pPr>
              <w:adjustRightInd w:val="0"/>
              <w:snapToGrid w:val="0"/>
              <w:spacing w:line="400" w:lineRule="exact"/>
              <w:ind w:left="44" w:leftChars="20" w:right="44" w:rightChars="20"/>
              <w:jc w:val="center"/>
              <w:rPr>
                <w:color w:val="auto"/>
                <w:sz w:val="21"/>
                <w:szCs w:val="21"/>
                <w:highlight w:val="none"/>
              </w:rPr>
            </w:pPr>
          </w:p>
        </w:tc>
        <w:tc>
          <w:tcPr>
            <w:tcW w:w="5440" w:type="dxa"/>
            <w:tcBorders>
              <w:top w:val="single" w:color="auto" w:sz="4" w:space="0"/>
            </w:tcBorders>
            <w:vAlign w:val="center"/>
          </w:tcPr>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形式：投标人的疑问通过广州公共资源交易中心网站交易平台提交。具体要求：操作详见广州公共资源交易中心网站发布的最新版《房屋建筑和市政基础设施工程全流程电子化项目专章》。提问一律不得署名。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1252"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2.2.2</w:t>
            </w:r>
          </w:p>
        </w:tc>
        <w:tc>
          <w:tcPr>
            <w:tcW w:w="3360"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招标文件澄清发出的形式</w:t>
            </w:r>
          </w:p>
        </w:tc>
        <w:tc>
          <w:tcPr>
            <w:tcW w:w="5440" w:type="dxa"/>
            <w:vAlign w:val="center"/>
          </w:tcPr>
          <w:p>
            <w:pPr>
              <w:adjustRightInd w:val="0"/>
              <w:snapToGrid w:val="0"/>
              <w:spacing w:line="400" w:lineRule="exact"/>
              <w:ind w:left="44" w:leftChars="20" w:right="44" w:rightChars="20"/>
              <w:rPr>
                <w:color w:val="auto"/>
                <w:sz w:val="21"/>
                <w:szCs w:val="21"/>
                <w:highlight w:val="none"/>
                <w:u w:val="single"/>
              </w:rPr>
            </w:pPr>
            <w:r>
              <w:rPr>
                <w:rFonts w:hint="eastAsia"/>
                <w:color w:val="auto"/>
                <w:sz w:val="21"/>
                <w:szCs w:val="21"/>
                <w:highlight w:val="none"/>
                <w:u w:val="single"/>
                <w:lang w:val="en-US"/>
              </w:rPr>
              <w:t>1、</w:t>
            </w:r>
            <w:r>
              <w:rPr>
                <w:rFonts w:hint="eastAsia"/>
                <w:color w:val="auto"/>
                <w:sz w:val="21"/>
                <w:szCs w:val="21"/>
                <w:highlight w:val="none"/>
                <w:u w:val="single"/>
              </w:rPr>
              <w:t>投标人应在递交投标文件截止时间15天前解答投标人对招标文件提出的疑问，形成答疑纪要，并在广州公共资源交易中心网站通过项目答疑专区网上公开发布。</w:t>
            </w:r>
          </w:p>
          <w:p>
            <w:pPr>
              <w:adjustRightInd w:val="0"/>
              <w:snapToGrid w:val="0"/>
              <w:spacing w:line="400" w:lineRule="exact"/>
              <w:ind w:left="44" w:leftChars="20" w:right="44" w:rightChars="20"/>
              <w:rPr>
                <w:color w:val="auto"/>
                <w:sz w:val="21"/>
                <w:szCs w:val="21"/>
                <w:highlight w:val="none"/>
                <w:u w:val="single"/>
              </w:rPr>
            </w:pPr>
            <w:r>
              <w:rPr>
                <w:rFonts w:hint="eastAsia"/>
                <w:color w:val="auto"/>
                <w:sz w:val="21"/>
                <w:szCs w:val="21"/>
                <w:highlight w:val="none"/>
                <w:u w:val="single"/>
                <w:lang w:val="en-US"/>
              </w:rPr>
              <w:t>2、</w:t>
            </w:r>
            <w:r>
              <w:rPr>
                <w:rFonts w:hint="eastAsia"/>
                <w:color w:val="auto"/>
                <w:sz w:val="21"/>
                <w:szCs w:val="21"/>
                <w:highlight w:val="none"/>
                <w:u w:val="single"/>
              </w:rPr>
              <w:t>招标答疑纪要一经在广州公共资源交易中心网站发布，视作已发放给所有投标人。</w:t>
            </w:r>
          </w:p>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u w:val="single"/>
                <w:lang w:val="en-US"/>
              </w:rPr>
              <w:t>3</w:t>
            </w:r>
            <w:r>
              <w:rPr>
                <w:rFonts w:hint="eastAsia"/>
                <w:color w:val="auto"/>
                <w:sz w:val="21"/>
                <w:szCs w:val="21"/>
                <w:highlight w:val="none"/>
                <w:u w:val="single"/>
              </w:rPr>
              <w:t>、招标答疑纪要为招标文件的一部分。投标人可在广州公资源交易中心网站浏览、下载招标答疑纪要。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252" w:type="dxa"/>
            <w:vMerge w:val="restart"/>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2.2.3</w:t>
            </w:r>
          </w:p>
        </w:tc>
        <w:tc>
          <w:tcPr>
            <w:tcW w:w="3360" w:type="dxa"/>
            <w:vMerge w:val="restart"/>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投标人确认收到招标文件澄清</w:t>
            </w:r>
          </w:p>
        </w:tc>
        <w:tc>
          <w:tcPr>
            <w:tcW w:w="5440" w:type="dxa"/>
            <w:tcBorders>
              <w:bottom w:val="single" w:color="auto" w:sz="4" w:space="0"/>
            </w:tcBorders>
            <w:vAlign w:val="center"/>
          </w:tcPr>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时间：发出即视作收到。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jc w:val="center"/>
        </w:trPr>
        <w:tc>
          <w:tcPr>
            <w:tcW w:w="1252" w:type="dxa"/>
            <w:vMerge w:val="continue"/>
            <w:vAlign w:val="center"/>
          </w:tcPr>
          <w:p>
            <w:pPr>
              <w:adjustRightInd w:val="0"/>
              <w:snapToGrid w:val="0"/>
              <w:spacing w:line="400" w:lineRule="exact"/>
              <w:ind w:left="44" w:leftChars="20" w:right="44" w:rightChars="20"/>
              <w:jc w:val="center"/>
              <w:rPr>
                <w:color w:val="auto"/>
                <w:sz w:val="21"/>
                <w:szCs w:val="21"/>
                <w:highlight w:val="none"/>
              </w:rPr>
            </w:pPr>
          </w:p>
        </w:tc>
        <w:tc>
          <w:tcPr>
            <w:tcW w:w="3360" w:type="dxa"/>
            <w:vMerge w:val="continue"/>
            <w:vAlign w:val="center"/>
          </w:tcPr>
          <w:p>
            <w:pPr>
              <w:adjustRightInd w:val="0"/>
              <w:snapToGrid w:val="0"/>
              <w:spacing w:line="400" w:lineRule="exact"/>
              <w:ind w:left="44" w:leftChars="20" w:right="44" w:rightChars="20"/>
              <w:jc w:val="center"/>
              <w:rPr>
                <w:color w:val="auto"/>
                <w:sz w:val="21"/>
                <w:szCs w:val="21"/>
                <w:highlight w:val="none"/>
              </w:rPr>
            </w:pPr>
          </w:p>
        </w:tc>
        <w:tc>
          <w:tcPr>
            <w:tcW w:w="5440" w:type="dxa"/>
            <w:tcBorders>
              <w:top w:val="single" w:color="auto" w:sz="4" w:space="0"/>
            </w:tcBorders>
            <w:vAlign w:val="center"/>
          </w:tcPr>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形式：招标文件澄清（招标答疑纪要）一经在广州公共资源交易中心网站发布，视作已发放给所有投标人。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1252"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2.3.1</w:t>
            </w:r>
          </w:p>
        </w:tc>
        <w:tc>
          <w:tcPr>
            <w:tcW w:w="3360"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招标文件修改发出的形式</w:t>
            </w:r>
          </w:p>
        </w:tc>
        <w:tc>
          <w:tcPr>
            <w:tcW w:w="5440" w:type="dxa"/>
            <w:vAlign w:val="center"/>
          </w:tcPr>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以补充公告或项目答疑澄清的方式在广州公共资源交易中心网站发布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1252" w:type="dxa"/>
            <w:vMerge w:val="restart"/>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2.3.2</w:t>
            </w:r>
          </w:p>
        </w:tc>
        <w:tc>
          <w:tcPr>
            <w:tcW w:w="3360" w:type="dxa"/>
            <w:vMerge w:val="restart"/>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投标人确认收到招标文件修改</w:t>
            </w:r>
          </w:p>
        </w:tc>
        <w:tc>
          <w:tcPr>
            <w:tcW w:w="5440" w:type="dxa"/>
            <w:vAlign w:val="center"/>
          </w:tcPr>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时间：发出即视作收到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1252" w:type="dxa"/>
            <w:vMerge w:val="continue"/>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p>
        </w:tc>
        <w:tc>
          <w:tcPr>
            <w:tcW w:w="3360" w:type="dxa"/>
            <w:vMerge w:val="continue"/>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p>
        </w:tc>
        <w:tc>
          <w:tcPr>
            <w:tcW w:w="5440" w:type="dxa"/>
            <w:vAlign w:val="center"/>
          </w:tcPr>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1252"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3.1.1</w:t>
            </w:r>
          </w:p>
        </w:tc>
        <w:tc>
          <w:tcPr>
            <w:tcW w:w="3360"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构成投标文件的其他资料</w:t>
            </w:r>
          </w:p>
        </w:tc>
        <w:tc>
          <w:tcPr>
            <w:tcW w:w="5440" w:type="dxa"/>
            <w:vAlign w:val="center"/>
          </w:tcPr>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u w:val="single"/>
              </w:rPr>
              <w:t>满足本项目评审要求的其他资料。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252"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3.2.1</w:t>
            </w:r>
          </w:p>
        </w:tc>
        <w:tc>
          <w:tcPr>
            <w:tcW w:w="3360"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增值税税金的计算方法</w:t>
            </w:r>
          </w:p>
        </w:tc>
        <w:tc>
          <w:tcPr>
            <w:tcW w:w="5440" w:type="dxa"/>
            <w:vAlign w:val="center"/>
          </w:tcPr>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u w:val="single"/>
              </w:rPr>
              <w:t xml:space="preserve">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3.2.3</w:t>
            </w:r>
          </w:p>
        </w:tc>
        <w:tc>
          <w:tcPr>
            <w:tcW w:w="3360"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报价方式</w:t>
            </w:r>
          </w:p>
        </w:tc>
        <w:tc>
          <w:tcPr>
            <w:tcW w:w="5440" w:type="dxa"/>
            <w:vAlign w:val="center"/>
          </w:tcPr>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1、本工程采用固定综合</w:t>
            </w:r>
            <w:r>
              <w:rPr>
                <w:rFonts w:hint="eastAsia"/>
                <w:color w:val="auto"/>
                <w:sz w:val="21"/>
                <w:szCs w:val="21"/>
                <w:highlight w:val="none"/>
                <w:lang w:val="en-US"/>
              </w:rPr>
              <w:t>单</w:t>
            </w:r>
            <w:r>
              <w:rPr>
                <w:rFonts w:hint="eastAsia"/>
                <w:color w:val="auto"/>
                <w:sz w:val="21"/>
                <w:szCs w:val="21"/>
                <w:highlight w:val="none"/>
              </w:rPr>
              <w:t>价包干的方式报价（以万元为单位，精确到小数位后2位，第3位四舍五入），投标人的投标综合单价为投标人根据国家、地方及行业的技术要求，完成每平方米的建筑面积房屋鉴定所需的综合费用（含前期摸查费用），投标人的投标总价为完成本项目的所有工作的全部费用。</w:t>
            </w:r>
          </w:p>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2、固定综合单价包干，按包前期摸查、包工期、包质量、包安全、包文明、包服务、包工作成果、包结算的组织实施工作、资料整理和备案。符合国家和行业现行规定验收标准，确保检测鉴定项目及数量能满足建设行政主管部门的建筑施工质量的验收和备案要求。合同价款根据招标文件合同约定的计价方式进行计价和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52"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3.2.4</w:t>
            </w:r>
          </w:p>
        </w:tc>
        <w:tc>
          <w:tcPr>
            <w:tcW w:w="3360"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最高投标限价</w:t>
            </w:r>
          </w:p>
        </w:tc>
        <w:tc>
          <w:tcPr>
            <w:tcW w:w="5440" w:type="dxa"/>
            <w:vAlign w:val="center"/>
          </w:tcPr>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□无</w:t>
            </w:r>
          </w:p>
          <w:p>
            <w:pPr>
              <w:tabs>
                <w:tab w:val="left" w:pos="7513"/>
              </w:tabs>
              <w:adjustRightInd w:val="0"/>
              <w:snapToGrid w:val="0"/>
              <w:spacing w:line="400" w:lineRule="exact"/>
              <w:ind w:left="44" w:leftChars="20" w:right="44" w:rightChars="20"/>
              <w:rPr>
                <w:color w:val="auto"/>
                <w:sz w:val="21"/>
                <w:szCs w:val="21"/>
                <w:highlight w:val="none"/>
                <w:lang w:val="en-US"/>
              </w:rPr>
            </w:pPr>
            <w:r>
              <w:rPr>
                <w:rFonts w:hint="eastAsia"/>
                <w:color w:val="auto"/>
                <w:sz w:val="21"/>
                <w:szCs w:val="21"/>
                <w:highlight w:val="none"/>
              </w:rPr>
              <w:t>■有，最高投标限价：</w:t>
            </w:r>
            <w:r>
              <w:rPr>
                <w:rFonts w:hint="eastAsia"/>
                <w:color w:val="auto"/>
                <w:sz w:val="21"/>
                <w:szCs w:val="21"/>
                <w:highlight w:val="none"/>
                <w:u w:val="single"/>
                <w:lang w:val="en-US"/>
              </w:rPr>
              <w:t>120</w:t>
            </w:r>
            <w:r>
              <w:rPr>
                <w:rFonts w:hint="eastAsia"/>
                <w:color w:val="auto"/>
                <w:sz w:val="21"/>
                <w:szCs w:val="21"/>
                <w:highlight w:val="none"/>
                <w:u w:val="single"/>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3.2.5</w:t>
            </w:r>
          </w:p>
        </w:tc>
        <w:tc>
          <w:tcPr>
            <w:tcW w:w="3360"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投标报价的其他要求</w:t>
            </w:r>
          </w:p>
        </w:tc>
        <w:tc>
          <w:tcPr>
            <w:tcW w:w="5440" w:type="dxa"/>
            <w:vAlign w:val="center"/>
          </w:tcPr>
          <w:p>
            <w:pPr>
              <w:adjustRightInd w:val="0"/>
              <w:snapToGrid w:val="0"/>
              <w:spacing w:line="400" w:lineRule="exact"/>
              <w:ind w:left="44" w:leftChars="20" w:right="44" w:rightChars="20"/>
              <w:rPr>
                <w:color w:val="auto"/>
                <w:highlight w:val="none"/>
                <w:lang w:val="en-US"/>
              </w:rPr>
            </w:pPr>
            <w:r>
              <w:rPr>
                <w:rFonts w:hint="eastAsia"/>
                <w:color w:val="auto"/>
                <w:highlight w:val="none"/>
              </w:rPr>
              <w:t>投标总报价超出招标控制价的作废标处理；投标总报价低于招标控制价的</w:t>
            </w:r>
            <w:r>
              <w:rPr>
                <w:rFonts w:hint="eastAsia"/>
                <w:color w:val="auto"/>
                <w:highlight w:val="none"/>
                <w:lang w:val="en-US"/>
              </w:rPr>
              <w:t>9</w:t>
            </w:r>
            <w:r>
              <w:rPr>
                <w:rFonts w:hint="eastAsia"/>
                <w:color w:val="auto"/>
                <w:highlight w:val="none"/>
              </w:rPr>
              <w:t>0%（即投标下浮率超过</w:t>
            </w:r>
            <w:r>
              <w:rPr>
                <w:rFonts w:hint="eastAsia"/>
                <w:color w:val="auto"/>
                <w:highlight w:val="none"/>
                <w:lang w:val="en-US"/>
              </w:rPr>
              <w:t>1</w:t>
            </w:r>
            <w:r>
              <w:rPr>
                <w:rFonts w:hint="eastAsia"/>
                <w:color w:val="auto"/>
                <w:highlight w:val="none"/>
              </w:rPr>
              <w:t>0%的），投标单位须提供详细合理的成本分析说明，如果没有提供详细的成本分析说明或者评标委员会认为其说明不合理，则有权以该投标人以低于成本的报价竞争的理由认定其投标无效，作废标处理。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252"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3.3.1</w:t>
            </w:r>
          </w:p>
        </w:tc>
        <w:tc>
          <w:tcPr>
            <w:tcW w:w="3360"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投标有效期</w:t>
            </w:r>
          </w:p>
        </w:tc>
        <w:tc>
          <w:tcPr>
            <w:tcW w:w="5440" w:type="dxa"/>
            <w:vAlign w:val="center"/>
          </w:tcPr>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u w:val="single"/>
              </w:rPr>
              <w:t>90</w:t>
            </w:r>
            <w:r>
              <w:rPr>
                <w:rFonts w:hint="eastAsia"/>
                <w:color w:val="auto"/>
                <w:sz w:val="21"/>
                <w:szCs w:val="21"/>
                <w:highlight w:val="none"/>
              </w:rPr>
              <w:t>日历天（从投标截止之日算起）。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1252"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3.4.1</w:t>
            </w:r>
          </w:p>
        </w:tc>
        <w:tc>
          <w:tcPr>
            <w:tcW w:w="3360"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投标保证金</w:t>
            </w:r>
          </w:p>
        </w:tc>
        <w:tc>
          <w:tcPr>
            <w:tcW w:w="5440" w:type="dxa"/>
            <w:vAlign w:val="center"/>
          </w:tcPr>
          <w:p>
            <w:pPr>
              <w:pStyle w:val="10"/>
              <w:adjustRightInd w:val="0"/>
              <w:snapToGrid w:val="0"/>
              <w:spacing w:after="0" w:line="400" w:lineRule="exact"/>
              <w:ind w:right="44" w:rightChars="20"/>
              <w:rPr>
                <w:color w:val="auto"/>
                <w:sz w:val="21"/>
                <w:szCs w:val="21"/>
                <w:highlight w:val="none"/>
              </w:rPr>
            </w:pPr>
            <w:bookmarkStart w:id="56" w:name="_GoBack"/>
            <w:bookmarkEnd w:id="56"/>
            <w:r>
              <w:rPr>
                <w:rFonts w:hint="eastAsia"/>
                <w:color w:val="auto"/>
                <w:sz w:val="21"/>
                <w:szCs w:val="21"/>
                <w:highlight w:val="none"/>
              </w:rPr>
              <w:t>是否要求投标人递交投标保证金：</w:t>
            </w:r>
          </w:p>
          <w:p>
            <w:pPr>
              <w:pStyle w:val="10"/>
              <w:adjustRightInd w:val="0"/>
              <w:snapToGrid w:val="0"/>
              <w:spacing w:after="0" w:line="400" w:lineRule="exact"/>
              <w:ind w:left="44" w:leftChars="20" w:right="44" w:rightChars="20" w:firstLine="420" w:firstLineChars="200"/>
              <w:rPr>
                <w:color w:val="auto"/>
                <w:sz w:val="21"/>
                <w:szCs w:val="21"/>
                <w:highlight w:val="none"/>
              </w:rPr>
            </w:pPr>
            <w:r>
              <w:rPr>
                <w:rFonts w:hint="eastAsia"/>
                <w:color w:val="auto"/>
                <w:sz w:val="21"/>
                <w:szCs w:val="21"/>
                <w:highlight w:val="none"/>
              </w:rPr>
              <w:t>■要求，投标保证金的金额：</w:t>
            </w:r>
            <w:r>
              <w:rPr>
                <w:rFonts w:hint="eastAsia"/>
                <w:color w:val="auto"/>
                <w:sz w:val="21"/>
                <w:szCs w:val="21"/>
                <w:highlight w:val="none"/>
                <w:lang w:val="en-US" w:eastAsia="zh-CN"/>
              </w:rPr>
              <w:t>1</w:t>
            </w:r>
            <w:r>
              <w:rPr>
                <w:rFonts w:hint="eastAsia"/>
                <w:color w:val="auto"/>
                <w:sz w:val="21"/>
                <w:szCs w:val="21"/>
                <w:highlight w:val="none"/>
              </w:rPr>
              <w:t>万元人民币。</w:t>
            </w:r>
          </w:p>
          <w:p>
            <w:pPr>
              <w:pStyle w:val="10"/>
              <w:adjustRightInd w:val="0"/>
              <w:snapToGrid w:val="0"/>
              <w:spacing w:after="0" w:line="400" w:lineRule="exact"/>
              <w:ind w:left="44" w:leftChars="20" w:right="44" w:rightChars="20" w:firstLine="420" w:firstLineChars="200"/>
              <w:rPr>
                <w:color w:val="auto"/>
                <w:sz w:val="21"/>
                <w:szCs w:val="21"/>
                <w:highlight w:val="none"/>
              </w:rPr>
            </w:pPr>
            <w:r>
              <w:rPr>
                <w:rFonts w:hint="eastAsia"/>
                <w:color w:val="auto"/>
                <w:sz w:val="21"/>
                <w:szCs w:val="21"/>
                <w:highlight w:val="none"/>
              </w:rPr>
              <w:t>投标保证金有效期：与投标有效期一致。</w:t>
            </w:r>
          </w:p>
          <w:p>
            <w:pPr>
              <w:pStyle w:val="10"/>
              <w:adjustRightInd w:val="0"/>
              <w:snapToGrid w:val="0"/>
              <w:spacing w:after="0" w:line="400" w:lineRule="exact"/>
              <w:ind w:left="44" w:leftChars="20" w:right="44" w:rightChars="20" w:firstLine="420" w:firstLineChars="200"/>
              <w:rPr>
                <w:color w:val="auto"/>
                <w:sz w:val="21"/>
                <w:szCs w:val="21"/>
                <w:highlight w:val="none"/>
              </w:rPr>
            </w:pPr>
            <w:r>
              <w:rPr>
                <w:rFonts w:hint="eastAsia"/>
                <w:color w:val="auto"/>
                <w:sz w:val="21"/>
                <w:szCs w:val="21"/>
                <w:highlight w:val="none"/>
              </w:rPr>
              <w:t> 一、投标保证金的形式：投标保证金可采用现金、支票、投标保证保险、投标保函（银行或专业担保公司出具）的形式，须在递交投标文件截止时间前完成缴纳。</w:t>
            </w:r>
            <w:r>
              <w:rPr>
                <w:rFonts w:hint="eastAsia"/>
                <w:color w:val="auto"/>
                <w:sz w:val="21"/>
                <w:szCs w:val="21"/>
                <w:highlight w:val="none"/>
              </w:rPr>
              <w:br w:type="textWrapping"/>
            </w:r>
            <w:r>
              <w:rPr>
                <w:rFonts w:hint="eastAsia"/>
                <w:color w:val="auto"/>
                <w:sz w:val="21"/>
                <w:szCs w:val="21"/>
                <w:highlight w:val="none"/>
              </w:rPr>
              <w:t> 二、投标保证金的提交方式：</w:t>
            </w:r>
            <w:r>
              <w:rPr>
                <w:rFonts w:hint="eastAsia"/>
                <w:color w:val="auto"/>
                <w:sz w:val="21"/>
                <w:szCs w:val="21"/>
                <w:highlight w:val="none"/>
              </w:rPr>
              <w:br w:type="textWrapping"/>
            </w:r>
            <w:r>
              <w:rPr>
                <w:rFonts w:hint="eastAsia"/>
                <w:color w:val="auto"/>
                <w:sz w:val="21"/>
                <w:szCs w:val="21"/>
                <w:highlight w:val="none"/>
              </w:rPr>
              <w:t>（1）如采用现金或者支票形式提交的，投标保证金从投标人基本账户递交，由广州交易集团有限公司（广州公共资源交易中心）代收。具体操作要求详见广州公共资源交易中心有关指引，递交事宜请自行咨询交易中心，到账情况以开标时广州公共资源交易中心数据库查询的信息为准。</w:t>
            </w:r>
          </w:p>
          <w:p>
            <w:pPr>
              <w:pStyle w:val="10"/>
              <w:adjustRightInd w:val="0"/>
              <w:snapToGrid w:val="0"/>
              <w:spacing w:after="0" w:line="400" w:lineRule="exact"/>
              <w:ind w:left="44" w:leftChars="20" w:right="44" w:rightChars="20" w:firstLine="420" w:firstLineChars="200"/>
              <w:rPr>
                <w:color w:val="auto"/>
                <w:sz w:val="21"/>
                <w:szCs w:val="21"/>
                <w:highlight w:val="none"/>
              </w:rPr>
            </w:pPr>
            <w:r>
              <w:rPr>
                <w:rFonts w:hint="eastAsia"/>
                <w:color w:val="auto"/>
                <w:sz w:val="21"/>
                <w:szCs w:val="21"/>
                <w:highlight w:val="none"/>
              </w:rPr>
              <w:t>收款单位：广州交易集团有限公司</w:t>
            </w:r>
          </w:p>
          <w:p>
            <w:pPr>
              <w:pStyle w:val="10"/>
              <w:adjustRightInd w:val="0"/>
              <w:snapToGrid w:val="0"/>
              <w:spacing w:after="0" w:line="400" w:lineRule="exact"/>
              <w:ind w:left="44" w:leftChars="20" w:right="44" w:rightChars="20" w:firstLine="420" w:firstLineChars="200"/>
              <w:rPr>
                <w:color w:val="auto"/>
                <w:sz w:val="21"/>
                <w:szCs w:val="21"/>
                <w:highlight w:val="none"/>
              </w:rPr>
            </w:pPr>
            <w:r>
              <w:rPr>
                <w:rFonts w:hint="eastAsia"/>
                <w:color w:val="auto"/>
                <w:sz w:val="21"/>
                <w:szCs w:val="21"/>
                <w:highlight w:val="none"/>
              </w:rPr>
              <w:t>开户银行：中国建设银行广州天润路支行</w:t>
            </w:r>
          </w:p>
          <w:p>
            <w:pPr>
              <w:pStyle w:val="10"/>
              <w:adjustRightInd w:val="0"/>
              <w:snapToGrid w:val="0"/>
              <w:spacing w:after="0" w:line="400" w:lineRule="exact"/>
              <w:ind w:left="44" w:leftChars="20" w:right="44" w:rightChars="20" w:firstLine="420" w:firstLineChars="200"/>
              <w:rPr>
                <w:color w:val="auto"/>
                <w:sz w:val="21"/>
                <w:szCs w:val="21"/>
                <w:highlight w:val="none"/>
              </w:rPr>
            </w:pPr>
            <w:r>
              <w:rPr>
                <w:rFonts w:hint="eastAsia"/>
                <w:color w:val="auto"/>
                <w:sz w:val="21"/>
                <w:szCs w:val="21"/>
                <w:highlight w:val="none"/>
              </w:rPr>
              <w:t>银行账号：44001583404059333333</w:t>
            </w:r>
            <w:r>
              <w:rPr>
                <w:rFonts w:hint="eastAsia"/>
                <w:color w:val="auto"/>
                <w:sz w:val="21"/>
                <w:szCs w:val="21"/>
                <w:highlight w:val="none"/>
              </w:rPr>
              <w:br w:type="textWrapping"/>
            </w:r>
            <w:r>
              <w:rPr>
                <w:rFonts w:hint="eastAsia"/>
                <w:color w:val="auto"/>
                <w:sz w:val="21"/>
                <w:szCs w:val="21"/>
                <w:highlight w:val="none"/>
              </w:rPr>
              <w:t>（2）如采用投标保函、投标保证保险形式提交投标保证金的，投标保函或投标保证保险须开具给招标人（保险受益人须为招标人）。开标前可不提交纸质原件，但投标人应在投标文件中提交投标保函或投标保险的扫描件并加盖投标人电子印章，完成评标后，由中标候选人在中标候选人公示前向招标代理单位提交纸质原件并在网上公示。如投标人选择在开标前提交纸质原件的，可在投标截止时间前单独密封递交至开标室。若以交易系统支持的电子保函或电子投标保证保险递交的，到账情况以开标时广州公共资源交易中心数据库查询信息为准。</w:t>
            </w:r>
          </w:p>
          <w:p>
            <w:pPr>
              <w:pStyle w:val="10"/>
              <w:adjustRightInd w:val="0"/>
              <w:snapToGrid w:val="0"/>
              <w:spacing w:after="0" w:line="400" w:lineRule="exact"/>
              <w:ind w:left="44" w:leftChars="20" w:right="44" w:rightChars="20" w:firstLine="420" w:firstLineChars="200"/>
              <w:rPr>
                <w:color w:val="auto"/>
                <w:sz w:val="21"/>
                <w:szCs w:val="21"/>
                <w:highlight w:val="none"/>
              </w:rPr>
            </w:pPr>
            <w:r>
              <w:rPr>
                <w:rFonts w:hint="eastAsia"/>
                <w:color w:val="auto"/>
                <w:sz w:val="21"/>
                <w:szCs w:val="21"/>
                <w:highlight w:val="none"/>
              </w:rPr>
              <w:t>□不要求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3.4.4</w:t>
            </w:r>
          </w:p>
        </w:tc>
        <w:tc>
          <w:tcPr>
            <w:tcW w:w="3360"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其他可以不予退还投标保证金的情形</w:t>
            </w:r>
          </w:p>
        </w:tc>
        <w:tc>
          <w:tcPr>
            <w:tcW w:w="5440" w:type="dxa"/>
            <w:vAlign w:val="center"/>
          </w:tcPr>
          <w:p>
            <w:pPr>
              <w:adjustRightInd w:val="0"/>
              <w:snapToGrid w:val="0"/>
              <w:spacing w:line="400" w:lineRule="exact"/>
              <w:ind w:left="44" w:leftChars="20" w:right="44" w:rightChars="20"/>
              <w:rPr>
                <w:color w:val="auto"/>
                <w:sz w:val="21"/>
                <w:szCs w:val="21"/>
                <w:highlight w:val="none"/>
                <w:u w:val="single"/>
              </w:rPr>
            </w:pPr>
            <w:r>
              <w:rPr>
                <w:rFonts w:hint="eastAsia"/>
                <w:color w:val="auto"/>
                <w:sz w:val="21"/>
                <w:szCs w:val="21"/>
                <w:highlight w:val="none"/>
                <w:u w:val="single"/>
              </w:rPr>
              <w:t>1.投标人采用不正当的手段骗取中标经查实的，不予退还投标保证金。</w:t>
            </w:r>
          </w:p>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u w:val="single"/>
              </w:rPr>
              <w:t>2.因中标人原因未能在规定期限内签署合同协议。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252"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3.5</w:t>
            </w:r>
          </w:p>
        </w:tc>
        <w:tc>
          <w:tcPr>
            <w:tcW w:w="3360" w:type="dxa"/>
            <w:vAlign w:val="center"/>
          </w:tcPr>
          <w:p>
            <w:pPr>
              <w:pStyle w:val="27"/>
              <w:adjustRightInd w:val="0"/>
              <w:snapToGrid w:val="0"/>
              <w:spacing w:line="400" w:lineRule="exact"/>
              <w:ind w:left="44" w:leftChars="20" w:right="44" w:rightChars="20"/>
              <w:jc w:val="center"/>
              <w:rPr>
                <w:color w:val="auto"/>
                <w:sz w:val="21"/>
                <w:szCs w:val="21"/>
                <w:highlight w:val="none"/>
                <w:lang w:val="en-US"/>
              </w:rPr>
            </w:pPr>
            <w:r>
              <w:rPr>
                <w:rFonts w:hint="eastAsia"/>
                <w:color w:val="auto"/>
                <w:sz w:val="21"/>
                <w:szCs w:val="21"/>
                <w:highlight w:val="none"/>
              </w:rPr>
              <w:t>资格审查资料的特殊要求</w:t>
            </w:r>
          </w:p>
        </w:tc>
        <w:tc>
          <w:tcPr>
            <w:tcW w:w="5440" w:type="dxa"/>
          </w:tcPr>
          <w:p>
            <w:pPr>
              <w:pStyle w:val="27"/>
              <w:adjustRightInd w:val="0"/>
              <w:snapToGrid w:val="0"/>
              <w:spacing w:before="75" w:line="400" w:lineRule="exact"/>
              <w:ind w:left="44" w:leftChars="20" w:right="44" w:rightChars="20"/>
              <w:rPr>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无</w:t>
            </w:r>
          </w:p>
          <w:p>
            <w:pPr>
              <w:pStyle w:val="27"/>
              <w:adjustRightInd w:val="0"/>
              <w:snapToGrid w:val="0"/>
              <w:spacing w:before="31" w:line="400" w:lineRule="exact"/>
              <w:ind w:left="44" w:leftChars="20" w:right="44" w:rightChars="20"/>
              <w:rPr>
                <w:color w:val="auto"/>
                <w:sz w:val="21"/>
                <w:szCs w:val="21"/>
                <w:highlight w:val="none"/>
              </w:rPr>
            </w:pPr>
            <w:r>
              <w:rPr>
                <w:rFonts w:hint="eastAsia"/>
                <w:color w:val="auto"/>
                <w:sz w:val="21"/>
                <w:szCs w:val="21"/>
                <w:highlight w:val="none"/>
              </w:rPr>
              <w:t>□有，具体要求：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1252"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3.5.2</w:t>
            </w:r>
          </w:p>
        </w:tc>
        <w:tc>
          <w:tcPr>
            <w:tcW w:w="3360" w:type="dxa"/>
            <w:vAlign w:val="center"/>
          </w:tcPr>
          <w:p>
            <w:pPr>
              <w:pStyle w:val="27"/>
              <w:adjustRightInd w:val="0"/>
              <w:snapToGrid w:val="0"/>
              <w:spacing w:line="400" w:lineRule="exact"/>
              <w:ind w:left="44" w:leftChars="20" w:right="44" w:rightChars="20"/>
              <w:jc w:val="center"/>
              <w:rPr>
                <w:color w:val="auto"/>
                <w:sz w:val="21"/>
                <w:szCs w:val="21"/>
                <w:highlight w:val="none"/>
                <w:lang w:val="en-US"/>
              </w:rPr>
            </w:pPr>
            <w:r>
              <w:rPr>
                <w:rFonts w:hint="eastAsia"/>
                <w:color w:val="auto"/>
                <w:sz w:val="21"/>
                <w:szCs w:val="21"/>
                <w:highlight w:val="none"/>
              </w:rPr>
              <w:t>近年财务状况的年份要求</w:t>
            </w:r>
          </w:p>
        </w:tc>
        <w:tc>
          <w:tcPr>
            <w:tcW w:w="5440" w:type="dxa"/>
            <w:vAlign w:val="center"/>
          </w:tcPr>
          <w:p>
            <w:pPr>
              <w:pStyle w:val="27"/>
              <w:tabs>
                <w:tab w:val="left" w:pos="664"/>
                <w:tab w:val="left" w:pos="1646"/>
              </w:tabs>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u w:val="single"/>
              </w:rPr>
              <w:t xml:space="preserve">/ </w:t>
            </w:r>
            <w:r>
              <w:rPr>
                <w:rFonts w:hint="eastAsia"/>
                <w:color w:val="auto"/>
                <w:sz w:val="21"/>
                <w:szCs w:val="21"/>
                <w:highlight w:val="none"/>
              </w:rPr>
              <w:t xml:space="preserve">年至 </w:t>
            </w:r>
            <w:r>
              <w:rPr>
                <w:rFonts w:hint="eastAsia"/>
                <w:color w:val="auto"/>
                <w:sz w:val="21"/>
                <w:szCs w:val="21"/>
                <w:highlight w:val="none"/>
                <w:u w:val="single"/>
              </w:rPr>
              <w:t xml:space="preserve"> / </w:t>
            </w:r>
            <w:r>
              <w:rPr>
                <w:rFonts w:hint="eastAsia"/>
                <w:color w:val="auto"/>
                <w:sz w:val="21"/>
                <w:szCs w:val="21"/>
                <w:highlight w:val="none"/>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1252"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3.5.3</w:t>
            </w:r>
          </w:p>
        </w:tc>
        <w:tc>
          <w:tcPr>
            <w:tcW w:w="3360" w:type="dxa"/>
            <w:vAlign w:val="center"/>
          </w:tcPr>
          <w:p>
            <w:pPr>
              <w:pStyle w:val="27"/>
              <w:adjustRightInd w:val="0"/>
              <w:snapToGrid w:val="0"/>
              <w:spacing w:line="400" w:lineRule="exact"/>
              <w:ind w:left="44" w:leftChars="20" w:right="44" w:rightChars="20"/>
              <w:jc w:val="center"/>
              <w:rPr>
                <w:color w:val="auto"/>
                <w:sz w:val="21"/>
                <w:szCs w:val="21"/>
                <w:highlight w:val="none"/>
                <w:lang w:val="en-US"/>
              </w:rPr>
            </w:pPr>
            <w:r>
              <w:rPr>
                <w:rFonts w:hint="eastAsia"/>
                <w:color w:val="auto"/>
                <w:sz w:val="21"/>
                <w:szCs w:val="21"/>
                <w:highlight w:val="none"/>
              </w:rPr>
              <w:t>近年完成的类似项目情况的时间要求</w:t>
            </w:r>
          </w:p>
        </w:tc>
        <w:tc>
          <w:tcPr>
            <w:tcW w:w="5440" w:type="dxa"/>
            <w:vAlign w:val="center"/>
          </w:tcPr>
          <w:p>
            <w:pPr>
              <w:pStyle w:val="27"/>
              <w:tabs>
                <w:tab w:val="left" w:pos="803"/>
                <w:tab w:val="left" w:pos="1574"/>
                <w:tab w:val="left" w:pos="2344"/>
              </w:tabs>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u w:val="single"/>
              </w:rPr>
              <w:t xml:space="preserve">/ </w:t>
            </w:r>
            <w:r>
              <w:rPr>
                <w:rFonts w:hint="eastAsia"/>
                <w:color w:val="auto"/>
                <w:sz w:val="21"/>
                <w:highlight w:val="none"/>
              </w:rPr>
              <w:t>年</w:t>
            </w:r>
            <w:r>
              <w:rPr>
                <w:rFonts w:hint="eastAsia"/>
                <w:color w:val="auto"/>
                <w:sz w:val="21"/>
                <w:szCs w:val="21"/>
                <w:highlight w:val="none"/>
                <w:u w:val="single"/>
              </w:rPr>
              <w:t xml:space="preserve">/ </w:t>
            </w:r>
            <w:r>
              <w:rPr>
                <w:rFonts w:hint="eastAsia"/>
                <w:color w:val="auto"/>
                <w:sz w:val="21"/>
                <w:highlight w:val="none"/>
              </w:rPr>
              <w:t>月</w:t>
            </w:r>
            <w:r>
              <w:rPr>
                <w:rFonts w:hint="eastAsia"/>
                <w:color w:val="auto"/>
                <w:sz w:val="21"/>
                <w:szCs w:val="21"/>
                <w:highlight w:val="none"/>
                <w:u w:val="single"/>
              </w:rPr>
              <w:t xml:space="preserve">/ </w:t>
            </w:r>
            <w:r>
              <w:rPr>
                <w:rFonts w:hint="eastAsia"/>
                <w:color w:val="auto"/>
                <w:sz w:val="21"/>
                <w:highlight w:val="none"/>
              </w:rPr>
              <w:t>日至</w:t>
            </w:r>
            <w:r>
              <w:rPr>
                <w:rFonts w:hint="eastAsia"/>
                <w:color w:val="auto"/>
                <w:sz w:val="21"/>
                <w:szCs w:val="21"/>
                <w:highlight w:val="none"/>
                <w:u w:val="single"/>
              </w:rPr>
              <w:t xml:space="preserve">/ </w:t>
            </w:r>
            <w:r>
              <w:rPr>
                <w:rFonts w:hint="eastAsia"/>
                <w:color w:val="auto"/>
                <w:sz w:val="21"/>
                <w:highlight w:val="none"/>
              </w:rPr>
              <w:t>年</w:t>
            </w:r>
            <w:r>
              <w:rPr>
                <w:rFonts w:hint="eastAsia"/>
                <w:color w:val="auto"/>
                <w:sz w:val="21"/>
                <w:szCs w:val="21"/>
                <w:highlight w:val="none"/>
                <w:u w:val="single"/>
              </w:rPr>
              <w:t xml:space="preserve">/ </w:t>
            </w:r>
            <w:r>
              <w:rPr>
                <w:rFonts w:hint="eastAsia"/>
                <w:color w:val="auto"/>
                <w:sz w:val="21"/>
                <w:highlight w:val="none"/>
              </w:rPr>
              <w:t>月</w:t>
            </w:r>
            <w:r>
              <w:rPr>
                <w:rFonts w:hint="eastAsia"/>
                <w:color w:val="auto"/>
                <w:sz w:val="21"/>
                <w:szCs w:val="21"/>
                <w:highlight w:val="none"/>
                <w:u w:val="single"/>
              </w:rPr>
              <w:t xml:space="preserve">/ </w:t>
            </w:r>
            <w:r>
              <w:rPr>
                <w:rFonts w:hint="eastAsia"/>
                <w:color w:val="auto"/>
                <w:sz w:val="21"/>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jc w:val="center"/>
        </w:trPr>
        <w:tc>
          <w:tcPr>
            <w:tcW w:w="1252"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3.5.5</w:t>
            </w:r>
          </w:p>
        </w:tc>
        <w:tc>
          <w:tcPr>
            <w:tcW w:w="3360" w:type="dxa"/>
          </w:tcPr>
          <w:p>
            <w:pPr>
              <w:pStyle w:val="27"/>
              <w:adjustRightInd w:val="0"/>
              <w:snapToGrid w:val="0"/>
              <w:spacing w:line="400" w:lineRule="exact"/>
              <w:ind w:left="44" w:leftChars="20" w:right="44" w:rightChars="20"/>
              <w:jc w:val="center"/>
              <w:rPr>
                <w:color w:val="auto"/>
                <w:sz w:val="21"/>
                <w:szCs w:val="21"/>
                <w:highlight w:val="none"/>
                <w:lang w:val="en-US"/>
              </w:rPr>
            </w:pPr>
            <w:r>
              <w:rPr>
                <w:rFonts w:hint="eastAsia"/>
                <w:color w:val="auto"/>
                <w:sz w:val="21"/>
                <w:szCs w:val="21"/>
                <w:highlight w:val="none"/>
              </w:rPr>
              <w:t>近年发生的诉讼及仲裁情况的时间要求</w:t>
            </w:r>
          </w:p>
        </w:tc>
        <w:tc>
          <w:tcPr>
            <w:tcW w:w="5440" w:type="dxa"/>
            <w:vAlign w:val="center"/>
          </w:tcPr>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u w:val="single"/>
              </w:rPr>
              <w:t>/</w:t>
            </w:r>
            <w:r>
              <w:rPr>
                <w:rFonts w:hint="eastAsia"/>
                <w:color w:val="auto"/>
                <w:sz w:val="21"/>
                <w:szCs w:val="21"/>
                <w:highlight w:val="none"/>
              </w:rPr>
              <w:t>年</w:t>
            </w:r>
            <w:r>
              <w:rPr>
                <w:rFonts w:hint="eastAsia"/>
                <w:color w:val="auto"/>
                <w:sz w:val="21"/>
                <w:szCs w:val="21"/>
                <w:highlight w:val="none"/>
                <w:u w:val="single"/>
              </w:rPr>
              <w:t>/</w:t>
            </w:r>
            <w:r>
              <w:rPr>
                <w:rFonts w:hint="eastAsia"/>
                <w:color w:val="auto"/>
                <w:sz w:val="21"/>
                <w:szCs w:val="21"/>
                <w:highlight w:val="none"/>
              </w:rPr>
              <w:t>月</w:t>
            </w:r>
            <w:r>
              <w:rPr>
                <w:rFonts w:hint="eastAsia"/>
                <w:color w:val="auto"/>
                <w:sz w:val="21"/>
                <w:szCs w:val="21"/>
                <w:highlight w:val="none"/>
                <w:u w:val="single"/>
              </w:rPr>
              <w:t>/</w:t>
            </w:r>
            <w:r>
              <w:rPr>
                <w:rFonts w:hint="eastAsia"/>
                <w:color w:val="auto"/>
                <w:sz w:val="21"/>
                <w:szCs w:val="21"/>
                <w:highlight w:val="none"/>
              </w:rPr>
              <w:t>日至</w:t>
            </w:r>
            <w:r>
              <w:rPr>
                <w:rFonts w:hint="eastAsia"/>
                <w:color w:val="auto"/>
                <w:sz w:val="21"/>
                <w:szCs w:val="21"/>
                <w:highlight w:val="none"/>
                <w:u w:val="single"/>
              </w:rPr>
              <w:t>/</w:t>
            </w:r>
            <w:r>
              <w:rPr>
                <w:rFonts w:hint="eastAsia"/>
                <w:color w:val="auto"/>
                <w:sz w:val="21"/>
                <w:szCs w:val="21"/>
                <w:highlight w:val="none"/>
              </w:rPr>
              <w:t>年</w:t>
            </w:r>
            <w:r>
              <w:rPr>
                <w:rFonts w:hint="eastAsia"/>
                <w:color w:val="auto"/>
                <w:sz w:val="21"/>
                <w:szCs w:val="21"/>
                <w:highlight w:val="none"/>
                <w:u w:val="single"/>
              </w:rPr>
              <w:t>/</w:t>
            </w:r>
            <w:r>
              <w:rPr>
                <w:rFonts w:hint="eastAsia"/>
                <w:color w:val="auto"/>
                <w:sz w:val="21"/>
                <w:szCs w:val="21"/>
                <w:highlight w:val="none"/>
              </w:rPr>
              <w:t>月</w:t>
            </w:r>
            <w:r>
              <w:rPr>
                <w:rFonts w:hint="eastAsia"/>
                <w:color w:val="auto"/>
                <w:sz w:val="21"/>
                <w:szCs w:val="21"/>
                <w:highlight w:val="none"/>
                <w:u w:val="single"/>
              </w:rPr>
              <w:t>/</w:t>
            </w:r>
            <w:r>
              <w:rPr>
                <w:rFonts w:hint="eastAsia"/>
                <w:color w:val="auto"/>
                <w:sz w:val="21"/>
                <w:szCs w:val="21"/>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3.6.1</w:t>
            </w:r>
          </w:p>
        </w:tc>
        <w:tc>
          <w:tcPr>
            <w:tcW w:w="3360" w:type="dxa"/>
            <w:vAlign w:val="center"/>
          </w:tcPr>
          <w:p>
            <w:pPr>
              <w:pStyle w:val="27"/>
              <w:adjustRightInd w:val="0"/>
              <w:snapToGrid w:val="0"/>
              <w:spacing w:line="400" w:lineRule="exact"/>
              <w:ind w:left="44" w:leftChars="20" w:right="44" w:rightChars="20"/>
              <w:jc w:val="center"/>
              <w:rPr>
                <w:color w:val="auto"/>
                <w:sz w:val="21"/>
                <w:szCs w:val="21"/>
                <w:highlight w:val="none"/>
                <w:lang w:val="en-US"/>
              </w:rPr>
            </w:pPr>
            <w:r>
              <w:rPr>
                <w:rFonts w:hint="eastAsia"/>
                <w:color w:val="auto"/>
                <w:sz w:val="21"/>
                <w:szCs w:val="21"/>
                <w:highlight w:val="none"/>
              </w:rPr>
              <w:t>是否允许递交备选投标方案</w:t>
            </w:r>
          </w:p>
        </w:tc>
        <w:tc>
          <w:tcPr>
            <w:tcW w:w="5440" w:type="dxa"/>
            <w:vAlign w:val="center"/>
          </w:tcPr>
          <w:p>
            <w:pPr>
              <w:pStyle w:val="27"/>
              <w:adjustRightInd w:val="0"/>
              <w:snapToGrid w:val="0"/>
              <w:spacing w:before="54" w:line="400" w:lineRule="exact"/>
              <w:ind w:left="44" w:leftChars="20" w:right="44" w:rightChars="20"/>
              <w:rPr>
                <w:color w:val="auto"/>
                <w:sz w:val="21"/>
                <w:szCs w:val="21"/>
                <w:highlight w:val="none"/>
              </w:rPr>
            </w:pPr>
            <w:r>
              <w:rPr>
                <w:rFonts w:hint="eastAsia"/>
                <w:color w:val="auto"/>
                <w:sz w:val="21"/>
                <w:szCs w:val="21"/>
                <w:highlight w:val="none"/>
                <w:lang w:val="en-US"/>
              </w:rPr>
              <w:t>■</w:t>
            </w:r>
            <w:r>
              <w:rPr>
                <w:rFonts w:hint="eastAsia"/>
                <w:color w:val="auto"/>
                <w:sz w:val="21"/>
                <w:szCs w:val="21"/>
                <w:highlight w:val="none"/>
              </w:rPr>
              <w:t>不允许</w:t>
            </w:r>
          </w:p>
          <w:p>
            <w:pPr>
              <w:pStyle w:val="27"/>
              <w:adjustRightInd w:val="0"/>
              <w:snapToGrid w:val="0"/>
              <w:spacing w:before="66" w:line="400" w:lineRule="exact"/>
              <w:ind w:left="44" w:leftChars="20" w:right="44" w:rightChars="20"/>
              <w:rPr>
                <w:color w:val="auto"/>
                <w:sz w:val="21"/>
                <w:szCs w:val="21"/>
                <w:highlight w:val="none"/>
              </w:rPr>
            </w:pPr>
            <w:r>
              <w:rPr>
                <w:rFonts w:hint="eastAsia"/>
                <w:color w:val="auto"/>
                <w:sz w:val="21"/>
                <w:szCs w:val="21"/>
                <w:highlight w:val="none"/>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252"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3.7.3（B）</w:t>
            </w:r>
          </w:p>
        </w:tc>
        <w:tc>
          <w:tcPr>
            <w:tcW w:w="3360"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投标文件所附证书证件要求</w:t>
            </w:r>
          </w:p>
        </w:tc>
        <w:tc>
          <w:tcPr>
            <w:tcW w:w="5440" w:type="dxa"/>
            <w:vAlign w:val="center"/>
          </w:tcPr>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u w:val="single"/>
              </w:rPr>
              <w:t>投标文件所附证书证件均为原件扫描件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3.7.3（B）</w:t>
            </w:r>
          </w:p>
        </w:tc>
        <w:tc>
          <w:tcPr>
            <w:tcW w:w="3360"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投标文件签字或盖章要求</w:t>
            </w:r>
          </w:p>
        </w:tc>
        <w:tc>
          <w:tcPr>
            <w:tcW w:w="5440" w:type="dxa"/>
            <w:vAlign w:val="center"/>
          </w:tcPr>
          <w:p>
            <w:pPr>
              <w:pStyle w:val="10"/>
              <w:adjustRightInd w:val="0"/>
              <w:snapToGrid w:val="0"/>
              <w:spacing w:after="0" w:line="400" w:lineRule="exact"/>
              <w:ind w:left="44" w:leftChars="20" w:right="44" w:rightChars="20"/>
              <w:rPr>
                <w:color w:val="auto"/>
                <w:sz w:val="21"/>
                <w:szCs w:val="21"/>
                <w:highlight w:val="none"/>
              </w:rPr>
            </w:pPr>
            <w:r>
              <w:rPr>
                <w:rFonts w:hint="eastAsia"/>
                <w:color w:val="auto"/>
                <w:kern w:val="2"/>
                <w:sz w:val="21"/>
                <w:szCs w:val="21"/>
                <w:highlight w:val="none"/>
                <w:u w:val="single"/>
                <w:lang w:val="en-US" w:bidi="ar-SA"/>
              </w:rPr>
              <w:t>投标文件全部采用电子文档，投标文件所附证书证件均为原件扫描件，并采用单位数字证书，按招标文件要求在相应位置加盖电子印章。投标文件中需个人签字或盖章的，应手签后扫描上传。具体操作详见广州公共资源交易中心网站发布的最新版《房屋建筑和市政基础设施工程全流程电子化项目专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1252"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4.1.1（B）</w:t>
            </w:r>
          </w:p>
        </w:tc>
        <w:tc>
          <w:tcPr>
            <w:tcW w:w="3360"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投标文件加密要求</w:t>
            </w:r>
          </w:p>
        </w:tc>
        <w:tc>
          <w:tcPr>
            <w:tcW w:w="5440" w:type="dxa"/>
            <w:vAlign w:val="center"/>
          </w:tcPr>
          <w:p>
            <w:pPr>
              <w:pStyle w:val="10"/>
              <w:autoSpaceDE/>
              <w:autoSpaceDN/>
              <w:adjustRightInd w:val="0"/>
              <w:snapToGrid w:val="0"/>
              <w:spacing w:after="0" w:line="400" w:lineRule="exact"/>
              <w:ind w:left="44" w:leftChars="20" w:right="44" w:rightChars="20"/>
              <w:jc w:val="both"/>
              <w:rPr>
                <w:color w:val="auto"/>
                <w:sz w:val="21"/>
                <w:szCs w:val="21"/>
                <w:highlight w:val="none"/>
              </w:rPr>
            </w:pPr>
            <w:r>
              <w:rPr>
                <w:rFonts w:hint="eastAsia"/>
                <w:color w:val="auto"/>
                <w:kern w:val="2"/>
                <w:sz w:val="21"/>
                <w:szCs w:val="21"/>
                <w:highlight w:val="none"/>
                <w:lang w:val="en-US" w:bidi="ar-SA"/>
              </w:rPr>
              <w:t>网上递交的电子投标文件须进行加密。具体操作详见广州公共资源交易中心网站发布的最新版《房屋建筑和市政基础设施工程全流程电子化项目专章》。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4.1.2</w:t>
            </w:r>
          </w:p>
        </w:tc>
        <w:tc>
          <w:tcPr>
            <w:tcW w:w="3360"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封套上应载明的信息</w:t>
            </w:r>
          </w:p>
        </w:tc>
        <w:tc>
          <w:tcPr>
            <w:tcW w:w="5440" w:type="dxa"/>
            <w:vAlign w:val="center"/>
          </w:tcPr>
          <w:p>
            <w:pPr>
              <w:pStyle w:val="10"/>
              <w:adjustRightInd w:val="0"/>
              <w:snapToGrid w:val="0"/>
              <w:spacing w:after="0" w:line="400" w:lineRule="exact"/>
              <w:ind w:left="44" w:leftChars="20" w:right="44" w:rightChars="20"/>
              <w:rPr>
                <w:color w:val="auto"/>
                <w:sz w:val="21"/>
                <w:szCs w:val="21"/>
                <w:highlight w:val="none"/>
                <w:lang w:val="en-US"/>
              </w:rPr>
            </w:pPr>
            <w:r>
              <w:rPr>
                <w:rFonts w:hint="eastAsia"/>
                <w:color w:val="auto"/>
                <w:sz w:val="21"/>
                <w:szCs w:val="21"/>
                <w:highlight w:val="none"/>
                <w:lang w:val="en-US"/>
              </w:rPr>
              <w:t>如有提交投标文件光盘备用，封套上应注明如下信息：</w:t>
            </w:r>
          </w:p>
          <w:p>
            <w:pPr>
              <w:pStyle w:val="10"/>
              <w:adjustRightInd w:val="0"/>
              <w:snapToGrid w:val="0"/>
              <w:spacing w:after="0" w:line="400" w:lineRule="exact"/>
              <w:ind w:left="44" w:leftChars="20" w:right="44" w:rightChars="20"/>
              <w:rPr>
                <w:color w:val="auto"/>
                <w:sz w:val="21"/>
                <w:szCs w:val="21"/>
                <w:highlight w:val="none"/>
                <w:lang w:val="en-US"/>
              </w:rPr>
            </w:pPr>
            <w:r>
              <w:rPr>
                <w:rFonts w:hint="eastAsia"/>
                <w:color w:val="auto"/>
                <w:sz w:val="21"/>
                <w:szCs w:val="21"/>
                <w:highlight w:val="none"/>
                <w:lang w:val="en-US"/>
              </w:rPr>
              <w:t>招标人名称：</w:t>
            </w:r>
          </w:p>
          <w:p>
            <w:pPr>
              <w:pStyle w:val="10"/>
              <w:adjustRightInd w:val="0"/>
              <w:snapToGrid w:val="0"/>
              <w:spacing w:after="0" w:line="400" w:lineRule="exact"/>
              <w:ind w:left="44" w:leftChars="20" w:right="44" w:rightChars="20"/>
              <w:rPr>
                <w:color w:val="auto"/>
                <w:sz w:val="21"/>
                <w:szCs w:val="21"/>
                <w:highlight w:val="none"/>
                <w:lang w:val="en-US"/>
              </w:rPr>
            </w:pPr>
            <w:r>
              <w:rPr>
                <w:rFonts w:hint="eastAsia"/>
                <w:color w:val="auto"/>
                <w:sz w:val="21"/>
                <w:szCs w:val="21"/>
                <w:highlight w:val="none"/>
                <w:u w:val="single"/>
                <w:lang w:val="en-US"/>
              </w:rPr>
              <w:t xml:space="preserve">          </w:t>
            </w:r>
            <w:r>
              <w:rPr>
                <w:rFonts w:hint="eastAsia"/>
                <w:color w:val="auto"/>
                <w:sz w:val="21"/>
                <w:szCs w:val="21"/>
                <w:highlight w:val="none"/>
                <w:lang w:val="en-US"/>
              </w:rPr>
              <w:t>（项目名称）投标文件</w:t>
            </w:r>
          </w:p>
          <w:p>
            <w:pPr>
              <w:pStyle w:val="10"/>
              <w:adjustRightInd w:val="0"/>
              <w:snapToGrid w:val="0"/>
              <w:spacing w:after="0" w:line="400" w:lineRule="exact"/>
              <w:ind w:left="44" w:leftChars="20" w:right="44" w:rightChars="20"/>
              <w:rPr>
                <w:color w:val="auto"/>
                <w:sz w:val="21"/>
                <w:szCs w:val="21"/>
                <w:highlight w:val="none"/>
                <w:lang w:val="en-US"/>
              </w:rPr>
            </w:pPr>
            <w:r>
              <w:rPr>
                <w:rFonts w:hint="eastAsia"/>
                <w:color w:val="auto"/>
                <w:sz w:val="21"/>
                <w:szCs w:val="21"/>
                <w:highlight w:val="none"/>
                <w:lang w:val="en-US"/>
              </w:rPr>
              <w:t>招标项目编号：</w:t>
            </w:r>
          </w:p>
          <w:p>
            <w:pPr>
              <w:pStyle w:val="10"/>
              <w:adjustRightInd w:val="0"/>
              <w:snapToGrid w:val="0"/>
              <w:spacing w:after="0" w:line="400" w:lineRule="exact"/>
              <w:ind w:left="44" w:leftChars="20" w:right="44" w:rightChars="20"/>
              <w:rPr>
                <w:color w:val="auto"/>
                <w:sz w:val="21"/>
                <w:szCs w:val="21"/>
                <w:highlight w:val="none"/>
              </w:rPr>
            </w:pPr>
            <w:r>
              <w:rPr>
                <w:rFonts w:hint="eastAsia"/>
                <w:color w:val="auto"/>
                <w:sz w:val="21"/>
                <w:szCs w:val="21"/>
                <w:highlight w:val="none"/>
                <w:lang w:val="en-US"/>
              </w:rPr>
              <w:t>在</w:t>
            </w:r>
            <w:r>
              <w:rPr>
                <w:rFonts w:hint="eastAsia"/>
                <w:color w:val="auto"/>
                <w:sz w:val="21"/>
                <w:szCs w:val="21"/>
                <w:highlight w:val="none"/>
                <w:u w:val="single"/>
                <w:lang w:val="en-US"/>
              </w:rPr>
              <w:t xml:space="preserve">    </w:t>
            </w:r>
            <w:r>
              <w:rPr>
                <w:rFonts w:hint="eastAsia"/>
                <w:color w:val="auto"/>
                <w:sz w:val="21"/>
                <w:szCs w:val="21"/>
                <w:highlight w:val="none"/>
                <w:lang w:val="en-US"/>
              </w:rPr>
              <w:t>年</w:t>
            </w:r>
            <w:r>
              <w:rPr>
                <w:rFonts w:hint="eastAsia"/>
                <w:color w:val="auto"/>
                <w:sz w:val="21"/>
                <w:szCs w:val="21"/>
                <w:highlight w:val="none"/>
                <w:u w:val="single"/>
                <w:lang w:val="en-US"/>
              </w:rPr>
              <w:t xml:space="preserve">    </w:t>
            </w:r>
            <w:r>
              <w:rPr>
                <w:rFonts w:hint="eastAsia"/>
                <w:color w:val="auto"/>
                <w:sz w:val="21"/>
                <w:szCs w:val="21"/>
                <w:highlight w:val="none"/>
                <w:lang w:val="en-US"/>
              </w:rPr>
              <w:t>月</w:t>
            </w:r>
            <w:r>
              <w:rPr>
                <w:rFonts w:hint="eastAsia"/>
                <w:color w:val="auto"/>
                <w:sz w:val="21"/>
                <w:szCs w:val="21"/>
                <w:highlight w:val="none"/>
                <w:u w:val="single"/>
                <w:lang w:val="en-US"/>
              </w:rPr>
              <w:t xml:space="preserve">    </w:t>
            </w:r>
            <w:r>
              <w:rPr>
                <w:rFonts w:hint="eastAsia"/>
                <w:color w:val="auto"/>
                <w:sz w:val="21"/>
                <w:szCs w:val="21"/>
                <w:highlight w:val="none"/>
                <w:lang w:val="en-US"/>
              </w:rPr>
              <w:t>日</w:t>
            </w:r>
            <w:r>
              <w:rPr>
                <w:rFonts w:hint="eastAsia"/>
                <w:color w:val="auto"/>
                <w:sz w:val="21"/>
                <w:szCs w:val="21"/>
                <w:highlight w:val="none"/>
                <w:u w:val="single"/>
                <w:lang w:val="en-US"/>
              </w:rPr>
              <w:t xml:space="preserve">    </w:t>
            </w:r>
            <w:r>
              <w:rPr>
                <w:rFonts w:hint="eastAsia"/>
                <w:color w:val="auto"/>
                <w:sz w:val="21"/>
                <w:szCs w:val="21"/>
                <w:highlight w:val="none"/>
                <w:lang w:val="en-US"/>
              </w:rPr>
              <w:t>时前不得开启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252"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4.2.1</w:t>
            </w:r>
          </w:p>
        </w:tc>
        <w:tc>
          <w:tcPr>
            <w:tcW w:w="3360"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投标截止时间</w:t>
            </w:r>
          </w:p>
        </w:tc>
        <w:tc>
          <w:tcPr>
            <w:tcW w:w="5440" w:type="dxa"/>
            <w:vAlign w:val="center"/>
          </w:tcPr>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u w:val="single"/>
              </w:rPr>
              <w:t xml:space="preserve"> 202</w:t>
            </w:r>
            <w:r>
              <w:rPr>
                <w:rFonts w:hint="eastAsia"/>
                <w:color w:val="auto"/>
                <w:sz w:val="21"/>
                <w:szCs w:val="21"/>
                <w:highlight w:val="none"/>
                <w:u w:val="single"/>
                <w:lang w:val="en-US"/>
              </w:rPr>
              <w:t>3</w:t>
            </w:r>
            <w:r>
              <w:rPr>
                <w:rFonts w:hint="eastAsia"/>
                <w:color w:val="auto"/>
                <w:sz w:val="21"/>
                <w:szCs w:val="21"/>
                <w:highlight w:val="none"/>
              </w:rPr>
              <w:t>年</w:t>
            </w:r>
            <w:r>
              <w:rPr>
                <w:rFonts w:hint="eastAsia"/>
                <w:color w:val="auto"/>
                <w:sz w:val="21"/>
                <w:szCs w:val="21"/>
                <w:highlight w:val="none"/>
                <w:lang w:val="en-US"/>
              </w:rPr>
              <w:t xml:space="preserve"> </w:t>
            </w:r>
            <w:r>
              <w:rPr>
                <w:rFonts w:hint="eastAsia"/>
                <w:color w:val="auto"/>
                <w:sz w:val="21"/>
                <w:szCs w:val="21"/>
                <w:highlight w:val="none"/>
              </w:rPr>
              <w:t>月</w:t>
            </w:r>
            <w:r>
              <w:rPr>
                <w:rFonts w:hint="eastAsia"/>
                <w:color w:val="auto"/>
                <w:sz w:val="21"/>
                <w:szCs w:val="21"/>
                <w:highlight w:val="none"/>
                <w:lang w:val="en-US"/>
              </w:rPr>
              <w:t xml:space="preserve">  </w:t>
            </w:r>
            <w:r>
              <w:rPr>
                <w:rFonts w:hint="eastAsia"/>
                <w:color w:val="auto"/>
                <w:sz w:val="21"/>
                <w:szCs w:val="21"/>
                <w:highlight w:val="none"/>
              </w:rPr>
              <w:t>日</w:t>
            </w:r>
            <w:r>
              <w:rPr>
                <w:rFonts w:hint="eastAsia"/>
                <w:color w:val="auto"/>
                <w:sz w:val="21"/>
                <w:szCs w:val="21"/>
                <w:highlight w:val="none"/>
                <w:u w:val="single"/>
                <w:lang w:val="en-US"/>
              </w:rPr>
              <w:t>10</w:t>
            </w:r>
            <w:r>
              <w:rPr>
                <w:rFonts w:hint="eastAsia"/>
                <w:color w:val="auto"/>
                <w:sz w:val="21"/>
                <w:szCs w:val="21"/>
                <w:highlight w:val="none"/>
                <w:u w:val="single"/>
              </w:rPr>
              <w:t>时</w:t>
            </w:r>
            <w:r>
              <w:rPr>
                <w:rFonts w:hint="eastAsia"/>
                <w:color w:val="auto"/>
                <w:sz w:val="21"/>
                <w:szCs w:val="21"/>
                <w:highlight w:val="none"/>
                <w:u w:val="single"/>
                <w:lang w:val="en-US"/>
              </w:rPr>
              <w:t>00</w:t>
            </w:r>
            <w:r>
              <w:rPr>
                <w:rFonts w:hint="eastAsia"/>
                <w:color w:val="auto"/>
                <w:sz w:val="21"/>
                <w:szCs w:val="21"/>
                <w:highlight w:val="none"/>
                <w:u w:val="single"/>
              </w:rPr>
              <w:t>分 （北京时间）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4.2.2</w:t>
            </w:r>
          </w:p>
        </w:tc>
        <w:tc>
          <w:tcPr>
            <w:tcW w:w="3360"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递交电子投标文件交易平台</w:t>
            </w:r>
          </w:p>
        </w:tc>
        <w:tc>
          <w:tcPr>
            <w:tcW w:w="5440" w:type="dxa"/>
            <w:vAlign w:val="center"/>
          </w:tcPr>
          <w:p>
            <w:pPr>
              <w:adjustRightInd w:val="0"/>
              <w:snapToGrid w:val="0"/>
              <w:spacing w:line="400" w:lineRule="exact"/>
              <w:ind w:left="44" w:leftChars="20" w:right="44" w:rightChars="20"/>
              <w:rPr>
                <w:color w:val="auto"/>
                <w:sz w:val="21"/>
                <w:szCs w:val="21"/>
                <w:highlight w:val="none"/>
                <w:u w:val="single"/>
              </w:rPr>
            </w:pPr>
            <w:r>
              <w:rPr>
                <w:rFonts w:hint="eastAsia"/>
                <w:color w:val="auto"/>
                <w:sz w:val="21"/>
                <w:szCs w:val="21"/>
                <w:highlight w:val="none"/>
                <w:u w:val="single"/>
              </w:rPr>
              <w:t xml:space="preserve">1.递交方式：网上递交投标文件 </w:t>
            </w:r>
          </w:p>
          <w:p>
            <w:pPr>
              <w:adjustRightInd w:val="0"/>
              <w:snapToGrid w:val="0"/>
              <w:spacing w:line="400" w:lineRule="exact"/>
              <w:ind w:left="44" w:leftChars="20" w:right="44" w:rightChars="20"/>
              <w:rPr>
                <w:color w:val="auto"/>
                <w:sz w:val="21"/>
                <w:szCs w:val="21"/>
                <w:highlight w:val="none"/>
                <w:u w:val="single"/>
              </w:rPr>
            </w:pPr>
            <w:r>
              <w:rPr>
                <w:rFonts w:hint="eastAsia"/>
                <w:color w:val="auto"/>
                <w:sz w:val="21"/>
                <w:szCs w:val="21"/>
                <w:highlight w:val="none"/>
                <w:u w:val="single"/>
              </w:rPr>
              <w:t xml:space="preserve">2.交易平台：广州公共资源交易中心网站。 </w:t>
            </w:r>
          </w:p>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u w:val="single"/>
              </w:rPr>
              <w:t>3.上述时间是否有改变，请密切留意招标答疑纪要的相关信息。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52"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4.2.3</w:t>
            </w:r>
          </w:p>
        </w:tc>
        <w:tc>
          <w:tcPr>
            <w:tcW w:w="3360"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投标文件是否退还</w:t>
            </w:r>
          </w:p>
        </w:tc>
        <w:tc>
          <w:tcPr>
            <w:tcW w:w="5440" w:type="dxa"/>
            <w:vAlign w:val="center"/>
          </w:tcPr>
          <w:p>
            <w:pPr>
              <w:pStyle w:val="10"/>
              <w:adjustRightInd w:val="0"/>
              <w:snapToGrid w:val="0"/>
              <w:spacing w:after="0" w:line="400" w:lineRule="exact"/>
              <w:ind w:left="44" w:leftChars="20" w:right="44" w:rightChars="20"/>
              <w:rPr>
                <w:color w:val="auto"/>
                <w:sz w:val="21"/>
                <w:szCs w:val="21"/>
                <w:highlight w:val="none"/>
                <w:lang w:val="en-US"/>
              </w:rPr>
            </w:pPr>
            <w:r>
              <w:rPr>
                <w:rFonts w:hint="eastAsia"/>
                <w:color w:val="auto"/>
                <w:sz w:val="21"/>
                <w:szCs w:val="21"/>
                <w:highlight w:val="none"/>
                <w:lang w:val="en-US"/>
              </w:rPr>
              <w:t>■否</w:t>
            </w:r>
          </w:p>
          <w:p>
            <w:pPr>
              <w:pStyle w:val="10"/>
              <w:adjustRightInd w:val="0"/>
              <w:snapToGrid w:val="0"/>
              <w:spacing w:after="0" w:line="400" w:lineRule="exact"/>
              <w:ind w:left="44" w:leftChars="20" w:right="44" w:rightChars="20"/>
              <w:rPr>
                <w:color w:val="auto"/>
                <w:sz w:val="21"/>
                <w:szCs w:val="21"/>
                <w:highlight w:val="none"/>
              </w:rPr>
            </w:pPr>
            <w:r>
              <w:rPr>
                <w:rFonts w:hint="eastAsia"/>
                <w:color w:val="auto"/>
                <w:sz w:val="21"/>
                <w:szCs w:val="21"/>
                <w:highlight w:val="none"/>
                <w:lang w:val="en-US"/>
              </w:rPr>
              <w:t>□是，退还时间：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4.3</w:t>
            </w:r>
          </w:p>
        </w:tc>
        <w:tc>
          <w:tcPr>
            <w:tcW w:w="3360"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投标文件的修改与撤回</w:t>
            </w:r>
          </w:p>
        </w:tc>
        <w:tc>
          <w:tcPr>
            <w:tcW w:w="5440" w:type="dxa"/>
            <w:vAlign w:val="center"/>
          </w:tcPr>
          <w:p>
            <w:pPr>
              <w:adjustRightInd w:val="0"/>
              <w:snapToGrid w:val="0"/>
              <w:spacing w:line="400" w:lineRule="exact"/>
              <w:ind w:left="44" w:leftChars="20" w:right="44" w:rightChars="20"/>
              <w:rPr>
                <w:color w:val="auto"/>
                <w:sz w:val="21"/>
                <w:szCs w:val="21"/>
                <w:highlight w:val="none"/>
                <w:u w:val="single"/>
              </w:rPr>
            </w:pPr>
            <w:r>
              <w:rPr>
                <w:rFonts w:hint="eastAsia"/>
                <w:color w:val="auto"/>
                <w:sz w:val="21"/>
                <w:szCs w:val="21"/>
                <w:highlight w:val="none"/>
                <w:u w:val="single"/>
              </w:rPr>
              <w:t>1.投标人修改或撤回已递交的投标文件，需在交易平台发出撤回通知，并按要求加盖电子印章。电子招标投标交易平台收到通知后，即时向投标人发出确认回执通知。</w:t>
            </w:r>
          </w:p>
          <w:p>
            <w:pPr>
              <w:pStyle w:val="10"/>
              <w:adjustRightInd w:val="0"/>
              <w:snapToGrid w:val="0"/>
              <w:spacing w:after="0" w:line="400" w:lineRule="exact"/>
              <w:ind w:left="44" w:leftChars="20" w:right="44" w:rightChars="20"/>
              <w:rPr>
                <w:color w:val="auto"/>
                <w:sz w:val="21"/>
                <w:szCs w:val="21"/>
                <w:highlight w:val="none"/>
              </w:rPr>
            </w:pPr>
            <w:r>
              <w:rPr>
                <w:rFonts w:hint="eastAsia"/>
                <w:color w:val="auto"/>
                <w:sz w:val="21"/>
                <w:szCs w:val="21"/>
                <w:highlight w:val="none"/>
                <w:u w:val="single"/>
                <w:lang w:val="en-US"/>
              </w:rPr>
              <w:t>2.投标人撤回投标文件的，招标人自收到投标人书面撤回通知之日起5日内退还已收取的投标保证金。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5.1（B）</w:t>
            </w:r>
          </w:p>
        </w:tc>
        <w:tc>
          <w:tcPr>
            <w:tcW w:w="3360"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开标时间和地点</w:t>
            </w:r>
          </w:p>
        </w:tc>
        <w:tc>
          <w:tcPr>
            <w:tcW w:w="5440" w:type="dxa"/>
            <w:vAlign w:val="center"/>
          </w:tcPr>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开标时间：同投标截止时间</w:t>
            </w:r>
          </w:p>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开标地点：广州公共资源交易中心第</w:t>
            </w:r>
            <w:r>
              <w:rPr>
                <w:rFonts w:hint="eastAsia"/>
                <w:color w:val="auto"/>
                <w:sz w:val="21"/>
                <w:szCs w:val="21"/>
                <w:highlight w:val="none"/>
                <w:u w:val="single"/>
                <w:lang w:val="en-US"/>
              </w:rPr>
              <w:t xml:space="preserve">  </w:t>
            </w:r>
            <w:r>
              <w:rPr>
                <w:rFonts w:hint="eastAsia"/>
                <w:color w:val="auto"/>
                <w:sz w:val="21"/>
                <w:szCs w:val="21"/>
                <w:highlight w:val="none"/>
              </w:rPr>
              <w:t>开标室（广州市天河区天润路333号）</w:t>
            </w:r>
          </w:p>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开标时，投标人代表有权出席开标会，也可以自主决定不参加开标会。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5.2（B）</w:t>
            </w:r>
          </w:p>
        </w:tc>
        <w:tc>
          <w:tcPr>
            <w:tcW w:w="3360"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开标程序</w:t>
            </w:r>
          </w:p>
        </w:tc>
        <w:tc>
          <w:tcPr>
            <w:tcW w:w="5440" w:type="dxa"/>
            <w:vAlign w:val="center"/>
          </w:tcPr>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电子招投标项目开标按下列程序进行：</w:t>
            </w:r>
          </w:p>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5.2.1主持人按下列程序进行开标：</w:t>
            </w:r>
          </w:p>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（1）宣布开标纪律；</w:t>
            </w:r>
          </w:p>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（2）公布在投标截止时间前递交投标文件的投标人名称；</w:t>
            </w:r>
          </w:p>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（3）宣布开标人、唱标人、记录人、监标人等有关人员姓名；</w:t>
            </w:r>
          </w:p>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（4）投标人通过电子招标投标交易平台对已递交的电子投标文件进行解密，公布招标项目名称、投标人名称、投标保证金的递交情况、投标报价、服务期及其他内容，并记录在案；</w:t>
            </w:r>
          </w:p>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（5）投标人代表、招标人代表、监标人、记录人等有关人员在开标记录上签字确认；若有关人员不签字的，不影响开标程序；</w:t>
            </w:r>
          </w:p>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（6）开标结束。</w:t>
            </w:r>
          </w:p>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5.2.2投标截止时间前未完成投标文件传输的或因投标人之外的原因造成投标文件未解密的，视为投标人撤回其投标文件。因投标人原因造成投标文件未解密的或未在投标截止时间后半小时内解密的，视为撤销其投标文件。</w:t>
            </w:r>
          </w:p>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5.2.3开标时，两个（含两个）以上的投标人加密打包投标文件电脑机器特征码一致的，不参与下一程序，并由评标委员会否决其投标。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5.3</w:t>
            </w:r>
          </w:p>
        </w:tc>
        <w:tc>
          <w:tcPr>
            <w:tcW w:w="3360"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开标异议</w:t>
            </w:r>
          </w:p>
        </w:tc>
        <w:tc>
          <w:tcPr>
            <w:tcW w:w="5440" w:type="dxa"/>
            <w:vAlign w:val="center"/>
          </w:tcPr>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开标时，投标人代表有权出席开标会，也可以自主决定不参加开标会，若投标人代表对开标过程提出异议，应当在开标现场提出，该投标人代表须同时出示本人身份证原件，招标人当场作出答复，并制作记录。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1252"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6.1.1</w:t>
            </w:r>
          </w:p>
        </w:tc>
        <w:tc>
          <w:tcPr>
            <w:tcW w:w="3360"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评标委员会的组建</w:t>
            </w:r>
          </w:p>
        </w:tc>
        <w:tc>
          <w:tcPr>
            <w:tcW w:w="5440" w:type="dxa"/>
            <w:vAlign w:val="center"/>
          </w:tcPr>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u w:val="single"/>
              </w:rPr>
              <w:t>评标委员会由招标人依法组建</w:t>
            </w:r>
            <w:r>
              <w:rPr>
                <w:rFonts w:hint="eastAsia"/>
                <w:color w:val="auto"/>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1252"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6.3.2</w:t>
            </w:r>
          </w:p>
        </w:tc>
        <w:tc>
          <w:tcPr>
            <w:tcW w:w="3360"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评标委员会推荐中标候选人的人数</w:t>
            </w:r>
          </w:p>
        </w:tc>
        <w:tc>
          <w:tcPr>
            <w:tcW w:w="5440" w:type="dxa"/>
            <w:vAlign w:val="center"/>
          </w:tcPr>
          <w:p>
            <w:pPr>
              <w:tabs>
                <w:tab w:val="left" w:pos="7513"/>
              </w:tabs>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u w:val="single"/>
              </w:rPr>
              <w:t>推荐中标候选人数： 3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7.1</w:t>
            </w:r>
          </w:p>
        </w:tc>
        <w:tc>
          <w:tcPr>
            <w:tcW w:w="3360"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中标候选人公示媒介及期限</w:t>
            </w:r>
          </w:p>
        </w:tc>
        <w:tc>
          <w:tcPr>
            <w:tcW w:w="5440" w:type="dxa"/>
            <w:vAlign w:val="center"/>
          </w:tcPr>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公示媒介：</w:t>
            </w:r>
            <w:r>
              <w:rPr>
                <w:rFonts w:hint="eastAsia"/>
                <w:color w:val="auto"/>
                <w:sz w:val="21"/>
                <w:szCs w:val="21"/>
                <w:highlight w:val="none"/>
                <w:u w:val="single"/>
              </w:rPr>
              <w:t>中国招标投标公共服务平台、广东省招标投标监管网、广州公共资源交易中心网</w:t>
            </w:r>
          </w:p>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公示期限：</w:t>
            </w:r>
            <w:r>
              <w:rPr>
                <w:rFonts w:hint="eastAsia"/>
                <w:color w:val="auto"/>
                <w:sz w:val="21"/>
                <w:szCs w:val="21"/>
                <w:highlight w:val="none"/>
                <w:u w:val="single"/>
              </w:rPr>
              <w:t xml:space="preserve">  3  </w:t>
            </w:r>
            <w:r>
              <w:rPr>
                <w:rFonts w:hint="eastAsia"/>
                <w:color w:val="auto"/>
                <w:sz w:val="21"/>
                <w:szCs w:val="21"/>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9" w:hRule="atLeast"/>
          <w:jc w:val="center"/>
        </w:trPr>
        <w:tc>
          <w:tcPr>
            <w:tcW w:w="1252"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7.6.1</w:t>
            </w:r>
          </w:p>
        </w:tc>
        <w:tc>
          <w:tcPr>
            <w:tcW w:w="3360"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履约保证金</w:t>
            </w:r>
          </w:p>
        </w:tc>
        <w:tc>
          <w:tcPr>
            <w:tcW w:w="5440" w:type="dxa"/>
            <w:vAlign w:val="center"/>
          </w:tcPr>
          <w:p>
            <w:pPr>
              <w:pStyle w:val="31"/>
              <w:adjustRightInd w:val="0"/>
              <w:snapToGrid w:val="0"/>
              <w:spacing w:line="400" w:lineRule="exact"/>
              <w:ind w:left="44" w:leftChars="20" w:right="44" w:rightChars="20"/>
              <w:rPr>
                <w:rFonts w:ascii="Times New Roman" w:hAnsi="Times New Roman"/>
                <w:color w:val="auto"/>
                <w:kern w:val="2"/>
                <w:sz w:val="21"/>
                <w:szCs w:val="21"/>
                <w:highlight w:val="none"/>
              </w:rPr>
            </w:pPr>
            <w:r>
              <w:rPr>
                <w:rFonts w:hint="eastAsia" w:ascii="Times New Roman" w:hAnsi="Times New Roman"/>
                <w:color w:val="auto"/>
                <w:kern w:val="2"/>
                <w:sz w:val="21"/>
                <w:szCs w:val="21"/>
                <w:highlight w:val="none"/>
              </w:rPr>
              <w:t>是否要求中标人提交履约保证金：</w:t>
            </w:r>
          </w:p>
          <w:p>
            <w:pPr>
              <w:pStyle w:val="31"/>
              <w:adjustRightInd w:val="0"/>
              <w:snapToGrid w:val="0"/>
              <w:spacing w:line="400" w:lineRule="exact"/>
              <w:ind w:left="44" w:leftChars="20" w:right="44" w:rightChars="20"/>
              <w:rPr>
                <w:rFonts w:ascii="Times New Roman" w:hAnsi="Times New Roman"/>
                <w:color w:val="auto"/>
                <w:kern w:val="2"/>
                <w:sz w:val="21"/>
                <w:szCs w:val="21"/>
                <w:highlight w:val="none"/>
                <w:u w:val="single"/>
              </w:rPr>
            </w:pPr>
            <w:r>
              <w:rPr>
                <w:rFonts w:hint="eastAsia"/>
                <w:color w:val="auto"/>
                <w:sz w:val="21"/>
                <w:szCs w:val="21"/>
                <w:highlight w:val="none"/>
              </w:rPr>
              <w:t>□</w:t>
            </w:r>
            <w:r>
              <w:rPr>
                <w:rFonts w:hint="eastAsia" w:ascii="Times New Roman" w:hAnsi="Times New Roman"/>
                <w:color w:val="auto"/>
                <w:kern w:val="2"/>
                <w:sz w:val="21"/>
                <w:szCs w:val="21"/>
                <w:highlight w:val="none"/>
              </w:rPr>
              <w:t>要求，履约保证金的形式：</w:t>
            </w:r>
            <w:r>
              <w:rPr>
                <w:rFonts w:hint="eastAsia" w:ascii="Times New Roman" w:hAnsi="Times New Roman"/>
                <w:color w:val="auto"/>
                <w:kern w:val="2"/>
                <w:sz w:val="21"/>
                <w:szCs w:val="21"/>
                <w:highlight w:val="none"/>
                <w:u w:val="single"/>
              </w:rPr>
              <w:t>银行保函</w:t>
            </w:r>
          </w:p>
          <w:p>
            <w:pPr>
              <w:adjustRightInd w:val="0"/>
              <w:snapToGrid w:val="0"/>
              <w:spacing w:line="400" w:lineRule="exact"/>
              <w:ind w:left="44" w:leftChars="20" w:right="44" w:rightChars="20"/>
              <w:rPr>
                <w:rFonts w:ascii="Times New Roman" w:hAnsi="Times New Roman"/>
                <w:color w:val="auto"/>
                <w:sz w:val="21"/>
                <w:szCs w:val="21"/>
                <w:highlight w:val="none"/>
              </w:rPr>
            </w:pPr>
            <w:r>
              <w:rPr>
                <w:rFonts w:hint="eastAsia" w:ascii="Times New Roman" w:hAnsi="Times New Roman"/>
                <w:color w:val="auto"/>
                <w:sz w:val="21"/>
                <w:szCs w:val="21"/>
                <w:highlight w:val="none"/>
              </w:rPr>
              <w:t>履约保证金的金额：</w:t>
            </w:r>
            <w:r>
              <w:rPr>
                <w:rFonts w:hint="eastAsia"/>
                <w:color w:val="auto"/>
                <w:sz w:val="21"/>
                <w:szCs w:val="21"/>
                <w:highlight w:val="none"/>
                <w:u w:val="single"/>
              </w:rPr>
              <w:t>中标合同金额的10</w:t>
            </w:r>
            <w:r>
              <w:rPr>
                <w:color w:val="auto"/>
                <w:sz w:val="21"/>
                <w:szCs w:val="21"/>
                <w:highlight w:val="none"/>
                <w:u w:val="single"/>
              </w:rPr>
              <w:t>%</w:t>
            </w:r>
            <w:r>
              <w:rPr>
                <w:rFonts w:hint="eastAsia"/>
                <w:color w:val="auto"/>
                <w:sz w:val="21"/>
                <w:szCs w:val="21"/>
                <w:highlight w:val="none"/>
              </w:rPr>
              <w:t>。</w:t>
            </w:r>
          </w:p>
          <w:p>
            <w:pPr>
              <w:pStyle w:val="10"/>
              <w:adjustRightInd w:val="0"/>
              <w:snapToGrid w:val="0"/>
              <w:spacing w:after="0" w:line="400" w:lineRule="exact"/>
              <w:ind w:left="44" w:leftChars="20" w:right="44" w:rightChars="20"/>
              <w:rPr>
                <w:color w:val="auto"/>
                <w:sz w:val="21"/>
                <w:szCs w:val="21"/>
                <w:highlight w:val="none"/>
              </w:rPr>
            </w:pPr>
            <w:r>
              <w:rPr>
                <w:rFonts w:hint="eastAsia" w:ascii="Times New Roman" w:hAnsi="Times New Roman"/>
                <w:color w:val="auto"/>
                <w:kern w:val="2"/>
                <w:sz w:val="21"/>
                <w:szCs w:val="21"/>
                <w:highlight w:val="none"/>
              </w:rPr>
              <w:t>■不要求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252"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9</w:t>
            </w:r>
          </w:p>
        </w:tc>
        <w:tc>
          <w:tcPr>
            <w:tcW w:w="3360"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是否采用电子招标投标</w:t>
            </w:r>
          </w:p>
        </w:tc>
        <w:tc>
          <w:tcPr>
            <w:tcW w:w="5440" w:type="dxa"/>
            <w:vAlign w:val="center"/>
          </w:tcPr>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□否</w:t>
            </w:r>
          </w:p>
          <w:p>
            <w:pPr>
              <w:adjustRightInd w:val="0"/>
              <w:snapToGrid w:val="0"/>
              <w:spacing w:line="400" w:lineRule="exact"/>
              <w:ind w:left="2137" w:leftChars="20" w:right="44" w:rightChars="20" w:hanging="2093" w:hangingChars="997"/>
              <w:rPr>
                <w:color w:val="auto"/>
                <w:sz w:val="21"/>
                <w:szCs w:val="21"/>
                <w:highlight w:val="none"/>
              </w:rPr>
            </w:pPr>
            <w:r>
              <w:rPr>
                <w:rFonts w:hint="eastAsia"/>
                <w:color w:val="auto"/>
                <w:sz w:val="21"/>
                <w:szCs w:val="21"/>
                <w:highlight w:val="none"/>
              </w:rPr>
              <w:t>■是，具体要求：</w:t>
            </w:r>
          </w:p>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1、具体操作详见</w:t>
            </w:r>
            <w:r>
              <w:rPr>
                <w:rFonts w:hint="eastAsia"/>
                <w:color w:val="auto"/>
                <w:kern w:val="2"/>
                <w:sz w:val="21"/>
                <w:szCs w:val="21"/>
                <w:highlight w:val="none"/>
                <w:lang w:val="en-US" w:bidi="ar-SA"/>
              </w:rPr>
              <w:t>广州公共资源交易中心网站发布的最新版</w:t>
            </w:r>
            <w:r>
              <w:rPr>
                <w:rFonts w:hint="eastAsia"/>
                <w:color w:val="auto"/>
                <w:sz w:val="21"/>
                <w:szCs w:val="21"/>
                <w:highlight w:val="none"/>
              </w:rPr>
              <w:t>《房屋建筑和市政基础设施工程全流程电子化项目专章》。</w:t>
            </w:r>
          </w:p>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2、提交投标文件光盘备用</w:t>
            </w:r>
          </w:p>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1）投标人可制作非加密的电子投标文件（PDF格式）刻入光盘（1份），在规定的时间、地点提交备用。(刻录好的投标文件光盘密封在密封袋中，并在封口处加盖投标人单位公章。密封袋上应写明项目名称和招标人名称。)</w:t>
            </w:r>
          </w:p>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2）递交的投标文件光盘(备用)不得加密。光盘（备用投标文件）无法读取或导入的，则视为未提交投标文件光盘(备用)。如果投标人没有按规定通过交易平台网上递交电子投标文件的，不再读取提交的光盘。投标人也可不提交投标文件光盘(备用)。</w:t>
            </w:r>
          </w:p>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3、补救方案</w:t>
            </w:r>
          </w:p>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（1）投标文件解密失败的补救方案：</w:t>
            </w:r>
          </w:p>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（2）评标时突发情况的补救方案</w:t>
            </w:r>
          </w:p>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若遇不可抗力发生（如：网络瘫痪、服务器损坏、交易系统故障短期无法恢复等因素），由评标委员会开启现场递交的全部投标文件光盘，并按光盘内容进行评审。</w:t>
            </w:r>
          </w:p>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（3）除发生上述情况外，开标评标均以投标人通过交易平台网上递交的电子投标文件为准。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 w:hRule="atLeast"/>
          <w:jc w:val="center"/>
        </w:trPr>
        <w:tc>
          <w:tcPr>
            <w:tcW w:w="1252"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10</w:t>
            </w:r>
          </w:p>
        </w:tc>
        <w:tc>
          <w:tcPr>
            <w:tcW w:w="3360"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需要补充的其他内容</w:t>
            </w:r>
          </w:p>
        </w:tc>
        <w:tc>
          <w:tcPr>
            <w:tcW w:w="5440" w:type="dxa"/>
            <w:vAlign w:val="center"/>
          </w:tcPr>
          <w:p>
            <w:pPr>
              <w:adjustRightInd w:val="0"/>
              <w:snapToGrid w:val="0"/>
              <w:spacing w:line="400" w:lineRule="exact"/>
              <w:ind w:left="44" w:leftChars="20" w:right="44" w:rightChars="20"/>
              <w:rPr>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10.1</w:t>
            </w:r>
          </w:p>
        </w:tc>
        <w:tc>
          <w:tcPr>
            <w:tcW w:w="3360"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特别提示</w:t>
            </w:r>
          </w:p>
        </w:tc>
        <w:tc>
          <w:tcPr>
            <w:tcW w:w="5440" w:type="dxa"/>
            <w:vAlign w:val="center"/>
          </w:tcPr>
          <w:p>
            <w:pPr>
              <w:widowControl/>
              <w:shd w:val="clear" w:color="auto" w:fill="FFFFFF"/>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投标人在本项目招标人的工程项目中存在下列行为的，将被拒绝一年内参与我单位后续工程投标。（注：拒绝投标时限由招标人视严重程度确定，最低三个月起，自招标人发出通知之日起计）：</w:t>
            </w:r>
          </w:p>
          <w:p>
            <w:pPr>
              <w:widowControl/>
              <w:shd w:val="clear" w:color="auto" w:fill="FFFFFF"/>
              <w:adjustRightInd w:val="0"/>
              <w:snapToGrid w:val="0"/>
              <w:spacing w:line="400" w:lineRule="exact"/>
              <w:ind w:left="44" w:leftChars="20" w:right="44" w:rightChars="20" w:firstLine="420" w:firstLineChars="200"/>
              <w:rPr>
                <w:color w:val="auto"/>
                <w:sz w:val="21"/>
                <w:szCs w:val="21"/>
                <w:highlight w:val="none"/>
              </w:rPr>
            </w:pPr>
            <w:r>
              <w:rPr>
                <w:rFonts w:hint="eastAsia"/>
                <w:color w:val="auto"/>
                <w:sz w:val="21"/>
                <w:szCs w:val="21"/>
                <w:highlight w:val="none"/>
              </w:rPr>
              <w:t>1.将中标工程转包或者违法分包的；</w:t>
            </w:r>
          </w:p>
          <w:p>
            <w:pPr>
              <w:widowControl/>
              <w:shd w:val="clear" w:color="auto" w:fill="FFFFFF"/>
              <w:adjustRightInd w:val="0"/>
              <w:snapToGrid w:val="0"/>
              <w:spacing w:line="400" w:lineRule="exact"/>
              <w:ind w:left="44" w:leftChars="20" w:right="44" w:rightChars="20" w:firstLine="420" w:firstLineChars="200"/>
              <w:rPr>
                <w:color w:val="auto"/>
                <w:sz w:val="21"/>
                <w:szCs w:val="21"/>
                <w:highlight w:val="none"/>
              </w:rPr>
            </w:pPr>
            <w:r>
              <w:rPr>
                <w:rFonts w:hint="eastAsia"/>
                <w:color w:val="auto"/>
                <w:sz w:val="21"/>
                <w:szCs w:val="21"/>
                <w:highlight w:val="none"/>
              </w:rPr>
              <w:t>2.在中标工程中不执行质量、安全生产相关规定的，造成质量或安全事故的；</w:t>
            </w:r>
          </w:p>
          <w:p>
            <w:pPr>
              <w:widowControl/>
              <w:shd w:val="clear" w:color="auto" w:fill="FFFFFF"/>
              <w:adjustRightInd w:val="0"/>
              <w:snapToGrid w:val="0"/>
              <w:spacing w:line="400" w:lineRule="exact"/>
              <w:ind w:left="44" w:leftChars="20" w:right="44" w:rightChars="20" w:firstLine="420" w:firstLineChars="200"/>
              <w:rPr>
                <w:color w:val="auto"/>
                <w:sz w:val="21"/>
                <w:szCs w:val="21"/>
                <w:highlight w:val="none"/>
              </w:rPr>
            </w:pPr>
            <w:r>
              <w:rPr>
                <w:rFonts w:hint="eastAsia"/>
                <w:color w:val="auto"/>
                <w:sz w:val="21"/>
                <w:szCs w:val="21"/>
                <w:highlight w:val="none"/>
              </w:rPr>
              <w:t>3.存在围标或串标情形的；</w:t>
            </w:r>
          </w:p>
          <w:p>
            <w:pPr>
              <w:widowControl/>
              <w:shd w:val="clear" w:color="auto" w:fill="FFFFFF"/>
              <w:adjustRightInd w:val="0"/>
              <w:snapToGrid w:val="0"/>
              <w:spacing w:line="400" w:lineRule="exact"/>
              <w:ind w:left="44" w:leftChars="20" w:right="44" w:rightChars="20" w:firstLine="420" w:firstLineChars="200"/>
              <w:rPr>
                <w:color w:val="auto"/>
                <w:sz w:val="21"/>
                <w:szCs w:val="21"/>
                <w:highlight w:val="none"/>
              </w:rPr>
            </w:pPr>
            <w:r>
              <w:rPr>
                <w:rFonts w:hint="eastAsia"/>
                <w:color w:val="auto"/>
                <w:sz w:val="21"/>
                <w:szCs w:val="21"/>
                <w:highlight w:val="none"/>
              </w:rPr>
              <w:t>4.存在弄虚作假骗取中标情形的。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10.2</w:t>
            </w:r>
          </w:p>
        </w:tc>
        <w:tc>
          <w:tcPr>
            <w:tcW w:w="3360"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送达</w:t>
            </w:r>
          </w:p>
        </w:tc>
        <w:tc>
          <w:tcPr>
            <w:tcW w:w="5440" w:type="dxa"/>
            <w:vAlign w:val="center"/>
          </w:tcPr>
          <w:p>
            <w:pPr>
              <w:widowControl/>
              <w:shd w:val="clear" w:color="auto" w:fill="FFFFFF"/>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《投诉处理决定书》和《行政处理决定书》在广州市住房和城乡建设局网站上公布的，视为送达其他与决定书有关的当事人。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10.3</w:t>
            </w:r>
          </w:p>
        </w:tc>
        <w:tc>
          <w:tcPr>
            <w:tcW w:w="3360" w:type="dxa"/>
            <w:vAlign w:val="center"/>
          </w:tcPr>
          <w:p>
            <w:pPr>
              <w:widowControl/>
              <w:shd w:val="clear" w:color="auto" w:fill="FFFFFF"/>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招标失败情形</w:t>
            </w:r>
          </w:p>
        </w:tc>
        <w:tc>
          <w:tcPr>
            <w:tcW w:w="5440" w:type="dxa"/>
            <w:vAlign w:val="center"/>
          </w:tcPr>
          <w:p>
            <w:pPr>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本项目采用资格后审方式，各标段满足资格审查合格条件或通过初步评审的投标申请人不足3名时为招标失败。招标人分析招标失败原因，修正招标方案，报有关管理部门核准后，重新组织招标。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10.4</w:t>
            </w:r>
          </w:p>
        </w:tc>
        <w:tc>
          <w:tcPr>
            <w:tcW w:w="3360" w:type="dxa"/>
            <w:vAlign w:val="center"/>
          </w:tcPr>
          <w:p>
            <w:pPr>
              <w:widowControl/>
              <w:shd w:val="clear" w:color="auto" w:fill="FFFFFF"/>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中标候选人公示要求</w:t>
            </w:r>
          </w:p>
        </w:tc>
        <w:tc>
          <w:tcPr>
            <w:tcW w:w="5440" w:type="dxa"/>
            <w:vAlign w:val="center"/>
          </w:tcPr>
          <w:p>
            <w:pPr>
              <w:widowControl/>
              <w:shd w:val="clear" w:color="auto" w:fill="FFFFFF"/>
              <w:adjustRightInd w:val="0"/>
              <w:snapToGrid w:val="0"/>
              <w:spacing w:line="400" w:lineRule="exact"/>
              <w:ind w:left="44" w:leftChars="20" w:right="44" w:rightChars="20"/>
              <w:rPr>
                <w:color w:val="auto"/>
                <w:sz w:val="21"/>
                <w:szCs w:val="21"/>
                <w:highlight w:val="none"/>
              </w:rPr>
            </w:pPr>
            <w:r>
              <w:rPr>
                <w:rFonts w:hint="eastAsia"/>
                <w:color w:val="auto"/>
                <w:sz w:val="21"/>
                <w:szCs w:val="21"/>
                <w:highlight w:val="none"/>
              </w:rPr>
              <w:t>在产生中标候选人后，招标人将中标候选人的投标文件商务部分的电子版（报价清单、方案等涉及商业秘密的内容除外）在广州公共资源交易中心网站公开。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lang w:val="en-US"/>
              </w:rPr>
              <w:t>10.5</w:t>
            </w:r>
          </w:p>
        </w:tc>
        <w:tc>
          <w:tcPr>
            <w:tcW w:w="3360" w:type="dxa"/>
            <w:vAlign w:val="center"/>
          </w:tcPr>
          <w:p>
            <w:pPr>
              <w:widowControl/>
              <w:shd w:val="clear" w:color="auto" w:fill="FFFFFF"/>
              <w:adjustRightInd w:val="0"/>
              <w:snapToGrid w:val="0"/>
              <w:spacing w:line="400" w:lineRule="exact"/>
              <w:ind w:left="44" w:leftChars="20" w:right="44" w:rightChars="20"/>
              <w:jc w:val="center"/>
              <w:rPr>
                <w:bCs/>
                <w:color w:val="auto"/>
                <w:kern w:val="2"/>
                <w:sz w:val="21"/>
                <w:szCs w:val="21"/>
                <w:highlight w:val="none"/>
                <w:lang w:val="en-US" w:bidi="ar-SA"/>
              </w:rPr>
            </w:pPr>
            <w:r>
              <w:rPr>
                <w:rFonts w:hint="eastAsia"/>
                <w:color w:val="auto"/>
                <w:sz w:val="21"/>
                <w:szCs w:val="21"/>
                <w:highlight w:val="none"/>
              </w:rPr>
              <w:t>其他</w:t>
            </w:r>
          </w:p>
        </w:tc>
        <w:tc>
          <w:tcPr>
            <w:tcW w:w="5440" w:type="dxa"/>
            <w:vAlign w:val="center"/>
          </w:tcPr>
          <w:p>
            <w:pPr>
              <w:adjustRightInd w:val="0"/>
              <w:snapToGrid w:val="0"/>
              <w:spacing w:line="400" w:lineRule="exact"/>
              <w:ind w:left="44" w:leftChars="20" w:right="44" w:rightChars="20"/>
              <w:rPr>
                <w:color w:val="auto"/>
                <w:sz w:val="21"/>
                <w:szCs w:val="21"/>
                <w:highlight w:val="none"/>
                <w:lang w:val="en-US"/>
              </w:rPr>
            </w:pPr>
            <w:r>
              <w:rPr>
                <w:rFonts w:hint="eastAsia"/>
                <w:color w:val="auto"/>
                <w:sz w:val="21"/>
                <w:szCs w:val="21"/>
                <w:highlight w:val="none"/>
                <w:lang w:val="en-US"/>
              </w:rPr>
              <w:t>1、中标人应根据政府有关规定，向广州公共资源交易中心交纳交易服务费。</w:t>
            </w:r>
          </w:p>
          <w:p>
            <w:pPr>
              <w:adjustRightInd w:val="0"/>
              <w:snapToGrid w:val="0"/>
              <w:spacing w:line="400" w:lineRule="exact"/>
              <w:ind w:left="44" w:leftChars="20" w:right="44" w:rightChars="20"/>
              <w:rPr>
                <w:color w:val="auto"/>
                <w:sz w:val="21"/>
                <w:szCs w:val="21"/>
                <w:highlight w:val="none"/>
                <w:lang w:val="en-US"/>
              </w:rPr>
            </w:pPr>
            <w:r>
              <w:rPr>
                <w:rFonts w:hint="eastAsia"/>
                <w:color w:val="auto"/>
                <w:sz w:val="21"/>
                <w:szCs w:val="21"/>
                <w:highlight w:val="none"/>
                <w:lang w:val="en-US"/>
              </w:rPr>
              <w:t>2、中标人应按实支付本项目专家评审费。</w:t>
            </w:r>
          </w:p>
        </w:tc>
      </w:tr>
    </w:tbl>
    <w:p>
      <w:pPr>
        <w:rPr>
          <w:color w:val="auto"/>
          <w:sz w:val="24"/>
          <w:highlight w:val="none"/>
        </w:rPr>
      </w:pPr>
      <w:r>
        <w:rPr>
          <w:rFonts w:hint="eastAsia"/>
          <w:color w:val="auto"/>
          <w:sz w:val="24"/>
          <w:highlight w:val="none"/>
        </w:rPr>
        <w:br w:type="page"/>
      </w:r>
    </w:p>
    <w:p>
      <w:pPr>
        <w:rPr>
          <w:rFonts w:cs="Times New Roman"/>
          <w:b/>
          <w:color w:val="auto"/>
          <w:kern w:val="2"/>
          <w:sz w:val="28"/>
          <w:szCs w:val="20"/>
          <w:highlight w:val="none"/>
          <w:lang w:val="en-US" w:bidi="ar-SA"/>
        </w:rPr>
      </w:pPr>
      <w:r>
        <w:rPr>
          <w:rFonts w:hint="eastAsia" w:cs="Times New Roman"/>
          <w:b/>
          <w:color w:val="auto"/>
          <w:kern w:val="2"/>
          <w:sz w:val="28"/>
          <w:szCs w:val="20"/>
          <w:highlight w:val="none"/>
          <w:lang w:val="en-US" w:bidi="ar-SA"/>
        </w:rPr>
        <w:t>1.总则</w:t>
      </w:r>
    </w:p>
    <w:p>
      <w:pPr>
        <w:spacing w:line="360" w:lineRule="auto"/>
        <w:rPr>
          <w:color w:val="auto"/>
          <w:highlight w:val="none"/>
        </w:rPr>
      </w:pPr>
      <w:r>
        <w:rPr>
          <w:rFonts w:hint="eastAsia" w:cs="Times New Roman"/>
          <w:b/>
          <w:bCs/>
          <w:color w:val="auto"/>
          <w:kern w:val="2"/>
          <w:sz w:val="28"/>
          <w:szCs w:val="28"/>
          <w:highlight w:val="none"/>
          <w:lang w:val="en-US" w:bidi="ar-SA"/>
        </w:rPr>
        <w:t>1.1招标项目概况</w:t>
      </w:r>
    </w:p>
    <w:p>
      <w:pPr>
        <w:spacing w:line="360" w:lineRule="auto"/>
        <w:ind w:firstLine="440" w:firstLineChars="200"/>
        <w:rPr>
          <w:color w:val="auto"/>
          <w:highlight w:val="none"/>
        </w:rPr>
      </w:pPr>
      <w:r>
        <w:rPr>
          <w:rFonts w:hint="eastAsia"/>
          <w:color w:val="auto"/>
          <w:highlight w:val="none"/>
        </w:rPr>
        <w:t>1.1.1根据《中华人民共和国招标投标法》、《中华人民共和国招标投标法实施条例》等有关法律、法规和规章的规定，本招标项目已具备招标条件，现对</w:t>
      </w:r>
      <w:r>
        <w:rPr>
          <w:rFonts w:hint="eastAsia"/>
          <w:color w:val="auto"/>
          <w:highlight w:val="none"/>
          <w:lang w:val="en-US"/>
        </w:rPr>
        <w:t>本项目</w:t>
      </w:r>
      <w:r>
        <w:rPr>
          <w:rFonts w:hint="eastAsia"/>
          <w:color w:val="auto"/>
          <w:highlight w:val="none"/>
        </w:rPr>
        <w:t>进行招标。</w:t>
      </w:r>
    </w:p>
    <w:p>
      <w:pPr>
        <w:spacing w:line="360" w:lineRule="auto"/>
        <w:ind w:firstLine="440" w:firstLineChars="200"/>
        <w:rPr>
          <w:color w:val="auto"/>
          <w:highlight w:val="none"/>
        </w:rPr>
      </w:pPr>
      <w:r>
        <w:rPr>
          <w:rFonts w:hint="eastAsia"/>
          <w:color w:val="auto"/>
          <w:highlight w:val="none"/>
        </w:rPr>
        <w:t>1.1.2招标人：见投标人须知前附表。</w:t>
      </w:r>
    </w:p>
    <w:p>
      <w:pPr>
        <w:spacing w:line="360" w:lineRule="auto"/>
        <w:ind w:firstLine="440" w:firstLineChars="200"/>
        <w:rPr>
          <w:color w:val="auto"/>
          <w:highlight w:val="none"/>
        </w:rPr>
      </w:pPr>
      <w:r>
        <w:rPr>
          <w:rFonts w:hint="eastAsia"/>
          <w:color w:val="auto"/>
          <w:highlight w:val="none"/>
        </w:rPr>
        <w:t>1.1.3招标代理机构：见投标人须知前附表。</w:t>
      </w:r>
    </w:p>
    <w:p>
      <w:pPr>
        <w:spacing w:line="360" w:lineRule="auto"/>
        <w:ind w:firstLine="440" w:firstLineChars="200"/>
        <w:rPr>
          <w:color w:val="auto"/>
          <w:highlight w:val="none"/>
        </w:rPr>
      </w:pPr>
      <w:r>
        <w:rPr>
          <w:rFonts w:hint="eastAsia"/>
          <w:color w:val="auto"/>
          <w:highlight w:val="none"/>
        </w:rPr>
        <w:t>1.1.4招标项目名称：见投标人须知前附表。</w:t>
      </w:r>
    </w:p>
    <w:p>
      <w:pPr>
        <w:spacing w:line="360" w:lineRule="auto"/>
        <w:ind w:firstLine="440" w:firstLineChars="200"/>
        <w:rPr>
          <w:color w:val="auto"/>
          <w:highlight w:val="none"/>
        </w:rPr>
      </w:pPr>
      <w:r>
        <w:rPr>
          <w:rFonts w:hint="eastAsia"/>
          <w:color w:val="auto"/>
          <w:highlight w:val="none"/>
        </w:rPr>
        <w:t>1.1.5项目建设地点：见投标人须知前附表。</w:t>
      </w:r>
    </w:p>
    <w:p>
      <w:pPr>
        <w:spacing w:line="360" w:lineRule="auto"/>
        <w:ind w:firstLine="440" w:firstLineChars="200"/>
        <w:rPr>
          <w:color w:val="auto"/>
          <w:highlight w:val="none"/>
        </w:rPr>
      </w:pPr>
      <w:r>
        <w:rPr>
          <w:rFonts w:hint="eastAsia"/>
          <w:color w:val="auto"/>
          <w:highlight w:val="none"/>
        </w:rPr>
        <w:t>1.1.6项目建设规模：见投标人须知前附表。</w:t>
      </w:r>
    </w:p>
    <w:p>
      <w:pPr>
        <w:spacing w:line="360" w:lineRule="auto"/>
        <w:ind w:firstLine="440" w:firstLineChars="200"/>
        <w:rPr>
          <w:color w:val="auto"/>
          <w:highlight w:val="none"/>
        </w:rPr>
      </w:pPr>
      <w:r>
        <w:rPr>
          <w:rFonts w:hint="eastAsia"/>
          <w:color w:val="auto"/>
          <w:highlight w:val="none"/>
        </w:rPr>
        <w:t>1.1.7工程项目施工预计开工日期和建设周期：见投标人须知前附表。</w:t>
      </w:r>
    </w:p>
    <w:p>
      <w:pPr>
        <w:spacing w:line="360" w:lineRule="auto"/>
        <w:ind w:firstLine="440" w:firstLineChars="200"/>
        <w:rPr>
          <w:color w:val="auto"/>
          <w:highlight w:val="none"/>
        </w:rPr>
      </w:pPr>
      <w:r>
        <w:rPr>
          <w:rFonts w:hint="eastAsia"/>
          <w:color w:val="auto"/>
          <w:highlight w:val="none"/>
        </w:rPr>
        <w:t>1.1.8建筑安装工程费/工程概算：见投标人须知前附表。</w:t>
      </w:r>
    </w:p>
    <w:p>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1.2招标项目的资金来源和落实情况</w:t>
      </w:r>
    </w:p>
    <w:p>
      <w:pPr>
        <w:spacing w:line="360" w:lineRule="auto"/>
        <w:ind w:firstLine="440" w:firstLineChars="200"/>
        <w:rPr>
          <w:color w:val="auto"/>
          <w:highlight w:val="none"/>
        </w:rPr>
      </w:pPr>
      <w:r>
        <w:rPr>
          <w:rFonts w:hint="eastAsia"/>
          <w:color w:val="auto"/>
          <w:highlight w:val="none"/>
        </w:rPr>
        <w:t>1.2.1资金来源及比例：见投标人须知前附表。</w:t>
      </w:r>
    </w:p>
    <w:p>
      <w:pPr>
        <w:spacing w:line="360" w:lineRule="auto"/>
        <w:ind w:firstLine="440" w:firstLineChars="200"/>
        <w:rPr>
          <w:color w:val="auto"/>
          <w:highlight w:val="none"/>
        </w:rPr>
      </w:pPr>
      <w:r>
        <w:rPr>
          <w:rFonts w:hint="eastAsia"/>
          <w:color w:val="auto"/>
          <w:highlight w:val="none"/>
        </w:rPr>
        <w:t>1.2.2资金落实情况：见投标人须知前附表。</w:t>
      </w:r>
    </w:p>
    <w:p>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1.3招标范围、服务期限和质量标准</w:t>
      </w:r>
    </w:p>
    <w:p>
      <w:pPr>
        <w:spacing w:line="360" w:lineRule="auto"/>
        <w:ind w:firstLine="440" w:firstLineChars="200"/>
        <w:rPr>
          <w:color w:val="auto"/>
          <w:highlight w:val="none"/>
        </w:rPr>
      </w:pPr>
      <w:r>
        <w:rPr>
          <w:rFonts w:hint="eastAsia"/>
          <w:color w:val="auto"/>
          <w:highlight w:val="none"/>
        </w:rPr>
        <w:t>1.3.1招标范围：见投标人须知前附表。</w:t>
      </w:r>
    </w:p>
    <w:p>
      <w:pPr>
        <w:spacing w:line="360" w:lineRule="auto"/>
        <w:ind w:firstLine="440" w:firstLineChars="200"/>
        <w:rPr>
          <w:color w:val="auto"/>
          <w:highlight w:val="none"/>
        </w:rPr>
      </w:pPr>
      <w:r>
        <w:rPr>
          <w:rFonts w:hint="eastAsia"/>
          <w:color w:val="auto"/>
          <w:highlight w:val="none"/>
        </w:rPr>
        <w:t>1.3.2服务期限：见投标人须知前附表。</w:t>
      </w:r>
    </w:p>
    <w:p>
      <w:pPr>
        <w:spacing w:line="360" w:lineRule="auto"/>
        <w:ind w:firstLine="440" w:firstLineChars="200"/>
        <w:rPr>
          <w:color w:val="auto"/>
          <w:highlight w:val="none"/>
        </w:rPr>
      </w:pPr>
      <w:r>
        <w:rPr>
          <w:rFonts w:hint="eastAsia"/>
          <w:color w:val="auto"/>
          <w:highlight w:val="none"/>
        </w:rPr>
        <w:t>1.3.3质量标准：见投标人须知前附表。</w:t>
      </w:r>
    </w:p>
    <w:p>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1.4投标人资格要求</w:t>
      </w:r>
    </w:p>
    <w:p>
      <w:pPr>
        <w:spacing w:line="360" w:lineRule="auto"/>
        <w:ind w:firstLine="440" w:firstLineChars="200"/>
        <w:rPr>
          <w:color w:val="auto"/>
          <w:highlight w:val="none"/>
        </w:rPr>
      </w:pPr>
      <w:r>
        <w:rPr>
          <w:rFonts w:hint="eastAsia"/>
          <w:color w:val="auto"/>
          <w:highlight w:val="none"/>
        </w:rPr>
        <w:t>1.4.1投标人应具备承担本招标项目资质条件、能力和信誉：</w:t>
      </w:r>
    </w:p>
    <w:p>
      <w:pPr>
        <w:spacing w:line="360" w:lineRule="auto"/>
        <w:ind w:firstLine="220" w:firstLineChars="100"/>
        <w:rPr>
          <w:color w:val="auto"/>
          <w:highlight w:val="none"/>
        </w:rPr>
      </w:pPr>
      <w:r>
        <w:rPr>
          <w:rFonts w:hint="eastAsia"/>
          <w:color w:val="auto"/>
          <w:highlight w:val="none"/>
        </w:rPr>
        <w:t>（1）资质要求：见投标人须知前附表；</w:t>
      </w:r>
    </w:p>
    <w:p>
      <w:pPr>
        <w:spacing w:line="360" w:lineRule="auto"/>
        <w:ind w:firstLine="220" w:firstLineChars="100"/>
        <w:rPr>
          <w:color w:val="auto"/>
          <w:highlight w:val="none"/>
        </w:rPr>
      </w:pPr>
      <w:r>
        <w:rPr>
          <w:rFonts w:hint="eastAsia"/>
          <w:color w:val="auto"/>
          <w:highlight w:val="none"/>
        </w:rPr>
        <w:t>（2）财务要求：见投标人须知前附表；</w:t>
      </w:r>
    </w:p>
    <w:p>
      <w:pPr>
        <w:spacing w:line="360" w:lineRule="auto"/>
        <w:ind w:firstLine="220" w:firstLineChars="100"/>
        <w:rPr>
          <w:color w:val="auto"/>
          <w:highlight w:val="none"/>
        </w:rPr>
      </w:pPr>
      <w:r>
        <w:rPr>
          <w:rFonts w:hint="eastAsia"/>
          <w:color w:val="auto"/>
          <w:highlight w:val="none"/>
        </w:rPr>
        <w:t>（3）业绩要求：见投标人须知前附表；</w:t>
      </w:r>
    </w:p>
    <w:p>
      <w:pPr>
        <w:spacing w:line="360" w:lineRule="auto"/>
        <w:ind w:firstLine="220" w:firstLineChars="100"/>
        <w:rPr>
          <w:color w:val="auto"/>
          <w:highlight w:val="none"/>
        </w:rPr>
      </w:pPr>
      <w:r>
        <w:rPr>
          <w:rFonts w:hint="eastAsia"/>
          <w:color w:val="auto"/>
          <w:highlight w:val="none"/>
        </w:rPr>
        <w:t>（4）信誉要求：见投标人须知前附表；</w:t>
      </w:r>
    </w:p>
    <w:p>
      <w:pPr>
        <w:spacing w:line="360" w:lineRule="auto"/>
        <w:ind w:firstLine="220" w:firstLineChars="100"/>
        <w:rPr>
          <w:color w:val="auto"/>
          <w:highlight w:val="none"/>
        </w:rPr>
      </w:pPr>
      <w:r>
        <w:rPr>
          <w:rFonts w:hint="eastAsia"/>
          <w:color w:val="auto"/>
          <w:highlight w:val="none"/>
        </w:rPr>
        <w:t>（5）</w:t>
      </w:r>
      <w:r>
        <w:rPr>
          <w:rFonts w:hint="eastAsia"/>
          <w:color w:val="auto"/>
          <w:highlight w:val="none"/>
          <w:lang w:val="en-US"/>
        </w:rPr>
        <w:t>项目负责人</w:t>
      </w:r>
      <w:r>
        <w:rPr>
          <w:rFonts w:hint="eastAsia"/>
          <w:color w:val="auto"/>
          <w:highlight w:val="none"/>
        </w:rPr>
        <w:t>的资格要求：具体要求见投标人须知前附表；</w:t>
      </w:r>
    </w:p>
    <w:p>
      <w:pPr>
        <w:spacing w:line="360" w:lineRule="auto"/>
        <w:ind w:firstLine="220" w:firstLineChars="100"/>
        <w:rPr>
          <w:color w:val="auto"/>
          <w:highlight w:val="none"/>
        </w:rPr>
      </w:pPr>
      <w:r>
        <w:rPr>
          <w:rFonts w:hint="eastAsia"/>
          <w:color w:val="auto"/>
          <w:highlight w:val="none"/>
        </w:rPr>
        <w:t>（6）其他主要人员要求：见投标人须知前附表。</w:t>
      </w:r>
    </w:p>
    <w:p>
      <w:pPr>
        <w:spacing w:line="360" w:lineRule="auto"/>
        <w:ind w:firstLine="220" w:firstLineChars="100"/>
        <w:rPr>
          <w:color w:val="auto"/>
          <w:highlight w:val="none"/>
        </w:rPr>
      </w:pPr>
      <w:r>
        <w:rPr>
          <w:rFonts w:hint="eastAsia"/>
          <w:color w:val="auto"/>
          <w:highlight w:val="none"/>
        </w:rPr>
        <w:t>（7）试验检测仪器设备要求：见投标人须知前附表。</w:t>
      </w:r>
    </w:p>
    <w:p>
      <w:pPr>
        <w:spacing w:line="360" w:lineRule="auto"/>
        <w:ind w:firstLine="220" w:firstLineChars="100"/>
        <w:rPr>
          <w:color w:val="auto"/>
          <w:highlight w:val="none"/>
        </w:rPr>
      </w:pPr>
      <w:r>
        <w:rPr>
          <w:rFonts w:hint="eastAsia"/>
          <w:color w:val="auto"/>
          <w:highlight w:val="none"/>
        </w:rPr>
        <w:t>（8）其他要求：见投标人须知前附表。</w:t>
      </w:r>
    </w:p>
    <w:p>
      <w:pPr>
        <w:spacing w:line="360" w:lineRule="auto"/>
        <w:rPr>
          <w:color w:val="auto"/>
          <w:highlight w:val="none"/>
        </w:rPr>
      </w:pPr>
      <w:r>
        <w:rPr>
          <w:rFonts w:hint="eastAsia"/>
          <w:color w:val="auto"/>
          <w:highlight w:val="none"/>
        </w:rPr>
        <w:t>需要提交的相关证明材料见本章第 3.5 款的规定。</w:t>
      </w:r>
    </w:p>
    <w:p>
      <w:pPr>
        <w:spacing w:line="360" w:lineRule="auto"/>
        <w:ind w:firstLine="440" w:firstLineChars="200"/>
        <w:rPr>
          <w:color w:val="auto"/>
          <w:highlight w:val="none"/>
        </w:rPr>
      </w:pPr>
      <w:r>
        <w:rPr>
          <w:rFonts w:hint="eastAsia"/>
          <w:color w:val="auto"/>
          <w:highlight w:val="none"/>
        </w:rPr>
        <w:t>1.4.2投标人须知前附表规定接受联合体投标的，联合体除应符合本章第 1.4.1 项和投标人须知前附表的要求外，还应遵守以下规定：</w:t>
      </w:r>
    </w:p>
    <w:p>
      <w:pPr>
        <w:spacing w:line="360" w:lineRule="auto"/>
        <w:ind w:firstLine="440" w:firstLineChars="200"/>
        <w:rPr>
          <w:color w:val="auto"/>
          <w:highlight w:val="none"/>
        </w:rPr>
      </w:pPr>
      <w:r>
        <w:rPr>
          <w:rFonts w:hint="eastAsia"/>
          <w:color w:val="auto"/>
          <w:highlight w:val="none"/>
        </w:rPr>
        <w:t>（1）联合体各方应按招标文件提供的格式签订联合体协议书，明确联合体牵头人和各方权利义务，并承诺就中标项目向招标人承担连带责任；</w:t>
      </w:r>
    </w:p>
    <w:p>
      <w:pPr>
        <w:spacing w:line="360" w:lineRule="auto"/>
        <w:ind w:firstLine="440" w:firstLineChars="200"/>
        <w:rPr>
          <w:color w:val="auto"/>
          <w:highlight w:val="none"/>
        </w:rPr>
      </w:pPr>
      <w:r>
        <w:rPr>
          <w:rFonts w:hint="eastAsia"/>
          <w:color w:val="auto"/>
          <w:highlight w:val="none"/>
        </w:rPr>
        <w:t>（2）由同一专业的单位组成的联合体，按照资质等级较低的单位确定资质等级；</w:t>
      </w:r>
    </w:p>
    <w:p>
      <w:pPr>
        <w:spacing w:line="360" w:lineRule="auto"/>
        <w:ind w:firstLine="440" w:firstLineChars="200"/>
        <w:rPr>
          <w:color w:val="auto"/>
          <w:highlight w:val="none"/>
        </w:rPr>
      </w:pPr>
      <w:r>
        <w:rPr>
          <w:rFonts w:hint="eastAsia"/>
          <w:color w:val="auto"/>
          <w:highlight w:val="none"/>
        </w:rPr>
        <w:t>（3）联合体各方不得再以自己名义单独或参加其他联合体在本招标项目中投标，否则各相关投标均无效。</w:t>
      </w:r>
    </w:p>
    <w:p>
      <w:pPr>
        <w:spacing w:line="360" w:lineRule="auto"/>
        <w:ind w:firstLine="440" w:firstLineChars="200"/>
        <w:rPr>
          <w:color w:val="auto"/>
          <w:highlight w:val="none"/>
        </w:rPr>
      </w:pPr>
      <w:r>
        <w:rPr>
          <w:rFonts w:hint="eastAsia"/>
          <w:color w:val="auto"/>
          <w:highlight w:val="none"/>
        </w:rPr>
        <w:t>1.4.3投标人不得存在下列情形之一：</w:t>
      </w:r>
    </w:p>
    <w:p>
      <w:pPr>
        <w:spacing w:line="360" w:lineRule="auto"/>
        <w:ind w:firstLine="440" w:firstLineChars="200"/>
        <w:rPr>
          <w:color w:val="auto"/>
          <w:highlight w:val="none"/>
        </w:rPr>
      </w:pPr>
      <w:r>
        <w:rPr>
          <w:rFonts w:hint="eastAsia"/>
          <w:color w:val="auto"/>
          <w:highlight w:val="none"/>
        </w:rPr>
        <w:t>（1）为招标人不具有独立法人资格的附属机构（单位）；</w:t>
      </w:r>
    </w:p>
    <w:p>
      <w:pPr>
        <w:spacing w:line="360" w:lineRule="auto"/>
        <w:ind w:firstLine="440" w:firstLineChars="200"/>
        <w:rPr>
          <w:color w:val="auto"/>
          <w:highlight w:val="none"/>
        </w:rPr>
      </w:pPr>
      <w:r>
        <w:rPr>
          <w:rFonts w:hint="eastAsia"/>
          <w:color w:val="auto"/>
          <w:highlight w:val="none"/>
        </w:rPr>
        <w:t>（2）与招标人存在利害关系且可能影响招标公正性；</w:t>
      </w:r>
    </w:p>
    <w:p>
      <w:pPr>
        <w:spacing w:line="360" w:lineRule="auto"/>
        <w:ind w:firstLine="440" w:firstLineChars="200"/>
        <w:rPr>
          <w:color w:val="auto"/>
          <w:highlight w:val="none"/>
        </w:rPr>
      </w:pPr>
      <w:r>
        <w:rPr>
          <w:rFonts w:hint="eastAsia"/>
          <w:color w:val="auto"/>
          <w:highlight w:val="none"/>
        </w:rPr>
        <w:t>（3）与本招标项目的其他投标人为同一个单位负责人；</w:t>
      </w:r>
    </w:p>
    <w:p>
      <w:pPr>
        <w:spacing w:line="360" w:lineRule="auto"/>
        <w:ind w:firstLine="440" w:firstLineChars="200"/>
        <w:rPr>
          <w:color w:val="auto"/>
          <w:highlight w:val="none"/>
        </w:rPr>
      </w:pPr>
      <w:r>
        <w:rPr>
          <w:rFonts w:hint="eastAsia"/>
          <w:color w:val="auto"/>
          <w:highlight w:val="none"/>
        </w:rPr>
        <w:t>（4）与本招标项目的其他投标人存在控股、管理关系；</w:t>
      </w:r>
    </w:p>
    <w:p>
      <w:pPr>
        <w:spacing w:line="360" w:lineRule="auto"/>
        <w:ind w:firstLine="440" w:firstLineChars="200"/>
        <w:rPr>
          <w:color w:val="auto"/>
          <w:highlight w:val="none"/>
        </w:rPr>
      </w:pPr>
      <w:r>
        <w:rPr>
          <w:rFonts w:hint="eastAsia"/>
          <w:color w:val="auto"/>
          <w:highlight w:val="none"/>
        </w:rPr>
        <w:t>（5）为本招标项目的代建人；</w:t>
      </w:r>
    </w:p>
    <w:p>
      <w:pPr>
        <w:spacing w:line="360" w:lineRule="auto"/>
        <w:ind w:firstLine="440" w:firstLineChars="200"/>
        <w:rPr>
          <w:color w:val="auto"/>
          <w:highlight w:val="none"/>
        </w:rPr>
      </w:pPr>
      <w:r>
        <w:rPr>
          <w:rFonts w:hint="eastAsia"/>
          <w:color w:val="auto"/>
          <w:highlight w:val="none"/>
        </w:rPr>
        <w:t>（6）为本招标项目的招标代理机构；</w:t>
      </w:r>
    </w:p>
    <w:p>
      <w:pPr>
        <w:spacing w:line="360" w:lineRule="auto"/>
        <w:ind w:firstLine="440" w:firstLineChars="200"/>
        <w:rPr>
          <w:color w:val="auto"/>
          <w:highlight w:val="none"/>
        </w:rPr>
      </w:pPr>
      <w:r>
        <w:rPr>
          <w:rFonts w:hint="eastAsia"/>
          <w:color w:val="auto"/>
          <w:highlight w:val="none"/>
        </w:rPr>
        <w:t>（7）与本招标项目的代建人或招标代理机构同为一个法定代表人；</w:t>
      </w:r>
    </w:p>
    <w:p>
      <w:pPr>
        <w:spacing w:line="360" w:lineRule="auto"/>
        <w:ind w:firstLine="440" w:firstLineChars="200"/>
        <w:rPr>
          <w:color w:val="auto"/>
          <w:highlight w:val="none"/>
        </w:rPr>
      </w:pPr>
      <w:r>
        <w:rPr>
          <w:rFonts w:hint="eastAsia"/>
          <w:color w:val="auto"/>
          <w:highlight w:val="none"/>
        </w:rPr>
        <w:t>（8）与本招标项目的代建人或招标代理机构存在控股或参股关系；</w:t>
      </w:r>
    </w:p>
    <w:p>
      <w:pPr>
        <w:spacing w:line="360" w:lineRule="auto"/>
        <w:ind w:firstLine="440" w:firstLineChars="200"/>
        <w:rPr>
          <w:color w:val="auto"/>
          <w:highlight w:val="none"/>
        </w:rPr>
      </w:pPr>
      <w:r>
        <w:rPr>
          <w:rFonts w:hint="eastAsia"/>
          <w:color w:val="auto"/>
          <w:highlight w:val="none"/>
        </w:rPr>
        <w:t>（9）与本招标项目的施工承包人以及建筑材料、建筑构配件和设备供应商有隶属关系或 者其他利害关系；</w:t>
      </w:r>
    </w:p>
    <w:p>
      <w:pPr>
        <w:spacing w:line="360" w:lineRule="auto"/>
        <w:ind w:firstLine="440" w:firstLineChars="200"/>
        <w:rPr>
          <w:color w:val="auto"/>
          <w:highlight w:val="none"/>
        </w:rPr>
      </w:pPr>
      <w:r>
        <w:rPr>
          <w:rFonts w:hint="eastAsia"/>
          <w:color w:val="auto"/>
          <w:highlight w:val="none"/>
        </w:rPr>
        <w:t>（10）被依法暂停或者取消投标资格；</w:t>
      </w:r>
    </w:p>
    <w:p>
      <w:pPr>
        <w:spacing w:line="360" w:lineRule="auto"/>
        <w:ind w:firstLine="440" w:firstLineChars="200"/>
        <w:rPr>
          <w:color w:val="auto"/>
          <w:highlight w:val="none"/>
        </w:rPr>
      </w:pPr>
      <w:r>
        <w:rPr>
          <w:rFonts w:hint="eastAsia"/>
          <w:color w:val="auto"/>
          <w:highlight w:val="none"/>
        </w:rPr>
        <w:t>（11）被责令停产停业、暂扣或者吊销许可证、暂扣或者吊销执照；</w:t>
      </w:r>
    </w:p>
    <w:p>
      <w:pPr>
        <w:spacing w:line="360" w:lineRule="auto"/>
        <w:ind w:firstLine="440" w:firstLineChars="200"/>
        <w:rPr>
          <w:color w:val="auto"/>
          <w:highlight w:val="none"/>
        </w:rPr>
      </w:pPr>
      <w:r>
        <w:rPr>
          <w:rFonts w:hint="eastAsia"/>
          <w:color w:val="auto"/>
          <w:highlight w:val="none"/>
        </w:rPr>
        <w:t>（12）进入清算程序，或被宣告破产，或其他丧失履约能力的情形；</w:t>
      </w:r>
    </w:p>
    <w:p>
      <w:pPr>
        <w:spacing w:line="360" w:lineRule="auto"/>
        <w:ind w:firstLine="440" w:firstLineChars="200"/>
        <w:rPr>
          <w:color w:val="auto"/>
          <w:highlight w:val="none"/>
        </w:rPr>
      </w:pPr>
      <w:r>
        <w:rPr>
          <w:rFonts w:hint="eastAsia"/>
          <w:color w:val="auto"/>
          <w:highlight w:val="none"/>
        </w:rPr>
        <w:t>（1</w:t>
      </w:r>
      <w:r>
        <w:rPr>
          <w:rFonts w:hint="eastAsia"/>
          <w:color w:val="auto"/>
          <w:highlight w:val="none"/>
          <w:lang w:val="en-US"/>
        </w:rPr>
        <w:t>3</w:t>
      </w:r>
      <w:r>
        <w:rPr>
          <w:rFonts w:hint="eastAsia"/>
          <w:color w:val="auto"/>
          <w:highlight w:val="none"/>
        </w:rPr>
        <w:t>）被工商行政管理机关在全国企业信用信息公示系统中列入严重违法失信企业名单；</w:t>
      </w:r>
    </w:p>
    <w:p>
      <w:pPr>
        <w:spacing w:line="360" w:lineRule="auto"/>
        <w:ind w:firstLine="440" w:firstLineChars="200"/>
        <w:rPr>
          <w:color w:val="auto"/>
          <w:highlight w:val="none"/>
        </w:rPr>
      </w:pPr>
      <w:r>
        <w:rPr>
          <w:rFonts w:hint="eastAsia"/>
          <w:color w:val="auto"/>
          <w:highlight w:val="none"/>
        </w:rPr>
        <w:t>（1</w:t>
      </w:r>
      <w:r>
        <w:rPr>
          <w:rFonts w:hint="eastAsia"/>
          <w:color w:val="auto"/>
          <w:highlight w:val="none"/>
          <w:lang w:val="en-US"/>
        </w:rPr>
        <w:t>4</w:t>
      </w:r>
      <w:r>
        <w:rPr>
          <w:rFonts w:hint="eastAsia"/>
          <w:color w:val="auto"/>
          <w:highlight w:val="none"/>
        </w:rPr>
        <w:t>）被最高人民法院在“信用中国”网站（www.creditchina.gov.cn）或各级信用信息共享 平台中列入失信被执行人名单；</w:t>
      </w:r>
    </w:p>
    <w:p>
      <w:pPr>
        <w:spacing w:line="360" w:lineRule="auto"/>
        <w:ind w:firstLine="440" w:firstLineChars="200"/>
        <w:rPr>
          <w:color w:val="auto"/>
          <w:highlight w:val="none"/>
        </w:rPr>
      </w:pPr>
      <w:r>
        <w:rPr>
          <w:rFonts w:hint="eastAsia"/>
          <w:color w:val="auto"/>
          <w:highlight w:val="none"/>
        </w:rPr>
        <w:t>（1</w:t>
      </w:r>
      <w:r>
        <w:rPr>
          <w:rFonts w:hint="eastAsia"/>
          <w:color w:val="auto"/>
          <w:highlight w:val="none"/>
          <w:lang w:val="en-US"/>
        </w:rPr>
        <w:t>5</w:t>
      </w:r>
      <w:r>
        <w:rPr>
          <w:rFonts w:hint="eastAsia"/>
          <w:color w:val="auto"/>
          <w:highlight w:val="none"/>
        </w:rPr>
        <w:t>）在近三年内投标人或其法定代表人、拟委任的</w:t>
      </w:r>
      <w:r>
        <w:rPr>
          <w:rFonts w:hint="eastAsia"/>
          <w:color w:val="auto"/>
          <w:highlight w:val="none"/>
          <w:lang w:val="en-US"/>
        </w:rPr>
        <w:t>项目负责人</w:t>
      </w:r>
      <w:r>
        <w:rPr>
          <w:rFonts w:hint="eastAsia"/>
          <w:color w:val="auto"/>
          <w:highlight w:val="none"/>
        </w:rPr>
        <w:t>有行贿犯罪行为的；</w:t>
      </w:r>
    </w:p>
    <w:p>
      <w:pPr>
        <w:spacing w:line="360" w:lineRule="auto"/>
        <w:ind w:firstLine="440" w:firstLineChars="200"/>
        <w:rPr>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）法律法规或投标人须知前附表规定的其他情形。</w:t>
      </w:r>
    </w:p>
    <w:p>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1.5费用承担</w:t>
      </w:r>
    </w:p>
    <w:p>
      <w:pPr>
        <w:spacing w:line="360" w:lineRule="auto"/>
        <w:ind w:firstLine="440" w:firstLineChars="200"/>
        <w:rPr>
          <w:color w:val="auto"/>
          <w:highlight w:val="none"/>
        </w:rPr>
      </w:pPr>
      <w:r>
        <w:rPr>
          <w:rFonts w:hint="eastAsia"/>
          <w:color w:val="auto"/>
          <w:highlight w:val="none"/>
        </w:rPr>
        <w:t>投标人准备和参加投标活动发生的费用自理。</w:t>
      </w:r>
    </w:p>
    <w:p>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1.6保密</w:t>
      </w:r>
    </w:p>
    <w:p>
      <w:pPr>
        <w:spacing w:line="360" w:lineRule="auto"/>
        <w:ind w:firstLine="440" w:firstLineChars="200"/>
        <w:rPr>
          <w:color w:val="auto"/>
          <w:highlight w:val="none"/>
        </w:rPr>
      </w:pPr>
      <w:r>
        <w:rPr>
          <w:rFonts w:hint="eastAsia"/>
          <w:color w:val="auto"/>
          <w:highlight w:val="none"/>
        </w:rPr>
        <w:t>参与招标投标活动的各方应对招标文件和投标文件中的商业和技术等秘密保密，否则应承担相应的法律责任。</w:t>
      </w:r>
    </w:p>
    <w:p>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1.7语言文字</w:t>
      </w:r>
    </w:p>
    <w:p>
      <w:pPr>
        <w:spacing w:line="360" w:lineRule="auto"/>
        <w:ind w:firstLine="440" w:firstLineChars="200"/>
        <w:rPr>
          <w:color w:val="auto"/>
          <w:highlight w:val="none"/>
        </w:rPr>
      </w:pPr>
      <w:r>
        <w:rPr>
          <w:rFonts w:hint="eastAsia"/>
          <w:color w:val="auto"/>
          <w:highlight w:val="none"/>
        </w:rPr>
        <w:t>招标投标文件使用的语言文字为中文。专用术语使用外文的，应附有中文注释。</w:t>
      </w:r>
    </w:p>
    <w:p>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1.8计量单位</w:t>
      </w:r>
    </w:p>
    <w:p>
      <w:pPr>
        <w:spacing w:line="360" w:lineRule="auto"/>
        <w:ind w:firstLine="440" w:firstLineChars="200"/>
        <w:rPr>
          <w:color w:val="auto"/>
          <w:highlight w:val="none"/>
        </w:rPr>
      </w:pPr>
      <w:r>
        <w:rPr>
          <w:rFonts w:hint="eastAsia"/>
          <w:color w:val="auto"/>
          <w:highlight w:val="none"/>
        </w:rPr>
        <w:t>所有计量均采用中华人民共和国法定计量单位。</w:t>
      </w:r>
    </w:p>
    <w:p>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1.9踏勘现场</w:t>
      </w:r>
    </w:p>
    <w:p>
      <w:pPr>
        <w:spacing w:line="360" w:lineRule="auto"/>
        <w:ind w:firstLine="440" w:firstLineChars="200"/>
        <w:rPr>
          <w:color w:val="auto"/>
          <w:highlight w:val="none"/>
        </w:rPr>
      </w:pPr>
      <w:r>
        <w:rPr>
          <w:rFonts w:hint="eastAsia"/>
          <w:color w:val="auto"/>
          <w:highlight w:val="none"/>
        </w:rPr>
        <w:t>1.9.1投标人须知前附表规定组织踏勘现场的，招标人按投标人须知前附表规定的时间、地点组织投标人踏勘项目现场。部分投标人未按时参加踏勘现场的，不影响踏勘现场的正常进行。</w:t>
      </w:r>
    </w:p>
    <w:p>
      <w:pPr>
        <w:spacing w:line="360" w:lineRule="auto"/>
        <w:ind w:firstLine="440" w:firstLineChars="200"/>
        <w:rPr>
          <w:color w:val="auto"/>
          <w:highlight w:val="none"/>
        </w:rPr>
      </w:pPr>
      <w:r>
        <w:rPr>
          <w:rFonts w:hint="eastAsia"/>
          <w:color w:val="auto"/>
          <w:highlight w:val="none"/>
        </w:rPr>
        <w:t>1.9.2投标人踏勘现场发生的费用自理。</w:t>
      </w:r>
    </w:p>
    <w:p>
      <w:pPr>
        <w:spacing w:line="360" w:lineRule="auto"/>
        <w:ind w:firstLine="440" w:firstLineChars="200"/>
        <w:rPr>
          <w:color w:val="auto"/>
          <w:highlight w:val="none"/>
        </w:rPr>
      </w:pPr>
      <w:r>
        <w:rPr>
          <w:rFonts w:hint="eastAsia"/>
          <w:color w:val="auto"/>
          <w:highlight w:val="none"/>
        </w:rPr>
        <w:t>1.9.3除招标人的原因外，投标人自行负责在踏勘现场中所发生的人员伤亡和财产损失。</w:t>
      </w:r>
    </w:p>
    <w:p>
      <w:pPr>
        <w:spacing w:line="360" w:lineRule="auto"/>
        <w:ind w:firstLine="440" w:firstLineChars="200"/>
        <w:rPr>
          <w:color w:val="auto"/>
          <w:highlight w:val="none"/>
        </w:rPr>
      </w:pPr>
      <w:r>
        <w:rPr>
          <w:rFonts w:hint="eastAsia"/>
          <w:color w:val="auto"/>
          <w:highlight w:val="none"/>
        </w:rPr>
        <w:t>1.9.4招标人在踏勘现场中介绍的工程场地和相关的周边环境情况，供投标人在编制投标文件时参考，招标人不对投标人据此作出的判断和决策负责。</w:t>
      </w:r>
    </w:p>
    <w:p>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1.10投标预备会</w:t>
      </w:r>
    </w:p>
    <w:p>
      <w:pPr>
        <w:spacing w:line="360" w:lineRule="auto"/>
        <w:ind w:firstLine="440" w:firstLineChars="200"/>
        <w:rPr>
          <w:color w:val="auto"/>
          <w:highlight w:val="none"/>
        </w:rPr>
      </w:pPr>
      <w:r>
        <w:rPr>
          <w:rFonts w:hint="eastAsia"/>
          <w:color w:val="auto"/>
          <w:highlight w:val="none"/>
        </w:rPr>
        <w:t>1.10.1投标人须知前附表规定召开投标预备会的，招标人按投标人须知前附表规定的时间和地点召开投标预备会，澄清投标人提出的问题。</w:t>
      </w:r>
    </w:p>
    <w:p>
      <w:pPr>
        <w:spacing w:line="360" w:lineRule="auto"/>
        <w:ind w:firstLine="440" w:firstLineChars="200"/>
        <w:rPr>
          <w:color w:val="auto"/>
          <w:highlight w:val="none"/>
        </w:rPr>
      </w:pPr>
      <w:r>
        <w:rPr>
          <w:rFonts w:hint="eastAsia"/>
          <w:color w:val="auto"/>
          <w:highlight w:val="none"/>
        </w:rPr>
        <w:t>1.10.2投标人应按投标人须知前附表规定的时间和形式将提出的问题送达招标人，以便招标人在会议期间澄清。</w:t>
      </w:r>
    </w:p>
    <w:p>
      <w:pPr>
        <w:spacing w:line="360" w:lineRule="auto"/>
        <w:ind w:firstLine="440" w:firstLineChars="200"/>
        <w:rPr>
          <w:color w:val="auto"/>
          <w:highlight w:val="none"/>
        </w:rPr>
      </w:pPr>
      <w:r>
        <w:rPr>
          <w:rFonts w:hint="eastAsia"/>
          <w:color w:val="auto"/>
          <w:highlight w:val="none"/>
        </w:rPr>
        <w:t>1.10.3投标预备会后，招标人将对投标人所提问题的澄清，以投标人须知前附表规定的形式通知所有购买招标文件的投标人。该澄清内容为招标文件的组成部分。</w:t>
      </w:r>
    </w:p>
    <w:p>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1.11分包</w:t>
      </w:r>
    </w:p>
    <w:p>
      <w:pPr>
        <w:spacing w:line="360" w:lineRule="auto"/>
        <w:ind w:firstLine="440" w:firstLineChars="200"/>
        <w:rPr>
          <w:color w:val="auto"/>
          <w:highlight w:val="none"/>
        </w:rPr>
      </w:pPr>
      <w:r>
        <w:rPr>
          <w:rFonts w:hint="eastAsia"/>
          <w:color w:val="auto"/>
          <w:highlight w:val="none"/>
        </w:rPr>
        <w:t>本项目严禁分包。</w:t>
      </w:r>
    </w:p>
    <w:p>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1.12响应和偏差</w:t>
      </w:r>
    </w:p>
    <w:p>
      <w:pPr>
        <w:spacing w:line="360" w:lineRule="auto"/>
        <w:ind w:firstLine="440" w:firstLineChars="200"/>
        <w:rPr>
          <w:color w:val="auto"/>
          <w:highlight w:val="none"/>
        </w:rPr>
      </w:pPr>
      <w:r>
        <w:rPr>
          <w:rFonts w:hint="eastAsia"/>
          <w:color w:val="auto"/>
          <w:highlight w:val="none"/>
        </w:rPr>
        <w:t>1.12.1投标文件应当对招标文件的实质性要求和条件作出满足性或更有利于招标人的响应， 否则，投标人的投标将被否决。实质性要求和条件见投标人须知前附表。</w:t>
      </w:r>
    </w:p>
    <w:p>
      <w:pPr>
        <w:spacing w:line="360" w:lineRule="auto"/>
        <w:ind w:firstLine="440" w:firstLineChars="200"/>
        <w:rPr>
          <w:color w:val="auto"/>
          <w:highlight w:val="none"/>
        </w:rPr>
      </w:pPr>
      <w:r>
        <w:rPr>
          <w:rFonts w:hint="eastAsia"/>
          <w:color w:val="auto"/>
          <w:highlight w:val="none"/>
        </w:rPr>
        <w:t>1.12.2投标人应根据招标文件的要求提供投标</w:t>
      </w:r>
      <w:r>
        <w:rPr>
          <w:rFonts w:hint="eastAsia"/>
          <w:color w:val="auto"/>
          <w:highlight w:val="none"/>
          <w:lang w:val="en-US"/>
        </w:rPr>
        <w:t>技术方案</w:t>
      </w:r>
      <w:r>
        <w:rPr>
          <w:rFonts w:hint="eastAsia"/>
          <w:color w:val="auto"/>
          <w:highlight w:val="none"/>
        </w:rPr>
        <w:t>等内容以对招标文件作出响应。</w:t>
      </w:r>
    </w:p>
    <w:p>
      <w:pPr>
        <w:spacing w:line="360" w:lineRule="auto"/>
        <w:ind w:firstLine="440" w:firstLineChars="200"/>
        <w:rPr>
          <w:color w:val="auto"/>
          <w:highlight w:val="none"/>
        </w:rPr>
      </w:pPr>
      <w:r>
        <w:rPr>
          <w:rFonts w:hint="eastAsia"/>
          <w:color w:val="auto"/>
          <w:highlight w:val="none"/>
        </w:rPr>
        <w:t>1.12.3投标人须知前附表允许投标文件偏离招标文件某些要求的，偏差应当符合招标文件规定的偏差范围和幅度。</w:t>
      </w:r>
    </w:p>
    <w:p>
      <w:pPr>
        <w:spacing w:line="360" w:lineRule="auto"/>
        <w:rPr>
          <w:rFonts w:cs="Times New Roman"/>
          <w:b/>
          <w:bCs/>
          <w:color w:val="auto"/>
          <w:kern w:val="2"/>
          <w:sz w:val="28"/>
          <w:szCs w:val="28"/>
          <w:highlight w:val="none"/>
          <w:lang w:val="en-US" w:bidi="ar-SA"/>
        </w:rPr>
      </w:pPr>
      <w:bookmarkStart w:id="7" w:name="_bookmark38"/>
      <w:bookmarkEnd w:id="7"/>
      <w:r>
        <w:rPr>
          <w:rFonts w:hint="eastAsia" w:cs="Times New Roman"/>
          <w:b/>
          <w:bCs/>
          <w:color w:val="auto"/>
          <w:kern w:val="2"/>
          <w:sz w:val="28"/>
          <w:szCs w:val="28"/>
          <w:highlight w:val="none"/>
          <w:lang w:val="en-US" w:bidi="ar-SA"/>
        </w:rPr>
        <w:t>2.招标文件</w:t>
      </w:r>
    </w:p>
    <w:p>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2.1招标文件的组成</w:t>
      </w:r>
    </w:p>
    <w:p>
      <w:pPr>
        <w:spacing w:line="360" w:lineRule="auto"/>
        <w:rPr>
          <w:color w:val="auto"/>
          <w:highlight w:val="none"/>
        </w:rPr>
      </w:pPr>
      <w:r>
        <w:rPr>
          <w:rFonts w:hint="eastAsia"/>
          <w:color w:val="auto"/>
          <w:highlight w:val="none"/>
        </w:rPr>
        <w:t>本招标文件包括：</w:t>
      </w:r>
    </w:p>
    <w:p>
      <w:pPr>
        <w:spacing w:line="360" w:lineRule="auto"/>
        <w:rPr>
          <w:color w:val="auto"/>
          <w:highlight w:val="none"/>
        </w:rPr>
      </w:pPr>
      <w:r>
        <w:rPr>
          <w:rFonts w:hint="eastAsia"/>
          <w:color w:val="auto"/>
          <w:highlight w:val="none"/>
        </w:rPr>
        <w:t>（1）招标公告</w:t>
      </w:r>
      <w:r>
        <w:rPr>
          <w:rFonts w:hint="eastAsia"/>
          <w:strike/>
          <w:color w:val="auto"/>
          <w:highlight w:val="none"/>
        </w:rPr>
        <w:t>（或投标邀请书）</w:t>
      </w:r>
      <w:r>
        <w:rPr>
          <w:rFonts w:hint="eastAsia"/>
          <w:color w:val="auto"/>
          <w:highlight w:val="none"/>
        </w:rPr>
        <w:t>；</w:t>
      </w:r>
    </w:p>
    <w:p>
      <w:pPr>
        <w:spacing w:line="360" w:lineRule="auto"/>
        <w:rPr>
          <w:color w:val="auto"/>
          <w:highlight w:val="none"/>
        </w:rPr>
      </w:pPr>
      <w:r>
        <w:rPr>
          <w:rFonts w:hint="eastAsia"/>
          <w:color w:val="auto"/>
          <w:highlight w:val="none"/>
        </w:rPr>
        <w:t>（2）投标人须知；</w:t>
      </w:r>
    </w:p>
    <w:p>
      <w:pPr>
        <w:spacing w:line="360" w:lineRule="auto"/>
        <w:rPr>
          <w:color w:val="auto"/>
          <w:highlight w:val="none"/>
        </w:rPr>
      </w:pPr>
      <w:r>
        <w:rPr>
          <w:rFonts w:hint="eastAsia"/>
          <w:color w:val="auto"/>
          <w:highlight w:val="none"/>
        </w:rPr>
        <w:t>（3）评标办法；</w:t>
      </w:r>
    </w:p>
    <w:p>
      <w:pPr>
        <w:spacing w:line="360" w:lineRule="auto"/>
        <w:rPr>
          <w:color w:val="auto"/>
          <w:highlight w:val="none"/>
        </w:rPr>
      </w:pPr>
      <w:r>
        <w:rPr>
          <w:rFonts w:hint="eastAsia"/>
          <w:color w:val="auto"/>
          <w:highlight w:val="none"/>
        </w:rPr>
        <w:t>（4）合同条款及格式；</w:t>
      </w:r>
    </w:p>
    <w:p>
      <w:pPr>
        <w:spacing w:line="360" w:lineRule="auto"/>
        <w:rPr>
          <w:color w:val="auto"/>
          <w:highlight w:val="none"/>
        </w:rPr>
      </w:pPr>
      <w:r>
        <w:rPr>
          <w:rFonts w:hint="eastAsia"/>
          <w:color w:val="auto"/>
          <w:highlight w:val="none"/>
        </w:rPr>
        <w:t>（5）委托人要求；</w:t>
      </w:r>
    </w:p>
    <w:p>
      <w:pPr>
        <w:spacing w:line="360" w:lineRule="auto"/>
        <w:rPr>
          <w:color w:val="auto"/>
          <w:highlight w:val="none"/>
        </w:rPr>
      </w:pPr>
      <w:r>
        <w:rPr>
          <w:rFonts w:hint="eastAsia"/>
          <w:color w:val="auto"/>
          <w:highlight w:val="none"/>
        </w:rPr>
        <w:t>（6）投标文件格式；</w:t>
      </w:r>
    </w:p>
    <w:p>
      <w:pPr>
        <w:spacing w:line="360" w:lineRule="auto"/>
        <w:rPr>
          <w:color w:val="auto"/>
          <w:highlight w:val="none"/>
        </w:rPr>
      </w:pPr>
      <w:r>
        <w:rPr>
          <w:rFonts w:hint="eastAsia"/>
          <w:color w:val="auto"/>
          <w:highlight w:val="none"/>
        </w:rPr>
        <w:t>（7）投标人须知前附表规定的其他资料。</w:t>
      </w:r>
    </w:p>
    <w:p>
      <w:pPr>
        <w:spacing w:line="360" w:lineRule="auto"/>
        <w:rPr>
          <w:color w:val="auto"/>
          <w:highlight w:val="none"/>
        </w:rPr>
      </w:pPr>
      <w:r>
        <w:rPr>
          <w:rFonts w:hint="eastAsia"/>
          <w:color w:val="auto"/>
          <w:highlight w:val="none"/>
        </w:rPr>
        <w:t>根据本章第 1.10 款、第 2.2 款和第 2.3 款对招标文件所作的澄清、修改，构成招标文件的组成部分。</w:t>
      </w:r>
    </w:p>
    <w:p>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2.2招标文件的澄清</w:t>
      </w:r>
    </w:p>
    <w:p>
      <w:pPr>
        <w:spacing w:line="360" w:lineRule="auto"/>
        <w:ind w:firstLine="440" w:firstLineChars="200"/>
        <w:rPr>
          <w:color w:val="auto"/>
          <w:highlight w:val="none"/>
        </w:rPr>
      </w:pPr>
      <w:r>
        <w:rPr>
          <w:rFonts w:hint="eastAsia"/>
          <w:color w:val="auto"/>
          <w:highlight w:val="none"/>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ind w:firstLine="440" w:firstLineChars="200"/>
        <w:rPr>
          <w:color w:val="auto"/>
          <w:highlight w:val="none"/>
        </w:rPr>
      </w:pPr>
      <w:r>
        <w:rPr>
          <w:rFonts w:hint="eastAsia"/>
          <w:color w:val="auto"/>
          <w:highlight w:val="none"/>
        </w:rPr>
        <w:t>2.2.2招标文件的澄清以投标人须知前附表规定的形式发给所有购买招标文件的投标人，但不指明澄清问题的来源。澄清发出的时间距本章第 4.2.1 项规定的投标截止时间不足 15 日的，并且澄清内容可能影响投标文件编制的，将相应延长投标截止时间。</w:t>
      </w:r>
    </w:p>
    <w:p>
      <w:pPr>
        <w:spacing w:line="360" w:lineRule="auto"/>
        <w:ind w:firstLine="440" w:firstLineChars="200"/>
        <w:rPr>
          <w:color w:val="auto"/>
          <w:highlight w:val="none"/>
        </w:rPr>
      </w:pPr>
      <w:r>
        <w:rPr>
          <w:rFonts w:hint="eastAsia"/>
          <w:color w:val="auto"/>
          <w:highlight w:val="none"/>
        </w:rPr>
        <w:t>2.2.3投标人在收到澄清后，应按投标人须知前附表规定的时间和形式通知招标人，确认已收到该澄清。</w:t>
      </w:r>
    </w:p>
    <w:p>
      <w:pPr>
        <w:spacing w:line="360" w:lineRule="auto"/>
        <w:ind w:firstLine="440" w:firstLineChars="200"/>
        <w:rPr>
          <w:color w:val="auto"/>
          <w:highlight w:val="none"/>
        </w:rPr>
      </w:pPr>
      <w:r>
        <w:rPr>
          <w:rFonts w:hint="eastAsia"/>
          <w:color w:val="auto"/>
          <w:highlight w:val="none"/>
        </w:rPr>
        <w:t>2.2.4除非招标人认为确有必要答复，否则，招标人有权拒绝回复投标人在本章第 2.2.1 项规定的时间后的任何澄清要求。</w:t>
      </w:r>
    </w:p>
    <w:p>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2.3招标文件的修改</w:t>
      </w:r>
    </w:p>
    <w:p>
      <w:pPr>
        <w:spacing w:line="360" w:lineRule="auto"/>
        <w:ind w:firstLine="440" w:firstLineChars="200"/>
        <w:rPr>
          <w:color w:val="auto"/>
          <w:highlight w:val="none"/>
        </w:rPr>
      </w:pPr>
      <w:r>
        <w:rPr>
          <w:rFonts w:hint="eastAsia"/>
          <w:color w:val="auto"/>
          <w:highlight w:val="none"/>
        </w:rPr>
        <w:t>2.3.1招标人以投标人须知前附表规定的形式修改招标文件，并通知所有已购买招标文件的投标人。修改招标文件的时间距本章第 4.2.1 项规定的投标截止时间不足 15 日的，并且修改内容可能影响投标文件编制的，将相应延长投标截止时间。</w:t>
      </w:r>
    </w:p>
    <w:p>
      <w:pPr>
        <w:spacing w:line="360" w:lineRule="auto"/>
        <w:ind w:firstLine="440" w:firstLineChars="200"/>
        <w:rPr>
          <w:color w:val="auto"/>
          <w:highlight w:val="none"/>
        </w:rPr>
      </w:pPr>
      <w:r>
        <w:rPr>
          <w:rFonts w:hint="eastAsia"/>
          <w:color w:val="auto"/>
          <w:highlight w:val="none"/>
        </w:rPr>
        <w:t>2.3.2投标人收到修改内容后，应按投标人须知前附表规定的时间和形式通知招标人，确认已收到该修改。</w:t>
      </w:r>
    </w:p>
    <w:p>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2.4招标文件的异议</w:t>
      </w:r>
    </w:p>
    <w:p>
      <w:pPr>
        <w:spacing w:line="360" w:lineRule="auto"/>
        <w:ind w:firstLine="440" w:firstLineChars="200"/>
        <w:rPr>
          <w:color w:val="auto"/>
          <w:highlight w:val="none"/>
        </w:rPr>
      </w:pPr>
      <w:r>
        <w:rPr>
          <w:rFonts w:hint="eastAsia"/>
          <w:color w:val="auto"/>
          <w:highlight w:val="none"/>
        </w:rPr>
        <w:t>投标人或者其他利害关系人对招标文件有异议的，应当在投标截止时间 10 日前以书面形式提出。招标人将在收到异议之日起 3 日内作出答复；作出答复前，将暂停招标投标活动。</w:t>
      </w:r>
    </w:p>
    <w:p>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3.投标文件</w:t>
      </w:r>
    </w:p>
    <w:p>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3.1投标文件的组成</w:t>
      </w:r>
    </w:p>
    <w:p>
      <w:pPr>
        <w:spacing w:line="360" w:lineRule="auto"/>
        <w:ind w:firstLine="440" w:firstLineChars="200"/>
        <w:rPr>
          <w:color w:val="auto"/>
          <w:highlight w:val="none"/>
        </w:rPr>
      </w:pPr>
      <w:r>
        <w:rPr>
          <w:rFonts w:hint="eastAsia"/>
          <w:color w:val="auto"/>
          <w:highlight w:val="none"/>
        </w:rPr>
        <w:t>3.1.1投标文件应包括下列内容：</w:t>
      </w:r>
    </w:p>
    <w:p>
      <w:pPr>
        <w:spacing w:line="360" w:lineRule="auto"/>
        <w:ind w:firstLine="440" w:firstLineChars="200"/>
        <w:rPr>
          <w:color w:val="auto"/>
          <w:highlight w:val="none"/>
        </w:rPr>
      </w:pPr>
      <w:r>
        <w:rPr>
          <w:rFonts w:hint="eastAsia"/>
          <w:color w:val="auto"/>
          <w:highlight w:val="none"/>
        </w:rPr>
        <w:t>（1）投标函及投标函附录；</w:t>
      </w:r>
    </w:p>
    <w:p>
      <w:pPr>
        <w:spacing w:line="360" w:lineRule="auto"/>
        <w:ind w:firstLine="440" w:firstLineChars="200"/>
        <w:rPr>
          <w:color w:val="auto"/>
          <w:highlight w:val="none"/>
        </w:rPr>
      </w:pPr>
      <w:r>
        <w:rPr>
          <w:rFonts w:hint="eastAsia"/>
          <w:color w:val="auto"/>
          <w:highlight w:val="none"/>
        </w:rPr>
        <w:t>（2）法定代表人身份证明或授权委托书；</w:t>
      </w:r>
    </w:p>
    <w:p>
      <w:pPr>
        <w:spacing w:line="360" w:lineRule="auto"/>
        <w:ind w:firstLine="440" w:firstLineChars="200"/>
        <w:rPr>
          <w:color w:val="auto"/>
          <w:highlight w:val="none"/>
        </w:rPr>
      </w:pPr>
      <w:r>
        <w:rPr>
          <w:rFonts w:hint="eastAsia"/>
          <w:color w:val="auto"/>
          <w:highlight w:val="none"/>
        </w:rPr>
        <w:t>（</w:t>
      </w:r>
      <w:r>
        <w:rPr>
          <w:rFonts w:hint="eastAsia"/>
          <w:color w:val="auto"/>
          <w:highlight w:val="none"/>
          <w:lang w:val="en-US"/>
        </w:rPr>
        <w:t>3</w:t>
      </w:r>
      <w:r>
        <w:rPr>
          <w:rFonts w:hint="eastAsia"/>
          <w:color w:val="auto"/>
          <w:highlight w:val="none"/>
        </w:rPr>
        <w:t>）投标保证金；</w:t>
      </w:r>
    </w:p>
    <w:p>
      <w:pPr>
        <w:spacing w:line="360" w:lineRule="auto"/>
        <w:ind w:firstLine="440" w:firstLineChars="200"/>
        <w:rPr>
          <w:color w:val="auto"/>
          <w:highlight w:val="none"/>
        </w:rPr>
      </w:pPr>
      <w:r>
        <w:rPr>
          <w:rFonts w:hint="eastAsia"/>
          <w:color w:val="auto"/>
          <w:highlight w:val="none"/>
        </w:rPr>
        <w:t>（</w:t>
      </w:r>
      <w:r>
        <w:rPr>
          <w:rFonts w:hint="eastAsia"/>
          <w:color w:val="auto"/>
          <w:highlight w:val="none"/>
          <w:lang w:val="en-US"/>
        </w:rPr>
        <w:t>4</w:t>
      </w:r>
      <w:r>
        <w:rPr>
          <w:rFonts w:hint="eastAsia"/>
          <w:color w:val="auto"/>
          <w:highlight w:val="none"/>
        </w:rPr>
        <w:t>）报酬清单；</w:t>
      </w:r>
    </w:p>
    <w:p>
      <w:pPr>
        <w:spacing w:line="360" w:lineRule="auto"/>
        <w:ind w:firstLine="440" w:firstLineChars="200"/>
        <w:rPr>
          <w:color w:val="auto"/>
          <w:highlight w:val="none"/>
        </w:rPr>
      </w:pPr>
      <w:r>
        <w:rPr>
          <w:rFonts w:hint="eastAsia"/>
          <w:color w:val="auto"/>
          <w:highlight w:val="none"/>
        </w:rPr>
        <w:t>（</w:t>
      </w:r>
      <w:r>
        <w:rPr>
          <w:rFonts w:hint="eastAsia"/>
          <w:color w:val="auto"/>
          <w:highlight w:val="none"/>
          <w:lang w:val="en-US"/>
        </w:rPr>
        <w:t>5</w:t>
      </w:r>
      <w:r>
        <w:rPr>
          <w:rFonts w:hint="eastAsia"/>
          <w:color w:val="auto"/>
          <w:highlight w:val="none"/>
        </w:rPr>
        <w:t>）资格审查资料；</w:t>
      </w:r>
    </w:p>
    <w:p>
      <w:pPr>
        <w:spacing w:line="360" w:lineRule="auto"/>
        <w:ind w:firstLine="440" w:firstLineChars="200"/>
        <w:rPr>
          <w:color w:val="auto"/>
          <w:highlight w:val="none"/>
        </w:rPr>
      </w:pPr>
      <w:r>
        <w:rPr>
          <w:rFonts w:hint="eastAsia"/>
          <w:color w:val="auto"/>
          <w:highlight w:val="none"/>
        </w:rPr>
        <w:t>（</w:t>
      </w:r>
      <w:r>
        <w:rPr>
          <w:rFonts w:hint="eastAsia"/>
          <w:color w:val="auto"/>
          <w:highlight w:val="none"/>
          <w:lang w:val="en-US"/>
        </w:rPr>
        <w:t>6</w:t>
      </w:r>
      <w:r>
        <w:rPr>
          <w:rFonts w:hint="eastAsia"/>
          <w:color w:val="auto"/>
          <w:highlight w:val="none"/>
        </w:rPr>
        <w:t>）</w:t>
      </w:r>
      <w:r>
        <w:rPr>
          <w:rFonts w:hint="eastAsia"/>
          <w:color w:val="auto"/>
          <w:highlight w:val="none"/>
          <w:lang w:val="en-US"/>
        </w:rPr>
        <w:t>鉴定服务技术方案</w:t>
      </w:r>
      <w:r>
        <w:rPr>
          <w:rFonts w:hint="eastAsia"/>
          <w:color w:val="auto"/>
          <w:highlight w:val="none"/>
        </w:rPr>
        <w:t>；</w:t>
      </w:r>
    </w:p>
    <w:p>
      <w:pPr>
        <w:spacing w:line="360" w:lineRule="auto"/>
        <w:ind w:firstLine="440" w:firstLineChars="200"/>
        <w:rPr>
          <w:color w:val="auto"/>
          <w:highlight w:val="none"/>
        </w:rPr>
      </w:pPr>
      <w:r>
        <w:rPr>
          <w:rFonts w:hint="eastAsia"/>
          <w:color w:val="auto"/>
          <w:highlight w:val="none"/>
        </w:rPr>
        <w:t>（</w:t>
      </w:r>
      <w:r>
        <w:rPr>
          <w:rFonts w:hint="eastAsia"/>
          <w:color w:val="auto"/>
          <w:highlight w:val="none"/>
          <w:lang w:val="en-US"/>
        </w:rPr>
        <w:t>7</w:t>
      </w:r>
      <w:r>
        <w:rPr>
          <w:rFonts w:hint="eastAsia"/>
          <w:color w:val="auto"/>
          <w:highlight w:val="none"/>
        </w:rPr>
        <w:t>）投标人须知前附表规定的其他资料。</w:t>
      </w:r>
    </w:p>
    <w:p>
      <w:pPr>
        <w:spacing w:line="360" w:lineRule="auto"/>
        <w:ind w:firstLine="440" w:firstLineChars="200"/>
        <w:rPr>
          <w:color w:val="auto"/>
          <w:highlight w:val="none"/>
        </w:rPr>
      </w:pPr>
      <w:r>
        <w:rPr>
          <w:rFonts w:hint="eastAsia"/>
          <w:color w:val="auto"/>
          <w:highlight w:val="none"/>
        </w:rPr>
        <w:t>投标人在评标过程中作出的符合法律法规和招标文件规定的澄清确认，构成投标文件的组成部分。</w:t>
      </w:r>
    </w:p>
    <w:p>
      <w:pPr>
        <w:spacing w:line="360" w:lineRule="auto"/>
        <w:ind w:firstLine="440" w:firstLineChars="200"/>
        <w:rPr>
          <w:color w:val="auto"/>
          <w:highlight w:val="none"/>
        </w:rPr>
      </w:pPr>
      <w:r>
        <w:rPr>
          <w:rFonts w:hint="eastAsia"/>
          <w:color w:val="auto"/>
          <w:highlight w:val="none"/>
          <w:lang w:val="en-US"/>
        </w:rPr>
        <w:t>3.1.2</w:t>
      </w:r>
      <w:r>
        <w:rPr>
          <w:rFonts w:hint="eastAsia"/>
          <w:color w:val="auto"/>
          <w:highlight w:val="none"/>
        </w:rPr>
        <w:t>投标人须知前附表规定不接受联合体投标的，或投标人没有组成联合体的，投标文件不包括本章第 3.1.1（3）目所指的联合体协议书。</w:t>
      </w:r>
    </w:p>
    <w:p>
      <w:pPr>
        <w:spacing w:line="360" w:lineRule="auto"/>
        <w:ind w:firstLine="440" w:firstLineChars="200"/>
        <w:rPr>
          <w:color w:val="auto"/>
          <w:highlight w:val="none"/>
        </w:rPr>
      </w:pPr>
      <w:r>
        <w:rPr>
          <w:rFonts w:hint="eastAsia"/>
          <w:color w:val="auto"/>
          <w:highlight w:val="none"/>
        </w:rPr>
        <w:t>3.1.</w:t>
      </w:r>
      <w:r>
        <w:rPr>
          <w:rFonts w:hint="eastAsia"/>
          <w:color w:val="auto"/>
          <w:highlight w:val="none"/>
          <w:lang w:val="en-US"/>
        </w:rPr>
        <w:t>3</w:t>
      </w:r>
      <w:r>
        <w:rPr>
          <w:rFonts w:hint="eastAsia"/>
          <w:color w:val="auto"/>
          <w:highlight w:val="none"/>
        </w:rPr>
        <w:t>投标人须知前附表未要求提交投标保证金的，投标文件不包括本章第 3.1.1（4）目所指的投标保证金。</w:t>
      </w:r>
    </w:p>
    <w:p>
      <w:pPr>
        <w:spacing w:line="360" w:lineRule="auto"/>
        <w:rPr>
          <w:color w:val="auto"/>
          <w:highlight w:val="none"/>
        </w:rPr>
      </w:pPr>
      <w:r>
        <w:rPr>
          <w:rFonts w:hint="eastAsia" w:cs="Times New Roman"/>
          <w:b/>
          <w:bCs/>
          <w:color w:val="auto"/>
          <w:kern w:val="2"/>
          <w:sz w:val="28"/>
          <w:szCs w:val="28"/>
          <w:highlight w:val="none"/>
          <w:lang w:val="en-US" w:bidi="ar-SA"/>
        </w:rPr>
        <w:t>3.2投标报价</w:t>
      </w:r>
    </w:p>
    <w:p>
      <w:pPr>
        <w:spacing w:line="360" w:lineRule="auto"/>
        <w:ind w:firstLine="440" w:firstLineChars="200"/>
        <w:rPr>
          <w:color w:val="auto"/>
          <w:highlight w:val="none"/>
        </w:rPr>
      </w:pPr>
      <w:r>
        <w:rPr>
          <w:rFonts w:hint="eastAsia"/>
          <w:color w:val="auto"/>
          <w:highlight w:val="none"/>
        </w:rPr>
        <w:t>3.2.1投标报价应包括国家规定的增值税税金，除投标人须知前附表另有规定外，增值税税金按一般计税方法计算。投标人应按第六章“投标文件格式”的要求在投标函中进行报价并填写报酬清单。</w:t>
      </w:r>
    </w:p>
    <w:p>
      <w:pPr>
        <w:spacing w:line="360" w:lineRule="auto"/>
        <w:ind w:firstLine="440" w:firstLineChars="200"/>
        <w:rPr>
          <w:color w:val="auto"/>
          <w:highlight w:val="none"/>
        </w:rPr>
      </w:pPr>
      <w:r>
        <w:rPr>
          <w:rFonts w:hint="eastAsia"/>
          <w:color w:val="auto"/>
          <w:highlight w:val="none"/>
        </w:rPr>
        <w:t>3.2.2投标人应充分了解该项目的总体情况以及影响投标报价的其他要素。</w:t>
      </w:r>
    </w:p>
    <w:p>
      <w:pPr>
        <w:spacing w:line="360" w:lineRule="auto"/>
        <w:ind w:firstLine="440" w:firstLineChars="200"/>
        <w:rPr>
          <w:color w:val="auto"/>
          <w:highlight w:val="none"/>
        </w:rPr>
      </w:pPr>
      <w:r>
        <w:rPr>
          <w:rFonts w:hint="eastAsia"/>
          <w:color w:val="auto"/>
          <w:highlight w:val="none"/>
        </w:rPr>
        <w:t>3.2.3本项目的报价方式见投标人须知前附表。投标人在投标截止时间前修改投标函中的投标报价总额，应同时修改投标文件“报酬清单”中的相应报价。此修改须符合本章第 4.3 款的有关要求。</w:t>
      </w:r>
    </w:p>
    <w:p>
      <w:pPr>
        <w:spacing w:line="360" w:lineRule="auto"/>
        <w:ind w:firstLine="440" w:firstLineChars="200"/>
        <w:rPr>
          <w:color w:val="auto"/>
          <w:highlight w:val="none"/>
        </w:rPr>
      </w:pPr>
      <w:r>
        <w:rPr>
          <w:rFonts w:hint="eastAsia"/>
          <w:color w:val="auto"/>
          <w:highlight w:val="none"/>
        </w:rPr>
        <w:t>3.2.4招标人设有最高投标限价的，投标人的投标报价不得超过最高投标限价，最高投标限价在投标人须知前附表中载明。</w:t>
      </w:r>
    </w:p>
    <w:p>
      <w:pPr>
        <w:spacing w:line="360" w:lineRule="auto"/>
        <w:ind w:firstLine="440" w:firstLineChars="200"/>
        <w:rPr>
          <w:color w:val="auto"/>
          <w:highlight w:val="none"/>
        </w:rPr>
      </w:pPr>
      <w:r>
        <w:rPr>
          <w:rFonts w:hint="eastAsia"/>
          <w:color w:val="auto"/>
          <w:highlight w:val="none"/>
        </w:rPr>
        <w:t>3.2.5投标报价的其他要求见投标人须知前附表。</w:t>
      </w:r>
    </w:p>
    <w:p>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3.3投标有效期</w:t>
      </w:r>
    </w:p>
    <w:p>
      <w:pPr>
        <w:spacing w:line="360" w:lineRule="auto"/>
        <w:ind w:firstLine="440" w:firstLineChars="200"/>
        <w:rPr>
          <w:color w:val="auto"/>
          <w:highlight w:val="none"/>
        </w:rPr>
      </w:pPr>
      <w:r>
        <w:rPr>
          <w:rFonts w:hint="eastAsia"/>
          <w:color w:val="auto"/>
          <w:highlight w:val="none"/>
        </w:rPr>
        <w:t>3.3.1除投标人须知前附表另有规定外，投标有效期为 90 天。</w:t>
      </w:r>
    </w:p>
    <w:p>
      <w:pPr>
        <w:spacing w:line="360" w:lineRule="auto"/>
        <w:ind w:firstLine="440" w:firstLineChars="200"/>
        <w:rPr>
          <w:color w:val="auto"/>
          <w:highlight w:val="none"/>
        </w:rPr>
      </w:pPr>
      <w:r>
        <w:rPr>
          <w:rFonts w:hint="eastAsia"/>
          <w:color w:val="auto"/>
          <w:highlight w:val="none"/>
        </w:rPr>
        <w:t>3.3.2在投标有效期内，投标人撤销投标文件的，应承担招标文件和法律规定的责任。</w:t>
      </w:r>
    </w:p>
    <w:p>
      <w:pPr>
        <w:spacing w:line="360" w:lineRule="auto"/>
        <w:ind w:firstLine="440" w:firstLineChars="200"/>
        <w:rPr>
          <w:color w:val="auto"/>
          <w:highlight w:val="none"/>
        </w:rPr>
      </w:pPr>
      <w:r>
        <w:rPr>
          <w:rFonts w:hint="eastAsia"/>
          <w:color w:val="auto"/>
          <w:highlight w:val="none"/>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3.4投标保证金</w:t>
      </w:r>
    </w:p>
    <w:p>
      <w:pPr>
        <w:spacing w:line="360" w:lineRule="auto"/>
        <w:ind w:firstLine="440" w:firstLineChars="200"/>
        <w:rPr>
          <w:color w:val="auto"/>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1155700</wp:posOffset>
                </wp:positionV>
                <wp:extent cx="389255" cy="17145"/>
                <wp:effectExtent l="0" t="4445" r="10795" b="6985"/>
                <wp:wrapNone/>
                <wp:docPr id="5" name="直接连接符 5"/>
                <wp:cNvGraphicFramePr/>
                <a:graphic xmlns:a="http://schemas.openxmlformats.org/drawingml/2006/main">
                  <a:graphicData uri="http://schemas.microsoft.com/office/word/2010/wordprocessingShape">
                    <wps:wsp>
                      <wps:cNvCnPr/>
                      <wps:spPr>
                        <a:xfrm flipV="1">
                          <a:off x="962660" y="9396095"/>
                          <a:ext cx="389255" cy="171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2pt;margin-top:91pt;height:1.35pt;width:30.65pt;z-index:251660288;mso-width-relative:page;mso-height-relative:page;" filled="f" stroked="t" coordsize="21600,21600" o:gfxdata="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KdTiTXAAAACQEAAA8AAAAAAAAAAQAgAAAAIgAAAGRycy9kb3ducmV2LnhtbFBLAQIUABQAAAAI&#10;AIdO4kDiymWG7gEAALIDAAAOAAAAAAAAAAEAIAAAACYBAABkcnMvZTJvRG9jLnhtbFBLBQYAAAAA&#10;BgAGAFkBAACGBQAAAAA=&#10;">
                <v:fill on="f" focussize="0,0"/>
                <v:stroke color="#000000 [3213]" joinstyle="round"/>
                <v:imagedata o:title=""/>
                <o:lock v:ext="edit" aspectratio="f"/>
              </v:line>
            </w:pict>
          </mc:Fallback>
        </mc:AlternateContent>
      </w: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967740</wp:posOffset>
                </wp:positionH>
                <wp:positionV relativeFrom="paragraph">
                  <wp:posOffset>887095</wp:posOffset>
                </wp:positionV>
                <wp:extent cx="5039360" cy="8890"/>
                <wp:effectExtent l="0" t="0" r="0" b="0"/>
                <wp:wrapNone/>
                <wp:docPr id="3" name="直接连接符 3"/>
                <wp:cNvGraphicFramePr/>
                <a:graphic xmlns:a="http://schemas.openxmlformats.org/drawingml/2006/main">
                  <a:graphicData uri="http://schemas.microsoft.com/office/word/2010/wordprocessingShape">
                    <wps:wsp>
                      <wps:cNvCnPr/>
                      <wps:spPr>
                        <a:xfrm>
                          <a:off x="1958340" y="9127490"/>
                          <a:ext cx="5039360" cy="88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6.2pt;margin-top:69.85pt;height:0.7pt;width:396.8pt;z-index:251659264;mso-width-relative:page;mso-height-relative:page;" filled="f" stroked="t" coordsize="21600,21600" o:gfxdata="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v8WAt&#10;2AAAAAsBAAAPAAAAAAAAAAEAIAAAACIAAABkcnMvZG93bnJldi54bWxQSwECFAAUAAAACACHTuJA&#10;7SKnpugBAACpAwAADgAAAAAAAAABACAAAAAnAQAAZHJzL2Uyb0RvYy54bWxQSwUGAAAAAAYABgBZ&#10;AQAAgQUAAAAA&#10;">
                <v:fill on="f" focussize="0,0"/>
                <v:stroke color="#000000 [3213]" joinstyle="round"/>
                <v:imagedata o:title=""/>
                <o:lock v:ext="edit" aspectratio="f"/>
              </v:line>
            </w:pict>
          </mc:Fallback>
        </mc:AlternateContent>
      </w:r>
      <w:r>
        <w:rPr>
          <w:rFonts w:hint="eastAsia"/>
          <w:color w:val="auto"/>
          <w:highlight w:val="none"/>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spacing w:line="360" w:lineRule="auto"/>
        <w:ind w:firstLine="440" w:firstLineChars="200"/>
        <w:rPr>
          <w:color w:val="auto"/>
          <w:highlight w:val="none"/>
        </w:rPr>
      </w:pPr>
      <w:r>
        <w:rPr>
          <w:rFonts w:hint="eastAsia"/>
          <w:color w:val="auto"/>
          <w:highlight w:val="none"/>
        </w:rPr>
        <w:t>3.4.2投标人不按本章第 3.4.1 项要求提交投标保证金的，评标委员会将否决其投标。</w:t>
      </w:r>
    </w:p>
    <w:p>
      <w:pPr>
        <w:spacing w:line="360" w:lineRule="auto"/>
        <w:ind w:firstLine="440" w:firstLineChars="200"/>
        <w:rPr>
          <w:color w:val="auto"/>
          <w:highlight w:val="none"/>
        </w:rPr>
      </w:pPr>
      <w:r>
        <w:rPr>
          <w:rFonts w:hint="eastAsia"/>
          <w:color w:val="auto"/>
          <w:highlight w:val="none"/>
        </w:rPr>
        <w:t>3.4.3</w:t>
      </w:r>
      <w:r>
        <w:rPr>
          <w:rFonts w:hint="eastAsia"/>
          <w:color w:val="auto"/>
          <w:highlight w:val="none"/>
          <w:u w:val="single"/>
        </w:rPr>
        <w:t>投标保证金在中标人签订合同后的5个工作日内，由招标代理机构通知广州公共资源交易中心退还投标保证金。</w:t>
      </w:r>
    </w:p>
    <w:p>
      <w:pPr>
        <w:spacing w:line="360" w:lineRule="auto"/>
        <w:ind w:firstLine="440" w:firstLineChars="200"/>
        <w:rPr>
          <w:color w:val="auto"/>
          <w:highlight w:val="none"/>
        </w:rPr>
      </w:pPr>
      <w:r>
        <w:rPr>
          <w:rFonts w:hint="eastAsia"/>
          <w:color w:val="auto"/>
          <w:highlight w:val="none"/>
        </w:rPr>
        <w:t>3.4.4有下列情形之一的，投标保证金将不予退还：</w:t>
      </w:r>
    </w:p>
    <w:p>
      <w:pPr>
        <w:spacing w:line="360" w:lineRule="auto"/>
        <w:ind w:firstLine="440" w:firstLineChars="200"/>
        <w:rPr>
          <w:color w:val="auto"/>
          <w:highlight w:val="none"/>
        </w:rPr>
      </w:pPr>
      <w:r>
        <w:rPr>
          <w:rFonts w:hint="eastAsia"/>
          <w:color w:val="auto"/>
          <w:highlight w:val="none"/>
        </w:rPr>
        <w:t>（1）投标人在投标有效期内撤销投标文件；</w:t>
      </w:r>
    </w:p>
    <w:p>
      <w:pPr>
        <w:spacing w:line="360" w:lineRule="auto"/>
        <w:ind w:firstLine="440" w:firstLineChars="200"/>
        <w:rPr>
          <w:color w:val="auto"/>
          <w:highlight w:val="none"/>
        </w:rPr>
      </w:pPr>
      <w:r>
        <w:rPr>
          <w:rFonts w:hint="eastAsia"/>
          <w:color w:val="auto"/>
          <w:highlight w:val="none"/>
        </w:rPr>
        <w:t>（2）中标人在收到中标通知书后，无正当理由不与招标人</w:t>
      </w:r>
      <w:r>
        <w:rPr>
          <w:rFonts w:hint="eastAsia"/>
          <w:color w:val="auto"/>
          <w:highlight w:val="none"/>
          <w:u w:val="single"/>
        </w:rPr>
        <w:t>、建设管理单位</w:t>
      </w:r>
      <w:r>
        <w:rPr>
          <w:rFonts w:hint="eastAsia"/>
          <w:color w:val="auto"/>
          <w:highlight w:val="none"/>
        </w:rPr>
        <w:t>订立合同，在签订合同时向招标人</w:t>
      </w:r>
      <w:r>
        <w:rPr>
          <w:rFonts w:hint="eastAsia"/>
          <w:color w:val="auto"/>
          <w:highlight w:val="none"/>
          <w:u w:val="single"/>
        </w:rPr>
        <w:t>或建设管理单位</w:t>
      </w:r>
      <w:r>
        <w:rPr>
          <w:rFonts w:hint="eastAsia"/>
          <w:color w:val="auto"/>
          <w:highlight w:val="none"/>
        </w:rPr>
        <w:t>提出附加条件，或者不按照招标文件要求提交履约保证金；</w:t>
      </w:r>
    </w:p>
    <w:p>
      <w:pPr>
        <w:spacing w:line="360" w:lineRule="auto"/>
        <w:ind w:firstLine="440" w:firstLineChars="200"/>
        <w:rPr>
          <w:color w:val="auto"/>
          <w:highlight w:val="none"/>
        </w:rPr>
      </w:pPr>
      <w:r>
        <w:rPr>
          <w:rFonts w:hint="eastAsia"/>
          <w:color w:val="auto"/>
          <w:highlight w:val="none"/>
        </w:rPr>
        <w:t>（3）发生投标人须知前附表规定的其他可以不予退还投标保证金的情形。</w:t>
      </w:r>
    </w:p>
    <w:p>
      <w:pPr>
        <w:spacing w:line="360" w:lineRule="auto"/>
        <w:rPr>
          <w:rFonts w:cs="Times New Roman"/>
          <w:b/>
          <w:bCs/>
          <w:strike/>
          <w:color w:val="auto"/>
          <w:kern w:val="2"/>
          <w:sz w:val="28"/>
          <w:szCs w:val="28"/>
          <w:highlight w:val="none"/>
          <w:lang w:val="en-US" w:bidi="ar-SA"/>
        </w:rPr>
      </w:pPr>
      <w:r>
        <w:rPr>
          <w:rFonts w:hint="eastAsia" w:cs="Times New Roman"/>
          <w:b/>
          <w:bCs/>
          <w:strike/>
          <w:color w:val="auto"/>
          <w:kern w:val="2"/>
          <w:sz w:val="28"/>
          <w:szCs w:val="28"/>
          <w:highlight w:val="none"/>
          <w:lang w:val="en-US" w:bidi="ar-SA"/>
        </w:rPr>
        <w:t>3.5资格审查资料（适用于已进行资格预审的）</w:t>
      </w:r>
    </w:p>
    <w:p>
      <w:pPr>
        <w:spacing w:line="360" w:lineRule="auto"/>
        <w:ind w:firstLine="440" w:firstLineChars="200"/>
        <w:rPr>
          <w:color w:val="auto"/>
          <w:highlight w:val="none"/>
        </w:rPr>
      </w:pPr>
      <w:r>
        <w:rPr>
          <w:rFonts w:hint="eastAsia"/>
          <w:strike/>
          <w:color w:val="auto"/>
          <w:highlight w:val="none"/>
        </w:rPr>
        <w:t>投标人在递交投标文件前，发生可能影响其投标资格的新情况的，应更新或补充其在申请资格预审时提供的资料，以证实其各项资格条件仍能继续满足资格预审文件的要求，且没有实质性降低。</w:t>
      </w:r>
    </w:p>
    <w:p>
      <w:pPr>
        <w:spacing w:line="360" w:lineRule="auto"/>
        <w:rPr>
          <w:color w:val="auto"/>
          <w:highlight w:val="none"/>
        </w:rPr>
      </w:pPr>
      <w:r>
        <w:rPr>
          <w:rFonts w:hint="eastAsia" w:cs="Times New Roman"/>
          <w:b/>
          <w:bCs/>
          <w:color w:val="auto"/>
          <w:kern w:val="2"/>
          <w:sz w:val="28"/>
          <w:szCs w:val="28"/>
          <w:highlight w:val="none"/>
          <w:lang w:val="en-US" w:bidi="ar-SA"/>
        </w:rPr>
        <w:t>3.5资格审查资料（适用于未进行资格预审的）</w:t>
      </w:r>
    </w:p>
    <w:p>
      <w:pPr>
        <w:spacing w:line="360" w:lineRule="auto"/>
        <w:ind w:firstLine="440" w:firstLineChars="200"/>
        <w:rPr>
          <w:color w:val="auto"/>
          <w:highlight w:val="none"/>
        </w:rPr>
      </w:pPr>
      <w:r>
        <w:rPr>
          <w:rFonts w:hint="eastAsia"/>
          <w:color w:val="auto"/>
          <w:highlight w:val="none"/>
        </w:rPr>
        <w:t>除投标人须知前附表另有规定外，投标人应按下列规定提供资格审查资料，以证明其满足本章第 1.4 款规定的资质、财务、业绩、信誉等要求。</w:t>
      </w:r>
    </w:p>
    <w:p>
      <w:pPr>
        <w:spacing w:line="360" w:lineRule="auto"/>
        <w:ind w:firstLine="440" w:firstLineChars="200"/>
        <w:rPr>
          <w:color w:val="auto"/>
          <w:highlight w:val="none"/>
        </w:rPr>
      </w:pPr>
      <w:r>
        <w:rPr>
          <w:rFonts w:hint="eastAsia"/>
          <w:color w:val="auto"/>
          <w:highlight w:val="none"/>
        </w:rPr>
        <w:t>3.5.1“投标人基本情况表”应附投标人营业执照和组织机构代码证的复印件（按照“三证合一” 或“五证合一”登记制度进行登记的，可仅提供营业执照复印件）、投标人资质证书副本等材料的复印件。</w:t>
      </w:r>
    </w:p>
    <w:p>
      <w:pPr>
        <w:spacing w:line="360" w:lineRule="auto"/>
        <w:ind w:firstLine="440" w:firstLineChars="200"/>
        <w:rPr>
          <w:strike/>
          <w:color w:val="auto"/>
          <w:highlight w:val="none"/>
        </w:rPr>
      </w:pPr>
      <w:r>
        <w:rPr>
          <w:rFonts w:hint="eastAsia"/>
          <w:strike/>
          <w:color w:val="auto"/>
          <w:highlight w:val="none"/>
        </w:rPr>
        <w:t>3.5.2“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spacing w:line="360" w:lineRule="auto"/>
        <w:ind w:firstLine="440" w:firstLineChars="200"/>
        <w:rPr>
          <w:strike/>
          <w:color w:val="auto"/>
          <w:highlight w:val="none"/>
        </w:rPr>
      </w:pPr>
      <w:r>
        <w:rPr>
          <w:rFonts w:hint="eastAsia"/>
          <w:strike/>
          <w:color w:val="auto"/>
          <w:highlight w:val="none"/>
        </w:rPr>
        <w:t>3.5.3“近年完成的类似监理项目情况表”应附中标通知书和（或）合同协议书、委托人出具的证明文件；具体时间要求见投标人须知前附表，每张表格只填写一个项目，并标明序号。</w:t>
      </w:r>
    </w:p>
    <w:p>
      <w:pPr>
        <w:spacing w:line="360" w:lineRule="auto"/>
        <w:ind w:firstLine="440" w:firstLineChars="200"/>
        <w:rPr>
          <w:strike/>
          <w:color w:val="auto"/>
          <w:highlight w:val="none"/>
        </w:rPr>
      </w:pPr>
      <w:r>
        <w:rPr>
          <w:rFonts w:hint="eastAsia"/>
          <w:strike/>
          <w:color w:val="auto"/>
          <w:highlight w:val="none"/>
        </w:rPr>
        <w:t>3.5.4“正在监理和新承接的项目情况表”应附中标通知书和（或）合同协议书复印件。每张表格只填写一个项目，并标明序号。</w:t>
      </w:r>
    </w:p>
    <w:p>
      <w:pPr>
        <w:spacing w:line="360" w:lineRule="auto"/>
        <w:ind w:firstLine="440" w:firstLineChars="200"/>
        <w:rPr>
          <w:strike/>
          <w:color w:val="auto"/>
          <w:highlight w:val="none"/>
        </w:rPr>
      </w:pPr>
      <w:r>
        <w:rPr>
          <w:rFonts w:hint="eastAsia"/>
          <w:strike/>
          <w:color w:val="auto"/>
          <w:highlight w:val="none"/>
        </w:rPr>
        <w:t>3.5.5“近年发生的诉讼及仲裁情况”应说明投标人败诉的监理合同的相关情况，并附法院或仲裁机构作出的判决、裁决等有关法律文书复印件，具体时间要求见投标人须知前附表。</w:t>
      </w:r>
    </w:p>
    <w:p>
      <w:pPr>
        <w:spacing w:line="360" w:lineRule="auto"/>
        <w:ind w:firstLine="440" w:firstLineChars="200"/>
        <w:rPr>
          <w:strike/>
          <w:color w:val="auto"/>
          <w:highlight w:val="none"/>
        </w:rPr>
      </w:pPr>
      <w:r>
        <w:rPr>
          <w:rFonts w:hint="eastAsia"/>
          <w:color w:val="auto"/>
          <w:highlight w:val="none"/>
        </w:rPr>
        <w:t>3.5.6“拟委任的主要人员汇总表”应填报满足本章第 1.4.1 项规定的</w:t>
      </w:r>
      <w:r>
        <w:rPr>
          <w:rFonts w:hint="eastAsia"/>
          <w:color w:val="auto"/>
          <w:highlight w:val="none"/>
          <w:lang w:val="en-US"/>
        </w:rPr>
        <w:t>项目负责人</w:t>
      </w:r>
      <w:r>
        <w:rPr>
          <w:rFonts w:hint="eastAsia"/>
          <w:color w:val="auto"/>
          <w:highlight w:val="none"/>
        </w:rPr>
        <w:t>和其他主要人员的相关信息。“主要人员简历表”中</w:t>
      </w:r>
      <w:r>
        <w:rPr>
          <w:rFonts w:hint="eastAsia"/>
          <w:color w:val="auto"/>
          <w:highlight w:val="none"/>
          <w:lang w:val="en-US"/>
        </w:rPr>
        <w:t>项目负责人</w:t>
      </w:r>
      <w:r>
        <w:rPr>
          <w:rFonts w:hint="eastAsia"/>
          <w:color w:val="auto"/>
          <w:highlight w:val="none"/>
        </w:rPr>
        <w:t>应附</w:t>
      </w:r>
      <w:r>
        <w:rPr>
          <w:rFonts w:hint="eastAsia"/>
          <w:color w:val="auto"/>
          <w:highlight w:val="none"/>
          <w:lang w:val="en-US"/>
        </w:rPr>
        <w:t>其相关</w:t>
      </w:r>
      <w:r>
        <w:rPr>
          <w:rFonts w:hint="eastAsia"/>
          <w:color w:val="auto"/>
          <w:highlight w:val="none"/>
        </w:rPr>
        <w:t>证书和社保缴费证明复印件；</w:t>
      </w:r>
      <w:r>
        <w:rPr>
          <w:rFonts w:hint="eastAsia"/>
          <w:strike/>
          <w:color w:val="auto"/>
          <w:highlight w:val="none"/>
        </w:rPr>
        <w:t>其他主要人员应附身份证、学历证、职称证、有关证书和社保缴费证明复印件。</w:t>
      </w:r>
    </w:p>
    <w:p>
      <w:pPr>
        <w:spacing w:line="360" w:lineRule="auto"/>
        <w:ind w:firstLine="440" w:firstLineChars="200"/>
        <w:rPr>
          <w:strike/>
          <w:color w:val="auto"/>
          <w:highlight w:val="none"/>
        </w:rPr>
      </w:pPr>
      <w:r>
        <w:rPr>
          <w:rFonts w:hint="eastAsia"/>
          <w:strike/>
          <w:color w:val="auto"/>
          <w:highlight w:val="none"/>
        </w:rPr>
        <w:t>3.5.7“拟投入本项目的主要试验检测仪器设备表”应填报满足本章第 1.4.1 项规定的试验检测仪器设备。</w:t>
      </w:r>
    </w:p>
    <w:p>
      <w:pPr>
        <w:spacing w:line="360" w:lineRule="auto"/>
        <w:ind w:firstLine="440" w:firstLineChars="200"/>
        <w:rPr>
          <w:color w:val="auto"/>
          <w:highlight w:val="none"/>
        </w:rPr>
      </w:pPr>
      <w:r>
        <w:rPr>
          <w:rFonts w:hint="eastAsia"/>
          <w:color w:val="auto"/>
          <w:highlight w:val="none"/>
        </w:rPr>
        <w:t>3.5.8投标人须知前附表规定接受联合体投标的，本章第 3.5.1 项至第 3.5.7 项规定的表格和资料应包括联合体各方相关情况。</w:t>
      </w:r>
    </w:p>
    <w:p>
      <w:pPr>
        <w:spacing w:line="360" w:lineRule="auto"/>
        <w:rPr>
          <w:color w:val="auto"/>
          <w:highlight w:val="none"/>
        </w:rPr>
      </w:pPr>
      <w:r>
        <w:rPr>
          <w:rFonts w:hint="eastAsia" w:cs="Times New Roman"/>
          <w:b/>
          <w:bCs/>
          <w:color w:val="auto"/>
          <w:kern w:val="2"/>
          <w:sz w:val="28"/>
          <w:szCs w:val="28"/>
          <w:highlight w:val="none"/>
          <w:lang w:val="en-US" w:bidi="ar-SA"/>
        </w:rPr>
        <w:t>3.6备选投标方案</w:t>
      </w:r>
    </w:p>
    <w:p>
      <w:pPr>
        <w:spacing w:line="360" w:lineRule="auto"/>
        <w:ind w:firstLine="440" w:firstLineChars="200"/>
        <w:rPr>
          <w:color w:val="auto"/>
          <w:highlight w:val="none"/>
        </w:rPr>
      </w:pPr>
      <w:r>
        <w:rPr>
          <w:rFonts w:hint="eastAsia"/>
          <w:color w:val="auto"/>
          <w:highlight w:val="none"/>
        </w:rPr>
        <w:t>3.6.1除投标人须知前附表规定允许外，投标人不得递交备选投标方案，否则其投标将被否决。</w:t>
      </w:r>
    </w:p>
    <w:p>
      <w:pPr>
        <w:spacing w:line="360" w:lineRule="auto"/>
        <w:ind w:firstLine="440" w:firstLineChars="200"/>
        <w:rPr>
          <w:strike/>
          <w:color w:val="auto"/>
          <w:highlight w:val="none"/>
        </w:rPr>
      </w:pPr>
      <w:r>
        <w:rPr>
          <w:rFonts w:hint="eastAsia"/>
          <w:strike/>
          <w:color w:val="auto"/>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ind w:firstLine="440" w:firstLineChars="200"/>
        <w:rPr>
          <w:color w:val="auto"/>
          <w:highlight w:val="none"/>
        </w:rPr>
      </w:pPr>
      <w:r>
        <w:rPr>
          <w:rFonts w:hint="eastAsia"/>
          <w:strike/>
          <w:color w:val="auto"/>
          <w:highlight w:val="none"/>
        </w:rPr>
        <w:t>3.6.3投标人提供两个或两个以上投标报价，或者在投标文件中提供一个报价，但同时提供两个或两个以上监理方案的，视为提供备选方案。</w:t>
      </w:r>
    </w:p>
    <w:p>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3.7投标文件的编制</w:t>
      </w:r>
    </w:p>
    <w:p>
      <w:pPr>
        <w:spacing w:line="360" w:lineRule="auto"/>
        <w:ind w:firstLine="440" w:firstLineChars="200"/>
        <w:rPr>
          <w:color w:val="auto"/>
          <w:highlight w:val="none"/>
        </w:rPr>
      </w:pPr>
      <w:r>
        <w:rPr>
          <w:rFonts w:hint="eastAsia"/>
          <w:color w:val="auto"/>
          <w:highlight w:val="none"/>
        </w:rPr>
        <w:t>3.7.1投标文件应按第六章“投标文件格式”进行编写，如有必要，可以增加附页，作为投标文件的组成部分。其中，投标函附录在满足招标文件实质性要求的基础上，可以提出比招标文件要求更有利于招标人的承诺。</w:t>
      </w:r>
    </w:p>
    <w:p>
      <w:pPr>
        <w:spacing w:line="360" w:lineRule="auto"/>
        <w:ind w:firstLine="440" w:firstLineChars="200"/>
        <w:rPr>
          <w:color w:val="auto"/>
          <w:highlight w:val="none"/>
        </w:rPr>
      </w:pPr>
      <w:r>
        <w:rPr>
          <w:rFonts w:hint="eastAsia"/>
          <w:color w:val="auto"/>
          <w:highlight w:val="none"/>
        </w:rPr>
        <w:t>3.7.2投标文件应当对招标文件有关服务期限、投标有效期、委托人要求、招标范围等实质性内容作出响应。</w:t>
      </w:r>
    </w:p>
    <w:p>
      <w:pPr>
        <w:spacing w:line="360" w:lineRule="auto"/>
        <w:ind w:firstLine="440" w:firstLineChars="200"/>
        <w:rPr>
          <w:strike/>
          <w:color w:val="auto"/>
          <w:highlight w:val="none"/>
        </w:rPr>
      </w:pPr>
      <w:r>
        <w:rPr>
          <w:rFonts w:hint="eastAsia"/>
          <w:strike/>
          <w:color w:val="auto"/>
          <w:highlight w:val="none"/>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spacing w:line="360" w:lineRule="auto"/>
        <w:ind w:firstLine="440" w:firstLineChars="200"/>
        <w:rPr>
          <w:strike/>
          <w:color w:val="auto"/>
          <w:highlight w:val="none"/>
        </w:rPr>
      </w:pPr>
      <w:r>
        <w:rPr>
          <w:rFonts w:hint="eastAsia"/>
          <w:strike/>
          <w:color w:val="auto"/>
          <w:highlight w:val="none"/>
        </w:rPr>
        <w:t>（2）投标文件正本一份，副本份数见投标人须知前附表。正本和副本的封面右上角上应 清楚地标记“正本”或“副本”的字样。投标人应根据投标人须知前附表要求提供电子版文件。当副本和正本不一致或电子版文件和纸质正本文件不一致时，以纸质正本文件为准。</w:t>
      </w:r>
    </w:p>
    <w:p>
      <w:pPr>
        <w:spacing w:line="360" w:lineRule="auto"/>
        <w:ind w:firstLine="440" w:firstLineChars="200"/>
        <w:rPr>
          <w:color w:val="auto"/>
          <w:highlight w:val="none"/>
        </w:rPr>
      </w:pPr>
      <w:r>
        <w:rPr>
          <w:rFonts w:hint="eastAsia"/>
          <w:strike/>
          <w:color w:val="auto"/>
          <w:highlight w:val="none"/>
        </w:rPr>
        <w:t>（3）投标文件的正本与副本应分别装订，并编制目录，投标文件需分册装订的，具体分 册装订要求见投标人须知前附表规定。</w:t>
      </w:r>
    </w:p>
    <w:p>
      <w:pPr>
        <w:spacing w:line="360" w:lineRule="auto"/>
        <w:ind w:firstLine="440" w:firstLineChars="200"/>
        <w:rPr>
          <w:color w:val="auto"/>
          <w:highlight w:val="none"/>
        </w:rPr>
      </w:pPr>
      <w:r>
        <w:rPr>
          <w:rFonts w:hint="eastAsia"/>
          <w:color w:val="auto"/>
          <w:highlight w:val="none"/>
        </w:rPr>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4.投标</w:t>
      </w:r>
    </w:p>
    <w:p>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4.1投标文件的密封和标记</w:t>
      </w:r>
    </w:p>
    <w:p>
      <w:pPr>
        <w:spacing w:line="360" w:lineRule="auto"/>
        <w:ind w:firstLine="440" w:firstLineChars="200"/>
        <w:rPr>
          <w:color w:val="auto"/>
          <w:highlight w:val="none"/>
        </w:rPr>
      </w:pPr>
      <w:r>
        <w:rPr>
          <w:rFonts w:hint="eastAsia"/>
          <w:strike/>
          <w:color w:val="auto"/>
          <w:highlight w:val="none"/>
        </w:rPr>
        <w:t>4.1.1（A）投标文件应密封包装，并在封套的封口处加盖投标人单位章或由投标人的法定代表人或其授权的代理人签字。</w:t>
      </w:r>
    </w:p>
    <w:p>
      <w:pPr>
        <w:spacing w:line="360" w:lineRule="auto"/>
        <w:ind w:firstLine="440" w:firstLineChars="200"/>
        <w:rPr>
          <w:color w:val="auto"/>
          <w:highlight w:val="none"/>
        </w:rPr>
      </w:pPr>
      <w:r>
        <w:rPr>
          <w:rFonts w:hint="eastAsia"/>
          <w:color w:val="auto"/>
          <w:highlight w:val="none"/>
        </w:rPr>
        <w:t>4.1.1（B）投标人应当按照招标文件和电子招标投标交易平台的要求加密投标文件，具体要求见投标人须知前附表。</w:t>
      </w:r>
    </w:p>
    <w:p>
      <w:pPr>
        <w:spacing w:line="360" w:lineRule="auto"/>
        <w:ind w:firstLine="440" w:firstLineChars="200"/>
        <w:rPr>
          <w:color w:val="auto"/>
          <w:highlight w:val="none"/>
        </w:rPr>
      </w:pPr>
      <w:r>
        <w:rPr>
          <w:rFonts w:hint="eastAsia"/>
          <w:color w:val="auto"/>
          <w:highlight w:val="none"/>
        </w:rPr>
        <w:t>4.1.2投标文件封套上应写明的内容见投标人须知前附表。</w:t>
      </w:r>
    </w:p>
    <w:p>
      <w:pPr>
        <w:spacing w:line="360" w:lineRule="auto"/>
        <w:ind w:firstLine="440" w:firstLineChars="200"/>
        <w:rPr>
          <w:color w:val="auto"/>
          <w:highlight w:val="none"/>
        </w:rPr>
      </w:pPr>
      <w:r>
        <w:rPr>
          <w:rFonts w:hint="eastAsia"/>
          <w:color w:val="auto"/>
          <w:highlight w:val="none"/>
        </w:rPr>
        <w:t>4.1.3未按本章第 4.1.1 项要求密封的投标文件，招标人将予以拒收。</w:t>
      </w:r>
    </w:p>
    <w:p>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4.2投标文件的递交</w:t>
      </w:r>
    </w:p>
    <w:p>
      <w:pPr>
        <w:spacing w:line="360" w:lineRule="auto"/>
        <w:ind w:firstLine="440" w:firstLineChars="200"/>
        <w:rPr>
          <w:color w:val="auto"/>
          <w:highlight w:val="none"/>
        </w:rPr>
      </w:pPr>
      <w:r>
        <w:rPr>
          <w:rFonts w:hint="eastAsia"/>
          <w:color w:val="auto"/>
          <w:highlight w:val="none"/>
        </w:rPr>
        <w:t>4.2.1投标人应在投标人须知前附表规定的投标截止时间前递交投标文件。</w:t>
      </w:r>
    </w:p>
    <w:p>
      <w:pPr>
        <w:spacing w:line="360" w:lineRule="auto"/>
        <w:ind w:firstLine="440" w:firstLineChars="200"/>
        <w:rPr>
          <w:color w:val="auto"/>
          <w:highlight w:val="none"/>
        </w:rPr>
      </w:pPr>
      <w:r>
        <w:rPr>
          <w:rFonts w:hint="eastAsia"/>
          <w:strike/>
          <w:color w:val="auto"/>
          <w:highlight w:val="none"/>
        </w:rPr>
        <w:t>4.2.2（A）投标人递交投标文件的地点：见投标人须知前附表。</w:t>
      </w:r>
    </w:p>
    <w:p>
      <w:pPr>
        <w:spacing w:line="360" w:lineRule="auto"/>
        <w:ind w:firstLine="440" w:firstLineChars="200"/>
        <w:rPr>
          <w:color w:val="auto"/>
          <w:highlight w:val="none"/>
        </w:rPr>
      </w:pPr>
      <w:r>
        <w:rPr>
          <w:rFonts w:hint="eastAsia"/>
          <w:color w:val="auto"/>
          <w:highlight w:val="none"/>
        </w:rPr>
        <w:t>4.2.2（B）投标人通过下载招标文件的电子招标投标交易平台递交电子投标文件。</w:t>
      </w:r>
    </w:p>
    <w:p>
      <w:pPr>
        <w:spacing w:line="360" w:lineRule="auto"/>
        <w:ind w:firstLine="440" w:firstLineChars="200"/>
        <w:rPr>
          <w:color w:val="auto"/>
          <w:highlight w:val="none"/>
        </w:rPr>
      </w:pPr>
      <w:r>
        <w:rPr>
          <w:rFonts w:hint="eastAsia"/>
          <w:color w:val="auto"/>
          <w:highlight w:val="none"/>
        </w:rPr>
        <w:t>4.2.3除投标人须知前附表另有规定外，投标人所递交的投标文件不予退还。</w:t>
      </w:r>
    </w:p>
    <w:p>
      <w:pPr>
        <w:spacing w:line="360" w:lineRule="auto"/>
        <w:ind w:firstLine="440" w:firstLineChars="200"/>
        <w:rPr>
          <w:color w:val="auto"/>
          <w:highlight w:val="none"/>
        </w:rPr>
      </w:pPr>
      <w:r>
        <w:rPr>
          <w:rFonts w:hint="eastAsia"/>
          <w:strike/>
          <w:color w:val="auto"/>
          <w:highlight w:val="none"/>
        </w:rPr>
        <w:t>4.2.4（A）招标人收到投标文件后，向投标人出具签收凭证。</w:t>
      </w:r>
    </w:p>
    <w:p>
      <w:pPr>
        <w:spacing w:line="360" w:lineRule="auto"/>
        <w:ind w:firstLine="440" w:firstLineChars="200"/>
        <w:rPr>
          <w:color w:val="auto"/>
          <w:highlight w:val="none"/>
        </w:rPr>
      </w:pPr>
      <w:r>
        <w:rPr>
          <w:rFonts w:hint="eastAsia"/>
          <w:color w:val="auto"/>
          <w:highlight w:val="none"/>
        </w:rPr>
        <w:t>4.2.4（B）投标人完成电子投标文件上传后，电子招标投标交易平台即时向投标人发出递交回执通知。递交时间以递交回执通知载明的传输完成时间为准。</w:t>
      </w:r>
    </w:p>
    <w:p>
      <w:pPr>
        <w:spacing w:line="360" w:lineRule="auto"/>
        <w:ind w:firstLine="440" w:firstLineChars="200"/>
        <w:rPr>
          <w:strike/>
          <w:color w:val="auto"/>
          <w:highlight w:val="none"/>
        </w:rPr>
      </w:pPr>
      <w:r>
        <w:rPr>
          <w:rFonts w:hint="eastAsia"/>
          <w:strike/>
          <w:color w:val="auto"/>
          <w:highlight w:val="none"/>
        </w:rPr>
        <w:t>4.2.5（A）逾期送达的投标文件，招标人将予以拒收。</w:t>
      </w:r>
    </w:p>
    <w:p>
      <w:pPr>
        <w:spacing w:line="360" w:lineRule="auto"/>
        <w:ind w:firstLine="440" w:firstLineChars="200"/>
        <w:rPr>
          <w:color w:val="auto"/>
          <w:highlight w:val="none"/>
        </w:rPr>
      </w:pPr>
      <w:r>
        <w:rPr>
          <w:rFonts w:hint="eastAsia"/>
          <w:color w:val="auto"/>
          <w:highlight w:val="none"/>
        </w:rPr>
        <w:t>4.2.5（B）逾期送达的投标文件，电子招标投标交易平台将予以拒收。</w:t>
      </w:r>
    </w:p>
    <w:p>
      <w:pPr>
        <w:pStyle w:val="11"/>
        <w:kinsoku w:val="0"/>
        <w:overflowPunct w:val="0"/>
        <w:spacing w:line="360" w:lineRule="auto"/>
        <w:ind w:firstLine="440" w:firstLineChars="200"/>
        <w:rPr>
          <w:color w:val="auto"/>
          <w:sz w:val="22"/>
          <w:szCs w:val="22"/>
          <w:highlight w:val="none"/>
          <w:u w:val="single"/>
        </w:rPr>
      </w:pPr>
      <w:r>
        <w:rPr>
          <w:rFonts w:hint="eastAsia"/>
          <w:color w:val="auto"/>
          <w:sz w:val="22"/>
          <w:szCs w:val="22"/>
          <w:highlight w:val="none"/>
          <w:u w:val="single"/>
        </w:rPr>
        <w:t>电子投标文件若出现以下情况之一的，招标人将否决其投标：</w:t>
      </w:r>
    </w:p>
    <w:p>
      <w:pPr>
        <w:pStyle w:val="11"/>
        <w:kinsoku w:val="0"/>
        <w:overflowPunct w:val="0"/>
        <w:spacing w:line="360" w:lineRule="auto"/>
        <w:ind w:firstLine="220" w:firstLineChars="100"/>
        <w:rPr>
          <w:color w:val="auto"/>
          <w:sz w:val="22"/>
          <w:szCs w:val="22"/>
          <w:highlight w:val="none"/>
          <w:u w:val="single"/>
        </w:rPr>
      </w:pPr>
      <w:r>
        <w:rPr>
          <w:rFonts w:hint="eastAsia"/>
          <w:color w:val="auto"/>
          <w:sz w:val="22"/>
          <w:szCs w:val="22"/>
          <w:highlight w:val="none"/>
          <w:u w:val="single"/>
        </w:rPr>
        <w:t>A.电子投标文件未在投标截止时间前成功上传并保存在交易中心数字交易平台；</w:t>
      </w:r>
    </w:p>
    <w:p>
      <w:pPr>
        <w:pStyle w:val="11"/>
        <w:kinsoku w:val="0"/>
        <w:overflowPunct w:val="0"/>
        <w:spacing w:line="360" w:lineRule="auto"/>
        <w:ind w:firstLine="220" w:firstLineChars="100"/>
        <w:rPr>
          <w:color w:val="auto"/>
          <w:sz w:val="22"/>
          <w:szCs w:val="22"/>
          <w:highlight w:val="none"/>
          <w:u w:val="single"/>
        </w:rPr>
      </w:pPr>
      <w:r>
        <w:rPr>
          <w:rFonts w:hint="eastAsia"/>
          <w:color w:val="auto"/>
          <w:sz w:val="22"/>
          <w:szCs w:val="22"/>
          <w:highlight w:val="none"/>
          <w:u w:val="single"/>
        </w:rPr>
        <w:t>B.因投标人原因造成电子投标文件未解密或逾期解密的；</w:t>
      </w:r>
    </w:p>
    <w:p>
      <w:pPr>
        <w:pStyle w:val="11"/>
        <w:kinsoku w:val="0"/>
        <w:overflowPunct w:val="0"/>
        <w:spacing w:line="360" w:lineRule="auto"/>
        <w:ind w:firstLine="220" w:firstLineChars="100"/>
        <w:rPr>
          <w:color w:val="auto"/>
          <w:sz w:val="22"/>
          <w:szCs w:val="22"/>
          <w:highlight w:val="none"/>
          <w:u w:val="single"/>
        </w:rPr>
      </w:pPr>
      <w:r>
        <w:rPr>
          <w:rFonts w:hint="eastAsia"/>
          <w:color w:val="auto"/>
          <w:sz w:val="22"/>
          <w:szCs w:val="22"/>
          <w:highlight w:val="none"/>
          <w:u w:val="single"/>
        </w:rPr>
        <w:t>C.未按招标文件要求提供投标保证金的；</w:t>
      </w:r>
    </w:p>
    <w:p>
      <w:pPr>
        <w:pStyle w:val="11"/>
        <w:kinsoku w:val="0"/>
        <w:overflowPunct w:val="0"/>
        <w:spacing w:line="360" w:lineRule="auto"/>
        <w:ind w:firstLine="220" w:firstLineChars="100"/>
        <w:rPr>
          <w:color w:val="auto"/>
          <w:sz w:val="22"/>
          <w:szCs w:val="22"/>
          <w:highlight w:val="none"/>
          <w:u w:val="single"/>
        </w:rPr>
      </w:pPr>
      <w:r>
        <w:rPr>
          <w:rFonts w:hint="eastAsia"/>
          <w:color w:val="auto"/>
          <w:sz w:val="22"/>
          <w:szCs w:val="22"/>
          <w:highlight w:val="none"/>
          <w:u w:val="single"/>
        </w:rPr>
        <w:t>D.两个（含两个）以上的投标人加密打包的电子投标文件电脑机器码一致的；</w:t>
      </w:r>
    </w:p>
    <w:p>
      <w:pPr>
        <w:pStyle w:val="11"/>
        <w:kinsoku w:val="0"/>
        <w:overflowPunct w:val="0"/>
        <w:spacing w:line="360" w:lineRule="auto"/>
        <w:ind w:firstLine="220" w:firstLineChars="100"/>
        <w:rPr>
          <w:color w:val="auto"/>
          <w:sz w:val="22"/>
          <w:szCs w:val="22"/>
          <w:highlight w:val="none"/>
          <w:u w:val="single"/>
        </w:rPr>
      </w:pPr>
      <w:r>
        <w:rPr>
          <w:rFonts w:hint="eastAsia"/>
          <w:color w:val="auto"/>
          <w:sz w:val="22"/>
          <w:szCs w:val="22"/>
          <w:highlight w:val="none"/>
          <w:u w:val="single"/>
        </w:rPr>
        <w:t>E.投标文件中的投标人与投标登记时的信息不一致的；</w:t>
      </w:r>
    </w:p>
    <w:p>
      <w:pPr>
        <w:pStyle w:val="11"/>
        <w:kinsoku w:val="0"/>
        <w:overflowPunct w:val="0"/>
        <w:spacing w:line="360" w:lineRule="auto"/>
        <w:ind w:firstLine="440" w:firstLineChars="200"/>
        <w:rPr>
          <w:color w:val="auto"/>
          <w:sz w:val="22"/>
          <w:szCs w:val="22"/>
          <w:highlight w:val="none"/>
          <w:u w:val="single"/>
        </w:rPr>
      </w:pPr>
      <w:r>
        <w:rPr>
          <w:rFonts w:hint="eastAsia"/>
          <w:color w:val="auto"/>
          <w:sz w:val="22"/>
          <w:szCs w:val="22"/>
          <w:highlight w:val="none"/>
          <w:u w:val="single"/>
        </w:rPr>
        <w:t>4.2.6投标文件的解密</w:t>
      </w:r>
    </w:p>
    <w:p>
      <w:pPr>
        <w:pStyle w:val="11"/>
        <w:kinsoku w:val="0"/>
        <w:overflowPunct w:val="0"/>
        <w:spacing w:line="360" w:lineRule="auto"/>
        <w:ind w:firstLine="440" w:firstLineChars="200"/>
        <w:rPr>
          <w:color w:val="auto"/>
          <w:sz w:val="22"/>
          <w:szCs w:val="22"/>
          <w:highlight w:val="none"/>
          <w:u w:val="single"/>
        </w:rPr>
      </w:pPr>
      <w:r>
        <w:rPr>
          <w:rFonts w:hint="eastAsia"/>
          <w:color w:val="auto"/>
          <w:sz w:val="22"/>
          <w:szCs w:val="22"/>
          <w:highlight w:val="none"/>
          <w:u w:val="single"/>
        </w:rPr>
        <w:t>（1）递交投标文件截止时间到达后的半小时内为投标人对电子投标文件解密时间。</w:t>
      </w:r>
    </w:p>
    <w:p>
      <w:pPr>
        <w:pStyle w:val="8"/>
        <w:spacing w:line="360" w:lineRule="auto"/>
        <w:rPr>
          <w:color w:val="auto"/>
          <w:szCs w:val="22"/>
          <w:highlight w:val="none"/>
        </w:rPr>
      </w:pPr>
      <w:r>
        <w:rPr>
          <w:rFonts w:hint="eastAsia"/>
          <w:color w:val="auto"/>
          <w:szCs w:val="22"/>
          <w:highlight w:val="none"/>
          <w:u w:val="single"/>
        </w:rPr>
        <w:t>（2）投标人须在规定解密时间内使用制作该投标文件</w:t>
      </w:r>
      <w:r>
        <w:rPr>
          <w:rFonts w:hint="eastAsia"/>
          <w:color w:val="auto"/>
          <w:szCs w:val="22"/>
          <w:highlight w:val="none"/>
          <w:u w:val="single"/>
          <w:lang w:val="en-US"/>
        </w:rPr>
        <w:t>的</w:t>
      </w:r>
      <w:r>
        <w:rPr>
          <w:rFonts w:hint="eastAsia"/>
          <w:color w:val="auto"/>
          <w:szCs w:val="22"/>
          <w:highlight w:val="none"/>
          <w:u w:val="single"/>
        </w:rPr>
        <w:t>机构业务数字证书对投标文件进行解密。逾期未解密的电子投标文件将被否决。</w:t>
      </w:r>
    </w:p>
    <w:p>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4.3投标文件的修改与撤回</w:t>
      </w:r>
    </w:p>
    <w:p>
      <w:pPr>
        <w:spacing w:line="360" w:lineRule="auto"/>
        <w:ind w:firstLine="440" w:firstLineChars="200"/>
        <w:rPr>
          <w:color w:val="auto"/>
          <w:highlight w:val="none"/>
        </w:rPr>
      </w:pPr>
      <w:r>
        <w:rPr>
          <w:rFonts w:hint="eastAsia"/>
          <w:color w:val="auto"/>
          <w:highlight w:val="none"/>
        </w:rPr>
        <w:t>4.3.1在本章第 4.2.1 项规定的投标截止时间前，投标人可以修改或撤回已递交的投标文件， 但应以书面形式通知招标人。</w:t>
      </w:r>
    </w:p>
    <w:p>
      <w:pPr>
        <w:spacing w:line="360" w:lineRule="auto"/>
        <w:ind w:firstLine="440" w:firstLineChars="200"/>
        <w:rPr>
          <w:strike/>
          <w:color w:val="auto"/>
          <w:highlight w:val="none"/>
        </w:rPr>
      </w:pPr>
      <w:r>
        <w:rPr>
          <w:rFonts w:hint="eastAsia"/>
          <w:strike/>
          <w:color w:val="auto"/>
          <w:highlight w:val="none"/>
        </w:rPr>
        <w:t>4.3.2（A）投标人修改或撤回已递交投标文件的书面通知应按照本章第 3.7.3（A）项的要求签字或盖章。招标人收到书面通知后，向投标人出具签收凭证。</w:t>
      </w:r>
    </w:p>
    <w:p>
      <w:pPr>
        <w:spacing w:line="360" w:lineRule="auto"/>
        <w:ind w:firstLine="440" w:firstLineChars="200"/>
        <w:rPr>
          <w:color w:val="auto"/>
          <w:highlight w:val="none"/>
        </w:rPr>
      </w:pPr>
      <w:r>
        <w:rPr>
          <w:rFonts w:hint="eastAsia"/>
          <w:color w:val="auto"/>
          <w:highlight w:val="none"/>
        </w:rPr>
        <w:t>4.3.2（B）投标人修改或撤回已递交投标文件的通知，应按照本章第 3.7.3（B）项的要求加盖电子印章。电子招标投标交易平台收到通知后，即时向投标人发出确认回执通知。</w:t>
      </w:r>
    </w:p>
    <w:p>
      <w:pPr>
        <w:spacing w:line="360" w:lineRule="auto"/>
        <w:ind w:firstLine="440" w:firstLineChars="200"/>
        <w:rPr>
          <w:color w:val="auto"/>
          <w:highlight w:val="none"/>
        </w:rPr>
      </w:pPr>
      <w:r>
        <w:rPr>
          <w:rFonts w:hint="eastAsia"/>
          <w:color w:val="auto"/>
          <w:highlight w:val="none"/>
        </w:rPr>
        <w:t>4.3.3投标人撤回投标文件的，招标人自收到投标人书面撤回通知之日起 5 日内退还已收取的投标保证金。</w:t>
      </w:r>
    </w:p>
    <w:p>
      <w:pPr>
        <w:spacing w:line="360" w:lineRule="auto"/>
        <w:ind w:firstLine="440" w:firstLineChars="200"/>
        <w:rPr>
          <w:color w:val="auto"/>
          <w:highlight w:val="none"/>
        </w:rPr>
      </w:pPr>
      <w:r>
        <w:rPr>
          <w:rFonts w:hint="eastAsia"/>
          <w:color w:val="auto"/>
          <w:highlight w:val="none"/>
        </w:rPr>
        <w:t>4.3.4修改的内容为投标文件的组成部分。修改的投标文件应按照本章第 3 条、第 4 条的规定进行编制、密封、标记和递交，并标明“修改”字样。</w:t>
      </w:r>
    </w:p>
    <w:p>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5.开标</w:t>
      </w:r>
    </w:p>
    <w:p>
      <w:pPr>
        <w:spacing w:line="360" w:lineRule="auto"/>
        <w:rPr>
          <w:strike/>
          <w:color w:val="auto"/>
          <w:highlight w:val="none"/>
        </w:rPr>
      </w:pPr>
      <w:r>
        <w:rPr>
          <w:rFonts w:hint="eastAsia" w:cs="Times New Roman"/>
          <w:b/>
          <w:bCs/>
          <w:strike/>
          <w:color w:val="auto"/>
          <w:kern w:val="2"/>
          <w:sz w:val="28"/>
          <w:szCs w:val="28"/>
          <w:highlight w:val="none"/>
          <w:lang w:val="en-US" w:bidi="ar-SA"/>
        </w:rPr>
        <w:t>5.1开标时间和地点（A）</w:t>
      </w:r>
    </w:p>
    <w:p>
      <w:pPr>
        <w:spacing w:line="360" w:lineRule="auto"/>
        <w:ind w:firstLine="440" w:firstLineChars="200"/>
        <w:rPr>
          <w:color w:val="auto"/>
          <w:highlight w:val="none"/>
        </w:rPr>
      </w:pPr>
      <w:r>
        <w:rPr>
          <w:rFonts w:hint="eastAsia"/>
          <w:strike/>
          <w:color w:val="auto"/>
          <w:highlight w:val="none"/>
        </w:rPr>
        <w:t>招标人在本章第 4.2.1 项规定的投标截止时间（开标时间）和投标人须知前附表规定的地点公开开标，并邀请所有投标人的法定代表人或其委托代理人准时参加。</w:t>
      </w:r>
    </w:p>
    <w:p>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5.1开标时间和地点（B）</w:t>
      </w:r>
    </w:p>
    <w:p>
      <w:pPr>
        <w:spacing w:line="360" w:lineRule="auto"/>
        <w:ind w:firstLine="440" w:firstLineChars="200"/>
        <w:rPr>
          <w:color w:val="auto"/>
          <w:highlight w:val="none"/>
        </w:rPr>
      </w:pPr>
      <w:r>
        <w:rPr>
          <w:rFonts w:hint="eastAsia"/>
          <w:color w:val="auto"/>
          <w:highlight w:val="none"/>
        </w:rPr>
        <w:t>招标人在本章第 4.2.1 项规定的投标截止时间（开标时间）,通过电子招标投标交易平台公开开标，</w:t>
      </w:r>
      <w:r>
        <w:rPr>
          <w:color w:val="auto"/>
          <w:highlight w:val="none"/>
          <w:u w:val="single"/>
        </w:rPr>
        <w:t>和投标人须知前附表规定的地点公开开标，并邀请所有投标人的法定代表人或其委托代理人准时参加。</w:t>
      </w:r>
      <w:r>
        <w:rPr>
          <w:rFonts w:hint="eastAsia"/>
          <w:color w:val="auto"/>
          <w:highlight w:val="none"/>
          <w:u w:val="single"/>
        </w:rPr>
        <w:t>投标人</w:t>
      </w:r>
      <w:r>
        <w:rPr>
          <w:color w:val="auto"/>
          <w:highlight w:val="none"/>
          <w:u w:val="single"/>
        </w:rPr>
        <w:t>的法定代表人或其委托代理人</w:t>
      </w:r>
      <w:r>
        <w:rPr>
          <w:rFonts w:hint="eastAsia"/>
          <w:color w:val="auto"/>
          <w:highlight w:val="none"/>
          <w:u w:val="single"/>
        </w:rPr>
        <w:t>有权出席开标会，也可以自主决定不参加开标会，若投标人</w:t>
      </w:r>
      <w:r>
        <w:rPr>
          <w:color w:val="auto"/>
          <w:highlight w:val="none"/>
          <w:u w:val="single"/>
        </w:rPr>
        <w:t>的法定代表人或其委托代理人</w:t>
      </w:r>
      <w:r>
        <w:rPr>
          <w:rFonts w:hint="eastAsia"/>
          <w:color w:val="auto"/>
          <w:highlight w:val="none"/>
          <w:u w:val="single"/>
        </w:rPr>
        <w:t>对开标过程提出异议，须同时出示本人身份证原件。</w:t>
      </w:r>
    </w:p>
    <w:p>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5.2开标程序</w:t>
      </w:r>
    </w:p>
    <w:p>
      <w:pPr>
        <w:spacing w:line="360" w:lineRule="auto"/>
        <w:rPr>
          <w:color w:val="auto"/>
          <w:highlight w:val="none"/>
        </w:rPr>
      </w:pPr>
      <w:r>
        <w:rPr>
          <w:rFonts w:hint="eastAsia"/>
          <w:color w:val="auto"/>
          <w:highlight w:val="none"/>
        </w:rPr>
        <w:t>主持人按下列程序进行开标：</w:t>
      </w:r>
    </w:p>
    <w:p>
      <w:pPr>
        <w:spacing w:line="360" w:lineRule="auto"/>
        <w:rPr>
          <w:color w:val="auto"/>
          <w:highlight w:val="none"/>
        </w:rPr>
      </w:pPr>
      <w:r>
        <w:rPr>
          <w:rFonts w:hint="eastAsia"/>
          <w:color w:val="auto"/>
          <w:highlight w:val="none"/>
        </w:rPr>
        <w:t>（1）宣布开标纪律；</w:t>
      </w:r>
    </w:p>
    <w:p>
      <w:pPr>
        <w:spacing w:line="360" w:lineRule="auto"/>
        <w:rPr>
          <w:color w:val="auto"/>
          <w:highlight w:val="none"/>
        </w:rPr>
      </w:pPr>
      <w:r>
        <w:rPr>
          <w:rFonts w:hint="eastAsia"/>
          <w:color w:val="auto"/>
          <w:highlight w:val="none"/>
        </w:rPr>
        <w:t>（2）公布在投标截止时间前递交投标文件的投标人名称；</w:t>
      </w:r>
    </w:p>
    <w:p>
      <w:pPr>
        <w:spacing w:line="360" w:lineRule="auto"/>
        <w:rPr>
          <w:color w:val="auto"/>
          <w:highlight w:val="none"/>
        </w:rPr>
      </w:pPr>
      <w:r>
        <w:rPr>
          <w:rFonts w:hint="eastAsia"/>
          <w:color w:val="auto"/>
          <w:highlight w:val="none"/>
        </w:rPr>
        <w:t>（3）宣布开标人、唱标人、记录人、监标人等有关人员姓名；</w:t>
      </w:r>
    </w:p>
    <w:p>
      <w:pPr>
        <w:spacing w:line="360" w:lineRule="auto"/>
        <w:rPr>
          <w:color w:val="auto"/>
          <w:highlight w:val="none"/>
        </w:rPr>
      </w:pPr>
      <w:r>
        <w:rPr>
          <w:rFonts w:hint="eastAsia"/>
          <w:strike/>
          <w:color w:val="auto"/>
          <w:highlight w:val="none"/>
        </w:rPr>
        <w:t>（4）（A）检查投标文件的密封情况，按照投标人须知前附表规定的开标顺序当众开标，公布招标项目名称、投标人名称、投标保证金的递交情况、投标报价、监理服务期限及其他内容，并记录在案；</w:t>
      </w:r>
    </w:p>
    <w:p>
      <w:pPr>
        <w:spacing w:line="360" w:lineRule="auto"/>
        <w:rPr>
          <w:color w:val="auto"/>
          <w:highlight w:val="none"/>
        </w:rPr>
      </w:pPr>
      <w:r>
        <w:rPr>
          <w:rFonts w:hint="eastAsia"/>
          <w:color w:val="auto"/>
          <w:highlight w:val="none"/>
        </w:rPr>
        <w:t>（4）（B）投标人通过电子招标投标交易平台对已递交的电子投标文件进行解密，公布招标项目名称、投标人名称、投标保证金的递交情况、投标报价、服务期限及其他内容，并记录在案；</w:t>
      </w:r>
    </w:p>
    <w:p>
      <w:pPr>
        <w:spacing w:line="360" w:lineRule="auto"/>
        <w:rPr>
          <w:color w:val="auto"/>
          <w:highlight w:val="none"/>
        </w:rPr>
      </w:pPr>
      <w:r>
        <w:rPr>
          <w:rFonts w:hint="eastAsia"/>
          <w:strike/>
          <w:color w:val="auto"/>
          <w:highlight w:val="none"/>
        </w:rPr>
        <w:t>（5）（A）投标人代表、招标人代表、监标人、记录人等有关人员在开标记录上签字确认；</w:t>
      </w:r>
    </w:p>
    <w:p>
      <w:pPr>
        <w:spacing w:line="360" w:lineRule="auto"/>
        <w:rPr>
          <w:color w:val="auto"/>
          <w:highlight w:val="none"/>
        </w:rPr>
      </w:pPr>
      <w:r>
        <w:rPr>
          <w:rFonts w:hint="eastAsia"/>
          <w:color w:val="auto"/>
          <w:highlight w:val="none"/>
        </w:rPr>
        <w:t>（5）（B）投标人代表、招标人代表、监标人、记录人等有关人员使用本人的电子印章在开标记录上签字确认；</w:t>
      </w:r>
    </w:p>
    <w:p>
      <w:pPr>
        <w:spacing w:line="360" w:lineRule="auto"/>
        <w:rPr>
          <w:color w:val="auto"/>
          <w:highlight w:val="none"/>
        </w:rPr>
      </w:pPr>
      <w:r>
        <w:rPr>
          <w:rFonts w:hint="eastAsia"/>
          <w:color w:val="auto"/>
          <w:highlight w:val="none"/>
        </w:rPr>
        <w:t>（6）开标结束。</w:t>
      </w:r>
    </w:p>
    <w:p>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5.3开标异议</w:t>
      </w:r>
    </w:p>
    <w:p>
      <w:pPr>
        <w:spacing w:line="360" w:lineRule="auto"/>
        <w:rPr>
          <w:color w:val="auto"/>
          <w:highlight w:val="none"/>
        </w:rPr>
      </w:pPr>
      <w:r>
        <w:rPr>
          <w:rFonts w:hint="eastAsia"/>
          <w:color w:val="auto"/>
          <w:highlight w:val="none"/>
        </w:rPr>
        <w:t>投标人对开标有异议的，应当在开标现场提出，招标人当场作出答复，并制作记录。</w:t>
      </w:r>
    </w:p>
    <w:p>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6.评标</w:t>
      </w:r>
    </w:p>
    <w:p>
      <w:pPr>
        <w:spacing w:line="360" w:lineRule="auto"/>
        <w:rPr>
          <w:color w:val="auto"/>
          <w:highlight w:val="none"/>
        </w:rPr>
      </w:pPr>
      <w:r>
        <w:rPr>
          <w:rFonts w:hint="eastAsia" w:cs="Times New Roman"/>
          <w:b/>
          <w:bCs/>
          <w:color w:val="auto"/>
          <w:kern w:val="2"/>
          <w:sz w:val="28"/>
          <w:szCs w:val="28"/>
          <w:highlight w:val="none"/>
          <w:lang w:val="en-US" w:bidi="ar-SA"/>
        </w:rPr>
        <w:t>6.1评标委员会</w:t>
      </w:r>
    </w:p>
    <w:p>
      <w:pPr>
        <w:spacing w:line="360" w:lineRule="auto"/>
        <w:ind w:firstLine="440" w:firstLineChars="200"/>
        <w:rPr>
          <w:color w:val="auto"/>
          <w:highlight w:val="none"/>
        </w:rPr>
      </w:pPr>
      <w:r>
        <w:rPr>
          <w:rFonts w:hint="eastAsia"/>
          <w:color w:val="auto"/>
          <w:highlight w:val="none"/>
        </w:rPr>
        <w:t>6.1.1评标由招标人依法组建的评标委员会负责。</w:t>
      </w:r>
      <w:r>
        <w:rPr>
          <w:rFonts w:hint="eastAsia"/>
          <w:color w:val="auto"/>
          <w:highlight w:val="none"/>
          <w:u w:val="single"/>
        </w:rPr>
        <w:t>评标委员会由广东省综合评标评审专家库有关技术、经济等方面的专家组成。</w:t>
      </w:r>
      <w:r>
        <w:rPr>
          <w:rFonts w:hint="eastAsia"/>
          <w:color w:val="auto"/>
          <w:highlight w:val="none"/>
        </w:rPr>
        <w:t>评标委员会成员人数以及技术、经济等方面专家的确定方式见投标人须知前附表。</w:t>
      </w:r>
    </w:p>
    <w:p>
      <w:pPr>
        <w:spacing w:line="360" w:lineRule="auto"/>
        <w:ind w:firstLine="440" w:firstLineChars="200"/>
        <w:rPr>
          <w:color w:val="auto"/>
          <w:highlight w:val="none"/>
        </w:rPr>
      </w:pPr>
      <w:r>
        <w:rPr>
          <w:rFonts w:hint="eastAsia"/>
          <w:color w:val="auto"/>
          <w:highlight w:val="none"/>
        </w:rPr>
        <w:t>6.1.2评标委员会成员有下列情形之一的，应当回避：</w:t>
      </w:r>
    </w:p>
    <w:p>
      <w:pPr>
        <w:spacing w:line="360" w:lineRule="auto"/>
        <w:ind w:firstLine="440" w:firstLineChars="200"/>
        <w:rPr>
          <w:color w:val="auto"/>
          <w:highlight w:val="none"/>
        </w:rPr>
      </w:pPr>
      <w:r>
        <w:rPr>
          <w:rFonts w:hint="eastAsia"/>
          <w:color w:val="auto"/>
          <w:highlight w:val="none"/>
        </w:rPr>
        <w:t>（1）投标人或投标人主要负责人的近亲属；</w:t>
      </w:r>
    </w:p>
    <w:p>
      <w:pPr>
        <w:spacing w:line="360" w:lineRule="auto"/>
        <w:ind w:firstLine="440" w:firstLineChars="200"/>
        <w:rPr>
          <w:color w:val="auto"/>
          <w:highlight w:val="none"/>
        </w:rPr>
      </w:pPr>
      <w:r>
        <w:rPr>
          <w:rFonts w:hint="eastAsia"/>
          <w:color w:val="auto"/>
          <w:highlight w:val="none"/>
        </w:rPr>
        <w:t>（2）项目主管部门或者行政监督部门的人员；</w:t>
      </w:r>
    </w:p>
    <w:p>
      <w:pPr>
        <w:spacing w:line="360" w:lineRule="auto"/>
        <w:ind w:firstLine="440" w:firstLineChars="200"/>
        <w:rPr>
          <w:color w:val="auto"/>
          <w:highlight w:val="none"/>
        </w:rPr>
      </w:pPr>
      <w:r>
        <w:rPr>
          <w:rFonts w:hint="eastAsia"/>
          <w:color w:val="auto"/>
          <w:highlight w:val="none"/>
        </w:rPr>
        <w:t>（3）与投标人有经济利益关系，可能影响对投标公正评审的；</w:t>
      </w:r>
    </w:p>
    <w:p>
      <w:pPr>
        <w:spacing w:line="360" w:lineRule="auto"/>
        <w:ind w:firstLine="440" w:firstLineChars="200"/>
        <w:rPr>
          <w:color w:val="auto"/>
          <w:highlight w:val="none"/>
        </w:rPr>
      </w:pPr>
      <w:r>
        <w:rPr>
          <w:rFonts w:hint="eastAsia"/>
          <w:color w:val="auto"/>
          <w:highlight w:val="none"/>
        </w:rPr>
        <w:t>（4）曾因在招标、评标以及其他与招标投标有关活动中从事违法行为而受过行政处罚或刑事处罚的；</w:t>
      </w:r>
    </w:p>
    <w:p>
      <w:pPr>
        <w:spacing w:line="360" w:lineRule="auto"/>
        <w:ind w:firstLine="440" w:firstLineChars="200"/>
        <w:rPr>
          <w:color w:val="auto"/>
          <w:highlight w:val="none"/>
        </w:rPr>
      </w:pPr>
      <w:r>
        <w:rPr>
          <w:rFonts w:hint="eastAsia"/>
          <w:color w:val="auto"/>
          <w:highlight w:val="none"/>
        </w:rPr>
        <w:t>（5）与投标人有其他利害关系。</w:t>
      </w:r>
    </w:p>
    <w:p>
      <w:pPr>
        <w:spacing w:line="360" w:lineRule="auto"/>
        <w:ind w:firstLine="440" w:firstLineChars="200"/>
        <w:rPr>
          <w:color w:val="auto"/>
          <w:highlight w:val="none"/>
        </w:rPr>
      </w:pPr>
      <w:r>
        <w:rPr>
          <w:rFonts w:hint="eastAsia"/>
          <w:color w:val="auto"/>
          <w:highlight w:val="none"/>
        </w:rPr>
        <w:t>6.1.3评标过程中，评标委员会成员有回避事由、擅离职守或者因健康等原因不能继续评标的，招标人有权更换。被更换的评标委员会成员作出的评审结论无效，由更换后的评标委员会成员重新进行评审。</w:t>
      </w:r>
    </w:p>
    <w:p>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6.2评标原则</w:t>
      </w:r>
    </w:p>
    <w:p>
      <w:pPr>
        <w:spacing w:line="360" w:lineRule="auto"/>
        <w:rPr>
          <w:color w:val="auto"/>
          <w:highlight w:val="none"/>
        </w:rPr>
      </w:pPr>
      <w:r>
        <w:rPr>
          <w:rFonts w:hint="eastAsia"/>
          <w:color w:val="auto"/>
          <w:highlight w:val="none"/>
        </w:rPr>
        <w:t>评标活动遵循公平、公正、科学和择优的原则。</w:t>
      </w:r>
    </w:p>
    <w:p>
      <w:pPr>
        <w:spacing w:line="360" w:lineRule="auto"/>
        <w:rPr>
          <w:color w:val="auto"/>
          <w:highlight w:val="none"/>
        </w:rPr>
      </w:pPr>
      <w:r>
        <w:rPr>
          <w:rFonts w:hint="eastAsia" w:cs="Times New Roman"/>
          <w:b/>
          <w:bCs/>
          <w:color w:val="auto"/>
          <w:kern w:val="2"/>
          <w:sz w:val="28"/>
          <w:szCs w:val="28"/>
          <w:highlight w:val="none"/>
          <w:lang w:val="en-US" w:bidi="ar-SA"/>
        </w:rPr>
        <w:t>6.3评标</w:t>
      </w:r>
    </w:p>
    <w:p>
      <w:pPr>
        <w:spacing w:line="360" w:lineRule="auto"/>
        <w:ind w:firstLine="440" w:firstLineChars="200"/>
        <w:rPr>
          <w:color w:val="auto"/>
          <w:highlight w:val="none"/>
        </w:rPr>
      </w:pPr>
      <w:r>
        <w:rPr>
          <w:rFonts w:hint="eastAsia"/>
          <w:color w:val="auto"/>
          <w:highlight w:val="none"/>
        </w:rPr>
        <w:t>6.3.1评标委员会按照第三章“评标办法”规定的方法、评审因素、标准和程序对投标文件进行评审。第三章“评标办法”没有规定的方法、评审因素和标准，不作为评标依据。</w:t>
      </w:r>
    </w:p>
    <w:p>
      <w:pPr>
        <w:spacing w:line="360" w:lineRule="auto"/>
        <w:ind w:firstLine="440" w:firstLineChars="200"/>
        <w:rPr>
          <w:color w:val="auto"/>
          <w:highlight w:val="none"/>
        </w:rPr>
      </w:pPr>
      <w:r>
        <w:rPr>
          <w:rFonts w:hint="eastAsia"/>
          <w:color w:val="auto"/>
          <w:highlight w:val="none"/>
        </w:rPr>
        <w:t>6.3.2评标完成后，评标委员会应当向招标人提交书面评标报告和中标候选人名单。评标委员会推荐中标候选人的人数见投标人须知前附表。</w:t>
      </w:r>
    </w:p>
    <w:p>
      <w:pPr>
        <w:pStyle w:val="8"/>
        <w:spacing w:line="360" w:lineRule="auto"/>
        <w:rPr>
          <w:color w:val="auto"/>
          <w:highlight w:val="none"/>
        </w:rPr>
      </w:pPr>
      <w:r>
        <w:rPr>
          <w:rFonts w:hint="eastAsia"/>
          <w:color w:val="auto"/>
          <w:highlight w:val="none"/>
          <w:u w:val="single"/>
        </w:rPr>
        <w:t>在电子评标过程中，无论遇到任何系统异常或故障，评标委员会均应出具评标报告。</w:t>
      </w:r>
    </w:p>
    <w:p>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7.合同授予</w:t>
      </w:r>
    </w:p>
    <w:p>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7.1中标候选人公示</w:t>
      </w:r>
    </w:p>
    <w:p>
      <w:pPr>
        <w:spacing w:line="360" w:lineRule="auto"/>
        <w:ind w:firstLine="440" w:firstLineChars="200"/>
        <w:rPr>
          <w:color w:val="auto"/>
          <w:highlight w:val="none"/>
        </w:rPr>
      </w:pPr>
      <w:r>
        <w:rPr>
          <w:rFonts w:hint="eastAsia"/>
          <w:color w:val="auto"/>
          <w:highlight w:val="none"/>
        </w:rPr>
        <w:t>招标人在收到评标报告之日起 3 日内，按照投标人须知前附表规定的公示媒介和期限公示</w:t>
      </w:r>
    </w:p>
    <w:p>
      <w:pPr>
        <w:spacing w:line="360" w:lineRule="auto"/>
        <w:rPr>
          <w:color w:val="auto"/>
          <w:highlight w:val="none"/>
        </w:rPr>
      </w:pPr>
      <w:r>
        <w:rPr>
          <w:rFonts w:hint="eastAsia"/>
          <w:color w:val="auto"/>
          <w:highlight w:val="none"/>
        </w:rPr>
        <w:t>中标候选人，公示期不得少于 3 天。</w:t>
      </w:r>
    </w:p>
    <w:p>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7.2评标结果异议</w:t>
      </w:r>
    </w:p>
    <w:p>
      <w:pPr>
        <w:spacing w:line="360" w:lineRule="auto"/>
        <w:ind w:firstLine="440" w:firstLineChars="200"/>
        <w:rPr>
          <w:color w:val="auto"/>
          <w:highlight w:val="none"/>
        </w:rPr>
      </w:pPr>
      <w:r>
        <w:rPr>
          <w:rFonts w:hint="eastAsia"/>
          <w:color w:val="auto"/>
          <w:highlight w:val="none"/>
        </w:rPr>
        <w:t>投标人或者其他利害关系人对评标结果有异议的，应当在中标候选人公示期间提出。招标人将在收到异议之日起 3 日内作出答复；作出答复前，将暂停招标投标活动。</w:t>
      </w:r>
    </w:p>
    <w:p>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7.3中标候选人履约能力审查</w:t>
      </w:r>
    </w:p>
    <w:p>
      <w:pPr>
        <w:spacing w:line="360" w:lineRule="auto"/>
        <w:ind w:firstLine="440" w:firstLineChars="200"/>
        <w:rPr>
          <w:color w:val="auto"/>
          <w:highlight w:val="none"/>
        </w:rPr>
      </w:pPr>
      <w:r>
        <w:rPr>
          <w:rFonts w:hint="eastAsia"/>
          <w:color w:val="auto"/>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7.4定标</w:t>
      </w:r>
    </w:p>
    <w:p>
      <w:pPr>
        <w:spacing w:line="360" w:lineRule="auto"/>
        <w:ind w:firstLine="440" w:firstLineChars="200"/>
        <w:rPr>
          <w:color w:val="auto"/>
          <w:highlight w:val="none"/>
        </w:rPr>
      </w:pPr>
      <w:r>
        <w:rPr>
          <w:rFonts w:hint="eastAsia"/>
          <w:color w:val="auto"/>
          <w:highlight w:val="none"/>
        </w:rPr>
        <w:t>按照投标人须知前附表的规定，招标人或招标人授权的评标委员会依法确定中标人。</w:t>
      </w:r>
    </w:p>
    <w:p>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7.5中标通知</w:t>
      </w:r>
    </w:p>
    <w:p>
      <w:pPr>
        <w:spacing w:line="360" w:lineRule="auto"/>
        <w:ind w:firstLine="440" w:firstLineChars="200"/>
        <w:rPr>
          <w:color w:val="auto"/>
          <w:highlight w:val="none"/>
        </w:rPr>
      </w:pPr>
      <w:r>
        <w:rPr>
          <w:rFonts w:hint="eastAsia"/>
          <w:color w:val="auto"/>
          <w:highlight w:val="none"/>
          <w:lang w:val="en-US"/>
        </w:rPr>
        <w:t>7.5.1</w:t>
      </w:r>
      <w:r>
        <w:rPr>
          <w:rFonts w:hint="eastAsia"/>
          <w:color w:val="auto"/>
          <w:highlight w:val="none"/>
        </w:rPr>
        <w:t>在本章第 3.3 款规定的投标有效期内，招标人以书面形式向中标人发出中标通知书</w:t>
      </w:r>
      <w:r>
        <w:rPr>
          <w:rFonts w:hint="eastAsia"/>
          <w:strike/>
          <w:color w:val="auto"/>
          <w:highlight w:val="none"/>
        </w:rPr>
        <w:t>，同时将中标结果通知未中标的投标人</w:t>
      </w:r>
      <w:r>
        <w:rPr>
          <w:rFonts w:hint="eastAsia"/>
          <w:color w:val="auto"/>
          <w:highlight w:val="none"/>
        </w:rPr>
        <w:t>。</w:t>
      </w:r>
    </w:p>
    <w:p>
      <w:pPr>
        <w:spacing w:line="360" w:lineRule="auto"/>
        <w:rPr>
          <w:color w:val="auto"/>
          <w:highlight w:val="none"/>
        </w:rPr>
      </w:pPr>
      <w:r>
        <w:rPr>
          <w:rFonts w:hint="eastAsia" w:cs="Times New Roman"/>
          <w:b/>
          <w:bCs/>
          <w:color w:val="auto"/>
          <w:kern w:val="2"/>
          <w:sz w:val="28"/>
          <w:szCs w:val="28"/>
          <w:highlight w:val="none"/>
          <w:lang w:val="en-US" w:bidi="ar-SA"/>
        </w:rPr>
        <w:t>7.6履约保证金</w:t>
      </w:r>
    </w:p>
    <w:p>
      <w:pPr>
        <w:spacing w:line="360" w:lineRule="auto"/>
        <w:ind w:firstLine="440" w:firstLineChars="200"/>
        <w:rPr>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-53975</wp:posOffset>
                </wp:positionH>
                <wp:positionV relativeFrom="paragraph">
                  <wp:posOffset>901065</wp:posOffset>
                </wp:positionV>
                <wp:extent cx="3705860" cy="0"/>
                <wp:effectExtent l="0" t="0" r="0" b="0"/>
                <wp:wrapNone/>
                <wp:docPr id="14" name="直接连接符 14"/>
                <wp:cNvGraphicFramePr/>
                <a:graphic xmlns:a="http://schemas.openxmlformats.org/drawingml/2006/main">
                  <a:graphicData uri="http://schemas.microsoft.com/office/word/2010/wordprocessingShape">
                    <wps:wsp>
                      <wps:cNvCnPr/>
                      <wps:spPr>
                        <a:xfrm>
                          <a:off x="936625" y="3705860"/>
                          <a:ext cx="37058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25pt;margin-top:70.95pt;height:0pt;width:291.8pt;z-index:251666432;mso-width-relative:page;mso-height-relative:page;" filled="f" stroked="t" coordsize="21600,21600" o:gfxdata="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ekW091wAAAAoBAAAP&#10;AAAAAAAAAAEAIAAAACIAAABkcnMvZG93bnJldi54bWxQSwECFAAUAAAACACHTuJAjj64YeABAACn&#10;AwAADgAAAAAAAAABACAAAAAmAQAAZHJzL2Uyb0RvYy54bWxQSwUGAAAAAAYABgBZAQAAeAUAAAAA&#10;">
                <v:fill on="f" focussize="0,0"/>
                <v:stroke color="#000000 [3213]" joinstyle="round"/>
                <v:imagedata o:title=""/>
                <o:lock v:ext="edit" aspectratio="f"/>
              </v:lin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-5715</wp:posOffset>
                </wp:positionH>
                <wp:positionV relativeFrom="paragraph">
                  <wp:posOffset>621030</wp:posOffset>
                </wp:positionV>
                <wp:extent cx="5861685" cy="43180"/>
                <wp:effectExtent l="0" t="4445" r="5715" b="9525"/>
                <wp:wrapNone/>
                <wp:docPr id="11" name="直接连接符 11"/>
                <wp:cNvGraphicFramePr/>
                <a:graphic xmlns:a="http://schemas.openxmlformats.org/drawingml/2006/main">
                  <a:graphicData uri="http://schemas.microsoft.com/office/word/2010/wordprocessingShape">
                    <wps:wsp>
                      <wps:cNvCnPr/>
                      <wps:spPr>
                        <a:xfrm flipV="1">
                          <a:off x="0" y="0"/>
                          <a:ext cx="5861685" cy="431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45pt;margin-top:48.9pt;height:3.4pt;width:461.55pt;z-index:251663360;mso-width-relative:page;mso-height-relative:page;" filled="f" stroked="t" coordsize="21600,21600" o:gfxdata="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nZk8h1gAAAAgB&#10;AAAPAAAAAAAAAAEAIAAAACIAAABkcnMvZG93bnJldi54bWxQSwECFAAUAAAACACHTuJAueQ3G+QB&#10;AACqAwAADgAAAAAAAAABACAAAAAlAQAAZHJzL2Uyb0RvYy54bWxQSwUGAAAAAAYABgBZAQAAewUA&#10;AAAA&#10;">
                <v:fill on="f" focussize="0,0"/>
                <v:stroke color="#000000 [3213]" joinstyle="round"/>
                <v:imagedata o:title=""/>
                <o:lock v:ext="edit" aspectratio="f"/>
              </v:lin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-27940</wp:posOffset>
                </wp:positionH>
                <wp:positionV relativeFrom="paragraph">
                  <wp:posOffset>364490</wp:posOffset>
                </wp:positionV>
                <wp:extent cx="5861685" cy="43180"/>
                <wp:effectExtent l="0" t="4445" r="5715" b="9525"/>
                <wp:wrapNone/>
                <wp:docPr id="10" name="直接连接符 10"/>
                <wp:cNvGraphicFramePr/>
                <a:graphic xmlns:a="http://schemas.openxmlformats.org/drawingml/2006/main">
                  <a:graphicData uri="http://schemas.microsoft.com/office/word/2010/wordprocessingShape">
                    <wps:wsp>
                      <wps:cNvCnPr/>
                      <wps:spPr>
                        <a:xfrm flipV="1">
                          <a:off x="962660" y="3169285"/>
                          <a:ext cx="5861685" cy="431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2pt;margin-top:28.7pt;height:3.4pt;width:461.55pt;z-index:251662336;mso-width-relative:page;mso-height-relative:page;" filled="f" stroked="t" coordsize="21600,21600" o:gfxdata="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UukDvYAAAACAEAAA8AAAAAAAAAAQAgAAAAIgAAAGRycy9kb3ducmV2LnhtbFBLAQIUABQA&#10;AAAIAIdO4kBy8y+68AEAALUDAAAOAAAAAAAAAAEAIAAAACcBAABkcnMvZTJvRG9jLnhtbFBLBQYA&#10;AAAABgAGAFkBAACJBQAAAAA=&#10;">
                <v:fill on="f" focussize="0,0"/>
                <v:stroke color="#000000 [3213]" joinstyle="round"/>
                <v:imagedata o:title=""/>
                <o:lock v:ext="edit" aspectratio="f"/>
              </v:lin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300990</wp:posOffset>
                </wp:positionH>
                <wp:positionV relativeFrom="paragraph">
                  <wp:posOffset>69850</wp:posOffset>
                </wp:positionV>
                <wp:extent cx="5386070" cy="8890"/>
                <wp:effectExtent l="0" t="0" r="0" b="0"/>
                <wp:wrapNone/>
                <wp:docPr id="9" name="直接连接符 9"/>
                <wp:cNvGraphicFramePr/>
                <a:graphic xmlns:a="http://schemas.openxmlformats.org/drawingml/2006/main">
                  <a:graphicData uri="http://schemas.microsoft.com/office/word/2010/wordprocessingShape">
                    <wps:wsp>
                      <wps:cNvCnPr/>
                      <wps:spPr>
                        <a:xfrm>
                          <a:off x="1291590" y="2874645"/>
                          <a:ext cx="5386070" cy="88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3.7pt;margin-top:5.5pt;height:0.7pt;width:424.1pt;z-index:251661312;mso-width-relative:page;mso-height-relative:page;" filled="f" stroked="t" coordsize="21600,21600" o:gfxdata="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9kf49YA&#10;AAAIAQAADwAAAAAAAAABACAAAAAiAAAAZHJzL2Rvd25yZXYueG1sUEsBAhQAFAAAAAgAh07iQBeU&#10;icvoAQAAqQMAAA4AAAAAAAAAAQAgAAAAJQEAAGRycy9lMm9Eb2MueG1sUEsFBgAAAAAGAAYAWQEA&#10;AH8FAAAAAA==&#10;">
                <v:fill on="f" focussize="0,0"/>
                <v:stroke color="#000000 [3213]" joinstyle="round"/>
                <v:imagedata o:title=""/>
                <o:lock v:ext="edit" aspectratio="f"/>
              </v:line>
            </w:pict>
          </mc:Fallback>
        </mc:AlternateContent>
      </w:r>
      <w:r>
        <w:rPr>
          <w:rFonts w:hint="eastAsia"/>
          <w:color w:val="auto"/>
          <w:highlight w:val="none"/>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10%。联合体中标的，其履约保证金以联合体各方或者联合体中牵头人的名义提交。</w:t>
      </w:r>
    </w:p>
    <w:p>
      <w:pPr>
        <w:spacing w:line="360" w:lineRule="auto"/>
        <w:ind w:firstLine="440" w:firstLineChars="200"/>
        <w:rPr>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-31750</wp:posOffset>
                </wp:positionH>
                <wp:positionV relativeFrom="paragraph">
                  <wp:posOffset>339090</wp:posOffset>
                </wp:positionV>
                <wp:extent cx="5861685" cy="43180"/>
                <wp:effectExtent l="0" t="4445" r="5715" b="9525"/>
                <wp:wrapNone/>
                <wp:docPr id="13" name="直接连接符 13"/>
                <wp:cNvGraphicFramePr/>
                <a:graphic xmlns:a="http://schemas.openxmlformats.org/drawingml/2006/main">
                  <a:graphicData uri="http://schemas.microsoft.com/office/word/2010/wordprocessingShape">
                    <wps:wsp>
                      <wps:cNvCnPr/>
                      <wps:spPr>
                        <a:xfrm flipV="1">
                          <a:off x="0" y="0"/>
                          <a:ext cx="5861685" cy="431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5pt;margin-top:26.7pt;height:3.4pt;width:461.55pt;z-index:251665408;mso-width-relative:page;mso-height-relative:page;" filled="f" stroked="t" coordsize="21600,21600" o:gfxdata="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AHQazXAAAA&#10;CAEAAA8AAAAAAAAAAQAgAAAAIgAAAGRycy9kb3ducmV2LnhtbFBLAQIUABQAAAAIAIdO4kACXQjN&#10;5QEAAKoDAAAOAAAAAAAAAAEAIAAAACYBAABkcnMvZTJvRG9jLnhtbFBLBQYAAAAABgAGAFkBAAB9&#10;BQAAAAA=&#10;">
                <v:fill on="f" focussize="0,0"/>
                <v:stroke color="#000000 [3213]" joinstyle="round"/>
                <v:imagedata o:title=""/>
                <o:lock v:ext="edit" aspectratio="f"/>
              </v:lin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176530</wp:posOffset>
                </wp:positionH>
                <wp:positionV relativeFrom="paragraph">
                  <wp:posOffset>70485</wp:posOffset>
                </wp:positionV>
                <wp:extent cx="5861685" cy="43180"/>
                <wp:effectExtent l="0" t="4445" r="5715" b="9525"/>
                <wp:wrapNone/>
                <wp:docPr id="12" name="直接连接符 12"/>
                <wp:cNvGraphicFramePr/>
                <a:graphic xmlns:a="http://schemas.openxmlformats.org/drawingml/2006/main">
                  <a:graphicData uri="http://schemas.microsoft.com/office/word/2010/wordprocessingShape">
                    <wps:wsp>
                      <wps:cNvCnPr/>
                      <wps:spPr>
                        <a:xfrm flipV="1">
                          <a:off x="0" y="0"/>
                          <a:ext cx="5861685" cy="431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3.9pt;margin-top:5.55pt;height:3.4pt;width:461.55pt;z-index:251664384;mso-width-relative:page;mso-height-relative:page;" filled="f" stroked="t" coordsize="21600,21600" o:gfxdata="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yexFHVAAAACAEA&#10;AA8AAAAAAAAAAQAgAAAAIgAAAGRycy9kb3ducmV2LnhtbFBLAQIUABQAAAAIAIdO4kD/Aq9L5AEA&#10;AKoDAAAOAAAAAAAAAAEAIAAAACQBAABkcnMvZTJvRG9jLnhtbFBLBQYAAAAABgAGAFkBAAB6BQAA&#10;AAA=&#10;">
                <v:fill on="f" focussize="0,0"/>
                <v:stroke color="#000000 [3213]" joinstyle="round"/>
                <v:imagedata o:title=""/>
                <o:lock v:ext="edit" aspectratio="f"/>
              </v:line>
            </w:pict>
          </mc:Fallback>
        </mc:AlternateContent>
      </w:r>
      <w:r>
        <w:rPr>
          <w:rFonts w:hint="eastAsia"/>
          <w:color w:val="auto"/>
          <w:highlight w:val="none"/>
        </w:rPr>
        <w:t>7.6.2中标人不能按本章第 7.6.1 项要求提交履约保证金的，视为放弃中标，其投标保证金不予退还，给招标人造成的损失超过投标保证金数额的，中标人还应当对超过部分予以赔偿。</w:t>
      </w:r>
    </w:p>
    <w:p>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7.7签订合同</w:t>
      </w:r>
    </w:p>
    <w:p>
      <w:pPr>
        <w:spacing w:line="360" w:lineRule="auto"/>
        <w:ind w:firstLine="440" w:firstLineChars="200"/>
        <w:rPr>
          <w:color w:val="auto"/>
          <w:highlight w:val="none"/>
        </w:rPr>
      </w:pPr>
      <w:r>
        <w:rPr>
          <w:rFonts w:hint="eastAsia"/>
          <w:color w:val="auto"/>
          <w:highlight w:val="none"/>
        </w:rPr>
        <w:t>7.7.1招标人</w:t>
      </w:r>
      <w:r>
        <w:rPr>
          <w:rFonts w:hint="eastAsia"/>
          <w:color w:val="auto"/>
          <w:highlight w:val="none"/>
          <w:u w:val="single"/>
        </w:rPr>
        <w:t>、建设管理单位</w:t>
      </w:r>
      <w:r>
        <w:rPr>
          <w:rFonts w:hint="eastAsia"/>
          <w:color w:val="auto"/>
          <w:highlight w:val="none"/>
        </w:rPr>
        <w:t>和中标人应当在中标通知书发出之日起 30 日内，根据招标文件和中标人的投标文件订立书面合同。中标人无正当理由拒签合同，在签订合同时向招标人</w:t>
      </w:r>
      <w:r>
        <w:rPr>
          <w:rFonts w:hint="eastAsia"/>
          <w:color w:val="auto"/>
          <w:highlight w:val="none"/>
          <w:u w:val="single"/>
        </w:rPr>
        <w:t>或建设管理单位</w:t>
      </w:r>
      <w:r>
        <w:rPr>
          <w:rFonts w:hint="eastAsia"/>
          <w:color w:val="auto"/>
          <w:highlight w:val="none"/>
        </w:rPr>
        <w:t>提出附加条件，或者不按照招标文件要求提交履约保证金的，招标人有权取消其中标资格，其投标保证金不予退还；给招标人造成的损失超过投标保证金数额的，中标人还应当对超过部分予以赔偿。</w:t>
      </w:r>
    </w:p>
    <w:p>
      <w:pPr>
        <w:spacing w:line="360" w:lineRule="auto"/>
        <w:ind w:firstLine="440" w:firstLineChars="200"/>
        <w:rPr>
          <w:color w:val="auto"/>
          <w:highlight w:val="none"/>
        </w:rPr>
      </w:pPr>
      <w:r>
        <w:rPr>
          <w:rFonts w:hint="eastAsia"/>
          <w:color w:val="auto"/>
          <w:highlight w:val="none"/>
        </w:rPr>
        <w:t>7.7.2发出中标通知书后，招标人无正当理由拒签合同，或者在签订合同时向中标人提出附加条件的，</w:t>
      </w:r>
      <w:r>
        <w:rPr>
          <w:rFonts w:hint="eastAsia"/>
          <w:color w:val="auto"/>
          <w:highlight w:val="none"/>
          <w:u w:val="single"/>
        </w:rPr>
        <w:t>招标人通知广州公共资源交易中心向中标人退还投标保证金</w:t>
      </w:r>
      <w:r>
        <w:rPr>
          <w:rFonts w:hint="eastAsia"/>
          <w:color w:val="auto"/>
          <w:highlight w:val="none"/>
        </w:rPr>
        <w:t>；给中标人造成损失的，还应当赔偿损失。</w:t>
      </w:r>
    </w:p>
    <w:p>
      <w:pPr>
        <w:spacing w:line="360" w:lineRule="auto"/>
        <w:ind w:firstLine="440" w:firstLineChars="200"/>
        <w:rPr>
          <w:color w:val="auto"/>
          <w:highlight w:val="none"/>
        </w:rPr>
      </w:pPr>
      <w:r>
        <w:rPr>
          <w:rFonts w:hint="eastAsia"/>
          <w:color w:val="auto"/>
          <w:highlight w:val="none"/>
        </w:rPr>
        <w:t>7.7.3</w:t>
      </w:r>
      <w:r>
        <w:rPr>
          <w:rFonts w:hint="eastAsia"/>
          <w:color w:val="auto"/>
          <w:highlight w:val="none"/>
          <w:u w:val="single"/>
        </w:rPr>
        <w:t>招标人或建设管理单位支付</w:t>
      </w:r>
      <w:r>
        <w:rPr>
          <w:rFonts w:hint="eastAsia"/>
          <w:color w:val="auto"/>
          <w:highlight w:val="none"/>
          <w:u w:val="single"/>
          <w:lang w:val="en-US"/>
        </w:rPr>
        <w:t>费用</w:t>
      </w:r>
      <w:r>
        <w:rPr>
          <w:rFonts w:hint="eastAsia"/>
          <w:color w:val="auto"/>
          <w:highlight w:val="none"/>
          <w:u w:val="single"/>
        </w:rPr>
        <w:t>时，中标人应提供相应的等额合法有效的增值税发票。</w:t>
      </w:r>
    </w:p>
    <w:p>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8.纪律和监督</w:t>
      </w:r>
    </w:p>
    <w:p>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8.1对招标人的纪律要求</w:t>
      </w:r>
    </w:p>
    <w:p>
      <w:pPr>
        <w:spacing w:line="360" w:lineRule="auto"/>
        <w:ind w:firstLine="440" w:firstLineChars="200"/>
        <w:rPr>
          <w:color w:val="auto"/>
          <w:highlight w:val="none"/>
        </w:rPr>
      </w:pPr>
      <w:r>
        <w:rPr>
          <w:rFonts w:hint="eastAsia"/>
          <w:color w:val="auto"/>
          <w:highlight w:val="none"/>
        </w:rPr>
        <w:t>招标人不得泄露招标投标活动中应当保密的情况和资料，不得与投标人串通损害国家利益、社会公共利益或者他人合法权益。</w:t>
      </w:r>
    </w:p>
    <w:p>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8.2对投标人的纪律要求</w:t>
      </w:r>
    </w:p>
    <w:p>
      <w:pPr>
        <w:spacing w:line="360" w:lineRule="auto"/>
        <w:ind w:firstLine="440" w:firstLineChars="200"/>
        <w:rPr>
          <w:color w:val="auto"/>
          <w:highlight w:val="none"/>
        </w:rPr>
      </w:pPr>
      <w:r>
        <w:rPr>
          <w:rFonts w:hint="eastAsia"/>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8.3对评标委员会成员的纪律要求</w:t>
      </w:r>
    </w:p>
    <w:p>
      <w:pPr>
        <w:spacing w:line="360" w:lineRule="auto"/>
        <w:ind w:firstLine="440" w:firstLineChars="200"/>
        <w:rPr>
          <w:color w:val="auto"/>
          <w:highlight w:val="none"/>
        </w:rPr>
      </w:pPr>
      <w:r>
        <w:rPr>
          <w:rFonts w:hint="eastAsia"/>
          <w:color w:val="auto"/>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8.4对与评标活动有关的工作人员的纪律要求</w:t>
      </w:r>
    </w:p>
    <w:p>
      <w:pPr>
        <w:spacing w:line="360" w:lineRule="auto"/>
        <w:ind w:firstLine="440" w:firstLineChars="200"/>
        <w:rPr>
          <w:color w:val="auto"/>
          <w:highlight w:val="none"/>
        </w:rPr>
      </w:pPr>
      <w:r>
        <w:rPr>
          <w:rFonts w:hint="eastAsia"/>
          <w:color w:val="auto"/>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8.5投诉</w:t>
      </w:r>
    </w:p>
    <w:p>
      <w:pPr>
        <w:spacing w:line="360" w:lineRule="auto"/>
        <w:ind w:firstLine="440" w:firstLineChars="200"/>
        <w:rPr>
          <w:color w:val="auto"/>
          <w:highlight w:val="none"/>
        </w:rPr>
      </w:pPr>
      <w:r>
        <w:rPr>
          <w:rFonts w:hint="eastAsia"/>
          <w:color w:val="auto"/>
          <w:highlight w:val="none"/>
        </w:rPr>
        <w:t>8.5.1投标人或者其他利害关系人认为招标投标活动不符合法律、行政法规规定的，可以自知道或者应当知道之日起 10 日内向有关行政监督部门投诉。投诉应当有明确的请求和必要的证明材料。</w:t>
      </w:r>
    </w:p>
    <w:p>
      <w:pPr>
        <w:spacing w:line="360" w:lineRule="auto"/>
        <w:ind w:firstLine="440" w:firstLineChars="200"/>
        <w:rPr>
          <w:color w:val="auto"/>
          <w:highlight w:val="none"/>
        </w:rPr>
      </w:pPr>
      <w:r>
        <w:rPr>
          <w:rFonts w:hint="eastAsia"/>
          <w:color w:val="auto"/>
          <w:highlight w:val="none"/>
        </w:rPr>
        <w:t>8.5.2投标人或者其他利害关系人对招标文件、开标和评标结果提出投诉的，应当按照投标人须知第 2.4 款、第 5.3 款和第 7.2 款的规定先向招标人提出异议。异议答复期间不计算在第 8.5.1 项规定的期限内。</w:t>
      </w:r>
    </w:p>
    <w:p>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9.是否采用电子招标投标</w:t>
      </w:r>
    </w:p>
    <w:p>
      <w:pPr>
        <w:spacing w:line="360" w:lineRule="auto"/>
        <w:ind w:firstLine="440" w:firstLineChars="200"/>
        <w:rPr>
          <w:color w:val="auto"/>
          <w:highlight w:val="none"/>
        </w:rPr>
      </w:pPr>
      <w:r>
        <w:rPr>
          <w:rFonts w:hint="eastAsia"/>
          <w:color w:val="auto"/>
          <w:highlight w:val="none"/>
        </w:rPr>
        <w:t>本招标项目是否采用电子招标投标方式，见投标人须知前附表。</w:t>
      </w:r>
    </w:p>
    <w:p>
      <w:pPr>
        <w:spacing w:line="360" w:lineRule="auto"/>
        <w:rPr>
          <w:rFonts w:cs="Times New Roman"/>
          <w:b/>
          <w:bCs/>
          <w:color w:val="auto"/>
          <w:kern w:val="2"/>
          <w:sz w:val="28"/>
          <w:szCs w:val="28"/>
          <w:highlight w:val="none"/>
          <w:lang w:val="en-US" w:bidi="ar-SA"/>
        </w:rPr>
      </w:pPr>
      <w:r>
        <w:rPr>
          <w:rFonts w:hint="eastAsia" w:cs="Times New Roman"/>
          <w:b/>
          <w:bCs/>
          <w:color w:val="auto"/>
          <w:kern w:val="2"/>
          <w:sz w:val="28"/>
          <w:szCs w:val="28"/>
          <w:highlight w:val="none"/>
          <w:lang w:val="en-US" w:bidi="ar-SA"/>
        </w:rPr>
        <w:t>10.需要补充的其他内容</w:t>
      </w:r>
    </w:p>
    <w:p>
      <w:pPr>
        <w:spacing w:line="360" w:lineRule="auto"/>
        <w:ind w:firstLine="440" w:firstLineChars="200"/>
        <w:rPr>
          <w:color w:val="auto"/>
          <w:highlight w:val="none"/>
        </w:rPr>
        <w:sectPr>
          <w:footerReference r:id="rId5" w:type="default"/>
          <w:pgSz w:w="11906" w:h="16838"/>
          <w:pgMar w:top="1500" w:right="1100" w:bottom="1120" w:left="1560" w:header="0" w:footer="841" w:gutter="0"/>
          <w:cols w:space="720" w:num="1"/>
        </w:sectPr>
      </w:pPr>
      <w:r>
        <w:rPr>
          <w:rFonts w:hint="eastAsia"/>
          <w:color w:val="auto"/>
          <w:highlight w:val="none"/>
        </w:rPr>
        <w:t>需要补充的其他内容：见投标人须知前附表。</w:t>
      </w:r>
    </w:p>
    <w:p>
      <w:pPr>
        <w:spacing w:before="43" w:line="360" w:lineRule="auto"/>
        <w:ind w:left="377"/>
        <w:outlineLvl w:val="0"/>
        <w:rPr>
          <w:color w:val="auto"/>
          <w:sz w:val="28"/>
          <w:highlight w:val="none"/>
        </w:rPr>
      </w:pPr>
      <w:bookmarkStart w:id="8" w:name="_bookmark76"/>
      <w:bookmarkEnd w:id="8"/>
      <w:bookmarkStart w:id="9" w:name="_Toc757"/>
      <w:r>
        <w:rPr>
          <w:rFonts w:hint="eastAsia"/>
          <w:color w:val="auto"/>
          <w:sz w:val="28"/>
          <w:highlight w:val="none"/>
        </w:rPr>
        <w:t>附件一：开标记录表</w:t>
      </w:r>
      <w:bookmarkEnd w:id="9"/>
    </w:p>
    <w:p>
      <w:pPr>
        <w:pStyle w:val="11"/>
        <w:spacing w:line="360" w:lineRule="auto"/>
        <w:rPr>
          <w:color w:val="auto"/>
          <w:sz w:val="20"/>
          <w:highlight w:val="none"/>
        </w:rPr>
      </w:pPr>
    </w:p>
    <w:p>
      <w:pPr>
        <w:pStyle w:val="11"/>
        <w:spacing w:before="8" w:line="360" w:lineRule="auto"/>
        <w:rPr>
          <w:color w:val="auto"/>
          <w:highlight w:val="none"/>
        </w:rPr>
      </w:pPr>
    </w:p>
    <w:p>
      <w:pPr>
        <w:spacing w:before="61" w:line="360" w:lineRule="auto"/>
        <w:ind w:right="456"/>
        <w:jc w:val="center"/>
        <w:rPr>
          <w:color w:val="auto"/>
          <w:sz w:val="28"/>
          <w:highlight w:val="none"/>
        </w:rPr>
      </w:pPr>
      <w:r>
        <w:rPr>
          <w:rFonts w:hint="eastAsia"/>
          <w:b/>
          <w:bCs/>
          <w:color w:val="auto"/>
          <w:sz w:val="28"/>
          <w:highlight w:val="none"/>
        </w:rPr>
        <w:t>开标记录表（参考格式）</w:t>
      </w:r>
    </w:p>
    <w:p>
      <w:pPr>
        <w:pStyle w:val="11"/>
        <w:tabs>
          <w:tab w:val="left" w:pos="3634"/>
          <w:tab w:val="left" w:pos="4788"/>
          <w:tab w:val="left" w:pos="5943"/>
          <w:tab w:val="left" w:pos="7098"/>
          <w:tab w:val="left" w:pos="8253"/>
        </w:tabs>
        <w:spacing w:before="237" w:line="360" w:lineRule="auto"/>
        <w:ind w:left="1637"/>
        <w:rPr>
          <w:color w:val="auto"/>
          <w:highlight w:val="none"/>
        </w:rPr>
      </w:pPr>
      <w:r>
        <w:rPr>
          <w:rFonts w:hint="eastAsia"/>
          <w:color w:val="auto"/>
          <w:highlight w:val="none"/>
        </w:rPr>
        <w:t>开标</w:t>
      </w:r>
      <w:r>
        <w:rPr>
          <w:rFonts w:hint="eastAsia"/>
          <w:color w:val="auto"/>
          <w:spacing w:val="-3"/>
          <w:highlight w:val="none"/>
        </w:rPr>
        <w:t>时</w:t>
      </w:r>
      <w:r>
        <w:rPr>
          <w:rFonts w:hint="eastAsia"/>
          <w:color w:val="auto"/>
          <w:highlight w:val="none"/>
        </w:rPr>
        <w:t>间：</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年</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月</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日</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时</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分</w:t>
      </w:r>
    </w:p>
    <w:p>
      <w:pPr>
        <w:pStyle w:val="11"/>
        <w:spacing w:before="1" w:line="360" w:lineRule="auto"/>
        <w:rPr>
          <w:color w:val="auto"/>
          <w:sz w:val="11"/>
          <w:highlight w:val="none"/>
        </w:rPr>
      </w:pPr>
    </w:p>
    <w:tbl>
      <w:tblPr>
        <w:tblStyle w:val="21"/>
        <w:tblW w:w="107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8"/>
        <w:gridCol w:w="1020"/>
        <w:gridCol w:w="992"/>
        <w:gridCol w:w="1465"/>
        <w:gridCol w:w="1465"/>
        <w:gridCol w:w="1466"/>
        <w:gridCol w:w="711"/>
        <w:gridCol w:w="992"/>
        <w:gridCol w:w="992"/>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jc w:val="center"/>
        </w:trPr>
        <w:tc>
          <w:tcPr>
            <w:tcW w:w="648" w:type="dxa"/>
            <w:vAlign w:val="center"/>
          </w:tcPr>
          <w:p>
            <w:pPr>
              <w:pStyle w:val="27"/>
              <w:adjustRightInd w:val="0"/>
              <w:snapToGrid w:val="0"/>
              <w:spacing w:line="400" w:lineRule="exact"/>
              <w:ind w:left="4" w:right="4"/>
              <w:jc w:val="center"/>
              <w:rPr>
                <w:color w:val="auto"/>
                <w:sz w:val="18"/>
                <w:highlight w:val="none"/>
              </w:rPr>
            </w:pPr>
            <w:r>
              <w:rPr>
                <w:rFonts w:hint="eastAsia"/>
                <w:color w:val="auto"/>
                <w:sz w:val="18"/>
                <w:highlight w:val="none"/>
              </w:rPr>
              <w:t>序号</w:t>
            </w:r>
          </w:p>
        </w:tc>
        <w:tc>
          <w:tcPr>
            <w:tcW w:w="1020" w:type="dxa"/>
            <w:vAlign w:val="center"/>
          </w:tcPr>
          <w:p>
            <w:pPr>
              <w:pStyle w:val="27"/>
              <w:adjustRightInd w:val="0"/>
              <w:snapToGrid w:val="0"/>
              <w:spacing w:line="400" w:lineRule="exact"/>
              <w:ind w:left="4" w:right="4"/>
              <w:jc w:val="center"/>
              <w:rPr>
                <w:color w:val="auto"/>
                <w:sz w:val="18"/>
                <w:highlight w:val="none"/>
              </w:rPr>
            </w:pPr>
            <w:r>
              <w:rPr>
                <w:rFonts w:hint="eastAsia"/>
                <w:color w:val="auto"/>
                <w:sz w:val="18"/>
                <w:highlight w:val="none"/>
              </w:rPr>
              <w:t>投标人</w:t>
            </w:r>
          </w:p>
        </w:tc>
        <w:tc>
          <w:tcPr>
            <w:tcW w:w="992" w:type="dxa"/>
            <w:vAlign w:val="center"/>
          </w:tcPr>
          <w:p>
            <w:pPr>
              <w:pStyle w:val="27"/>
              <w:adjustRightInd w:val="0"/>
              <w:snapToGrid w:val="0"/>
              <w:spacing w:line="400" w:lineRule="exact"/>
              <w:ind w:left="4" w:right="4"/>
              <w:jc w:val="center"/>
              <w:rPr>
                <w:color w:val="auto"/>
                <w:sz w:val="18"/>
                <w:highlight w:val="none"/>
              </w:rPr>
            </w:pPr>
            <w:r>
              <w:rPr>
                <w:rFonts w:hint="eastAsia"/>
                <w:color w:val="auto"/>
                <w:sz w:val="18"/>
                <w:highlight w:val="none"/>
              </w:rPr>
              <w:t>投标保证</w:t>
            </w:r>
          </w:p>
          <w:p>
            <w:pPr>
              <w:pStyle w:val="27"/>
              <w:adjustRightInd w:val="0"/>
              <w:snapToGrid w:val="0"/>
              <w:spacing w:line="400" w:lineRule="exact"/>
              <w:ind w:left="4" w:right="4"/>
              <w:jc w:val="center"/>
              <w:rPr>
                <w:color w:val="auto"/>
                <w:sz w:val="18"/>
                <w:highlight w:val="none"/>
              </w:rPr>
            </w:pPr>
            <w:r>
              <w:rPr>
                <w:rFonts w:hint="eastAsia"/>
                <w:color w:val="auto"/>
                <w:sz w:val="18"/>
                <w:highlight w:val="none"/>
              </w:rPr>
              <w:t>金</w:t>
            </w:r>
          </w:p>
        </w:tc>
        <w:tc>
          <w:tcPr>
            <w:tcW w:w="1465" w:type="dxa"/>
            <w:vAlign w:val="center"/>
          </w:tcPr>
          <w:p>
            <w:pPr>
              <w:pStyle w:val="27"/>
              <w:adjustRightInd w:val="0"/>
              <w:snapToGrid w:val="0"/>
              <w:spacing w:line="400" w:lineRule="exact"/>
              <w:ind w:left="4" w:right="4"/>
              <w:jc w:val="center"/>
              <w:rPr>
                <w:color w:val="auto"/>
                <w:sz w:val="18"/>
                <w:highlight w:val="none"/>
              </w:rPr>
            </w:pPr>
            <w:r>
              <w:rPr>
                <w:rFonts w:hint="eastAsia"/>
                <w:color w:val="auto"/>
                <w:sz w:val="18"/>
                <w:highlight w:val="none"/>
              </w:rPr>
              <w:t>投标</w:t>
            </w:r>
            <w:r>
              <w:rPr>
                <w:rFonts w:hint="eastAsia"/>
                <w:color w:val="auto"/>
                <w:sz w:val="18"/>
                <w:highlight w:val="none"/>
                <w:lang w:val="en-US"/>
              </w:rPr>
              <w:t>总</w:t>
            </w:r>
            <w:r>
              <w:rPr>
                <w:rFonts w:hint="eastAsia"/>
                <w:color w:val="auto"/>
                <w:sz w:val="18"/>
                <w:highlight w:val="none"/>
              </w:rPr>
              <w:t>报价</w:t>
            </w:r>
          </w:p>
          <w:p>
            <w:pPr>
              <w:pStyle w:val="27"/>
              <w:adjustRightInd w:val="0"/>
              <w:snapToGrid w:val="0"/>
              <w:spacing w:line="400" w:lineRule="exact"/>
              <w:ind w:left="4" w:right="4"/>
              <w:jc w:val="center"/>
              <w:rPr>
                <w:color w:val="auto"/>
                <w:sz w:val="18"/>
                <w:highlight w:val="none"/>
              </w:rPr>
            </w:pPr>
            <w:r>
              <w:rPr>
                <w:rFonts w:hint="eastAsia"/>
                <w:color w:val="auto"/>
                <w:sz w:val="18"/>
                <w:highlight w:val="none"/>
              </w:rPr>
              <w:t>（元）</w:t>
            </w:r>
          </w:p>
        </w:tc>
        <w:tc>
          <w:tcPr>
            <w:tcW w:w="1465" w:type="dxa"/>
            <w:vAlign w:val="center"/>
          </w:tcPr>
          <w:p>
            <w:pPr>
              <w:adjustRightInd w:val="0"/>
              <w:snapToGrid w:val="0"/>
              <w:spacing w:line="400" w:lineRule="exact"/>
              <w:ind w:left="4" w:right="4"/>
              <w:jc w:val="center"/>
              <w:rPr>
                <w:rFonts w:ascii="Times New Roman" w:hAnsi="Times New Roman"/>
                <w:color w:val="auto"/>
                <w:sz w:val="18"/>
                <w:highlight w:val="none"/>
                <w:lang w:val="en-US"/>
              </w:rPr>
            </w:pPr>
            <w:r>
              <w:rPr>
                <w:rFonts w:hint="eastAsia" w:ascii="Times New Roman" w:hAnsi="Times New Roman"/>
                <w:color w:val="auto"/>
                <w:sz w:val="18"/>
                <w:highlight w:val="none"/>
                <w:lang w:val="en-US"/>
              </w:rPr>
              <w:t>项目负责人</w:t>
            </w:r>
          </w:p>
        </w:tc>
        <w:tc>
          <w:tcPr>
            <w:tcW w:w="1466" w:type="dxa"/>
            <w:vAlign w:val="center"/>
          </w:tcPr>
          <w:p>
            <w:pPr>
              <w:adjustRightInd w:val="0"/>
              <w:snapToGrid w:val="0"/>
              <w:spacing w:line="400" w:lineRule="exact"/>
              <w:ind w:left="4" w:right="4"/>
              <w:jc w:val="center"/>
              <w:rPr>
                <w:color w:val="auto"/>
                <w:sz w:val="18"/>
                <w:highlight w:val="none"/>
              </w:rPr>
            </w:pPr>
            <w:r>
              <w:rPr>
                <w:rFonts w:ascii="Times New Roman" w:hAnsi="Times New Roman"/>
                <w:color w:val="auto"/>
                <w:sz w:val="18"/>
                <w:highlight w:val="none"/>
              </w:rPr>
              <w:t>服务期限</w:t>
            </w:r>
          </w:p>
        </w:tc>
        <w:tc>
          <w:tcPr>
            <w:tcW w:w="711" w:type="dxa"/>
            <w:vAlign w:val="center"/>
          </w:tcPr>
          <w:p>
            <w:pPr>
              <w:adjustRightInd w:val="0"/>
              <w:snapToGrid w:val="0"/>
              <w:spacing w:line="400" w:lineRule="exact"/>
              <w:ind w:left="4" w:right="4"/>
              <w:jc w:val="center"/>
              <w:rPr>
                <w:color w:val="auto"/>
                <w:sz w:val="18"/>
                <w:highlight w:val="none"/>
              </w:rPr>
            </w:pPr>
            <w:r>
              <w:rPr>
                <w:rFonts w:hint="eastAsia" w:ascii="Times New Roman" w:hAnsi="Times New Roman"/>
                <w:color w:val="auto"/>
                <w:sz w:val="18"/>
                <w:highlight w:val="none"/>
              </w:rPr>
              <w:t>投标文件递交情况</w:t>
            </w:r>
          </w:p>
        </w:tc>
        <w:tc>
          <w:tcPr>
            <w:tcW w:w="992" w:type="dxa"/>
            <w:vAlign w:val="center"/>
          </w:tcPr>
          <w:p>
            <w:pPr>
              <w:adjustRightInd w:val="0"/>
              <w:snapToGrid w:val="0"/>
              <w:spacing w:line="400" w:lineRule="exact"/>
              <w:ind w:left="4" w:right="4"/>
              <w:jc w:val="center"/>
              <w:rPr>
                <w:color w:val="auto"/>
                <w:sz w:val="18"/>
                <w:highlight w:val="none"/>
              </w:rPr>
            </w:pPr>
            <w:r>
              <w:rPr>
                <w:rFonts w:hint="eastAsia" w:ascii="Times New Roman" w:hAnsi="Times New Roman"/>
                <w:color w:val="auto"/>
                <w:sz w:val="18"/>
                <w:highlight w:val="none"/>
              </w:rPr>
              <w:t>投标文件解密情况</w:t>
            </w:r>
          </w:p>
        </w:tc>
        <w:tc>
          <w:tcPr>
            <w:tcW w:w="992" w:type="dxa"/>
            <w:vAlign w:val="center"/>
          </w:tcPr>
          <w:p>
            <w:pPr>
              <w:adjustRightInd w:val="0"/>
              <w:snapToGrid w:val="0"/>
              <w:spacing w:line="400" w:lineRule="exact"/>
              <w:ind w:left="4" w:right="4"/>
              <w:jc w:val="center"/>
              <w:rPr>
                <w:color w:val="auto"/>
                <w:sz w:val="18"/>
                <w:highlight w:val="none"/>
              </w:rPr>
            </w:pPr>
            <w:r>
              <w:rPr>
                <w:rFonts w:ascii="Times New Roman" w:hAnsi="Times New Roman"/>
                <w:color w:val="auto"/>
                <w:sz w:val="18"/>
                <w:highlight w:val="none"/>
              </w:rPr>
              <w:t>备注</w:t>
            </w:r>
          </w:p>
        </w:tc>
        <w:tc>
          <w:tcPr>
            <w:tcW w:w="992" w:type="dxa"/>
            <w:vAlign w:val="center"/>
          </w:tcPr>
          <w:p>
            <w:pPr>
              <w:adjustRightInd w:val="0"/>
              <w:snapToGrid w:val="0"/>
              <w:spacing w:line="400" w:lineRule="exact"/>
              <w:ind w:left="4" w:right="4"/>
              <w:jc w:val="center"/>
              <w:rPr>
                <w:color w:val="auto"/>
                <w:sz w:val="18"/>
                <w:highlight w:val="none"/>
              </w:rPr>
            </w:pPr>
            <w:r>
              <w:rPr>
                <w:rFonts w:ascii="Times New Roman" w:hAnsi="Times New Roman"/>
                <w:color w:val="auto"/>
                <w:sz w:val="18"/>
                <w:highlight w:val="none"/>
              </w:rPr>
              <w:t>投标人代表签名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648" w:type="dxa"/>
            <w:vAlign w:val="center"/>
          </w:tcPr>
          <w:p>
            <w:pPr>
              <w:pStyle w:val="27"/>
              <w:spacing w:line="360" w:lineRule="auto"/>
              <w:jc w:val="center"/>
              <w:rPr>
                <w:color w:val="auto"/>
                <w:sz w:val="20"/>
                <w:highlight w:val="none"/>
              </w:rPr>
            </w:pPr>
          </w:p>
        </w:tc>
        <w:tc>
          <w:tcPr>
            <w:tcW w:w="1020"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c>
          <w:tcPr>
            <w:tcW w:w="1465" w:type="dxa"/>
            <w:vAlign w:val="center"/>
          </w:tcPr>
          <w:p>
            <w:pPr>
              <w:pStyle w:val="27"/>
              <w:spacing w:line="360" w:lineRule="auto"/>
              <w:jc w:val="center"/>
              <w:rPr>
                <w:color w:val="auto"/>
                <w:sz w:val="20"/>
                <w:highlight w:val="none"/>
              </w:rPr>
            </w:pPr>
          </w:p>
        </w:tc>
        <w:tc>
          <w:tcPr>
            <w:tcW w:w="1465" w:type="dxa"/>
            <w:vAlign w:val="center"/>
          </w:tcPr>
          <w:p>
            <w:pPr>
              <w:pStyle w:val="27"/>
              <w:spacing w:line="360" w:lineRule="auto"/>
              <w:jc w:val="center"/>
              <w:rPr>
                <w:color w:val="auto"/>
                <w:sz w:val="20"/>
                <w:highlight w:val="none"/>
              </w:rPr>
            </w:pPr>
          </w:p>
        </w:tc>
        <w:tc>
          <w:tcPr>
            <w:tcW w:w="1466" w:type="dxa"/>
            <w:vAlign w:val="center"/>
          </w:tcPr>
          <w:p>
            <w:pPr>
              <w:pStyle w:val="27"/>
              <w:spacing w:line="360" w:lineRule="auto"/>
              <w:jc w:val="center"/>
              <w:rPr>
                <w:color w:val="auto"/>
                <w:sz w:val="20"/>
                <w:highlight w:val="none"/>
              </w:rPr>
            </w:pPr>
          </w:p>
        </w:tc>
        <w:tc>
          <w:tcPr>
            <w:tcW w:w="711"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48" w:type="dxa"/>
            <w:vAlign w:val="center"/>
          </w:tcPr>
          <w:p>
            <w:pPr>
              <w:pStyle w:val="27"/>
              <w:spacing w:line="360" w:lineRule="auto"/>
              <w:jc w:val="center"/>
              <w:rPr>
                <w:color w:val="auto"/>
                <w:sz w:val="20"/>
                <w:highlight w:val="none"/>
              </w:rPr>
            </w:pPr>
          </w:p>
        </w:tc>
        <w:tc>
          <w:tcPr>
            <w:tcW w:w="1020"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c>
          <w:tcPr>
            <w:tcW w:w="1465" w:type="dxa"/>
            <w:vAlign w:val="center"/>
          </w:tcPr>
          <w:p>
            <w:pPr>
              <w:pStyle w:val="27"/>
              <w:spacing w:line="360" w:lineRule="auto"/>
              <w:jc w:val="center"/>
              <w:rPr>
                <w:color w:val="auto"/>
                <w:sz w:val="20"/>
                <w:highlight w:val="none"/>
              </w:rPr>
            </w:pPr>
          </w:p>
        </w:tc>
        <w:tc>
          <w:tcPr>
            <w:tcW w:w="1465" w:type="dxa"/>
            <w:vAlign w:val="center"/>
          </w:tcPr>
          <w:p>
            <w:pPr>
              <w:pStyle w:val="27"/>
              <w:spacing w:line="360" w:lineRule="auto"/>
              <w:jc w:val="center"/>
              <w:rPr>
                <w:color w:val="auto"/>
                <w:sz w:val="20"/>
                <w:highlight w:val="none"/>
              </w:rPr>
            </w:pPr>
          </w:p>
        </w:tc>
        <w:tc>
          <w:tcPr>
            <w:tcW w:w="1466" w:type="dxa"/>
            <w:vAlign w:val="center"/>
          </w:tcPr>
          <w:p>
            <w:pPr>
              <w:pStyle w:val="27"/>
              <w:spacing w:line="360" w:lineRule="auto"/>
              <w:jc w:val="center"/>
              <w:rPr>
                <w:color w:val="auto"/>
                <w:sz w:val="20"/>
                <w:highlight w:val="none"/>
              </w:rPr>
            </w:pPr>
          </w:p>
        </w:tc>
        <w:tc>
          <w:tcPr>
            <w:tcW w:w="711"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648" w:type="dxa"/>
            <w:vAlign w:val="center"/>
          </w:tcPr>
          <w:p>
            <w:pPr>
              <w:pStyle w:val="27"/>
              <w:spacing w:line="360" w:lineRule="auto"/>
              <w:jc w:val="center"/>
              <w:rPr>
                <w:color w:val="auto"/>
                <w:sz w:val="20"/>
                <w:highlight w:val="none"/>
              </w:rPr>
            </w:pPr>
          </w:p>
        </w:tc>
        <w:tc>
          <w:tcPr>
            <w:tcW w:w="1020"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c>
          <w:tcPr>
            <w:tcW w:w="1465" w:type="dxa"/>
            <w:vAlign w:val="center"/>
          </w:tcPr>
          <w:p>
            <w:pPr>
              <w:pStyle w:val="27"/>
              <w:spacing w:line="360" w:lineRule="auto"/>
              <w:jc w:val="center"/>
              <w:rPr>
                <w:color w:val="auto"/>
                <w:sz w:val="20"/>
                <w:highlight w:val="none"/>
              </w:rPr>
            </w:pPr>
          </w:p>
        </w:tc>
        <w:tc>
          <w:tcPr>
            <w:tcW w:w="1465" w:type="dxa"/>
            <w:vAlign w:val="center"/>
          </w:tcPr>
          <w:p>
            <w:pPr>
              <w:pStyle w:val="27"/>
              <w:spacing w:line="360" w:lineRule="auto"/>
              <w:jc w:val="center"/>
              <w:rPr>
                <w:color w:val="auto"/>
                <w:sz w:val="20"/>
                <w:highlight w:val="none"/>
              </w:rPr>
            </w:pPr>
          </w:p>
        </w:tc>
        <w:tc>
          <w:tcPr>
            <w:tcW w:w="1466" w:type="dxa"/>
            <w:vAlign w:val="center"/>
          </w:tcPr>
          <w:p>
            <w:pPr>
              <w:pStyle w:val="27"/>
              <w:spacing w:line="360" w:lineRule="auto"/>
              <w:jc w:val="center"/>
              <w:rPr>
                <w:color w:val="auto"/>
                <w:sz w:val="20"/>
                <w:highlight w:val="none"/>
              </w:rPr>
            </w:pPr>
          </w:p>
        </w:tc>
        <w:tc>
          <w:tcPr>
            <w:tcW w:w="711"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48" w:type="dxa"/>
            <w:vAlign w:val="center"/>
          </w:tcPr>
          <w:p>
            <w:pPr>
              <w:pStyle w:val="27"/>
              <w:spacing w:line="360" w:lineRule="auto"/>
              <w:jc w:val="center"/>
              <w:rPr>
                <w:color w:val="auto"/>
                <w:sz w:val="20"/>
                <w:highlight w:val="none"/>
              </w:rPr>
            </w:pPr>
          </w:p>
        </w:tc>
        <w:tc>
          <w:tcPr>
            <w:tcW w:w="1020"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c>
          <w:tcPr>
            <w:tcW w:w="1465" w:type="dxa"/>
            <w:vAlign w:val="center"/>
          </w:tcPr>
          <w:p>
            <w:pPr>
              <w:pStyle w:val="27"/>
              <w:spacing w:line="360" w:lineRule="auto"/>
              <w:jc w:val="center"/>
              <w:rPr>
                <w:color w:val="auto"/>
                <w:sz w:val="20"/>
                <w:highlight w:val="none"/>
              </w:rPr>
            </w:pPr>
          </w:p>
        </w:tc>
        <w:tc>
          <w:tcPr>
            <w:tcW w:w="1465" w:type="dxa"/>
            <w:vAlign w:val="center"/>
          </w:tcPr>
          <w:p>
            <w:pPr>
              <w:pStyle w:val="27"/>
              <w:spacing w:line="360" w:lineRule="auto"/>
              <w:jc w:val="center"/>
              <w:rPr>
                <w:color w:val="auto"/>
                <w:sz w:val="20"/>
                <w:highlight w:val="none"/>
              </w:rPr>
            </w:pPr>
          </w:p>
        </w:tc>
        <w:tc>
          <w:tcPr>
            <w:tcW w:w="1466" w:type="dxa"/>
            <w:vAlign w:val="center"/>
          </w:tcPr>
          <w:p>
            <w:pPr>
              <w:pStyle w:val="27"/>
              <w:spacing w:line="360" w:lineRule="auto"/>
              <w:jc w:val="center"/>
              <w:rPr>
                <w:color w:val="auto"/>
                <w:sz w:val="20"/>
                <w:highlight w:val="none"/>
              </w:rPr>
            </w:pPr>
          </w:p>
        </w:tc>
        <w:tc>
          <w:tcPr>
            <w:tcW w:w="711"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648" w:type="dxa"/>
            <w:vAlign w:val="center"/>
          </w:tcPr>
          <w:p>
            <w:pPr>
              <w:pStyle w:val="27"/>
              <w:spacing w:line="360" w:lineRule="auto"/>
              <w:jc w:val="center"/>
              <w:rPr>
                <w:color w:val="auto"/>
                <w:sz w:val="20"/>
                <w:highlight w:val="none"/>
              </w:rPr>
            </w:pPr>
          </w:p>
        </w:tc>
        <w:tc>
          <w:tcPr>
            <w:tcW w:w="1020"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c>
          <w:tcPr>
            <w:tcW w:w="1465" w:type="dxa"/>
            <w:vAlign w:val="center"/>
          </w:tcPr>
          <w:p>
            <w:pPr>
              <w:pStyle w:val="27"/>
              <w:spacing w:line="360" w:lineRule="auto"/>
              <w:jc w:val="center"/>
              <w:rPr>
                <w:color w:val="auto"/>
                <w:sz w:val="20"/>
                <w:highlight w:val="none"/>
              </w:rPr>
            </w:pPr>
          </w:p>
        </w:tc>
        <w:tc>
          <w:tcPr>
            <w:tcW w:w="1465" w:type="dxa"/>
            <w:vAlign w:val="center"/>
          </w:tcPr>
          <w:p>
            <w:pPr>
              <w:pStyle w:val="27"/>
              <w:spacing w:line="360" w:lineRule="auto"/>
              <w:jc w:val="center"/>
              <w:rPr>
                <w:color w:val="auto"/>
                <w:sz w:val="20"/>
                <w:highlight w:val="none"/>
              </w:rPr>
            </w:pPr>
          </w:p>
        </w:tc>
        <w:tc>
          <w:tcPr>
            <w:tcW w:w="1466" w:type="dxa"/>
            <w:vAlign w:val="center"/>
          </w:tcPr>
          <w:p>
            <w:pPr>
              <w:pStyle w:val="27"/>
              <w:spacing w:line="360" w:lineRule="auto"/>
              <w:jc w:val="center"/>
              <w:rPr>
                <w:color w:val="auto"/>
                <w:sz w:val="20"/>
                <w:highlight w:val="none"/>
              </w:rPr>
            </w:pPr>
          </w:p>
        </w:tc>
        <w:tc>
          <w:tcPr>
            <w:tcW w:w="711"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48" w:type="dxa"/>
            <w:vAlign w:val="center"/>
          </w:tcPr>
          <w:p>
            <w:pPr>
              <w:pStyle w:val="27"/>
              <w:spacing w:line="360" w:lineRule="auto"/>
              <w:jc w:val="center"/>
              <w:rPr>
                <w:color w:val="auto"/>
                <w:sz w:val="20"/>
                <w:highlight w:val="none"/>
              </w:rPr>
            </w:pPr>
          </w:p>
        </w:tc>
        <w:tc>
          <w:tcPr>
            <w:tcW w:w="1020"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c>
          <w:tcPr>
            <w:tcW w:w="1465" w:type="dxa"/>
            <w:vAlign w:val="center"/>
          </w:tcPr>
          <w:p>
            <w:pPr>
              <w:pStyle w:val="27"/>
              <w:spacing w:line="360" w:lineRule="auto"/>
              <w:jc w:val="center"/>
              <w:rPr>
                <w:color w:val="auto"/>
                <w:sz w:val="20"/>
                <w:highlight w:val="none"/>
              </w:rPr>
            </w:pPr>
          </w:p>
        </w:tc>
        <w:tc>
          <w:tcPr>
            <w:tcW w:w="1465" w:type="dxa"/>
            <w:vAlign w:val="center"/>
          </w:tcPr>
          <w:p>
            <w:pPr>
              <w:pStyle w:val="27"/>
              <w:spacing w:line="360" w:lineRule="auto"/>
              <w:jc w:val="center"/>
              <w:rPr>
                <w:color w:val="auto"/>
                <w:sz w:val="20"/>
                <w:highlight w:val="none"/>
              </w:rPr>
            </w:pPr>
          </w:p>
        </w:tc>
        <w:tc>
          <w:tcPr>
            <w:tcW w:w="1466" w:type="dxa"/>
            <w:vAlign w:val="center"/>
          </w:tcPr>
          <w:p>
            <w:pPr>
              <w:pStyle w:val="27"/>
              <w:spacing w:line="360" w:lineRule="auto"/>
              <w:jc w:val="center"/>
              <w:rPr>
                <w:color w:val="auto"/>
                <w:sz w:val="20"/>
                <w:highlight w:val="none"/>
              </w:rPr>
            </w:pPr>
          </w:p>
        </w:tc>
        <w:tc>
          <w:tcPr>
            <w:tcW w:w="711"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648" w:type="dxa"/>
            <w:vAlign w:val="center"/>
          </w:tcPr>
          <w:p>
            <w:pPr>
              <w:pStyle w:val="27"/>
              <w:spacing w:line="360" w:lineRule="auto"/>
              <w:jc w:val="center"/>
              <w:rPr>
                <w:color w:val="auto"/>
                <w:sz w:val="20"/>
                <w:highlight w:val="none"/>
              </w:rPr>
            </w:pPr>
          </w:p>
        </w:tc>
        <w:tc>
          <w:tcPr>
            <w:tcW w:w="1020"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c>
          <w:tcPr>
            <w:tcW w:w="1465" w:type="dxa"/>
            <w:vAlign w:val="center"/>
          </w:tcPr>
          <w:p>
            <w:pPr>
              <w:pStyle w:val="27"/>
              <w:spacing w:line="360" w:lineRule="auto"/>
              <w:jc w:val="center"/>
              <w:rPr>
                <w:color w:val="auto"/>
                <w:sz w:val="20"/>
                <w:highlight w:val="none"/>
              </w:rPr>
            </w:pPr>
          </w:p>
        </w:tc>
        <w:tc>
          <w:tcPr>
            <w:tcW w:w="1465" w:type="dxa"/>
            <w:vAlign w:val="center"/>
          </w:tcPr>
          <w:p>
            <w:pPr>
              <w:pStyle w:val="27"/>
              <w:spacing w:line="360" w:lineRule="auto"/>
              <w:jc w:val="center"/>
              <w:rPr>
                <w:color w:val="auto"/>
                <w:sz w:val="20"/>
                <w:highlight w:val="none"/>
              </w:rPr>
            </w:pPr>
          </w:p>
        </w:tc>
        <w:tc>
          <w:tcPr>
            <w:tcW w:w="1466" w:type="dxa"/>
            <w:vAlign w:val="center"/>
          </w:tcPr>
          <w:p>
            <w:pPr>
              <w:pStyle w:val="27"/>
              <w:spacing w:line="360" w:lineRule="auto"/>
              <w:jc w:val="center"/>
              <w:rPr>
                <w:color w:val="auto"/>
                <w:sz w:val="20"/>
                <w:highlight w:val="none"/>
              </w:rPr>
            </w:pPr>
          </w:p>
        </w:tc>
        <w:tc>
          <w:tcPr>
            <w:tcW w:w="711"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48" w:type="dxa"/>
            <w:vAlign w:val="center"/>
          </w:tcPr>
          <w:p>
            <w:pPr>
              <w:pStyle w:val="27"/>
              <w:spacing w:line="360" w:lineRule="auto"/>
              <w:jc w:val="center"/>
              <w:rPr>
                <w:color w:val="auto"/>
                <w:sz w:val="20"/>
                <w:highlight w:val="none"/>
              </w:rPr>
            </w:pPr>
          </w:p>
        </w:tc>
        <w:tc>
          <w:tcPr>
            <w:tcW w:w="1020"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c>
          <w:tcPr>
            <w:tcW w:w="1465" w:type="dxa"/>
            <w:vAlign w:val="center"/>
          </w:tcPr>
          <w:p>
            <w:pPr>
              <w:pStyle w:val="27"/>
              <w:spacing w:line="360" w:lineRule="auto"/>
              <w:jc w:val="center"/>
              <w:rPr>
                <w:color w:val="auto"/>
                <w:sz w:val="20"/>
                <w:highlight w:val="none"/>
              </w:rPr>
            </w:pPr>
          </w:p>
        </w:tc>
        <w:tc>
          <w:tcPr>
            <w:tcW w:w="1465" w:type="dxa"/>
            <w:vAlign w:val="center"/>
          </w:tcPr>
          <w:p>
            <w:pPr>
              <w:pStyle w:val="27"/>
              <w:spacing w:line="360" w:lineRule="auto"/>
              <w:jc w:val="center"/>
              <w:rPr>
                <w:color w:val="auto"/>
                <w:sz w:val="20"/>
                <w:highlight w:val="none"/>
              </w:rPr>
            </w:pPr>
          </w:p>
        </w:tc>
        <w:tc>
          <w:tcPr>
            <w:tcW w:w="1466" w:type="dxa"/>
            <w:vAlign w:val="center"/>
          </w:tcPr>
          <w:p>
            <w:pPr>
              <w:pStyle w:val="27"/>
              <w:spacing w:line="360" w:lineRule="auto"/>
              <w:jc w:val="center"/>
              <w:rPr>
                <w:color w:val="auto"/>
                <w:sz w:val="20"/>
                <w:highlight w:val="none"/>
              </w:rPr>
            </w:pPr>
          </w:p>
        </w:tc>
        <w:tc>
          <w:tcPr>
            <w:tcW w:w="711"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48" w:type="dxa"/>
            <w:vAlign w:val="center"/>
          </w:tcPr>
          <w:p>
            <w:pPr>
              <w:pStyle w:val="27"/>
              <w:spacing w:line="360" w:lineRule="auto"/>
              <w:jc w:val="center"/>
              <w:rPr>
                <w:color w:val="auto"/>
                <w:sz w:val="20"/>
                <w:highlight w:val="none"/>
              </w:rPr>
            </w:pPr>
          </w:p>
        </w:tc>
        <w:tc>
          <w:tcPr>
            <w:tcW w:w="1020"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c>
          <w:tcPr>
            <w:tcW w:w="1465" w:type="dxa"/>
            <w:vAlign w:val="center"/>
          </w:tcPr>
          <w:p>
            <w:pPr>
              <w:pStyle w:val="27"/>
              <w:spacing w:line="360" w:lineRule="auto"/>
              <w:jc w:val="center"/>
              <w:rPr>
                <w:color w:val="auto"/>
                <w:sz w:val="20"/>
                <w:highlight w:val="none"/>
              </w:rPr>
            </w:pPr>
          </w:p>
        </w:tc>
        <w:tc>
          <w:tcPr>
            <w:tcW w:w="1465" w:type="dxa"/>
            <w:vAlign w:val="center"/>
          </w:tcPr>
          <w:p>
            <w:pPr>
              <w:pStyle w:val="27"/>
              <w:spacing w:line="360" w:lineRule="auto"/>
              <w:jc w:val="center"/>
              <w:rPr>
                <w:color w:val="auto"/>
                <w:sz w:val="20"/>
                <w:highlight w:val="none"/>
              </w:rPr>
            </w:pPr>
          </w:p>
        </w:tc>
        <w:tc>
          <w:tcPr>
            <w:tcW w:w="1466" w:type="dxa"/>
            <w:vAlign w:val="center"/>
          </w:tcPr>
          <w:p>
            <w:pPr>
              <w:pStyle w:val="27"/>
              <w:spacing w:line="360" w:lineRule="auto"/>
              <w:jc w:val="center"/>
              <w:rPr>
                <w:color w:val="auto"/>
                <w:sz w:val="20"/>
                <w:highlight w:val="none"/>
              </w:rPr>
            </w:pPr>
          </w:p>
        </w:tc>
        <w:tc>
          <w:tcPr>
            <w:tcW w:w="711"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48" w:type="dxa"/>
            <w:vAlign w:val="center"/>
          </w:tcPr>
          <w:p>
            <w:pPr>
              <w:pStyle w:val="27"/>
              <w:spacing w:line="360" w:lineRule="auto"/>
              <w:jc w:val="center"/>
              <w:rPr>
                <w:color w:val="auto"/>
                <w:sz w:val="20"/>
                <w:highlight w:val="none"/>
              </w:rPr>
            </w:pPr>
          </w:p>
        </w:tc>
        <w:tc>
          <w:tcPr>
            <w:tcW w:w="1020"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c>
          <w:tcPr>
            <w:tcW w:w="1465" w:type="dxa"/>
            <w:vAlign w:val="center"/>
          </w:tcPr>
          <w:p>
            <w:pPr>
              <w:pStyle w:val="27"/>
              <w:spacing w:line="360" w:lineRule="auto"/>
              <w:jc w:val="center"/>
              <w:rPr>
                <w:color w:val="auto"/>
                <w:sz w:val="20"/>
                <w:highlight w:val="none"/>
              </w:rPr>
            </w:pPr>
          </w:p>
        </w:tc>
        <w:tc>
          <w:tcPr>
            <w:tcW w:w="1465" w:type="dxa"/>
            <w:vAlign w:val="center"/>
          </w:tcPr>
          <w:p>
            <w:pPr>
              <w:pStyle w:val="27"/>
              <w:spacing w:line="360" w:lineRule="auto"/>
              <w:jc w:val="center"/>
              <w:rPr>
                <w:color w:val="auto"/>
                <w:sz w:val="20"/>
                <w:highlight w:val="none"/>
              </w:rPr>
            </w:pPr>
          </w:p>
        </w:tc>
        <w:tc>
          <w:tcPr>
            <w:tcW w:w="1466" w:type="dxa"/>
            <w:vAlign w:val="center"/>
          </w:tcPr>
          <w:p>
            <w:pPr>
              <w:pStyle w:val="27"/>
              <w:spacing w:line="360" w:lineRule="auto"/>
              <w:jc w:val="center"/>
              <w:rPr>
                <w:color w:val="auto"/>
                <w:sz w:val="20"/>
                <w:highlight w:val="none"/>
              </w:rPr>
            </w:pPr>
          </w:p>
        </w:tc>
        <w:tc>
          <w:tcPr>
            <w:tcW w:w="711"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648" w:type="dxa"/>
            <w:vAlign w:val="center"/>
          </w:tcPr>
          <w:p>
            <w:pPr>
              <w:pStyle w:val="27"/>
              <w:spacing w:line="360" w:lineRule="auto"/>
              <w:jc w:val="center"/>
              <w:rPr>
                <w:color w:val="auto"/>
                <w:sz w:val="20"/>
                <w:highlight w:val="none"/>
              </w:rPr>
            </w:pPr>
          </w:p>
        </w:tc>
        <w:tc>
          <w:tcPr>
            <w:tcW w:w="1020"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c>
          <w:tcPr>
            <w:tcW w:w="1465" w:type="dxa"/>
            <w:vAlign w:val="center"/>
          </w:tcPr>
          <w:p>
            <w:pPr>
              <w:pStyle w:val="27"/>
              <w:spacing w:line="360" w:lineRule="auto"/>
              <w:jc w:val="center"/>
              <w:rPr>
                <w:color w:val="auto"/>
                <w:sz w:val="20"/>
                <w:highlight w:val="none"/>
              </w:rPr>
            </w:pPr>
          </w:p>
        </w:tc>
        <w:tc>
          <w:tcPr>
            <w:tcW w:w="1465" w:type="dxa"/>
            <w:vAlign w:val="center"/>
          </w:tcPr>
          <w:p>
            <w:pPr>
              <w:pStyle w:val="27"/>
              <w:spacing w:line="360" w:lineRule="auto"/>
              <w:jc w:val="center"/>
              <w:rPr>
                <w:color w:val="auto"/>
                <w:sz w:val="20"/>
                <w:highlight w:val="none"/>
              </w:rPr>
            </w:pPr>
          </w:p>
        </w:tc>
        <w:tc>
          <w:tcPr>
            <w:tcW w:w="1466" w:type="dxa"/>
            <w:vAlign w:val="center"/>
          </w:tcPr>
          <w:p>
            <w:pPr>
              <w:pStyle w:val="27"/>
              <w:spacing w:line="360" w:lineRule="auto"/>
              <w:jc w:val="center"/>
              <w:rPr>
                <w:color w:val="auto"/>
                <w:sz w:val="20"/>
                <w:highlight w:val="none"/>
              </w:rPr>
            </w:pPr>
          </w:p>
        </w:tc>
        <w:tc>
          <w:tcPr>
            <w:tcW w:w="711"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2660" w:type="dxa"/>
            <w:gridSpan w:val="3"/>
            <w:vAlign w:val="center"/>
          </w:tcPr>
          <w:p>
            <w:pPr>
              <w:pStyle w:val="27"/>
              <w:spacing w:line="360" w:lineRule="auto"/>
              <w:ind w:left="107"/>
              <w:jc w:val="center"/>
              <w:rPr>
                <w:color w:val="auto"/>
                <w:sz w:val="21"/>
                <w:highlight w:val="none"/>
              </w:rPr>
            </w:pPr>
            <w:r>
              <w:rPr>
                <w:rFonts w:hint="eastAsia"/>
                <w:color w:val="auto"/>
                <w:sz w:val="21"/>
                <w:highlight w:val="none"/>
              </w:rPr>
              <w:t>最高投标限价：</w:t>
            </w:r>
          </w:p>
        </w:tc>
        <w:tc>
          <w:tcPr>
            <w:tcW w:w="5107" w:type="dxa"/>
            <w:gridSpan w:val="4"/>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c>
          <w:tcPr>
            <w:tcW w:w="992" w:type="dxa"/>
            <w:vAlign w:val="center"/>
          </w:tcPr>
          <w:p>
            <w:pPr>
              <w:pStyle w:val="27"/>
              <w:spacing w:line="360" w:lineRule="auto"/>
              <w:jc w:val="center"/>
              <w:rPr>
                <w:color w:val="auto"/>
                <w:sz w:val="20"/>
                <w:highlight w:val="none"/>
              </w:rPr>
            </w:pPr>
          </w:p>
        </w:tc>
      </w:tr>
    </w:tbl>
    <w:p>
      <w:pPr>
        <w:pStyle w:val="11"/>
        <w:spacing w:line="360" w:lineRule="auto"/>
        <w:rPr>
          <w:color w:val="auto"/>
          <w:sz w:val="22"/>
          <w:highlight w:val="none"/>
        </w:rPr>
      </w:pPr>
    </w:p>
    <w:p>
      <w:pPr>
        <w:pStyle w:val="11"/>
        <w:spacing w:line="360" w:lineRule="auto"/>
        <w:rPr>
          <w:color w:val="auto"/>
          <w:sz w:val="22"/>
          <w:highlight w:val="none"/>
        </w:rPr>
      </w:pPr>
    </w:p>
    <w:p>
      <w:pPr>
        <w:pStyle w:val="11"/>
        <w:tabs>
          <w:tab w:val="left" w:pos="2284"/>
          <w:tab w:val="left" w:pos="3077"/>
          <w:tab w:val="left" w:pos="4699"/>
          <w:tab w:val="left" w:pos="5386"/>
          <w:tab w:val="left" w:pos="7009"/>
        </w:tabs>
        <w:spacing w:before="163" w:line="360" w:lineRule="auto"/>
        <w:ind w:left="240"/>
        <w:rPr>
          <w:color w:val="auto"/>
          <w:highlight w:val="none"/>
        </w:rPr>
      </w:pPr>
      <w:r>
        <w:rPr>
          <w:rFonts w:hint="eastAsia"/>
          <w:color w:val="auto"/>
          <w:highlight w:val="none"/>
        </w:rPr>
        <w:t>招标</w:t>
      </w:r>
      <w:r>
        <w:rPr>
          <w:rFonts w:hint="eastAsia"/>
          <w:color w:val="auto"/>
          <w:spacing w:val="-3"/>
          <w:highlight w:val="none"/>
        </w:rPr>
        <w:t>人</w:t>
      </w:r>
      <w:r>
        <w:rPr>
          <w:rFonts w:hint="eastAsia"/>
          <w:color w:val="auto"/>
          <w:highlight w:val="none"/>
        </w:rPr>
        <w:t>代</w:t>
      </w:r>
      <w:r>
        <w:rPr>
          <w:rFonts w:hint="eastAsia"/>
          <w:color w:val="auto"/>
          <w:spacing w:val="-3"/>
          <w:highlight w:val="none"/>
        </w:rPr>
        <w:t>表</w:t>
      </w:r>
      <w:r>
        <w:rPr>
          <w:rFonts w:hint="eastAsia"/>
          <w:color w:val="auto"/>
          <w:highlight w:val="none"/>
        </w:rPr>
        <w:t>：</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ab/>
      </w:r>
      <w:r>
        <w:rPr>
          <w:rFonts w:hint="eastAsia"/>
          <w:color w:val="auto"/>
          <w:spacing w:val="-3"/>
          <w:highlight w:val="none"/>
        </w:rPr>
        <w:t>记</w:t>
      </w:r>
      <w:r>
        <w:rPr>
          <w:rFonts w:hint="eastAsia"/>
          <w:color w:val="auto"/>
          <w:highlight w:val="none"/>
        </w:rPr>
        <w:t>录</w:t>
      </w:r>
      <w:r>
        <w:rPr>
          <w:rFonts w:hint="eastAsia"/>
          <w:color w:val="auto"/>
          <w:spacing w:val="-3"/>
          <w:highlight w:val="none"/>
        </w:rPr>
        <w:t>人</w:t>
      </w:r>
      <w:r>
        <w:rPr>
          <w:rFonts w:hint="eastAsia"/>
          <w:color w:val="auto"/>
          <w:highlight w:val="none"/>
        </w:rPr>
        <w:t>：</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ab/>
      </w:r>
      <w:r>
        <w:rPr>
          <w:rFonts w:hint="eastAsia"/>
          <w:color w:val="auto"/>
          <w:spacing w:val="-3"/>
          <w:highlight w:val="none"/>
        </w:rPr>
        <w:t>监</w:t>
      </w:r>
      <w:r>
        <w:rPr>
          <w:rFonts w:hint="eastAsia"/>
          <w:color w:val="auto"/>
          <w:spacing w:val="-1"/>
          <w:highlight w:val="none"/>
        </w:rPr>
        <w:t>标</w:t>
      </w:r>
      <w:r>
        <w:rPr>
          <w:rFonts w:hint="eastAsia"/>
          <w:color w:val="auto"/>
          <w:spacing w:val="-3"/>
          <w:highlight w:val="none"/>
        </w:rPr>
        <w:t>人</w:t>
      </w:r>
      <w:r>
        <w:rPr>
          <w:rFonts w:hint="eastAsia"/>
          <w:color w:val="auto"/>
          <w:highlight w:val="none"/>
        </w:rPr>
        <w:t>：</w:t>
      </w:r>
      <w:r>
        <w:rPr>
          <w:rFonts w:hint="eastAsia"/>
          <w:color w:val="auto"/>
          <w:highlight w:val="none"/>
          <w:u w:val="single"/>
        </w:rPr>
        <w:t xml:space="preserve"> </w:t>
      </w:r>
      <w:r>
        <w:rPr>
          <w:rFonts w:hint="eastAsia"/>
          <w:color w:val="auto"/>
          <w:highlight w:val="none"/>
          <w:u w:val="single"/>
        </w:rPr>
        <w:tab/>
      </w:r>
    </w:p>
    <w:p>
      <w:pPr>
        <w:pStyle w:val="11"/>
        <w:spacing w:before="4" w:line="360" w:lineRule="auto"/>
        <w:rPr>
          <w:color w:val="auto"/>
          <w:sz w:val="24"/>
          <w:highlight w:val="none"/>
        </w:rPr>
      </w:pPr>
    </w:p>
    <w:p>
      <w:pPr>
        <w:pStyle w:val="11"/>
        <w:tabs>
          <w:tab w:val="left" w:pos="6783"/>
          <w:tab w:val="left" w:pos="7729"/>
          <w:tab w:val="left" w:pos="8673"/>
        </w:tabs>
        <w:spacing w:before="72" w:line="360" w:lineRule="auto"/>
        <w:ind w:left="6047"/>
        <w:rPr>
          <w:color w:val="auto"/>
          <w:highlight w:val="none"/>
        </w:rPr>
      </w:pPr>
      <w:r>
        <w:rPr>
          <w:rFonts w:hint="eastAsia"/>
          <w:color w:val="auto"/>
          <w:highlight w:val="none"/>
          <w:u w:val="single"/>
        </w:rPr>
        <w:t xml:space="preserve"> </w:t>
      </w:r>
      <w:r>
        <w:rPr>
          <w:rFonts w:hint="eastAsia"/>
          <w:color w:val="auto"/>
          <w:highlight w:val="none"/>
          <w:u w:val="single"/>
        </w:rPr>
        <w:tab/>
      </w:r>
      <w:r>
        <w:rPr>
          <w:rFonts w:hint="eastAsia"/>
          <w:color w:val="auto"/>
          <w:highlight w:val="none"/>
        </w:rPr>
        <w:t>年</w:t>
      </w:r>
      <w:r>
        <w:rPr>
          <w:rFonts w:hint="eastAsia"/>
          <w:color w:val="auto"/>
          <w:highlight w:val="none"/>
          <w:u w:val="single"/>
        </w:rPr>
        <w:t xml:space="preserve"> </w:t>
      </w:r>
      <w:r>
        <w:rPr>
          <w:rFonts w:hint="eastAsia"/>
          <w:color w:val="auto"/>
          <w:highlight w:val="none"/>
          <w:u w:val="single"/>
        </w:rPr>
        <w:tab/>
      </w:r>
      <w:r>
        <w:rPr>
          <w:rFonts w:hint="eastAsia"/>
          <w:color w:val="auto"/>
          <w:spacing w:val="-3"/>
          <w:highlight w:val="none"/>
        </w:rPr>
        <w:t>月</w:t>
      </w:r>
      <w:r>
        <w:rPr>
          <w:rFonts w:hint="eastAsia"/>
          <w:color w:val="auto"/>
          <w:spacing w:val="-3"/>
          <w:highlight w:val="none"/>
          <w:u w:val="single"/>
        </w:rPr>
        <w:t xml:space="preserve"> </w:t>
      </w:r>
      <w:r>
        <w:rPr>
          <w:rFonts w:hint="eastAsia"/>
          <w:color w:val="auto"/>
          <w:spacing w:val="-3"/>
          <w:highlight w:val="none"/>
          <w:u w:val="single"/>
        </w:rPr>
        <w:tab/>
      </w:r>
      <w:r>
        <w:rPr>
          <w:rFonts w:hint="eastAsia"/>
          <w:color w:val="auto"/>
          <w:highlight w:val="none"/>
        </w:rPr>
        <w:t>日</w:t>
      </w:r>
    </w:p>
    <w:p>
      <w:pPr>
        <w:spacing w:line="360" w:lineRule="auto"/>
        <w:rPr>
          <w:color w:val="auto"/>
          <w:highlight w:val="none"/>
        </w:rPr>
        <w:sectPr>
          <w:pgSz w:w="11906" w:h="16838"/>
          <w:pgMar w:top="1400" w:right="1100" w:bottom="1120" w:left="1560" w:header="0" w:footer="841" w:gutter="0"/>
          <w:cols w:space="720" w:num="1"/>
        </w:sectPr>
      </w:pPr>
    </w:p>
    <w:p>
      <w:pPr>
        <w:pStyle w:val="11"/>
        <w:spacing w:before="12" w:line="360" w:lineRule="auto"/>
        <w:rPr>
          <w:color w:val="auto"/>
          <w:sz w:val="18"/>
          <w:highlight w:val="none"/>
        </w:rPr>
      </w:pPr>
      <w:bookmarkStart w:id="10" w:name="_bookmark77"/>
      <w:bookmarkEnd w:id="10"/>
    </w:p>
    <w:p>
      <w:pPr>
        <w:pStyle w:val="4"/>
        <w:jc w:val="center"/>
        <w:rPr>
          <w:rFonts w:asciiTheme="minorEastAsia" w:hAnsiTheme="minorEastAsia" w:eastAsiaTheme="minorEastAsia"/>
          <w:color w:val="auto"/>
          <w:highlight w:val="none"/>
        </w:rPr>
      </w:pPr>
      <w:bookmarkStart w:id="11" w:name="_Toc23771923"/>
      <w:bookmarkStart w:id="12" w:name="_Toc5989"/>
      <w:bookmarkStart w:id="13" w:name="_Toc51862230"/>
      <w:bookmarkStart w:id="14" w:name="_Toc51862136"/>
      <w:r>
        <w:rPr>
          <w:rFonts w:hint="eastAsia" w:asciiTheme="minorEastAsia" w:hAnsiTheme="minorEastAsia" w:eastAsiaTheme="minorEastAsia"/>
          <w:color w:val="auto"/>
          <w:highlight w:val="none"/>
        </w:rPr>
        <w:t>第三章 评标办法（综合评估法）</w:t>
      </w:r>
      <w:bookmarkEnd w:id="11"/>
      <w:bookmarkEnd w:id="12"/>
      <w:bookmarkEnd w:id="13"/>
      <w:bookmarkEnd w:id="14"/>
    </w:p>
    <w:p>
      <w:pPr>
        <w:pStyle w:val="3"/>
        <w:adjustRightInd w:val="0"/>
        <w:snapToGrid w:val="0"/>
        <w:spacing w:after="100" w:afterAutospacing="1" w:line="240" w:lineRule="auto"/>
        <w:rPr>
          <w:rFonts w:asciiTheme="minorEastAsia" w:hAnsiTheme="minorEastAsia" w:eastAsiaTheme="minorEastAsia"/>
          <w:color w:val="auto"/>
          <w:sz w:val="32"/>
          <w:szCs w:val="20"/>
          <w:highlight w:val="none"/>
        </w:rPr>
      </w:pPr>
      <w:bookmarkStart w:id="15" w:name="_Toc20041"/>
      <w:bookmarkStart w:id="16" w:name="_Toc51862231"/>
      <w:bookmarkStart w:id="17" w:name="_Toc51862137"/>
      <w:bookmarkStart w:id="18" w:name="_Toc23771924"/>
      <w:r>
        <w:rPr>
          <w:rFonts w:hint="eastAsia" w:asciiTheme="minorEastAsia" w:hAnsiTheme="minorEastAsia" w:eastAsiaTheme="minorEastAsia"/>
          <w:color w:val="auto"/>
          <w:sz w:val="32"/>
          <w:szCs w:val="20"/>
          <w:highlight w:val="none"/>
        </w:rPr>
        <w:t>评标办法前附表</w:t>
      </w:r>
      <w:bookmarkEnd w:id="15"/>
      <w:bookmarkEnd w:id="16"/>
      <w:bookmarkEnd w:id="17"/>
      <w:bookmarkEnd w:id="18"/>
    </w:p>
    <w:tbl>
      <w:tblPr>
        <w:tblStyle w:val="21"/>
        <w:tblW w:w="971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4"/>
        <w:gridCol w:w="106"/>
        <w:gridCol w:w="1142"/>
        <w:gridCol w:w="2506"/>
        <w:gridCol w:w="51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jc w:val="center"/>
        </w:trPr>
        <w:tc>
          <w:tcPr>
            <w:tcW w:w="2102" w:type="dxa"/>
            <w:gridSpan w:val="3"/>
            <w:tcBorders>
              <w:top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b/>
                <w:color w:val="auto"/>
                <w:sz w:val="24"/>
                <w:szCs w:val="24"/>
                <w:highlight w:val="none"/>
              </w:rPr>
            </w:pPr>
            <w:r>
              <w:rPr>
                <w:rFonts w:hint="eastAsia"/>
                <w:b/>
                <w:color w:val="auto"/>
                <w:sz w:val="24"/>
                <w:szCs w:val="24"/>
                <w:highlight w:val="none"/>
              </w:rPr>
              <w:t>条款号</w:t>
            </w: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b/>
                <w:color w:val="auto"/>
                <w:sz w:val="24"/>
                <w:szCs w:val="24"/>
                <w:highlight w:val="none"/>
              </w:rPr>
            </w:pPr>
            <w:r>
              <w:rPr>
                <w:rFonts w:hint="eastAsia"/>
                <w:b/>
                <w:color w:val="auto"/>
                <w:sz w:val="24"/>
                <w:szCs w:val="24"/>
                <w:highlight w:val="none"/>
              </w:rPr>
              <w:t>评审因素</w:t>
            </w:r>
          </w:p>
        </w:tc>
        <w:tc>
          <w:tcPr>
            <w:tcW w:w="5103" w:type="dxa"/>
            <w:tcBorders>
              <w:top w:val="single" w:color="auto" w:sz="4" w:space="0"/>
              <w:left w:val="single" w:color="auto" w:sz="4" w:space="0"/>
              <w:bottom w:val="single" w:color="auto" w:sz="4" w:space="0"/>
            </w:tcBorders>
            <w:vAlign w:val="center"/>
          </w:tcPr>
          <w:p>
            <w:pPr>
              <w:adjustRightInd w:val="0"/>
              <w:snapToGrid w:val="0"/>
              <w:spacing w:before="36" w:beforeLines="15" w:after="36" w:afterLines="15"/>
              <w:ind w:left="44" w:leftChars="20" w:right="44" w:rightChars="20"/>
              <w:jc w:val="center"/>
              <w:rPr>
                <w:b/>
                <w:color w:val="auto"/>
                <w:sz w:val="24"/>
                <w:szCs w:val="24"/>
                <w:highlight w:val="none"/>
              </w:rPr>
            </w:pPr>
            <w:r>
              <w:rPr>
                <w:rFonts w:hint="eastAsia"/>
                <w:b/>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237" w:hRule="atLeast"/>
          <w:jc w:val="center"/>
        </w:trPr>
        <w:tc>
          <w:tcPr>
            <w:tcW w:w="854" w:type="dxa"/>
            <w:tcBorders>
              <w:top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r>
              <w:rPr>
                <w:color w:val="auto"/>
                <w:sz w:val="21"/>
                <w:szCs w:val="21"/>
                <w:highlight w:val="none"/>
              </w:rPr>
              <w:t>1</w:t>
            </w:r>
          </w:p>
        </w:tc>
        <w:tc>
          <w:tcPr>
            <w:tcW w:w="124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r>
              <w:rPr>
                <w:rFonts w:hint="eastAsia"/>
                <w:color w:val="auto"/>
                <w:sz w:val="21"/>
                <w:szCs w:val="21"/>
                <w:highlight w:val="none"/>
              </w:rPr>
              <w:t>评标方法</w:t>
            </w: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r>
              <w:rPr>
                <w:rFonts w:hint="eastAsia"/>
                <w:color w:val="auto"/>
                <w:sz w:val="21"/>
                <w:szCs w:val="21"/>
                <w:highlight w:val="none"/>
              </w:rPr>
              <w:t>中标候选人排序方法</w:t>
            </w:r>
          </w:p>
        </w:tc>
        <w:tc>
          <w:tcPr>
            <w:tcW w:w="5103" w:type="dxa"/>
            <w:tcBorders>
              <w:top w:val="single" w:color="auto" w:sz="4" w:space="0"/>
              <w:left w:val="single" w:color="auto" w:sz="4" w:space="0"/>
              <w:bottom w:val="single" w:color="auto" w:sz="4" w:space="0"/>
            </w:tcBorders>
            <w:vAlign w:val="center"/>
          </w:tcPr>
          <w:p>
            <w:pPr>
              <w:adjustRightInd w:val="0"/>
              <w:snapToGrid w:val="0"/>
              <w:ind w:left="44" w:leftChars="20" w:right="44" w:rightChars="20"/>
              <w:jc w:val="both"/>
              <w:rPr>
                <w:color w:val="auto"/>
                <w:sz w:val="21"/>
                <w:szCs w:val="21"/>
                <w:highlight w:val="none"/>
              </w:rPr>
            </w:pPr>
            <w:r>
              <w:rPr>
                <w:rFonts w:hint="eastAsia"/>
                <w:color w:val="auto"/>
                <w:sz w:val="21"/>
                <w:szCs w:val="21"/>
                <w:highlight w:val="none"/>
              </w:rPr>
              <w:t>本次评标采用综合评估法。评标委员会对满足招标文件实质性要求的投标文件，按照本章第2.2 款规定的评分标准进行打分，并按得分由高到低顺序推荐前三名作为中标候选人。综合评分相等时，以投标报价低的优先；投标报价也相等的，以</w:t>
            </w:r>
            <w:r>
              <w:rPr>
                <w:rFonts w:hint="eastAsia"/>
                <w:color w:val="auto"/>
                <w:sz w:val="21"/>
                <w:szCs w:val="21"/>
                <w:highlight w:val="none"/>
                <w:lang w:val="en-US"/>
              </w:rPr>
              <w:t>鉴定服务</w:t>
            </w:r>
            <w:r>
              <w:rPr>
                <w:rFonts w:hint="eastAsia"/>
                <w:color w:val="auto"/>
                <w:sz w:val="21"/>
                <w:szCs w:val="21"/>
                <w:highlight w:val="none"/>
              </w:rPr>
              <w:t>技术方案得分高的优先；如果</w:t>
            </w:r>
            <w:r>
              <w:rPr>
                <w:rFonts w:hint="eastAsia"/>
                <w:color w:val="auto"/>
                <w:sz w:val="21"/>
                <w:szCs w:val="21"/>
                <w:highlight w:val="none"/>
                <w:lang w:val="en-US"/>
              </w:rPr>
              <w:t>鉴定服务</w:t>
            </w:r>
            <w:r>
              <w:rPr>
                <w:rFonts w:hint="eastAsia"/>
                <w:color w:val="auto"/>
                <w:sz w:val="21"/>
                <w:szCs w:val="21"/>
                <w:highlight w:val="none"/>
              </w:rPr>
              <w:t>技术方案得分也相等，由评标委员会采用记名投票方式，以得票多的优先。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21" w:hRule="atLeast"/>
          <w:jc w:val="center"/>
        </w:trPr>
        <w:tc>
          <w:tcPr>
            <w:tcW w:w="854" w:type="dxa"/>
            <w:vMerge w:val="restart"/>
            <w:tcBorders>
              <w:top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r>
              <w:rPr>
                <w:color w:val="auto"/>
                <w:sz w:val="21"/>
                <w:szCs w:val="21"/>
                <w:highlight w:val="none"/>
              </w:rPr>
              <w:t>2.1.1</w:t>
            </w:r>
          </w:p>
        </w:tc>
        <w:tc>
          <w:tcPr>
            <w:tcW w:w="1248" w:type="dxa"/>
            <w:gridSpan w:val="2"/>
            <w:vMerge w:val="restart"/>
            <w:tcBorders>
              <w:top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r>
              <w:rPr>
                <w:rFonts w:hint="eastAsia"/>
                <w:color w:val="auto"/>
                <w:sz w:val="21"/>
                <w:szCs w:val="21"/>
                <w:highlight w:val="none"/>
              </w:rPr>
              <w:t>形式评审标准</w:t>
            </w: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r>
              <w:rPr>
                <w:rFonts w:hint="eastAsia"/>
                <w:color w:val="auto"/>
                <w:sz w:val="21"/>
                <w:szCs w:val="21"/>
                <w:highlight w:val="none"/>
              </w:rPr>
              <w:t>投标人名称</w:t>
            </w:r>
          </w:p>
        </w:tc>
        <w:tc>
          <w:tcPr>
            <w:tcW w:w="5103" w:type="dxa"/>
            <w:tcBorders>
              <w:top w:val="single" w:color="auto" w:sz="4" w:space="0"/>
              <w:left w:val="single" w:color="auto" w:sz="4" w:space="0"/>
              <w:bottom w:val="single" w:color="auto" w:sz="4" w:space="0"/>
            </w:tcBorders>
            <w:vAlign w:val="center"/>
          </w:tcPr>
          <w:p>
            <w:pPr>
              <w:adjustRightInd w:val="0"/>
              <w:snapToGrid w:val="0"/>
              <w:spacing w:before="36" w:beforeLines="15" w:after="36" w:afterLines="15"/>
              <w:ind w:left="44" w:leftChars="20" w:right="44" w:rightChars="20"/>
              <w:jc w:val="both"/>
              <w:rPr>
                <w:color w:val="auto"/>
                <w:sz w:val="21"/>
                <w:szCs w:val="21"/>
                <w:highlight w:val="none"/>
              </w:rPr>
            </w:pPr>
            <w:r>
              <w:rPr>
                <w:rFonts w:hint="eastAsia"/>
                <w:color w:val="auto"/>
                <w:sz w:val="21"/>
                <w:szCs w:val="21"/>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1156" w:hRule="atLeast"/>
          <w:jc w:val="center"/>
        </w:trPr>
        <w:tc>
          <w:tcPr>
            <w:tcW w:w="854" w:type="dxa"/>
            <w:vMerge w:val="continue"/>
            <w:tcBorders>
              <w:right w:val="single" w:color="auto" w:sz="4" w:space="0"/>
            </w:tcBorders>
            <w:vAlign w:val="center"/>
          </w:tcPr>
          <w:p>
            <w:pPr>
              <w:adjustRightInd w:val="0"/>
              <w:snapToGrid w:val="0"/>
              <w:spacing w:before="36" w:beforeLines="15" w:after="36" w:afterLines="15"/>
              <w:ind w:left="44" w:leftChars="20" w:right="44" w:rightChars="20"/>
              <w:rPr>
                <w:color w:val="auto"/>
                <w:sz w:val="21"/>
                <w:szCs w:val="21"/>
                <w:highlight w:val="none"/>
              </w:rPr>
            </w:pPr>
          </w:p>
        </w:tc>
        <w:tc>
          <w:tcPr>
            <w:tcW w:w="1248" w:type="dxa"/>
            <w:gridSpan w:val="2"/>
            <w:vMerge w:val="continue"/>
            <w:tcBorders>
              <w:right w:val="single" w:color="auto" w:sz="4" w:space="0"/>
            </w:tcBorders>
            <w:vAlign w:val="center"/>
          </w:tcPr>
          <w:p>
            <w:pPr>
              <w:adjustRightInd w:val="0"/>
              <w:snapToGrid w:val="0"/>
              <w:spacing w:before="36" w:beforeLines="15" w:after="36" w:afterLines="15"/>
              <w:ind w:left="44" w:leftChars="20" w:right="44" w:rightChars="20"/>
              <w:rPr>
                <w:color w:val="auto"/>
                <w:sz w:val="21"/>
                <w:szCs w:val="21"/>
                <w:highlight w:val="none"/>
              </w:rPr>
            </w:pP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r>
              <w:rPr>
                <w:rFonts w:hint="eastAsia"/>
                <w:color w:val="auto"/>
                <w:sz w:val="21"/>
                <w:szCs w:val="21"/>
                <w:highlight w:val="none"/>
              </w:rPr>
              <w:t>投标函及投标函附录签字盖章</w:t>
            </w:r>
          </w:p>
        </w:tc>
        <w:tc>
          <w:tcPr>
            <w:tcW w:w="5103" w:type="dxa"/>
            <w:tcBorders>
              <w:top w:val="single" w:color="auto" w:sz="4" w:space="0"/>
              <w:left w:val="single" w:color="auto" w:sz="4" w:space="0"/>
              <w:bottom w:val="single" w:color="auto" w:sz="4" w:space="0"/>
            </w:tcBorders>
            <w:vAlign w:val="center"/>
          </w:tcPr>
          <w:p>
            <w:pPr>
              <w:adjustRightInd w:val="0"/>
              <w:snapToGrid w:val="0"/>
              <w:spacing w:before="36" w:beforeLines="15" w:after="36" w:afterLines="15"/>
              <w:ind w:left="44" w:leftChars="20" w:right="44" w:rightChars="20"/>
              <w:jc w:val="both"/>
              <w:rPr>
                <w:color w:val="auto"/>
                <w:sz w:val="21"/>
                <w:szCs w:val="21"/>
                <w:highlight w:val="none"/>
              </w:rPr>
            </w:pPr>
            <w:r>
              <w:rPr>
                <w:rFonts w:hint="eastAsia"/>
                <w:color w:val="auto"/>
                <w:sz w:val="21"/>
                <w:szCs w:val="21"/>
                <w:highlight w:val="none"/>
              </w:rPr>
              <w:t>有法定代表人</w:t>
            </w:r>
            <w:bookmarkStart w:id="19" w:name="_Toc300835005"/>
            <w:bookmarkStart w:id="20" w:name="_Toc152045584"/>
            <w:bookmarkStart w:id="21" w:name="_Toc247527609"/>
            <w:bookmarkStart w:id="22" w:name="_Toc384308269"/>
            <w:bookmarkStart w:id="23" w:name="_Toc361508643"/>
            <w:bookmarkStart w:id="24" w:name="_Toc152042361"/>
            <w:bookmarkStart w:id="25" w:name="_Toc247514008"/>
            <w:bookmarkStart w:id="26" w:name="_Toc144974551"/>
            <w:bookmarkStart w:id="27" w:name="_Toc369531574"/>
            <w:bookmarkStart w:id="28" w:name="_Toc352691530"/>
            <w:bookmarkStart w:id="29" w:name="_Toc6546"/>
            <w:r>
              <w:rPr>
                <w:rFonts w:hint="eastAsia"/>
                <w:color w:val="auto"/>
                <w:sz w:val="21"/>
                <w:szCs w:val="21"/>
                <w:highlight w:val="none"/>
              </w:rPr>
              <w:t>或其委托</w:t>
            </w:r>
            <w:bookmarkEnd w:id="19"/>
            <w:bookmarkEnd w:id="20"/>
            <w:bookmarkEnd w:id="21"/>
            <w:bookmarkEnd w:id="22"/>
            <w:bookmarkEnd w:id="23"/>
            <w:bookmarkEnd w:id="24"/>
            <w:bookmarkEnd w:id="25"/>
            <w:bookmarkEnd w:id="26"/>
            <w:bookmarkEnd w:id="27"/>
            <w:bookmarkEnd w:id="28"/>
            <w:bookmarkEnd w:id="29"/>
            <w:r>
              <w:rPr>
                <w:rFonts w:hint="eastAsia"/>
                <w:color w:val="auto"/>
                <w:sz w:val="21"/>
                <w:szCs w:val="21"/>
                <w:highlight w:val="none"/>
              </w:rPr>
              <w:t>代理人签字并加盖单位章。由法定代表人签字的，应附法定代表人身份证明，由代理人签字的，应附授权委托书，身份证明或授权委托书应符合第六章</w:t>
            </w:r>
            <w:r>
              <w:rPr>
                <w:color w:val="auto"/>
                <w:sz w:val="21"/>
                <w:szCs w:val="21"/>
                <w:highlight w:val="none"/>
              </w:rPr>
              <w:t>“</w:t>
            </w:r>
            <w:r>
              <w:rPr>
                <w:rFonts w:hint="eastAsia"/>
                <w:color w:val="auto"/>
                <w:sz w:val="21"/>
                <w:szCs w:val="21"/>
                <w:highlight w:val="none"/>
              </w:rPr>
              <w:t>投标文件格式</w:t>
            </w:r>
            <w:r>
              <w:rPr>
                <w:color w:val="auto"/>
                <w:sz w:val="21"/>
                <w:szCs w:val="21"/>
                <w:highlight w:val="none"/>
              </w:rPr>
              <w:t>”</w:t>
            </w:r>
            <w:r>
              <w:rPr>
                <w:rFonts w:hint="eastAsia"/>
                <w:color w:val="auto"/>
                <w:sz w:val="21"/>
                <w:szCs w:val="21"/>
                <w:highlight w:val="none"/>
              </w:rPr>
              <w:t>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right w:val="single" w:color="auto" w:sz="4" w:space="0"/>
            </w:tcBorders>
            <w:vAlign w:val="center"/>
          </w:tcPr>
          <w:p>
            <w:pPr>
              <w:adjustRightInd w:val="0"/>
              <w:snapToGrid w:val="0"/>
              <w:spacing w:before="36" w:beforeLines="15" w:after="36" w:afterLines="15"/>
              <w:ind w:left="44" w:leftChars="20" w:right="44" w:rightChars="20"/>
              <w:rPr>
                <w:color w:val="auto"/>
                <w:sz w:val="21"/>
                <w:szCs w:val="21"/>
                <w:highlight w:val="none"/>
              </w:rPr>
            </w:pPr>
          </w:p>
        </w:tc>
        <w:tc>
          <w:tcPr>
            <w:tcW w:w="1248" w:type="dxa"/>
            <w:gridSpan w:val="2"/>
            <w:vMerge w:val="continue"/>
            <w:tcBorders>
              <w:right w:val="single" w:color="auto" w:sz="4" w:space="0"/>
            </w:tcBorders>
            <w:vAlign w:val="center"/>
          </w:tcPr>
          <w:p>
            <w:pPr>
              <w:adjustRightInd w:val="0"/>
              <w:snapToGrid w:val="0"/>
              <w:spacing w:before="36" w:beforeLines="15" w:after="36" w:afterLines="15"/>
              <w:ind w:left="44" w:leftChars="20" w:right="44" w:rightChars="20"/>
              <w:rPr>
                <w:color w:val="auto"/>
                <w:sz w:val="21"/>
                <w:szCs w:val="21"/>
                <w:highlight w:val="none"/>
              </w:rPr>
            </w:pP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r>
              <w:rPr>
                <w:rFonts w:hint="eastAsia"/>
                <w:color w:val="auto"/>
                <w:sz w:val="21"/>
                <w:szCs w:val="21"/>
                <w:highlight w:val="none"/>
              </w:rPr>
              <w:t>投标文件格式</w:t>
            </w:r>
          </w:p>
        </w:tc>
        <w:tc>
          <w:tcPr>
            <w:tcW w:w="5103" w:type="dxa"/>
            <w:tcBorders>
              <w:top w:val="single" w:color="auto" w:sz="4" w:space="0"/>
              <w:left w:val="single" w:color="auto" w:sz="4" w:space="0"/>
              <w:bottom w:val="single" w:color="auto" w:sz="4" w:space="0"/>
            </w:tcBorders>
            <w:vAlign w:val="center"/>
          </w:tcPr>
          <w:p>
            <w:pPr>
              <w:adjustRightInd w:val="0"/>
              <w:snapToGrid w:val="0"/>
              <w:spacing w:before="36" w:beforeLines="15" w:after="36" w:afterLines="15"/>
              <w:ind w:left="44" w:leftChars="20" w:right="44" w:rightChars="20"/>
              <w:jc w:val="both"/>
              <w:rPr>
                <w:color w:val="auto"/>
                <w:sz w:val="21"/>
                <w:szCs w:val="21"/>
                <w:highlight w:val="none"/>
              </w:rPr>
            </w:pPr>
            <w:r>
              <w:rPr>
                <w:rFonts w:hint="eastAsia"/>
                <w:color w:val="auto"/>
                <w:sz w:val="21"/>
                <w:szCs w:val="21"/>
                <w:highlight w:val="none"/>
              </w:rPr>
              <w:t>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right w:val="single" w:color="auto" w:sz="4" w:space="0"/>
            </w:tcBorders>
            <w:vAlign w:val="center"/>
          </w:tcPr>
          <w:p>
            <w:pPr>
              <w:adjustRightInd w:val="0"/>
              <w:snapToGrid w:val="0"/>
              <w:spacing w:before="36" w:beforeLines="15" w:after="36" w:afterLines="15"/>
              <w:ind w:left="44" w:leftChars="20" w:right="44" w:rightChars="20"/>
              <w:rPr>
                <w:color w:val="auto"/>
                <w:sz w:val="21"/>
                <w:szCs w:val="21"/>
                <w:highlight w:val="none"/>
              </w:rPr>
            </w:pPr>
          </w:p>
        </w:tc>
        <w:tc>
          <w:tcPr>
            <w:tcW w:w="1248" w:type="dxa"/>
            <w:gridSpan w:val="2"/>
            <w:vMerge w:val="continue"/>
            <w:tcBorders>
              <w:right w:val="single" w:color="auto" w:sz="4" w:space="0"/>
            </w:tcBorders>
            <w:vAlign w:val="center"/>
          </w:tcPr>
          <w:p>
            <w:pPr>
              <w:adjustRightInd w:val="0"/>
              <w:snapToGrid w:val="0"/>
              <w:spacing w:before="36" w:beforeLines="15" w:after="36" w:afterLines="15"/>
              <w:ind w:left="44" w:leftChars="20" w:right="44" w:rightChars="20"/>
              <w:rPr>
                <w:color w:val="auto"/>
                <w:sz w:val="21"/>
                <w:szCs w:val="21"/>
                <w:highlight w:val="none"/>
              </w:rPr>
            </w:pP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r>
              <w:rPr>
                <w:rFonts w:hint="eastAsia"/>
                <w:color w:val="auto"/>
                <w:sz w:val="21"/>
                <w:szCs w:val="21"/>
                <w:highlight w:val="none"/>
              </w:rPr>
              <w:t>备选投标方案</w:t>
            </w:r>
          </w:p>
        </w:tc>
        <w:tc>
          <w:tcPr>
            <w:tcW w:w="5103" w:type="dxa"/>
            <w:tcBorders>
              <w:top w:val="single" w:color="auto" w:sz="4" w:space="0"/>
              <w:left w:val="single" w:color="auto" w:sz="4" w:space="0"/>
              <w:bottom w:val="single" w:color="auto" w:sz="4" w:space="0"/>
            </w:tcBorders>
            <w:vAlign w:val="center"/>
          </w:tcPr>
          <w:p>
            <w:pPr>
              <w:adjustRightInd w:val="0"/>
              <w:snapToGrid w:val="0"/>
              <w:spacing w:before="36" w:beforeLines="15" w:after="36" w:afterLines="15"/>
              <w:ind w:left="44" w:leftChars="20" w:right="44" w:rightChars="20"/>
              <w:jc w:val="both"/>
              <w:rPr>
                <w:color w:val="auto"/>
                <w:sz w:val="21"/>
                <w:szCs w:val="21"/>
                <w:highlight w:val="none"/>
              </w:rPr>
            </w:pPr>
            <w:r>
              <w:rPr>
                <w:rFonts w:hint="eastAsia"/>
                <w:color w:val="auto"/>
                <w:sz w:val="21"/>
                <w:szCs w:val="21"/>
                <w:highlight w:val="none"/>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right w:val="single" w:color="auto" w:sz="4" w:space="0"/>
            </w:tcBorders>
            <w:vAlign w:val="center"/>
          </w:tcPr>
          <w:p>
            <w:pPr>
              <w:adjustRightInd w:val="0"/>
              <w:snapToGrid w:val="0"/>
              <w:spacing w:before="36" w:beforeLines="15" w:after="36" w:afterLines="15"/>
              <w:ind w:left="44" w:leftChars="20" w:right="44" w:rightChars="20"/>
              <w:rPr>
                <w:color w:val="auto"/>
                <w:sz w:val="21"/>
                <w:szCs w:val="21"/>
                <w:highlight w:val="none"/>
              </w:rPr>
            </w:pPr>
          </w:p>
        </w:tc>
        <w:tc>
          <w:tcPr>
            <w:tcW w:w="1248" w:type="dxa"/>
            <w:gridSpan w:val="2"/>
            <w:vMerge w:val="continue"/>
            <w:tcBorders>
              <w:right w:val="single" w:color="auto" w:sz="4" w:space="0"/>
            </w:tcBorders>
            <w:vAlign w:val="center"/>
          </w:tcPr>
          <w:p>
            <w:pPr>
              <w:adjustRightInd w:val="0"/>
              <w:snapToGrid w:val="0"/>
              <w:spacing w:before="36" w:beforeLines="15" w:after="36" w:afterLines="15"/>
              <w:ind w:left="44" w:leftChars="20" w:right="44" w:rightChars="20"/>
              <w:rPr>
                <w:color w:val="auto"/>
                <w:sz w:val="21"/>
                <w:szCs w:val="21"/>
                <w:highlight w:val="none"/>
              </w:rPr>
            </w:pP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r>
              <w:rPr>
                <w:rFonts w:hint="eastAsia"/>
                <w:color w:val="auto"/>
                <w:sz w:val="21"/>
                <w:szCs w:val="21"/>
                <w:highlight w:val="none"/>
              </w:rPr>
              <w:t>联合体投标人</w:t>
            </w:r>
          </w:p>
        </w:tc>
        <w:tc>
          <w:tcPr>
            <w:tcW w:w="5103" w:type="dxa"/>
            <w:tcBorders>
              <w:top w:val="single" w:color="auto" w:sz="4" w:space="0"/>
              <w:left w:val="single" w:color="auto" w:sz="4" w:space="0"/>
              <w:bottom w:val="single" w:color="auto" w:sz="4" w:space="0"/>
            </w:tcBorders>
            <w:vAlign w:val="center"/>
          </w:tcPr>
          <w:p>
            <w:pPr>
              <w:adjustRightInd w:val="0"/>
              <w:snapToGrid w:val="0"/>
              <w:spacing w:before="36" w:beforeLines="15" w:after="36" w:afterLines="15"/>
              <w:ind w:left="44" w:leftChars="20" w:right="44" w:rightChars="20"/>
              <w:jc w:val="both"/>
              <w:rPr>
                <w:color w:val="auto"/>
                <w:sz w:val="21"/>
                <w:szCs w:val="21"/>
                <w:highlight w:val="none"/>
              </w:rPr>
            </w:pPr>
            <w:r>
              <w:rPr>
                <w:rFonts w:hint="eastAsia"/>
                <w:color w:val="auto"/>
                <w:sz w:val="21"/>
                <w:szCs w:val="21"/>
                <w:highlight w:val="none"/>
              </w:rPr>
              <w:t>不接受联合体投标。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741" w:hRule="atLeast"/>
          <w:jc w:val="center"/>
        </w:trPr>
        <w:tc>
          <w:tcPr>
            <w:tcW w:w="854" w:type="dxa"/>
            <w:vMerge w:val="continue"/>
            <w:tcBorders>
              <w:bottom w:val="single" w:color="auto" w:sz="4" w:space="0"/>
              <w:right w:val="single" w:color="auto" w:sz="4" w:space="0"/>
            </w:tcBorders>
            <w:vAlign w:val="center"/>
          </w:tcPr>
          <w:p>
            <w:pPr>
              <w:adjustRightInd w:val="0"/>
              <w:snapToGrid w:val="0"/>
              <w:spacing w:before="36" w:beforeLines="15" w:after="36" w:afterLines="15"/>
              <w:ind w:left="44" w:leftChars="20" w:right="44" w:rightChars="20"/>
              <w:rPr>
                <w:color w:val="auto"/>
                <w:sz w:val="21"/>
                <w:szCs w:val="21"/>
                <w:highlight w:val="none"/>
              </w:rPr>
            </w:pPr>
          </w:p>
        </w:tc>
        <w:tc>
          <w:tcPr>
            <w:tcW w:w="1248" w:type="dxa"/>
            <w:gridSpan w:val="2"/>
            <w:vMerge w:val="continue"/>
            <w:tcBorders>
              <w:right w:val="single" w:color="auto" w:sz="4" w:space="0"/>
            </w:tcBorders>
            <w:vAlign w:val="center"/>
          </w:tcPr>
          <w:p>
            <w:pPr>
              <w:adjustRightInd w:val="0"/>
              <w:snapToGrid w:val="0"/>
              <w:spacing w:before="36" w:beforeLines="15" w:after="36" w:afterLines="15"/>
              <w:ind w:left="44" w:leftChars="20" w:right="44" w:rightChars="20"/>
              <w:rPr>
                <w:color w:val="auto"/>
                <w:sz w:val="21"/>
                <w:szCs w:val="21"/>
                <w:highlight w:val="none"/>
              </w:rPr>
            </w:pP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r>
              <w:rPr>
                <w:rFonts w:hint="eastAsia"/>
                <w:color w:val="auto"/>
                <w:sz w:val="21"/>
                <w:szCs w:val="21"/>
                <w:highlight w:val="none"/>
              </w:rPr>
              <w:t>投标人机器码</w:t>
            </w:r>
          </w:p>
        </w:tc>
        <w:tc>
          <w:tcPr>
            <w:tcW w:w="5103" w:type="dxa"/>
            <w:tcBorders>
              <w:top w:val="single" w:color="auto" w:sz="4" w:space="0"/>
              <w:left w:val="single" w:color="auto" w:sz="4" w:space="0"/>
              <w:bottom w:val="single" w:color="auto" w:sz="4" w:space="0"/>
            </w:tcBorders>
            <w:vAlign w:val="center"/>
          </w:tcPr>
          <w:p>
            <w:pPr>
              <w:adjustRightInd w:val="0"/>
              <w:snapToGrid w:val="0"/>
              <w:spacing w:before="36" w:beforeLines="15" w:after="36" w:afterLines="15"/>
              <w:ind w:left="44" w:leftChars="20" w:right="44" w:rightChars="20"/>
              <w:jc w:val="both"/>
              <w:rPr>
                <w:color w:val="auto"/>
                <w:sz w:val="21"/>
                <w:szCs w:val="21"/>
                <w:highlight w:val="none"/>
              </w:rPr>
            </w:pPr>
            <w:r>
              <w:rPr>
                <w:rFonts w:hint="eastAsia"/>
                <w:color w:val="auto"/>
                <w:sz w:val="21"/>
                <w:szCs w:val="21"/>
                <w:highlight w:val="none"/>
              </w:rPr>
              <w:t>投标人与其他投标人加密打包投标文件电脑机器特征码一致的(以广州公共资源交易中心评标系统的检索信息为准)将被否决。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restart"/>
            <w:tcBorders>
              <w:top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r>
              <w:rPr>
                <w:color w:val="auto"/>
                <w:sz w:val="21"/>
                <w:szCs w:val="21"/>
                <w:highlight w:val="none"/>
              </w:rPr>
              <w:t>2.1.2</w:t>
            </w:r>
          </w:p>
        </w:tc>
        <w:tc>
          <w:tcPr>
            <w:tcW w:w="1248" w:type="dxa"/>
            <w:gridSpan w:val="2"/>
            <w:vMerge w:val="restart"/>
            <w:tcBorders>
              <w:top w:val="single" w:color="auto" w:sz="4" w:space="0"/>
              <w:left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r>
              <w:rPr>
                <w:rFonts w:hint="eastAsia"/>
                <w:color w:val="auto"/>
                <w:sz w:val="21"/>
                <w:szCs w:val="21"/>
                <w:highlight w:val="none"/>
              </w:rPr>
              <w:t>资格评审标准</w:t>
            </w: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r>
              <w:rPr>
                <w:rFonts w:hint="eastAsia"/>
                <w:color w:val="auto"/>
                <w:sz w:val="21"/>
                <w:szCs w:val="21"/>
                <w:highlight w:val="none"/>
              </w:rPr>
              <w:t>营业执照或</w:t>
            </w:r>
            <w:r>
              <w:rPr>
                <w:rFonts w:hint="eastAsia"/>
                <w:color w:val="auto"/>
                <w:sz w:val="21"/>
                <w:szCs w:val="21"/>
                <w:highlight w:val="none"/>
                <w:u w:val="single"/>
              </w:rPr>
              <w:t>事业单位法人证书</w:t>
            </w:r>
          </w:p>
        </w:tc>
        <w:tc>
          <w:tcPr>
            <w:tcW w:w="5103" w:type="dxa"/>
            <w:tcBorders>
              <w:top w:val="single" w:color="auto" w:sz="4" w:space="0"/>
              <w:left w:val="single" w:color="auto" w:sz="4" w:space="0"/>
              <w:bottom w:val="single" w:color="auto" w:sz="4" w:space="0"/>
            </w:tcBorders>
            <w:vAlign w:val="center"/>
          </w:tcPr>
          <w:p>
            <w:pPr>
              <w:adjustRightInd w:val="0"/>
              <w:snapToGrid w:val="0"/>
              <w:spacing w:before="36" w:beforeLines="15" w:after="36" w:afterLines="15"/>
              <w:ind w:left="44" w:leftChars="20" w:right="44" w:rightChars="20"/>
              <w:jc w:val="both"/>
              <w:rPr>
                <w:color w:val="auto"/>
                <w:sz w:val="21"/>
                <w:szCs w:val="21"/>
                <w:highlight w:val="none"/>
              </w:rPr>
            </w:pPr>
            <w:r>
              <w:rPr>
                <w:rFonts w:hint="eastAsia"/>
                <w:color w:val="auto"/>
                <w:sz w:val="21"/>
                <w:szCs w:val="21"/>
                <w:highlight w:val="none"/>
              </w:rPr>
              <w:t>符合第二章“投标人须知”第3.5.1项规定，应附投标人营业执照和组织机构代码证的扫描件（按照“三证合一” 或“五证合一”登记制度进行登记的，可仅提供营业执照扫描件。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right w:val="single" w:color="auto" w:sz="4" w:space="0"/>
            </w:tcBorders>
            <w:vAlign w:val="center"/>
          </w:tcPr>
          <w:p>
            <w:pPr>
              <w:adjustRightInd w:val="0"/>
              <w:snapToGrid w:val="0"/>
              <w:spacing w:before="36" w:beforeLines="15" w:after="36" w:afterLines="15"/>
              <w:ind w:left="44" w:leftChars="20" w:right="44" w:rightChars="20"/>
              <w:rPr>
                <w:color w:val="auto"/>
                <w:sz w:val="21"/>
                <w:szCs w:val="21"/>
                <w:highlight w:val="none"/>
              </w:rPr>
            </w:pPr>
          </w:p>
        </w:tc>
        <w:tc>
          <w:tcPr>
            <w:tcW w:w="1248" w:type="dxa"/>
            <w:gridSpan w:val="2"/>
            <w:vMerge w:val="continue"/>
            <w:tcBorders>
              <w:left w:val="single" w:color="auto" w:sz="4" w:space="0"/>
              <w:right w:val="single" w:color="auto" w:sz="4" w:space="0"/>
            </w:tcBorders>
            <w:vAlign w:val="center"/>
          </w:tcPr>
          <w:p>
            <w:pPr>
              <w:adjustRightInd w:val="0"/>
              <w:snapToGrid w:val="0"/>
              <w:spacing w:before="36" w:beforeLines="15" w:after="36" w:afterLines="15"/>
              <w:ind w:left="44" w:leftChars="20" w:right="44" w:rightChars="20"/>
              <w:rPr>
                <w:color w:val="auto"/>
                <w:sz w:val="21"/>
                <w:szCs w:val="21"/>
                <w:highlight w:val="none"/>
              </w:rPr>
            </w:pP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r>
              <w:rPr>
                <w:rFonts w:hint="eastAsia"/>
                <w:color w:val="auto"/>
                <w:sz w:val="21"/>
                <w:szCs w:val="21"/>
                <w:highlight w:val="none"/>
              </w:rPr>
              <w:t>资质要求</w:t>
            </w:r>
          </w:p>
        </w:tc>
        <w:tc>
          <w:tcPr>
            <w:tcW w:w="5103" w:type="dxa"/>
            <w:tcBorders>
              <w:top w:val="single" w:color="auto" w:sz="4" w:space="0"/>
              <w:left w:val="single" w:color="auto" w:sz="4" w:space="0"/>
              <w:bottom w:val="single" w:color="auto" w:sz="4" w:space="0"/>
            </w:tcBorders>
            <w:vAlign w:val="center"/>
          </w:tcPr>
          <w:p>
            <w:pPr>
              <w:adjustRightInd w:val="0"/>
              <w:snapToGrid w:val="0"/>
              <w:spacing w:before="36" w:beforeLines="15" w:after="36" w:afterLines="15"/>
              <w:ind w:left="44" w:leftChars="20" w:right="44" w:rightChars="20"/>
              <w:jc w:val="both"/>
              <w:rPr>
                <w:color w:val="auto"/>
                <w:sz w:val="21"/>
                <w:szCs w:val="21"/>
                <w:highlight w:val="none"/>
              </w:rPr>
            </w:pPr>
            <w:r>
              <w:rPr>
                <w:rFonts w:hint="eastAsia"/>
                <w:color w:val="auto"/>
                <w:sz w:val="21"/>
                <w:szCs w:val="21"/>
                <w:highlight w:val="none"/>
              </w:rPr>
              <w:t>符合第二章</w:t>
            </w:r>
            <w:r>
              <w:rPr>
                <w:color w:val="auto"/>
                <w:sz w:val="21"/>
                <w:szCs w:val="21"/>
                <w:highlight w:val="none"/>
              </w:rPr>
              <w:t>“</w:t>
            </w:r>
            <w:r>
              <w:rPr>
                <w:rFonts w:hint="eastAsia"/>
                <w:color w:val="auto"/>
                <w:sz w:val="21"/>
                <w:szCs w:val="21"/>
                <w:highlight w:val="none"/>
              </w:rPr>
              <w:t>投标人须知</w:t>
            </w:r>
            <w:r>
              <w:rPr>
                <w:color w:val="auto"/>
                <w:sz w:val="21"/>
                <w:szCs w:val="21"/>
                <w:highlight w:val="none"/>
              </w:rPr>
              <w:t>”</w:t>
            </w:r>
            <w:r>
              <w:rPr>
                <w:rFonts w:hint="eastAsia"/>
                <w:color w:val="auto"/>
                <w:sz w:val="21"/>
                <w:szCs w:val="21"/>
                <w:highlight w:val="none"/>
              </w:rPr>
              <w:t>第</w:t>
            </w:r>
            <w:r>
              <w:rPr>
                <w:color w:val="auto"/>
                <w:sz w:val="21"/>
                <w:szCs w:val="21"/>
                <w:highlight w:val="none"/>
              </w:rPr>
              <w:t>1.4.1</w:t>
            </w:r>
            <w:r>
              <w:rPr>
                <w:rFonts w:hint="eastAsia"/>
                <w:color w:val="auto"/>
                <w:sz w:val="21"/>
                <w:szCs w:val="21"/>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325" w:hRule="atLeast"/>
          <w:jc w:val="center"/>
        </w:trPr>
        <w:tc>
          <w:tcPr>
            <w:tcW w:w="854" w:type="dxa"/>
            <w:vMerge w:val="continue"/>
            <w:tcBorders>
              <w:right w:val="single" w:color="auto" w:sz="4" w:space="0"/>
            </w:tcBorders>
            <w:vAlign w:val="center"/>
          </w:tcPr>
          <w:p>
            <w:pPr>
              <w:adjustRightInd w:val="0"/>
              <w:snapToGrid w:val="0"/>
              <w:spacing w:before="36" w:beforeLines="15" w:after="36" w:afterLines="15"/>
              <w:ind w:left="44" w:leftChars="20" w:right="44" w:rightChars="20"/>
              <w:rPr>
                <w:color w:val="auto"/>
                <w:sz w:val="21"/>
                <w:szCs w:val="21"/>
                <w:highlight w:val="none"/>
              </w:rPr>
            </w:pPr>
          </w:p>
        </w:tc>
        <w:tc>
          <w:tcPr>
            <w:tcW w:w="1248" w:type="dxa"/>
            <w:gridSpan w:val="2"/>
            <w:vMerge w:val="continue"/>
            <w:tcBorders>
              <w:left w:val="single" w:color="auto" w:sz="4" w:space="0"/>
              <w:right w:val="single" w:color="auto" w:sz="4" w:space="0"/>
            </w:tcBorders>
            <w:vAlign w:val="center"/>
          </w:tcPr>
          <w:p>
            <w:pPr>
              <w:adjustRightInd w:val="0"/>
              <w:snapToGrid w:val="0"/>
              <w:spacing w:before="36" w:beforeLines="15" w:after="36" w:afterLines="15"/>
              <w:ind w:left="44" w:leftChars="20" w:right="44" w:rightChars="20"/>
              <w:rPr>
                <w:color w:val="auto"/>
                <w:sz w:val="21"/>
                <w:szCs w:val="21"/>
                <w:highlight w:val="none"/>
              </w:rPr>
            </w:pP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r>
              <w:rPr>
                <w:rFonts w:hint="eastAsia"/>
                <w:color w:val="auto"/>
                <w:sz w:val="21"/>
                <w:szCs w:val="21"/>
                <w:highlight w:val="none"/>
                <w:lang w:val="en-US"/>
              </w:rPr>
              <w:t>项目负责人</w:t>
            </w:r>
          </w:p>
        </w:tc>
        <w:tc>
          <w:tcPr>
            <w:tcW w:w="5103" w:type="dxa"/>
            <w:tcBorders>
              <w:top w:val="single" w:color="auto" w:sz="4" w:space="0"/>
              <w:left w:val="single" w:color="auto" w:sz="4" w:space="0"/>
              <w:bottom w:val="single" w:color="auto" w:sz="4" w:space="0"/>
            </w:tcBorders>
            <w:vAlign w:val="center"/>
          </w:tcPr>
          <w:p>
            <w:pPr>
              <w:adjustRightInd w:val="0"/>
              <w:snapToGrid w:val="0"/>
              <w:spacing w:before="36" w:beforeLines="15" w:after="36" w:afterLines="15"/>
              <w:ind w:left="44" w:leftChars="20" w:right="44" w:rightChars="20"/>
              <w:jc w:val="both"/>
              <w:rPr>
                <w:color w:val="auto"/>
                <w:sz w:val="21"/>
                <w:szCs w:val="21"/>
                <w:highlight w:val="none"/>
              </w:rPr>
            </w:pPr>
            <w:r>
              <w:rPr>
                <w:rFonts w:hint="eastAsia"/>
                <w:color w:val="auto"/>
                <w:sz w:val="21"/>
                <w:szCs w:val="21"/>
                <w:highlight w:val="none"/>
              </w:rPr>
              <w:t>符合第二章</w:t>
            </w:r>
            <w:r>
              <w:rPr>
                <w:color w:val="auto"/>
                <w:sz w:val="21"/>
                <w:szCs w:val="21"/>
                <w:highlight w:val="none"/>
              </w:rPr>
              <w:t>“</w:t>
            </w:r>
            <w:r>
              <w:rPr>
                <w:rFonts w:hint="eastAsia"/>
                <w:color w:val="auto"/>
                <w:sz w:val="21"/>
                <w:szCs w:val="21"/>
                <w:highlight w:val="none"/>
              </w:rPr>
              <w:t>投标人须知</w:t>
            </w:r>
            <w:r>
              <w:rPr>
                <w:color w:val="auto"/>
                <w:sz w:val="21"/>
                <w:szCs w:val="21"/>
                <w:highlight w:val="none"/>
              </w:rPr>
              <w:t>”</w:t>
            </w:r>
            <w:r>
              <w:rPr>
                <w:rFonts w:hint="eastAsia"/>
                <w:color w:val="auto"/>
                <w:sz w:val="21"/>
                <w:szCs w:val="21"/>
                <w:highlight w:val="none"/>
              </w:rPr>
              <w:t>第</w:t>
            </w:r>
            <w:r>
              <w:rPr>
                <w:color w:val="auto"/>
                <w:sz w:val="21"/>
                <w:szCs w:val="21"/>
                <w:highlight w:val="none"/>
              </w:rPr>
              <w:t>1.4.1</w:t>
            </w:r>
            <w:r>
              <w:rPr>
                <w:rFonts w:hint="eastAsia"/>
                <w:color w:val="auto"/>
                <w:sz w:val="21"/>
                <w:szCs w:val="21"/>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right w:val="single" w:color="auto" w:sz="4" w:space="0"/>
            </w:tcBorders>
            <w:vAlign w:val="center"/>
          </w:tcPr>
          <w:p>
            <w:pPr>
              <w:adjustRightInd w:val="0"/>
              <w:snapToGrid w:val="0"/>
              <w:spacing w:before="36" w:beforeLines="15" w:after="36" w:afterLines="15"/>
              <w:ind w:left="44" w:leftChars="20" w:right="44" w:rightChars="20"/>
              <w:rPr>
                <w:color w:val="auto"/>
                <w:sz w:val="21"/>
                <w:szCs w:val="21"/>
                <w:highlight w:val="none"/>
              </w:rPr>
            </w:pPr>
          </w:p>
        </w:tc>
        <w:tc>
          <w:tcPr>
            <w:tcW w:w="1248" w:type="dxa"/>
            <w:gridSpan w:val="2"/>
            <w:vMerge w:val="continue"/>
            <w:tcBorders>
              <w:left w:val="single" w:color="auto" w:sz="4" w:space="0"/>
              <w:right w:val="single" w:color="auto" w:sz="4" w:space="0"/>
            </w:tcBorders>
            <w:vAlign w:val="center"/>
          </w:tcPr>
          <w:p>
            <w:pPr>
              <w:adjustRightInd w:val="0"/>
              <w:snapToGrid w:val="0"/>
              <w:spacing w:before="36" w:beforeLines="15" w:after="36" w:afterLines="15"/>
              <w:ind w:left="44" w:leftChars="20" w:right="44" w:rightChars="20"/>
              <w:rPr>
                <w:color w:val="auto"/>
                <w:sz w:val="21"/>
                <w:szCs w:val="21"/>
                <w:highlight w:val="none"/>
              </w:rPr>
            </w:pP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r>
              <w:rPr>
                <w:rFonts w:hint="eastAsia"/>
                <w:color w:val="auto"/>
                <w:sz w:val="21"/>
                <w:szCs w:val="21"/>
                <w:highlight w:val="none"/>
              </w:rPr>
              <w:t>其他要求</w:t>
            </w:r>
          </w:p>
        </w:tc>
        <w:tc>
          <w:tcPr>
            <w:tcW w:w="5103" w:type="dxa"/>
            <w:tcBorders>
              <w:top w:val="single" w:color="auto" w:sz="4" w:space="0"/>
              <w:left w:val="single" w:color="auto" w:sz="4" w:space="0"/>
              <w:bottom w:val="single" w:color="auto" w:sz="4" w:space="0"/>
            </w:tcBorders>
            <w:vAlign w:val="center"/>
          </w:tcPr>
          <w:p>
            <w:pPr>
              <w:adjustRightInd w:val="0"/>
              <w:snapToGrid w:val="0"/>
              <w:spacing w:before="36" w:beforeLines="15" w:after="36" w:afterLines="15"/>
              <w:ind w:left="44" w:leftChars="20" w:right="44" w:rightChars="20"/>
              <w:jc w:val="both"/>
              <w:rPr>
                <w:color w:val="auto"/>
                <w:sz w:val="21"/>
                <w:szCs w:val="21"/>
                <w:highlight w:val="none"/>
              </w:rPr>
            </w:pPr>
            <w:r>
              <w:rPr>
                <w:rFonts w:hint="eastAsia"/>
                <w:color w:val="auto"/>
                <w:sz w:val="21"/>
                <w:szCs w:val="21"/>
                <w:highlight w:val="none"/>
              </w:rPr>
              <w:t>符合第二章</w:t>
            </w:r>
            <w:r>
              <w:rPr>
                <w:color w:val="auto"/>
                <w:sz w:val="21"/>
                <w:szCs w:val="21"/>
                <w:highlight w:val="none"/>
              </w:rPr>
              <w:t>“</w:t>
            </w:r>
            <w:r>
              <w:rPr>
                <w:rFonts w:hint="eastAsia"/>
                <w:color w:val="auto"/>
                <w:sz w:val="21"/>
                <w:szCs w:val="21"/>
                <w:highlight w:val="none"/>
              </w:rPr>
              <w:t>投标人须知</w:t>
            </w:r>
            <w:r>
              <w:rPr>
                <w:color w:val="auto"/>
                <w:sz w:val="21"/>
                <w:szCs w:val="21"/>
                <w:highlight w:val="none"/>
              </w:rPr>
              <w:t>”</w:t>
            </w:r>
            <w:r>
              <w:rPr>
                <w:rFonts w:hint="eastAsia"/>
                <w:color w:val="auto"/>
                <w:sz w:val="21"/>
                <w:szCs w:val="21"/>
                <w:highlight w:val="none"/>
              </w:rPr>
              <w:t>第</w:t>
            </w:r>
            <w:r>
              <w:rPr>
                <w:color w:val="auto"/>
                <w:sz w:val="21"/>
                <w:szCs w:val="21"/>
                <w:highlight w:val="none"/>
              </w:rPr>
              <w:t>1.4.1</w:t>
            </w:r>
            <w:r>
              <w:rPr>
                <w:rFonts w:hint="eastAsia"/>
                <w:color w:val="auto"/>
                <w:sz w:val="21"/>
                <w:szCs w:val="21"/>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right w:val="single" w:color="auto" w:sz="4" w:space="0"/>
            </w:tcBorders>
            <w:vAlign w:val="center"/>
          </w:tcPr>
          <w:p>
            <w:pPr>
              <w:adjustRightInd w:val="0"/>
              <w:snapToGrid w:val="0"/>
              <w:spacing w:before="36" w:beforeLines="15" w:after="36" w:afterLines="15"/>
              <w:ind w:left="44" w:leftChars="20" w:right="44" w:rightChars="20"/>
              <w:rPr>
                <w:color w:val="auto"/>
                <w:sz w:val="21"/>
                <w:szCs w:val="21"/>
                <w:highlight w:val="none"/>
              </w:rPr>
            </w:pPr>
          </w:p>
        </w:tc>
        <w:tc>
          <w:tcPr>
            <w:tcW w:w="1248" w:type="dxa"/>
            <w:gridSpan w:val="2"/>
            <w:vMerge w:val="continue"/>
            <w:tcBorders>
              <w:left w:val="single" w:color="auto" w:sz="4" w:space="0"/>
              <w:right w:val="single" w:color="auto" w:sz="4" w:space="0"/>
            </w:tcBorders>
            <w:vAlign w:val="center"/>
          </w:tcPr>
          <w:p>
            <w:pPr>
              <w:adjustRightInd w:val="0"/>
              <w:snapToGrid w:val="0"/>
              <w:spacing w:before="36" w:beforeLines="15" w:after="36" w:afterLines="15"/>
              <w:ind w:left="44" w:leftChars="20" w:right="44" w:rightChars="20"/>
              <w:rPr>
                <w:color w:val="auto"/>
                <w:sz w:val="21"/>
                <w:szCs w:val="21"/>
                <w:highlight w:val="none"/>
              </w:rPr>
            </w:pP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r>
              <w:rPr>
                <w:rFonts w:hint="eastAsia"/>
                <w:color w:val="auto"/>
                <w:sz w:val="21"/>
                <w:szCs w:val="21"/>
                <w:highlight w:val="none"/>
              </w:rPr>
              <w:t>联合体投标人</w:t>
            </w:r>
          </w:p>
        </w:tc>
        <w:tc>
          <w:tcPr>
            <w:tcW w:w="5103" w:type="dxa"/>
            <w:tcBorders>
              <w:top w:val="single" w:color="auto" w:sz="4" w:space="0"/>
              <w:left w:val="single" w:color="auto" w:sz="4" w:space="0"/>
              <w:bottom w:val="single" w:color="auto" w:sz="4" w:space="0"/>
            </w:tcBorders>
            <w:vAlign w:val="center"/>
          </w:tcPr>
          <w:p>
            <w:pPr>
              <w:adjustRightInd w:val="0"/>
              <w:snapToGrid w:val="0"/>
              <w:spacing w:before="36" w:beforeLines="15" w:after="36" w:afterLines="15"/>
              <w:ind w:left="44" w:leftChars="20" w:right="44" w:rightChars="20"/>
              <w:jc w:val="both"/>
              <w:rPr>
                <w:color w:val="auto"/>
                <w:sz w:val="21"/>
                <w:szCs w:val="21"/>
                <w:highlight w:val="none"/>
              </w:rPr>
            </w:pPr>
            <w:r>
              <w:rPr>
                <w:rFonts w:hint="eastAsia"/>
                <w:color w:val="auto"/>
                <w:sz w:val="21"/>
                <w:szCs w:val="21"/>
                <w:highlight w:val="none"/>
              </w:rPr>
              <w:t>符合第二章“投标人须知”第1.4.2项规定。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right w:val="single" w:color="auto" w:sz="4" w:space="0"/>
            </w:tcBorders>
            <w:vAlign w:val="center"/>
          </w:tcPr>
          <w:p>
            <w:pPr>
              <w:adjustRightInd w:val="0"/>
              <w:snapToGrid w:val="0"/>
              <w:spacing w:before="36" w:beforeLines="15" w:after="36" w:afterLines="15"/>
              <w:ind w:left="44" w:leftChars="20" w:right="44" w:rightChars="20"/>
              <w:rPr>
                <w:color w:val="auto"/>
                <w:sz w:val="21"/>
                <w:szCs w:val="21"/>
                <w:highlight w:val="none"/>
              </w:rPr>
            </w:pPr>
          </w:p>
        </w:tc>
        <w:tc>
          <w:tcPr>
            <w:tcW w:w="1248" w:type="dxa"/>
            <w:gridSpan w:val="2"/>
            <w:vMerge w:val="continue"/>
            <w:tcBorders>
              <w:left w:val="single" w:color="auto" w:sz="4" w:space="0"/>
              <w:right w:val="single" w:color="auto" w:sz="4" w:space="0"/>
            </w:tcBorders>
            <w:vAlign w:val="center"/>
          </w:tcPr>
          <w:p>
            <w:pPr>
              <w:adjustRightInd w:val="0"/>
              <w:snapToGrid w:val="0"/>
              <w:spacing w:before="36" w:beforeLines="15" w:after="36" w:afterLines="15"/>
              <w:ind w:left="44" w:leftChars="20" w:right="44" w:rightChars="20"/>
              <w:rPr>
                <w:color w:val="auto"/>
                <w:sz w:val="21"/>
                <w:szCs w:val="21"/>
                <w:highlight w:val="none"/>
              </w:rPr>
            </w:pP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r>
              <w:rPr>
                <w:rFonts w:hint="eastAsia"/>
                <w:color w:val="auto"/>
                <w:sz w:val="21"/>
                <w:szCs w:val="21"/>
                <w:highlight w:val="none"/>
              </w:rPr>
              <w:t>不存在禁止投标的情形</w:t>
            </w:r>
          </w:p>
        </w:tc>
        <w:tc>
          <w:tcPr>
            <w:tcW w:w="5103" w:type="dxa"/>
            <w:tcBorders>
              <w:top w:val="single" w:color="auto" w:sz="4" w:space="0"/>
              <w:left w:val="single" w:color="auto" w:sz="4" w:space="0"/>
              <w:bottom w:val="single" w:color="auto" w:sz="4" w:space="0"/>
            </w:tcBorders>
            <w:vAlign w:val="center"/>
          </w:tcPr>
          <w:p>
            <w:pPr>
              <w:adjustRightInd w:val="0"/>
              <w:snapToGrid w:val="0"/>
              <w:spacing w:before="36" w:beforeLines="15" w:after="36" w:afterLines="15"/>
              <w:ind w:left="44" w:leftChars="20" w:right="44" w:rightChars="20"/>
              <w:jc w:val="both"/>
              <w:rPr>
                <w:color w:val="auto"/>
                <w:sz w:val="21"/>
                <w:szCs w:val="21"/>
                <w:highlight w:val="none"/>
              </w:rPr>
            </w:pPr>
            <w:r>
              <w:rPr>
                <w:rFonts w:hint="eastAsia"/>
                <w:color w:val="auto"/>
                <w:sz w:val="21"/>
                <w:szCs w:val="21"/>
                <w:highlight w:val="none"/>
              </w:rPr>
              <w:t>不存在第二章</w:t>
            </w:r>
            <w:r>
              <w:rPr>
                <w:color w:val="auto"/>
                <w:sz w:val="21"/>
                <w:szCs w:val="21"/>
                <w:highlight w:val="none"/>
              </w:rPr>
              <w:t>“</w:t>
            </w:r>
            <w:r>
              <w:rPr>
                <w:rFonts w:hint="eastAsia"/>
                <w:color w:val="auto"/>
                <w:sz w:val="21"/>
                <w:szCs w:val="21"/>
                <w:highlight w:val="none"/>
              </w:rPr>
              <w:t>投标人须知</w:t>
            </w:r>
            <w:r>
              <w:rPr>
                <w:color w:val="auto"/>
                <w:sz w:val="21"/>
                <w:szCs w:val="21"/>
                <w:highlight w:val="none"/>
              </w:rPr>
              <w:t>”</w:t>
            </w:r>
            <w:r>
              <w:rPr>
                <w:rFonts w:hint="eastAsia"/>
                <w:color w:val="auto"/>
                <w:sz w:val="21"/>
                <w:szCs w:val="21"/>
                <w:highlight w:val="none"/>
              </w:rPr>
              <w:t>第</w:t>
            </w:r>
            <w:r>
              <w:rPr>
                <w:color w:val="auto"/>
                <w:sz w:val="21"/>
                <w:szCs w:val="21"/>
                <w:highlight w:val="none"/>
              </w:rPr>
              <w:t>1.4.3</w:t>
            </w:r>
            <w:r>
              <w:rPr>
                <w:rFonts w:hint="eastAsia"/>
                <w:color w:val="auto"/>
                <w:sz w:val="21"/>
                <w:szCs w:val="21"/>
                <w:highlight w:val="none"/>
              </w:rPr>
              <w:t>项规定的任何一种情形（以《投标人声明》进行评审）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07" w:hRule="atLeast"/>
          <w:jc w:val="center"/>
        </w:trPr>
        <w:tc>
          <w:tcPr>
            <w:tcW w:w="854" w:type="dxa"/>
            <w:vMerge w:val="restart"/>
            <w:tcBorders>
              <w:top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r>
              <w:rPr>
                <w:color w:val="auto"/>
                <w:sz w:val="21"/>
                <w:szCs w:val="21"/>
                <w:highlight w:val="none"/>
              </w:rPr>
              <w:t>2.1.3</w:t>
            </w:r>
          </w:p>
        </w:tc>
        <w:tc>
          <w:tcPr>
            <w:tcW w:w="1248" w:type="dxa"/>
            <w:gridSpan w:val="2"/>
            <w:vMerge w:val="restart"/>
            <w:tcBorders>
              <w:top w:val="single" w:color="auto" w:sz="4" w:space="0"/>
              <w:left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r>
              <w:rPr>
                <w:rFonts w:hint="eastAsia"/>
                <w:color w:val="auto"/>
                <w:sz w:val="21"/>
                <w:szCs w:val="21"/>
                <w:highlight w:val="none"/>
              </w:rPr>
              <w:t>响应性评审标准</w:t>
            </w:r>
          </w:p>
        </w:tc>
        <w:tc>
          <w:tcPr>
            <w:tcW w:w="2506" w:type="dxa"/>
            <w:tcBorders>
              <w:top w:val="single" w:color="auto" w:sz="4" w:space="0"/>
              <w:left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strike/>
                <w:color w:val="auto"/>
                <w:sz w:val="21"/>
                <w:szCs w:val="21"/>
                <w:highlight w:val="none"/>
              </w:rPr>
            </w:pPr>
            <w:r>
              <w:rPr>
                <w:rFonts w:hint="eastAsia"/>
                <w:color w:val="auto"/>
                <w:sz w:val="21"/>
                <w:szCs w:val="21"/>
                <w:highlight w:val="none"/>
              </w:rPr>
              <w:t>投标报价</w:t>
            </w:r>
          </w:p>
        </w:tc>
        <w:tc>
          <w:tcPr>
            <w:tcW w:w="5103" w:type="dxa"/>
            <w:tcBorders>
              <w:top w:val="single" w:color="auto" w:sz="4" w:space="0"/>
              <w:left w:val="single" w:color="auto" w:sz="4" w:space="0"/>
            </w:tcBorders>
            <w:vAlign w:val="center"/>
          </w:tcPr>
          <w:p>
            <w:pPr>
              <w:adjustRightInd w:val="0"/>
              <w:snapToGrid w:val="0"/>
              <w:spacing w:before="36" w:beforeLines="15" w:after="36" w:afterLines="15"/>
              <w:ind w:left="44" w:leftChars="20" w:right="44" w:rightChars="20"/>
              <w:jc w:val="both"/>
              <w:rPr>
                <w:strike/>
                <w:color w:val="auto"/>
                <w:sz w:val="21"/>
                <w:szCs w:val="21"/>
                <w:highlight w:val="none"/>
              </w:rPr>
            </w:pPr>
            <w:r>
              <w:rPr>
                <w:rFonts w:hint="eastAsia"/>
                <w:color w:val="auto"/>
                <w:sz w:val="21"/>
                <w:szCs w:val="21"/>
                <w:highlight w:val="none"/>
              </w:rPr>
              <w:t>符合第二章“投标人须知”第3.2款规定进行投标报价的；对同一招标项目没有出现两个或以上的投标报价，且修正无依据。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07" w:hRule="atLeast"/>
          <w:jc w:val="center"/>
        </w:trPr>
        <w:tc>
          <w:tcPr>
            <w:tcW w:w="854" w:type="dxa"/>
            <w:vMerge w:val="continue"/>
            <w:tcBorders>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p>
        </w:tc>
        <w:tc>
          <w:tcPr>
            <w:tcW w:w="1248" w:type="dxa"/>
            <w:gridSpan w:val="2"/>
            <w:vMerge w:val="continue"/>
            <w:tcBorders>
              <w:left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p>
        </w:tc>
        <w:tc>
          <w:tcPr>
            <w:tcW w:w="2506" w:type="dxa"/>
            <w:tcBorders>
              <w:top w:val="single" w:color="auto" w:sz="4" w:space="0"/>
              <w:left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r>
              <w:rPr>
                <w:rFonts w:hint="eastAsia"/>
                <w:color w:val="auto"/>
                <w:sz w:val="21"/>
                <w:szCs w:val="21"/>
                <w:highlight w:val="none"/>
              </w:rPr>
              <w:t>投标内容</w:t>
            </w:r>
          </w:p>
        </w:tc>
        <w:tc>
          <w:tcPr>
            <w:tcW w:w="5103" w:type="dxa"/>
            <w:tcBorders>
              <w:top w:val="single" w:color="auto" w:sz="4" w:space="0"/>
              <w:left w:val="single" w:color="auto" w:sz="4" w:space="0"/>
            </w:tcBorders>
            <w:vAlign w:val="center"/>
          </w:tcPr>
          <w:p>
            <w:pPr>
              <w:adjustRightInd w:val="0"/>
              <w:snapToGrid w:val="0"/>
              <w:spacing w:before="36" w:beforeLines="15" w:after="36" w:afterLines="15"/>
              <w:ind w:left="44" w:leftChars="20" w:right="44" w:rightChars="20"/>
              <w:jc w:val="both"/>
              <w:rPr>
                <w:color w:val="auto"/>
                <w:sz w:val="21"/>
                <w:szCs w:val="21"/>
                <w:highlight w:val="none"/>
              </w:rPr>
            </w:pPr>
            <w:r>
              <w:rPr>
                <w:rFonts w:hint="eastAsia"/>
                <w:color w:val="auto"/>
                <w:sz w:val="21"/>
                <w:szCs w:val="21"/>
                <w:highlight w:val="none"/>
              </w:rPr>
              <w:t>符合第二章“投标人须知”第1.3.1项规定。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p>
        </w:tc>
        <w:tc>
          <w:tcPr>
            <w:tcW w:w="1248" w:type="dxa"/>
            <w:gridSpan w:val="2"/>
            <w:vMerge w:val="continue"/>
            <w:tcBorders>
              <w:left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r>
              <w:rPr>
                <w:rFonts w:hint="eastAsia"/>
                <w:color w:val="auto"/>
                <w:sz w:val="21"/>
                <w:szCs w:val="21"/>
                <w:highlight w:val="none"/>
              </w:rPr>
              <w:t>服务期限</w:t>
            </w:r>
          </w:p>
        </w:tc>
        <w:tc>
          <w:tcPr>
            <w:tcW w:w="5103" w:type="dxa"/>
            <w:tcBorders>
              <w:top w:val="single" w:color="auto" w:sz="4" w:space="0"/>
              <w:left w:val="single" w:color="auto" w:sz="4" w:space="0"/>
              <w:bottom w:val="single" w:color="auto" w:sz="4" w:space="0"/>
            </w:tcBorders>
            <w:vAlign w:val="center"/>
          </w:tcPr>
          <w:p>
            <w:pPr>
              <w:adjustRightInd w:val="0"/>
              <w:snapToGrid w:val="0"/>
              <w:spacing w:before="36" w:beforeLines="15" w:after="36" w:afterLines="15"/>
              <w:ind w:left="44" w:leftChars="20" w:right="44" w:rightChars="20"/>
              <w:jc w:val="both"/>
              <w:rPr>
                <w:color w:val="auto"/>
                <w:sz w:val="21"/>
                <w:szCs w:val="21"/>
                <w:highlight w:val="none"/>
              </w:rPr>
            </w:pPr>
            <w:r>
              <w:rPr>
                <w:rFonts w:hint="eastAsia"/>
                <w:color w:val="auto"/>
                <w:sz w:val="21"/>
                <w:szCs w:val="21"/>
                <w:highlight w:val="none"/>
              </w:rPr>
              <w:t>符合第二章</w:t>
            </w:r>
            <w:r>
              <w:rPr>
                <w:color w:val="auto"/>
                <w:sz w:val="21"/>
                <w:szCs w:val="21"/>
                <w:highlight w:val="none"/>
              </w:rPr>
              <w:t>“</w:t>
            </w:r>
            <w:r>
              <w:rPr>
                <w:rFonts w:hint="eastAsia"/>
                <w:color w:val="auto"/>
                <w:sz w:val="21"/>
                <w:szCs w:val="21"/>
                <w:highlight w:val="none"/>
              </w:rPr>
              <w:t>投标人须知</w:t>
            </w:r>
            <w:r>
              <w:rPr>
                <w:color w:val="auto"/>
                <w:sz w:val="21"/>
                <w:szCs w:val="21"/>
                <w:highlight w:val="none"/>
              </w:rPr>
              <w:t>”</w:t>
            </w:r>
            <w:r>
              <w:rPr>
                <w:rFonts w:hint="eastAsia"/>
                <w:color w:val="auto"/>
                <w:sz w:val="21"/>
                <w:szCs w:val="21"/>
                <w:highlight w:val="none"/>
              </w:rPr>
              <w:t>第</w:t>
            </w:r>
            <w:r>
              <w:rPr>
                <w:color w:val="auto"/>
                <w:sz w:val="21"/>
                <w:szCs w:val="21"/>
                <w:highlight w:val="none"/>
              </w:rPr>
              <w:t>1.3.2</w:t>
            </w:r>
            <w:r>
              <w:rPr>
                <w:rFonts w:hint="eastAsia"/>
                <w:color w:val="auto"/>
                <w:sz w:val="21"/>
                <w:szCs w:val="21"/>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p>
        </w:tc>
        <w:tc>
          <w:tcPr>
            <w:tcW w:w="1248" w:type="dxa"/>
            <w:gridSpan w:val="2"/>
            <w:vMerge w:val="continue"/>
            <w:tcBorders>
              <w:left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r>
              <w:rPr>
                <w:rFonts w:hint="eastAsia"/>
                <w:color w:val="auto"/>
                <w:sz w:val="21"/>
                <w:szCs w:val="21"/>
                <w:highlight w:val="none"/>
              </w:rPr>
              <w:t>质量标准</w:t>
            </w:r>
          </w:p>
        </w:tc>
        <w:tc>
          <w:tcPr>
            <w:tcW w:w="5103" w:type="dxa"/>
            <w:tcBorders>
              <w:top w:val="single" w:color="auto" w:sz="4" w:space="0"/>
              <w:left w:val="single" w:color="auto" w:sz="4" w:space="0"/>
              <w:bottom w:val="single" w:color="auto" w:sz="4" w:space="0"/>
            </w:tcBorders>
            <w:vAlign w:val="center"/>
          </w:tcPr>
          <w:p>
            <w:pPr>
              <w:adjustRightInd w:val="0"/>
              <w:snapToGrid w:val="0"/>
              <w:spacing w:before="36" w:beforeLines="15" w:after="36" w:afterLines="15"/>
              <w:ind w:left="44" w:leftChars="20" w:right="44" w:rightChars="20"/>
              <w:jc w:val="both"/>
              <w:rPr>
                <w:color w:val="auto"/>
                <w:sz w:val="21"/>
                <w:szCs w:val="21"/>
                <w:highlight w:val="none"/>
              </w:rPr>
            </w:pPr>
            <w:r>
              <w:rPr>
                <w:rFonts w:hint="eastAsia"/>
                <w:color w:val="auto"/>
                <w:sz w:val="21"/>
                <w:szCs w:val="21"/>
                <w:highlight w:val="none"/>
              </w:rPr>
              <w:t>符合第二章“投标人须知”第</w:t>
            </w:r>
            <w:r>
              <w:rPr>
                <w:color w:val="auto"/>
                <w:sz w:val="21"/>
                <w:szCs w:val="21"/>
                <w:highlight w:val="none"/>
              </w:rPr>
              <w:t xml:space="preserve"> 1.3.3 </w:t>
            </w:r>
            <w:r>
              <w:rPr>
                <w:rFonts w:hint="eastAsia"/>
                <w:color w:val="auto"/>
                <w:sz w:val="21"/>
                <w:szCs w:val="21"/>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right w:val="single" w:color="auto" w:sz="4" w:space="0"/>
            </w:tcBorders>
            <w:vAlign w:val="center"/>
          </w:tcPr>
          <w:p>
            <w:pPr>
              <w:adjustRightInd w:val="0"/>
              <w:snapToGrid w:val="0"/>
              <w:spacing w:before="36" w:beforeLines="15" w:after="36" w:afterLines="15"/>
              <w:ind w:left="44" w:leftChars="20" w:right="44" w:rightChars="20"/>
              <w:rPr>
                <w:color w:val="auto"/>
                <w:sz w:val="21"/>
                <w:szCs w:val="21"/>
                <w:highlight w:val="none"/>
              </w:rPr>
            </w:pPr>
          </w:p>
        </w:tc>
        <w:tc>
          <w:tcPr>
            <w:tcW w:w="1248" w:type="dxa"/>
            <w:gridSpan w:val="2"/>
            <w:vMerge w:val="continue"/>
            <w:tcBorders>
              <w:left w:val="single" w:color="auto" w:sz="4" w:space="0"/>
              <w:right w:val="single" w:color="auto" w:sz="4" w:space="0"/>
            </w:tcBorders>
            <w:vAlign w:val="center"/>
          </w:tcPr>
          <w:p>
            <w:pPr>
              <w:adjustRightInd w:val="0"/>
              <w:snapToGrid w:val="0"/>
              <w:spacing w:before="36" w:beforeLines="15" w:after="36" w:afterLines="15"/>
              <w:ind w:left="44" w:leftChars="20" w:right="44" w:rightChars="20"/>
              <w:rPr>
                <w:color w:val="auto"/>
                <w:sz w:val="21"/>
                <w:szCs w:val="21"/>
                <w:highlight w:val="none"/>
              </w:rPr>
            </w:pPr>
          </w:p>
        </w:tc>
        <w:tc>
          <w:tcPr>
            <w:tcW w:w="2506" w:type="dxa"/>
            <w:tcBorders>
              <w:top w:val="single" w:color="auto" w:sz="4" w:space="0"/>
              <w:left w:val="single" w:color="auto" w:sz="4" w:space="0"/>
              <w:bottom w:val="single" w:color="auto" w:sz="4" w:space="0"/>
              <w:right w:val="single" w:color="auto" w:sz="4" w:space="0"/>
            </w:tcBorders>
          </w:tcPr>
          <w:p>
            <w:pPr>
              <w:adjustRightInd w:val="0"/>
              <w:snapToGrid w:val="0"/>
              <w:spacing w:before="36" w:beforeLines="15" w:after="36" w:afterLines="15"/>
              <w:ind w:left="44" w:leftChars="20" w:right="44" w:rightChars="20"/>
              <w:jc w:val="center"/>
              <w:rPr>
                <w:color w:val="auto"/>
                <w:sz w:val="21"/>
                <w:szCs w:val="21"/>
                <w:highlight w:val="none"/>
              </w:rPr>
            </w:pPr>
            <w:r>
              <w:rPr>
                <w:rFonts w:hint="eastAsia"/>
                <w:color w:val="auto"/>
                <w:sz w:val="21"/>
                <w:szCs w:val="21"/>
                <w:highlight w:val="none"/>
              </w:rPr>
              <w:t>投标有效期</w:t>
            </w:r>
          </w:p>
        </w:tc>
        <w:tc>
          <w:tcPr>
            <w:tcW w:w="5103" w:type="dxa"/>
            <w:tcBorders>
              <w:top w:val="single" w:color="auto" w:sz="4" w:space="0"/>
              <w:left w:val="single" w:color="auto" w:sz="4" w:space="0"/>
              <w:bottom w:val="single" w:color="auto" w:sz="4" w:space="0"/>
            </w:tcBorders>
            <w:vAlign w:val="center"/>
          </w:tcPr>
          <w:p>
            <w:pPr>
              <w:adjustRightInd w:val="0"/>
              <w:snapToGrid w:val="0"/>
              <w:spacing w:before="36" w:beforeLines="15" w:after="36" w:afterLines="15"/>
              <w:ind w:left="44" w:leftChars="20" w:right="44" w:rightChars="20"/>
              <w:jc w:val="both"/>
              <w:rPr>
                <w:color w:val="auto"/>
                <w:sz w:val="21"/>
                <w:szCs w:val="21"/>
                <w:highlight w:val="none"/>
              </w:rPr>
            </w:pPr>
            <w:r>
              <w:rPr>
                <w:rFonts w:hint="eastAsia"/>
                <w:color w:val="auto"/>
                <w:sz w:val="21"/>
                <w:szCs w:val="21"/>
                <w:highlight w:val="none"/>
              </w:rPr>
              <w:t>符合第二章“投标人须知”第</w:t>
            </w:r>
            <w:r>
              <w:rPr>
                <w:color w:val="auto"/>
                <w:sz w:val="21"/>
                <w:szCs w:val="21"/>
                <w:highlight w:val="none"/>
              </w:rPr>
              <w:t xml:space="preserve"> 3.3.1 </w:t>
            </w:r>
            <w:r>
              <w:rPr>
                <w:rFonts w:hint="eastAsia"/>
                <w:color w:val="auto"/>
                <w:sz w:val="21"/>
                <w:szCs w:val="21"/>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right w:val="single" w:color="auto" w:sz="4" w:space="0"/>
            </w:tcBorders>
            <w:vAlign w:val="center"/>
          </w:tcPr>
          <w:p>
            <w:pPr>
              <w:adjustRightInd w:val="0"/>
              <w:snapToGrid w:val="0"/>
              <w:spacing w:before="36" w:beforeLines="15" w:after="36" w:afterLines="15"/>
              <w:ind w:left="44" w:leftChars="20" w:right="44" w:rightChars="20"/>
              <w:rPr>
                <w:color w:val="auto"/>
                <w:sz w:val="21"/>
                <w:szCs w:val="21"/>
                <w:highlight w:val="none"/>
              </w:rPr>
            </w:pPr>
          </w:p>
        </w:tc>
        <w:tc>
          <w:tcPr>
            <w:tcW w:w="1248" w:type="dxa"/>
            <w:gridSpan w:val="2"/>
            <w:vMerge w:val="continue"/>
            <w:tcBorders>
              <w:left w:val="single" w:color="auto" w:sz="4" w:space="0"/>
              <w:right w:val="single" w:color="auto" w:sz="4" w:space="0"/>
            </w:tcBorders>
            <w:vAlign w:val="center"/>
          </w:tcPr>
          <w:p>
            <w:pPr>
              <w:adjustRightInd w:val="0"/>
              <w:snapToGrid w:val="0"/>
              <w:spacing w:before="36" w:beforeLines="15" w:after="36" w:afterLines="15"/>
              <w:ind w:left="44" w:leftChars="20" w:right="44" w:rightChars="20"/>
              <w:rPr>
                <w:color w:val="auto"/>
                <w:sz w:val="21"/>
                <w:szCs w:val="21"/>
                <w:highlight w:val="none"/>
              </w:rPr>
            </w:pPr>
          </w:p>
        </w:tc>
        <w:tc>
          <w:tcPr>
            <w:tcW w:w="2506" w:type="dxa"/>
            <w:tcBorders>
              <w:top w:val="single" w:color="auto" w:sz="4" w:space="0"/>
              <w:left w:val="single" w:color="auto" w:sz="4" w:space="0"/>
              <w:bottom w:val="single" w:color="auto" w:sz="4" w:space="0"/>
              <w:right w:val="single" w:color="auto" w:sz="4" w:space="0"/>
            </w:tcBorders>
          </w:tcPr>
          <w:p>
            <w:pPr>
              <w:adjustRightInd w:val="0"/>
              <w:snapToGrid w:val="0"/>
              <w:spacing w:before="36" w:beforeLines="15" w:after="36" w:afterLines="15"/>
              <w:ind w:left="44" w:leftChars="20" w:right="44" w:rightChars="20"/>
              <w:jc w:val="center"/>
              <w:rPr>
                <w:color w:val="auto"/>
                <w:sz w:val="21"/>
                <w:szCs w:val="21"/>
                <w:highlight w:val="none"/>
              </w:rPr>
            </w:pPr>
            <w:r>
              <w:rPr>
                <w:rFonts w:hint="eastAsia"/>
                <w:color w:val="auto"/>
                <w:sz w:val="21"/>
                <w:szCs w:val="21"/>
                <w:highlight w:val="none"/>
              </w:rPr>
              <w:t>投标保证金</w:t>
            </w:r>
          </w:p>
        </w:tc>
        <w:tc>
          <w:tcPr>
            <w:tcW w:w="5103" w:type="dxa"/>
            <w:tcBorders>
              <w:top w:val="single" w:color="auto" w:sz="4" w:space="0"/>
              <w:left w:val="single" w:color="auto" w:sz="4" w:space="0"/>
              <w:bottom w:val="single" w:color="auto" w:sz="4" w:space="0"/>
            </w:tcBorders>
            <w:vAlign w:val="center"/>
          </w:tcPr>
          <w:p>
            <w:pPr>
              <w:adjustRightInd w:val="0"/>
              <w:snapToGrid w:val="0"/>
              <w:spacing w:before="36" w:beforeLines="15" w:after="36" w:afterLines="15"/>
              <w:ind w:left="44" w:leftChars="20" w:right="44" w:rightChars="20"/>
              <w:jc w:val="both"/>
              <w:rPr>
                <w:color w:val="auto"/>
                <w:sz w:val="21"/>
                <w:szCs w:val="21"/>
                <w:highlight w:val="none"/>
              </w:rPr>
            </w:pPr>
            <w:r>
              <w:rPr>
                <w:rFonts w:hint="eastAsia"/>
                <w:color w:val="auto"/>
                <w:sz w:val="21"/>
                <w:szCs w:val="21"/>
                <w:highlight w:val="none"/>
              </w:rPr>
              <w:t>符合第二章“投标人须知”第</w:t>
            </w:r>
            <w:r>
              <w:rPr>
                <w:color w:val="auto"/>
                <w:sz w:val="21"/>
                <w:szCs w:val="21"/>
                <w:highlight w:val="none"/>
              </w:rPr>
              <w:t xml:space="preserve"> 3.4.1</w:t>
            </w:r>
            <w:r>
              <w:rPr>
                <w:rFonts w:hint="eastAsia"/>
                <w:color w:val="auto"/>
                <w:sz w:val="21"/>
                <w:szCs w:val="21"/>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793" w:hRule="atLeast"/>
          <w:jc w:val="center"/>
        </w:trPr>
        <w:tc>
          <w:tcPr>
            <w:tcW w:w="854" w:type="dxa"/>
            <w:vMerge w:val="continue"/>
            <w:tcBorders>
              <w:bottom w:val="single" w:color="auto" w:sz="4" w:space="0"/>
              <w:right w:val="single" w:color="auto" w:sz="4" w:space="0"/>
            </w:tcBorders>
            <w:vAlign w:val="center"/>
          </w:tcPr>
          <w:p>
            <w:pPr>
              <w:adjustRightInd w:val="0"/>
              <w:snapToGrid w:val="0"/>
              <w:spacing w:before="36" w:beforeLines="15" w:after="36" w:afterLines="15"/>
              <w:ind w:left="44" w:leftChars="20" w:right="44" w:rightChars="20"/>
              <w:rPr>
                <w:color w:val="auto"/>
                <w:sz w:val="21"/>
                <w:szCs w:val="21"/>
                <w:highlight w:val="none"/>
              </w:rPr>
            </w:pPr>
          </w:p>
        </w:tc>
        <w:tc>
          <w:tcPr>
            <w:tcW w:w="1248" w:type="dxa"/>
            <w:gridSpan w:val="2"/>
            <w:vMerge w:val="continue"/>
            <w:tcBorders>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rPr>
                <w:color w:val="auto"/>
                <w:sz w:val="21"/>
                <w:szCs w:val="21"/>
                <w:highlight w:val="none"/>
              </w:rPr>
            </w:pP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r>
              <w:rPr>
                <w:rFonts w:hint="eastAsia"/>
                <w:color w:val="auto"/>
                <w:sz w:val="21"/>
                <w:szCs w:val="21"/>
                <w:highlight w:val="none"/>
              </w:rPr>
              <w:t>串通投标情形</w:t>
            </w:r>
          </w:p>
        </w:tc>
        <w:tc>
          <w:tcPr>
            <w:tcW w:w="5103" w:type="dxa"/>
            <w:tcBorders>
              <w:top w:val="single" w:color="auto" w:sz="4" w:space="0"/>
              <w:left w:val="single" w:color="auto" w:sz="4" w:space="0"/>
              <w:bottom w:val="single" w:color="auto" w:sz="4" w:space="0"/>
            </w:tcBorders>
            <w:vAlign w:val="center"/>
          </w:tcPr>
          <w:p>
            <w:pPr>
              <w:adjustRightInd w:val="0"/>
              <w:snapToGrid w:val="0"/>
              <w:spacing w:before="36" w:beforeLines="15" w:after="36" w:afterLines="15"/>
              <w:ind w:left="44" w:leftChars="20" w:right="44" w:rightChars="20"/>
              <w:jc w:val="both"/>
              <w:rPr>
                <w:color w:val="auto"/>
                <w:sz w:val="21"/>
                <w:szCs w:val="21"/>
                <w:highlight w:val="none"/>
              </w:rPr>
            </w:pPr>
            <w:r>
              <w:rPr>
                <w:rFonts w:hint="eastAsia"/>
                <w:color w:val="auto"/>
                <w:sz w:val="21"/>
                <w:szCs w:val="21"/>
                <w:highlight w:val="none"/>
              </w:rPr>
              <w:t>投标人之间不存在《广东省实施&lt;中华人民共和国招标投标法&gt;》第十六条所禁止的情形的；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jc w:val="center"/>
        </w:trPr>
        <w:tc>
          <w:tcPr>
            <w:tcW w:w="2102" w:type="dxa"/>
            <w:gridSpan w:val="3"/>
            <w:tcBorders>
              <w:top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b/>
                <w:color w:val="auto"/>
                <w:sz w:val="21"/>
                <w:szCs w:val="21"/>
                <w:highlight w:val="none"/>
              </w:rPr>
            </w:pPr>
            <w:r>
              <w:rPr>
                <w:rFonts w:hint="eastAsia"/>
                <w:b/>
                <w:color w:val="auto"/>
                <w:sz w:val="21"/>
                <w:szCs w:val="21"/>
                <w:highlight w:val="none"/>
              </w:rPr>
              <w:t>条款号</w:t>
            </w: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b/>
                <w:color w:val="auto"/>
                <w:sz w:val="21"/>
                <w:szCs w:val="21"/>
                <w:highlight w:val="none"/>
              </w:rPr>
            </w:pPr>
            <w:r>
              <w:rPr>
                <w:rFonts w:hint="eastAsia"/>
                <w:b/>
                <w:color w:val="auto"/>
                <w:sz w:val="21"/>
                <w:szCs w:val="21"/>
                <w:highlight w:val="none"/>
              </w:rPr>
              <w:t>条款内容</w:t>
            </w:r>
          </w:p>
        </w:tc>
        <w:tc>
          <w:tcPr>
            <w:tcW w:w="5103" w:type="dxa"/>
            <w:tcBorders>
              <w:top w:val="single" w:color="auto" w:sz="4" w:space="0"/>
              <w:left w:val="single" w:color="auto" w:sz="4" w:space="0"/>
              <w:bottom w:val="single" w:color="auto" w:sz="4" w:space="0"/>
            </w:tcBorders>
            <w:vAlign w:val="center"/>
          </w:tcPr>
          <w:p>
            <w:pPr>
              <w:adjustRightInd w:val="0"/>
              <w:snapToGrid w:val="0"/>
              <w:spacing w:before="36" w:beforeLines="15" w:after="36" w:afterLines="15"/>
              <w:ind w:left="44" w:leftChars="20" w:right="44" w:rightChars="20"/>
              <w:jc w:val="both"/>
              <w:rPr>
                <w:b/>
                <w:color w:val="auto"/>
                <w:sz w:val="21"/>
                <w:szCs w:val="21"/>
                <w:highlight w:val="none"/>
              </w:rPr>
            </w:pPr>
            <w:r>
              <w:rPr>
                <w:rFonts w:hint="eastAsia"/>
                <w:b/>
                <w:color w:val="auto"/>
                <w:sz w:val="21"/>
                <w:szCs w:val="21"/>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77" w:hRule="atLeast"/>
          <w:jc w:val="center"/>
        </w:trPr>
        <w:tc>
          <w:tcPr>
            <w:tcW w:w="2102" w:type="dxa"/>
            <w:gridSpan w:val="3"/>
            <w:tcBorders>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r>
              <w:rPr>
                <w:color w:val="auto"/>
                <w:sz w:val="21"/>
                <w:szCs w:val="21"/>
                <w:highlight w:val="none"/>
              </w:rPr>
              <w:t>2.2.1</w:t>
            </w: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r>
              <w:rPr>
                <w:rFonts w:hint="eastAsia"/>
                <w:color w:val="auto"/>
                <w:sz w:val="21"/>
                <w:szCs w:val="21"/>
                <w:highlight w:val="none"/>
              </w:rPr>
              <w:t>分值构成</w:t>
            </w:r>
          </w:p>
          <w:p>
            <w:pPr>
              <w:adjustRightInd w:val="0"/>
              <w:snapToGrid w:val="0"/>
              <w:spacing w:before="36" w:beforeLines="15" w:after="36" w:afterLines="15"/>
              <w:ind w:left="44" w:leftChars="20" w:right="44" w:rightChars="20"/>
              <w:jc w:val="center"/>
              <w:rPr>
                <w:color w:val="auto"/>
                <w:sz w:val="21"/>
                <w:szCs w:val="21"/>
                <w:highlight w:val="none"/>
              </w:rPr>
            </w:pPr>
            <w:r>
              <w:rPr>
                <w:color w:val="auto"/>
                <w:sz w:val="21"/>
                <w:szCs w:val="21"/>
                <w:highlight w:val="none"/>
              </w:rPr>
              <w:t>(</w:t>
            </w:r>
            <w:r>
              <w:rPr>
                <w:rFonts w:hint="eastAsia"/>
                <w:color w:val="auto"/>
                <w:sz w:val="21"/>
                <w:szCs w:val="21"/>
                <w:highlight w:val="none"/>
              </w:rPr>
              <w:t>总分</w:t>
            </w:r>
            <w:r>
              <w:rPr>
                <w:color w:val="auto"/>
                <w:sz w:val="21"/>
                <w:szCs w:val="21"/>
                <w:highlight w:val="none"/>
              </w:rPr>
              <w:t>100</w:t>
            </w:r>
            <w:r>
              <w:rPr>
                <w:rFonts w:hint="eastAsia"/>
                <w:color w:val="auto"/>
                <w:sz w:val="21"/>
                <w:szCs w:val="21"/>
                <w:highlight w:val="none"/>
              </w:rPr>
              <w:t>分</w:t>
            </w:r>
            <w:r>
              <w:rPr>
                <w:color w:val="auto"/>
                <w:sz w:val="21"/>
                <w:szCs w:val="21"/>
                <w:highlight w:val="none"/>
              </w:rPr>
              <w:t>)</w:t>
            </w:r>
          </w:p>
        </w:tc>
        <w:tc>
          <w:tcPr>
            <w:tcW w:w="5103" w:type="dxa"/>
            <w:tcBorders>
              <w:top w:val="single" w:color="auto" w:sz="4" w:space="0"/>
              <w:left w:val="single" w:color="auto" w:sz="4" w:space="0"/>
              <w:bottom w:val="single" w:color="auto" w:sz="4" w:space="0"/>
            </w:tcBorders>
            <w:vAlign w:val="center"/>
          </w:tcPr>
          <w:p>
            <w:pPr>
              <w:adjustRightInd w:val="0"/>
              <w:snapToGrid w:val="0"/>
              <w:spacing w:before="36" w:beforeLines="15" w:after="36" w:afterLines="15"/>
              <w:ind w:left="44" w:leftChars="20" w:right="44" w:rightChars="20"/>
              <w:jc w:val="both"/>
              <w:rPr>
                <w:color w:val="auto"/>
                <w:sz w:val="21"/>
                <w:szCs w:val="21"/>
                <w:highlight w:val="none"/>
              </w:rPr>
            </w:pPr>
            <w:r>
              <w:rPr>
                <w:rFonts w:hint="eastAsia"/>
                <w:color w:val="auto"/>
                <w:sz w:val="21"/>
                <w:szCs w:val="21"/>
                <w:highlight w:val="none"/>
              </w:rPr>
              <w:t>资信业绩部分：</w:t>
            </w:r>
            <w:r>
              <w:rPr>
                <w:rFonts w:hint="eastAsia"/>
                <w:color w:val="auto"/>
                <w:sz w:val="21"/>
                <w:szCs w:val="21"/>
                <w:highlight w:val="none"/>
                <w:lang w:val="en-US"/>
              </w:rPr>
              <w:t>70</w:t>
            </w:r>
            <w:r>
              <w:rPr>
                <w:rFonts w:hint="eastAsia"/>
                <w:color w:val="auto"/>
                <w:sz w:val="21"/>
                <w:szCs w:val="21"/>
                <w:highlight w:val="none"/>
              </w:rPr>
              <w:t>分</w:t>
            </w:r>
          </w:p>
          <w:p>
            <w:pPr>
              <w:adjustRightInd w:val="0"/>
              <w:snapToGrid w:val="0"/>
              <w:spacing w:before="36" w:beforeLines="15" w:after="36" w:afterLines="15"/>
              <w:ind w:left="44" w:leftChars="20" w:right="44" w:rightChars="20"/>
              <w:jc w:val="both"/>
              <w:rPr>
                <w:color w:val="auto"/>
                <w:sz w:val="21"/>
                <w:szCs w:val="21"/>
                <w:highlight w:val="none"/>
              </w:rPr>
            </w:pPr>
            <w:r>
              <w:rPr>
                <w:rFonts w:hint="eastAsia"/>
                <w:color w:val="auto"/>
                <w:sz w:val="21"/>
                <w:szCs w:val="21"/>
                <w:highlight w:val="none"/>
              </w:rPr>
              <w:t>技术方案部分：</w:t>
            </w:r>
            <w:r>
              <w:rPr>
                <w:rFonts w:hint="eastAsia"/>
                <w:color w:val="auto"/>
                <w:sz w:val="21"/>
                <w:szCs w:val="21"/>
                <w:highlight w:val="none"/>
                <w:lang w:val="en-US"/>
              </w:rPr>
              <w:t>20</w:t>
            </w:r>
            <w:r>
              <w:rPr>
                <w:rFonts w:hint="eastAsia"/>
                <w:color w:val="auto"/>
                <w:sz w:val="21"/>
                <w:szCs w:val="21"/>
                <w:highlight w:val="none"/>
              </w:rPr>
              <w:t>分</w:t>
            </w:r>
          </w:p>
          <w:p>
            <w:pPr>
              <w:adjustRightInd w:val="0"/>
              <w:snapToGrid w:val="0"/>
              <w:spacing w:before="36" w:beforeLines="15" w:after="36" w:afterLines="15"/>
              <w:ind w:left="44" w:leftChars="20" w:right="44" w:rightChars="20"/>
              <w:jc w:val="both"/>
              <w:rPr>
                <w:color w:val="auto"/>
                <w:sz w:val="21"/>
                <w:szCs w:val="21"/>
                <w:highlight w:val="none"/>
              </w:rPr>
            </w:pPr>
            <w:r>
              <w:rPr>
                <w:rFonts w:hint="eastAsia"/>
                <w:color w:val="auto"/>
                <w:sz w:val="21"/>
                <w:szCs w:val="21"/>
                <w:highlight w:val="none"/>
              </w:rPr>
              <w:t>投标报价：</w:t>
            </w:r>
            <w:r>
              <w:rPr>
                <w:rFonts w:hint="eastAsia"/>
                <w:color w:val="auto"/>
                <w:sz w:val="21"/>
                <w:szCs w:val="21"/>
                <w:highlight w:val="none"/>
                <w:lang w:val="en-US"/>
              </w:rPr>
              <w:t>10</w:t>
            </w:r>
            <w:r>
              <w:rPr>
                <w:rFonts w:hint="eastAsia"/>
                <w:color w:val="auto"/>
                <w:sz w:val="21"/>
                <w:szCs w:val="21"/>
                <w:highlight w:val="none"/>
              </w:rPr>
              <w:t>分</w:t>
            </w:r>
          </w:p>
          <w:p>
            <w:pPr>
              <w:adjustRightInd w:val="0"/>
              <w:snapToGrid w:val="0"/>
              <w:spacing w:before="36" w:beforeLines="15" w:after="36" w:afterLines="15"/>
              <w:ind w:left="44" w:leftChars="20" w:right="44" w:rightChars="20"/>
              <w:jc w:val="both"/>
              <w:rPr>
                <w:color w:val="auto"/>
                <w:sz w:val="21"/>
                <w:szCs w:val="21"/>
                <w:highlight w:val="none"/>
              </w:rPr>
            </w:pPr>
            <w:r>
              <w:rPr>
                <w:rFonts w:hint="eastAsia"/>
                <w:color w:val="auto"/>
                <w:sz w:val="21"/>
                <w:szCs w:val="21"/>
                <w:highlight w:val="none"/>
              </w:rPr>
              <w:t>其他评分因素：</w:t>
            </w:r>
            <w:r>
              <w:rPr>
                <w:rFonts w:hint="eastAsia"/>
                <w:color w:val="auto"/>
                <w:sz w:val="21"/>
                <w:szCs w:val="21"/>
                <w:highlight w:val="none"/>
                <w:lang w:val="en-US"/>
              </w:rPr>
              <w:t>无</w:t>
            </w:r>
          </w:p>
          <w:p>
            <w:pPr>
              <w:adjustRightInd w:val="0"/>
              <w:snapToGrid w:val="0"/>
              <w:spacing w:before="36" w:beforeLines="15" w:after="36" w:afterLines="15"/>
              <w:ind w:left="44" w:leftChars="20" w:right="44" w:rightChars="20"/>
              <w:jc w:val="both"/>
              <w:rPr>
                <w:b/>
                <w:color w:val="auto"/>
                <w:sz w:val="21"/>
                <w:szCs w:val="21"/>
                <w:highlight w:val="none"/>
              </w:rPr>
            </w:pPr>
            <w:r>
              <w:rPr>
                <w:rFonts w:hint="eastAsia"/>
                <w:color w:val="auto"/>
                <w:sz w:val="21"/>
                <w:szCs w:val="21"/>
                <w:highlight w:val="none"/>
              </w:rPr>
              <w:t>投标人得分＝资信业绩部分+技术方案部分+投标报价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01" w:hRule="atLeast"/>
          <w:jc w:val="center"/>
        </w:trPr>
        <w:tc>
          <w:tcPr>
            <w:tcW w:w="2102" w:type="dxa"/>
            <w:gridSpan w:val="3"/>
            <w:tcBorders>
              <w:top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r>
              <w:rPr>
                <w:color w:val="auto"/>
                <w:sz w:val="21"/>
                <w:szCs w:val="21"/>
                <w:highlight w:val="none"/>
              </w:rPr>
              <w:t>2.2.2</w:t>
            </w: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r>
              <w:rPr>
                <w:rFonts w:hint="eastAsia"/>
                <w:color w:val="auto"/>
                <w:sz w:val="21"/>
                <w:szCs w:val="21"/>
                <w:highlight w:val="none"/>
              </w:rPr>
              <w:t>评标基准价计算方法</w:t>
            </w:r>
          </w:p>
        </w:tc>
        <w:tc>
          <w:tcPr>
            <w:tcW w:w="5103" w:type="dxa"/>
            <w:tcBorders>
              <w:top w:val="single" w:color="auto" w:sz="4" w:space="0"/>
              <w:left w:val="single" w:color="auto" w:sz="4" w:space="0"/>
              <w:bottom w:val="single" w:color="auto" w:sz="4" w:space="0"/>
            </w:tcBorders>
            <w:vAlign w:val="center"/>
          </w:tcPr>
          <w:p>
            <w:pPr>
              <w:adjustRightInd w:val="0"/>
              <w:snapToGrid w:val="0"/>
              <w:spacing w:before="36" w:beforeLines="15" w:after="36" w:afterLines="15"/>
              <w:ind w:left="44" w:leftChars="20" w:right="44" w:rightChars="20"/>
              <w:jc w:val="both"/>
              <w:rPr>
                <w:color w:val="auto"/>
                <w:sz w:val="21"/>
                <w:szCs w:val="21"/>
                <w:highlight w:val="none"/>
              </w:rPr>
            </w:pPr>
            <w:r>
              <w:rPr>
                <w:rFonts w:hint="eastAsia"/>
                <w:color w:val="auto"/>
                <w:sz w:val="21"/>
                <w:szCs w:val="21"/>
                <w:highlight w:val="none"/>
              </w:rPr>
              <w:t>价格得分采用算术平均法计算，即所有满足招标文件要求的有效投标价格的平均值为评标基准价，投标报价等于评标基准价的，其价格得分为</w:t>
            </w:r>
            <w:r>
              <w:rPr>
                <w:rFonts w:hint="eastAsia"/>
                <w:color w:val="auto"/>
                <w:sz w:val="21"/>
                <w:szCs w:val="21"/>
                <w:highlight w:val="none"/>
                <w:lang w:val="en-US"/>
              </w:rPr>
              <w:t>1</w:t>
            </w:r>
            <w:r>
              <w:rPr>
                <w:rFonts w:hint="eastAsia"/>
                <w:color w:val="auto"/>
                <w:sz w:val="21"/>
                <w:szCs w:val="21"/>
                <w:highlight w:val="none"/>
              </w:rPr>
              <w:t>0分；其他投标人的价格得分按如下公式计算：价格得分=（1-|（投标报价-评标基准价）|/评标基准价）×</w:t>
            </w:r>
            <w:r>
              <w:rPr>
                <w:rFonts w:hint="eastAsia"/>
                <w:color w:val="auto"/>
                <w:sz w:val="21"/>
                <w:szCs w:val="21"/>
                <w:highlight w:val="none"/>
                <w:lang w:val="en-US"/>
              </w:rPr>
              <w:t>1</w:t>
            </w:r>
            <w:r>
              <w:rPr>
                <w:rFonts w:hint="eastAsia"/>
                <w:color w:val="auto"/>
                <w:sz w:val="21"/>
                <w:szCs w:val="21"/>
                <w:highlight w:val="none"/>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98" w:hRule="atLeast"/>
          <w:jc w:val="center"/>
        </w:trPr>
        <w:tc>
          <w:tcPr>
            <w:tcW w:w="2102" w:type="dxa"/>
            <w:gridSpan w:val="3"/>
            <w:tcBorders>
              <w:top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r>
              <w:rPr>
                <w:color w:val="auto"/>
                <w:sz w:val="21"/>
                <w:szCs w:val="21"/>
                <w:highlight w:val="none"/>
              </w:rPr>
              <w:t>2.2.3</w:t>
            </w: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r>
              <w:rPr>
                <w:rFonts w:hint="eastAsia"/>
                <w:color w:val="auto"/>
                <w:sz w:val="21"/>
                <w:szCs w:val="21"/>
                <w:highlight w:val="none"/>
              </w:rPr>
              <w:t>投标报价的偏差率</w:t>
            </w:r>
          </w:p>
          <w:p>
            <w:pPr>
              <w:adjustRightInd w:val="0"/>
              <w:snapToGrid w:val="0"/>
              <w:spacing w:before="36" w:beforeLines="15" w:after="36" w:afterLines="15"/>
              <w:ind w:left="44" w:leftChars="20" w:right="44" w:rightChars="20"/>
              <w:jc w:val="center"/>
              <w:rPr>
                <w:color w:val="auto"/>
                <w:sz w:val="21"/>
                <w:szCs w:val="21"/>
                <w:highlight w:val="none"/>
              </w:rPr>
            </w:pPr>
            <w:r>
              <w:rPr>
                <w:rFonts w:hint="eastAsia"/>
                <w:color w:val="auto"/>
                <w:sz w:val="21"/>
                <w:szCs w:val="21"/>
                <w:highlight w:val="none"/>
              </w:rPr>
              <w:t>计算公式</w:t>
            </w:r>
          </w:p>
        </w:tc>
        <w:tc>
          <w:tcPr>
            <w:tcW w:w="5103" w:type="dxa"/>
            <w:tcBorders>
              <w:top w:val="single" w:color="auto" w:sz="4" w:space="0"/>
              <w:left w:val="single" w:color="auto" w:sz="4" w:space="0"/>
              <w:bottom w:val="single" w:color="auto" w:sz="4" w:space="0"/>
            </w:tcBorders>
            <w:vAlign w:val="center"/>
          </w:tcPr>
          <w:p>
            <w:pPr>
              <w:widowControl/>
              <w:adjustRightInd w:val="0"/>
              <w:snapToGrid w:val="0"/>
              <w:ind w:left="44" w:leftChars="20" w:right="44" w:rightChars="20"/>
              <w:jc w:val="both"/>
              <w:rPr>
                <w:color w:val="auto"/>
                <w:sz w:val="21"/>
                <w:szCs w:val="21"/>
                <w:highlight w:val="none"/>
              </w:rPr>
            </w:pPr>
            <w:r>
              <w:rPr>
                <w:rFonts w:hint="eastAsia"/>
                <w:color w:val="auto"/>
                <w:sz w:val="21"/>
                <w:szCs w:val="21"/>
                <w:highlight w:val="none"/>
              </w:rPr>
              <w:t>偏差率=100% ×|（投标人报价-评标基准价）|</w:t>
            </w:r>
            <w:r>
              <w:rPr>
                <w:rFonts w:hint="eastAsia"/>
                <w:color w:val="auto"/>
                <w:sz w:val="21"/>
                <w:szCs w:val="21"/>
                <w:highlight w:val="none"/>
                <w:lang w:val="en-US"/>
              </w:rPr>
              <w:t>/</w:t>
            </w:r>
            <w:r>
              <w:rPr>
                <w:rFonts w:hint="eastAsia"/>
                <w:color w:val="auto"/>
                <w:sz w:val="21"/>
                <w:szCs w:val="21"/>
                <w:highlight w:val="none"/>
              </w:rPr>
              <w:t>评标基准价（偏差率出现小数点时，保留小数点后2位，第三位小数四舍五入。）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375" w:hRule="atLeast"/>
          <w:jc w:val="center"/>
        </w:trPr>
        <w:tc>
          <w:tcPr>
            <w:tcW w:w="960" w:type="dxa"/>
            <w:gridSpan w:val="2"/>
            <w:vMerge w:val="restart"/>
            <w:tcBorders>
              <w:top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2.2.4</w:t>
            </w:r>
            <w:r>
              <w:rPr>
                <w:rFonts w:hint="eastAsia"/>
                <w:color w:val="auto"/>
                <w:sz w:val="21"/>
                <w:szCs w:val="21"/>
                <w:highlight w:val="none"/>
              </w:rPr>
              <w:t>（</w:t>
            </w:r>
            <w:r>
              <w:rPr>
                <w:color w:val="auto"/>
                <w:sz w:val="21"/>
                <w:szCs w:val="21"/>
                <w:highlight w:val="none"/>
              </w:rPr>
              <w:t>1</w:t>
            </w:r>
            <w:r>
              <w:rPr>
                <w:rFonts w:hint="eastAsia"/>
                <w:color w:val="auto"/>
                <w:sz w:val="21"/>
                <w:szCs w:val="21"/>
                <w:highlight w:val="none"/>
              </w:rPr>
              <w:t>）</w:t>
            </w:r>
          </w:p>
        </w:tc>
        <w:tc>
          <w:tcPr>
            <w:tcW w:w="1142" w:type="dxa"/>
            <w:vMerge w:val="restart"/>
            <w:tcBorders>
              <w:top w:val="single" w:color="auto" w:sz="4" w:space="0"/>
              <w:right w:val="single" w:color="auto" w:sz="4" w:space="0"/>
            </w:tcBorders>
            <w:vAlign w:val="center"/>
          </w:tcPr>
          <w:p>
            <w:pPr>
              <w:spacing w:line="440" w:lineRule="exact"/>
              <w:jc w:val="center"/>
              <w:rPr>
                <w:color w:val="auto"/>
                <w:sz w:val="21"/>
                <w:szCs w:val="21"/>
                <w:highlight w:val="none"/>
              </w:rPr>
            </w:pPr>
            <w:r>
              <w:rPr>
                <w:rFonts w:hint="eastAsia"/>
                <w:color w:val="auto"/>
                <w:sz w:val="21"/>
                <w:szCs w:val="21"/>
                <w:highlight w:val="none"/>
              </w:rPr>
              <w:t>资信业绩评分标准（</w:t>
            </w:r>
            <w:r>
              <w:rPr>
                <w:rFonts w:hint="eastAsia"/>
                <w:color w:val="auto"/>
                <w:sz w:val="21"/>
                <w:szCs w:val="21"/>
                <w:highlight w:val="none"/>
                <w:lang w:val="en-US"/>
              </w:rPr>
              <w:t>70</w:t>
            </w:r>
            <w:r>
              <w:rPr>
                <w:rFonts w:hint="eastAsia"/>
                <w:color w:val="auto"/>
                <w:sz w:val="21"/>
                <w:szCs w:val="21"/>
                <w:highlight w:val="none"/>
              </w:rPr>
              <w:t>分）</w:t>
            </w:r>
          </w:p>
        </w:tc>
        <w:tc>
          <w:tcPr>
            <w:tcW w:w="2506" w:type="dxa"/>
            <w:tcBorders>
              <w:top w:val="single" w:color="auto" w:sz="4" w:space="0"/>
              <w:left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r>
              <w:rPr>
                <w:rFonts w:hint="eastAsia"/>
                <w:color w:val="auto"/>
                <w:sz w:val="21"/>
                <w:szCs w:val="21"/>
                <w:highlight w:val="none"/>
              </w:rPr>
              <w:t>项目业绩（10分）</w:t>
            </w:r>
          </w:p>
        </w:tc>
        <w:tc>
          <w:tcPr>
            <w:tcW w:w="5103" w:type="dxa"/>
            <w:tcBorders>
              <w:top w:val="single" w:color="auto" w:sz="4" w:space="0"/>
              <w:left w:val="single" w:color="auto" w:sz="4" w:space="0"/>
              <w:bottom w:val="single" w:color="auto" w:sz="4" w:space="0"/>
            </w:tcBorders>
            <w:vAlign w:val="center"/>
          </w:tcPr>
          <w:p>
            <w:pPr>
              <w:wordWrap w:val="0"/>
              <w:adjustRightInd w:val="0"/>
              <w:snapToGrid w:val="0"/>
              <w:spacing w:line="320" w:lineRule="exact"/>
              <w:ind w:left="44" w:leftChars="20" w:right="44" w:rightChars="20"/>
              <w:jc w:val="both"/>
              <w:rPr>
                <w:color w:val="auto"/>
                <w:sz w:val="21"/>
                <w:szCs w:val="21"/>
                <w:highlight w:val="none"/>
              </w:rPr>
            </w:pPr>
            <w:r>
              <w:rPr>
                <w:rFonts w:hint="eastAsia"/>
                <w:color w:val="auto"/>
                <w:sz w:val="21"/>
                <w:szCs w:val="21"/>
                <w:highlight w:val="none"/>
              </w:rPr>
              <w:t>20</w:t>
            </w:r>
            <w:r>
              <w:rPr>
                <w:rFonts w:hint="eastAsia"/>
                <w:color w:val="auto"/>
                <w:sz w:val="21"/>
                <w:szCs w:val="21"/>
                <w:highlight w:val="none"/>
                <w:lang w:val="en-US"/>
              </w:rPr>
              <w:t>18</w:t>
            </w:r>
            <w:r>
              <w:rPr>
                <w:rFonts w:hint="eastAsia"/>
                <w:color w:val="auto"/>
                <w:sz w:val="21"/>
                <w:szCs w:val="21"/>
                <w:highlight w:val="none"/>
              </w:rPr>
              <w:t>年1月1日至报价截止时间为止，承接过的类似房屋安全鉴定项目业绩的，每项得2分，最高得10分。</w:t>
            </w:r>
          </w:p>
          <w:p>
            <w:pPr>
              <w:wordWrap w:val="0"/>
              <w:adjustRightInd w:val="0"/>
              <w:snapToGrid w:val="0"/>
              <w:spacing w:line="320" w:lineRule="exact"/>
              <w:ind w:left="44" w:leftChars="20" w:right="44" w:rightChars="20"/>
              <w:jc w:val="both"/>
              <w:rPr>
                <w:color w:val="auto"/>
                <w:sz w:val="21"/>
                <w:szCs w:val="21"/>
                <w:highlight w:val="none"/>
              </w:rPr>
            </w:pPr>
            <w:r>
              <w:rPr>
                <w:rFonts w:hint="eastAsia"/>
                <w:b/>
                <w:bCs/>
                <w:color w:val="auto"/>
                <w:sz w:val="21"/>
                <w:szCs w:val="21"/>
                <w:highlight w:val="none"/>
              </w:rPr>
              <w:t>注：需提供合同或协议书复印件，以合同或协议书签订</w:t>
            </w:r>
            <w:r>
              <w:rPr>
                <w:rFonts w:hint="eastAsia"/>
                <w:b/>
                <w:bCs/>
                <w:color w:val="auto"/>
                <w:sz w:val="21"/>
                <w:szCs w:val="21"/>
                <w:highlight w:val="none"/>
                <w:lang w:val="en-US"/>
              </w:rPr>
              <w:t>的时间</w:t>
            </w:r>
            <w:r>
              <w:rPr>
                <w:rFonts w:hint="eastAsia"/>
                <w:b/>
                <w:bCs/>
                <w:color w:val="auto"/>
                <w:sz w:val="21"/>
                <w:szCs w:val="21"/>
                <w:highlight w:val="none"/>
              </w:rPr>
              <w:t>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47" w:hRule="atLeast"/>
          <w:jc w:val="center"/>
        </w:trPr>
        <w:tc>
          <w:tcPr>
            <w:tcW w:w="960" w:type="dxa"/>
            <w:gridSpan w:val="2"/>
            <w:vMerge w:val="continue"/>
            <w:tcBorders>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p>
        </w:tc>
        <w:tc>
          <w:tcPr>
            <w:tcW w:w="1142" w:type="dxa"/>
            <w:vMerge w:val="continue"/>
            <w:tcBorders>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p>
        </w:tc>
        <w:tc>
          <w:tcPr>
            <w:tcW w:w="2506" w:type="dxa"/>
            <w:tcBorders>
              <w:top w:val="single" w:color="auto" w:sz="4" w:space="0"/>
              <w:left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r>
              <w:rPr>
                <w:rFonts w:hint="eastAsia"/>
                <w:color w:val="auto"/>
                <w:sz w:val="21"/>
                <w:szCs w:val="21"/>
                <w:highlight w:val="none"/>
              </w:rPr>
              <w:t>企业信誉（20分）</w:t>
            </w:r>
          </w:p>
        </w:tc>
        <w:tc>
          <w:tcPr>
            <w:tcW w:w="5103" w:type="dxa"/>
            <w:tcBorders>
              <w:top w:val="single" w:color="auto" w:sz="4" w:space="0"/>
              <w:left w:val="single" w:color="auto" w:sz="4" w:space="0"/>
            </w:tcBorders>
            <w:vAlign w:val="center"/>
          </w:tcPr>
          <w:p>
            <w:pPr>
              <w:adjustRightInd w:val="0"/>
              <w:snapToGrid w:val="0"/>
              <w:spacing w:before="36" w:beforeLines="15" w:after="36" w:afterLines="15"/>
              <w:ind w:left="44" w:leftChars="20" w:right="44" w:rightChars="20"/>
              <w:jc w:val="both"/>
              <w:rPr>
                <w:color w:val="auto"/>
                <w:sz w:val="21"/>
                <w:szCs w:val="21"/>
                <w:highlight w:val="none"/>
                <w:lang w:val="en-US"/>
              </w:rPr>
            </w:pPr>
            <w:r>
              <w:rPr>
                <w:rFonts w:hint="eastAsia"/>
                <w:color w:val="auto"/>
                <w:sz w:val="21"/>
                <w:szCs w:val="21"/>
                <w:highlight w:val="none"/>
                <w:lang w:val="en-US"/>
              </w:rPr>
              <w:t>（1）2016年1月1日至今获得省级或以上“优秀信用企业”称号3次的得5分；获得省级或以上“优秀信用企业”称号2次的得3分；获得省级或以上“优秀信用企业”称号1次的得1分；不提供得0分。</w:t>
            </w:r>
          </w:p>
          <w:p>
            <w:pPr>
              <w:adjustRightInd w:val="0"/>
              <w:snapToGrid w:val="0"/>
              <w:spacing w:before="36" w:beforeLines="15" w:after="36" w:afterLines="15"/>
              <w:ind w:left="44" w:leftChars="20" w:right="44" w:rightChars="20"/>
              <w:jc w:val="both"/>
              <w:rPr>
                <w:color w:val="auto"/>
                <w:sz w:val="21"/>
                <w:szCs w:val="21"/>
                <w:highlight w:val="none"/>
                <w:lang w:val="en-US"/>
              </w:rPr>
            </w:pPr>
            <w:r>
              <w:rPr>
                <w:rFonts w:hint="eastAsia"/>
                <w:color w:val="auto"/>
                <w:sz w:val="21"/>
                <w:szCs w:val="21"/>
                <w:highlight w:val="none"/>
                <w:lang w:val="en-US"/>
              </w:rPr>
              <w:t>（2）2016年1月1日至今获得省级或以上“质量服务信誉AAA级示范企业”称号3次的得5分；获得省级或以上“质量服务信誉AAA级示范企业”称号2次的得3分；获得省级或以上“质量服务信誉AAA级示范企业”称号1次的得1分；不提供得0分。</w:t>
            </w:r>
          </w:p>
          <w:p>
            <w:pPr>
              <w:adjustRightInd w:val="0"/>
              <w:snapToGrid w:val="0"/>
              <w:spacing w:before="36" w:beforeLines="15" w:after="36" w:afterLines="15"/>
              <w:ind w:left="44" w:leftChars="20" w:right="44" w:rightChars="20"/>
              <w:jc w:val="both"/>
              <w:rPr>
                <w:color w:val="auto"/>
                <w:sz w:val="21"/>
                <w:szCs w:val="21"/>
                <w:highlight w:val="none"/>
                <w:lang w:val="en-US"/>
              </w:rPr>
            </w:pPr>
            <w:r>
              <w:rPr>
                <w:rFonts w:hint="eastAsia"/>
                <w:color w:val="auto"/>
                <w:sz w:val="21"/>
                <w:szCs w:val="21"/>
                <w:highlight w:val="none"/>
                <w:lang w:val="en-US"/>
              </w:rPr>
              <w:t>（3）2016年1月1日至今获得省级或以上“企业信用评价AAA级信用企业”称号的得2分；不提供得0分。</w:t>
            </w:r>
          </w:p>
          <w:p>
            <w:pPr>
              <w:adjustRightInd w:val="0"/>
              <w:snapToGrid w:val="0"/>
              <w:spacing w:before="36" w:beforeLines="15" w:after="36" w:afterLines="15"/>
              <w:ind w:left="44" w:leftChars="20" w:right="44" w:rightChars="20"/>
              <w:jc w:val="both"/>
              <w:rPr>
                <w:color w:val="auto"/>
                <w:sz w:val="21"/>
                <w:szCs w:val="21"/>
                <w:highlight w:val="none"/>
                <w:lang w:val="en-US"/>
              </w:rPr>
            </w:pPr>
            <w:r>
              <w:rPr>
                <w:rFonts w:hint="eastAsia"/>
                <w:color w:val="auto"/>
                <w:sz w:val="21"/>
                <w:szCs w:val="21"/>
                <w:highlight w:val="none"/>
                <w:lang w:val="en-US"/>
              </w:rPr>
              <w:t>（4）2016年至今获得过国家税务机关“A级纳税人”荣誉证书的，每获得一年得2分，此项最高得8分，不提供得0分。</w:t>
            </w:r>
          </w:p>
          <w:p>
            <w:pPr>
              <w:adjustRightInd w:val="0"/>
              <w:snapToGrid w:val="0"/>
              <w:spacing w:before="36" w:beforeLines="15" w:after="36" w:afterLines="15"/>
              <w:ind w:left="44" w:leftChars="20" w:right="44" w:rightChars="20"/>
              <w:jc w:val="both"/>
              <w:rPr>
                <w:b/>
                <w:bCs/>
                <w:color w:val="auto"/>
                <w:sz w:val="21"/>
                <w:szCs w:val="21"/>
                <w:highlight w:val="none"/>
                <w:lang w:val="en-US"/>
              </w:rPr>
            </w:pPr>
            <w:r>
              <w:rPr>
                <w:rFonts w:hint="eastAsia"/>
                <w:b/>
                <w:bCs/>
                <w:color w:val="auto"/>
                <w:sz w:val="21"/>
                <w:szCs w:val="21"/>
                <w:highlight w:val="none"/>
                <w:lang w:val="en-US"/>
              </w:rPr>
              <w:t>本项累计最多得20分。</w:t>
            </w:r>
          </w:p>
          <w:p>
            <w:pPr>
              <w:adjustRightInd w:val="0"/>
              <w:snapToGrid w:val="0"/>
              <w:spacing w:before="36" w:beforeLines="15" w:after="36" w:afterLines="15"/>
              <w:ind w:left="44" w:leftChars="20" w:right="44" w:rightChars="20"/>
              <w:jc w:val="both"/>
              <w:rPr>
                <w:b/>
                <w:bCs/>
                <w:color w:val="auto"/>
                <w:sz w:val="21"/>
                <w:szCs w:val="21"/>
                <w:highlight w:val="none"/>
                <w:lang w:val="en-US"/>
              </w:rPr>
            </w:pPr>
            <w:r>
              <w:rPr>
                <w:rFonts w:hint="eastAsia"/>
                <w:b/>
                <w:bCs/>
                <w:color w:val="auto"/>
                <w:sz w:val="21"/>
                <w:szCs w:val="21"/>
                <w:highlight w:val="none"/>
                <w:lang w:val="en-US"/>
              </w:rPr>
              <w:t>注：报价人须同时提供以下证明资料：</w:t>
            </w:r>
          </w:p>
          <w:p>
            <w:pPr>
              <w:adjustRightInd w:val="0"/>
              <w:snapToGrid w:val="0"/>
              <w:spacing w:before="36" w:beforeLines="15" w:after="36" w:afterLines="15"/>
              <w:ind w:left="44" w:leftChars="20" w:right="44" w:rightChars="20"/>
              <w:jc w:val="both"/>
              <w:rPr>
                <w:b/>
                <w:bCs/>
                <w:color w:val="auto"/>
                <w:sz w:val="21"/>
                <w:szCs w:val="21"/>
                <w:highlight w:val="none"/>
                <w:lang w:val="en-US"/>
              </w:rPr>
            </w:pPr>
            <w:r>
              <w:rPr>
                <w:rFonts w:hint="eastAsia"/>
                <w:b/>
                <w:bCs/>
                <w:color w:val="auto"/>
                <w:sz w:val="21"/>
                <w:szCs w:val="21"/>
                <w:highlight w:val="none"/>
                <w:lang w:val="en-US"/>
              </w:rPr>
              <w:t>①需提供发证机构官网对于以上信誉的公示截图；</w:t>
            </w:r>
          </w:p>
          <w:p>
            <w:pPr>
              <w:adjustRightInd w:val="0"/>
              <w:snapToGrid w:val="0"/>
              <w:spacing w:before="36" w:beforeLines="15" w:after="36" w:afterLines="15"/>
              <w:ind w:left="44" w:leftChars="20" w:right="44" w:rightChars="20"/>
              <w:jc w:val="both"/>
              <w:rPr>
                <w:color w:val="auto"/>
                <w:sz w:val="21"/>
                <w:szCs w:val="21"/>
                <w:highlight w:val="none"/>
              </w:rPr>
            </w:pPr>
            <w:r>
              <w:rPr>
                <w:rFonts w:hint="eastAsia"/>
                <w:b/>
                <w:bCs/>
                <w:color w:val="auto"/>
                <w:sz w:val="21"/>
                <w:szCs w:val="21"/>
                <w:highlight w:val="none"/>
                <w:lang w:val="en-US"/>
              </w:rPr>
              <w:t>②需提供以上相关证书复印件加盖公章。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960" w:type="dxa"/>
            <w:gridSpan w:val="2"/>
            <w:vMerge w:val="continue"/>
            <w:tcBorders>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p>
        </w:tc>
        <w:tc>
          <w:tcPr>
            <w:tcW w:w="1142" w:type="dxa"/>
            <w:vMerge w:val="continue"/>
            <w:tcBorders>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p>
        </w:tc>
        <w:tc>
          <w:tcPr>
            <w:tcW w:w="2506" w:type="dxa"/>
            <w:tcBorders>
              <w:top w:val="single" w:color="auto" w:sz="4" w:space="0"/>
              <w:left w:val="single" w:color="auto" w:sz="4" w:space="0"/>
              <w:right w:val="single" w:color="auto" w:sz="4" w:space="0"/>
            </w:tcBorders>
            <w:vAlign w:val="center"/>
          </w:tcPr>
          <w:p>
            <w:pPr>
              <w:adjustRightInd w:val="0"/>
              <w:ind w:left="44" w:leftChars="20" w:right="44" w:rightChars="20"/>
              <w:contextualSpacing/>
              <w:jc w:val="center"/>
              <w:rPr>
                <w:color w:val="auto"/>
                <w:sz w:val="21"/>
                <w:szCs w:val="21"/>
                <w:highlight w:val="none"/>
              </w:rPr>
            </w:pPr>
            <w:r>
              <w:rPr>
                <w:rFonts w:hint="eastAsia"/>
                <w:color w:val="auto"/>
                <w:sz w:val="21"/>
                <w:szCs w:val="21"/>
                <w:highlight w:val="none"/>
                <w:lang w:val="en-US"/>
              </w:rPr>
              <w:t>房屋安全鉴定机构能力评价（5分）</w:t>
            </w:r>
          </w:p>
        </w:tc>
        <w:tc>
          <w:tcPr>
            <w:tcW w:w="5103" w:type="dxa"/>
            <w:tcBorders>
              <w:top w:val="single" w:color="auto" w:sz="4" w:space="0"/>
              <w:left w:val="single" w:color="auto" w:sz="4" w:space="0"/>
            </w:tcBorders>
            <w:vAlign w:val="center"/>
          </w:tcPr>
          <w:p>
            <w:pPr>
              <w:adjustRightInd w:val="0"/>
              <w:ind w:left="44" w:leftChars="20" w:right="44" w:rightChars="20"/>
              <w:jc w:val="both"/>
              <w:rPr>
                <w:color w:val="auto"/>
                <w:sz w:val="21"/>
                <w:szCs w:val="21"/>
                <w:highlight w:val="none"/>
              </w:rPr>
            </w:pPr>
            <w:r>
              <w:rPr>
                <w:rFonts w:hint="eastAsia"/>
                <w:color w:val="auto"/>
                <w:sz w:val="21"/>
                <w:szCs w:val="21"/>
                <w:highlight w:val="none"/>
              </w:rPr>
              <w:t>（1）具备房屋鉴定能力评定甲级（有效期内）的得</w:t>
            </w:r>
            <w:r>
              <w:rPr>
                <w:rFonts w:hint="eastAsia"/>
                <w:color w:val="auto"/>
                <w:sz w:val="21"/>
                <w:szCs w:val="21"/>
                <w:highlight w:val="none"/>
                <w:lang w:val="en-US"/>
              </w:rPr>
              <w:t>4</w:t>
            </w:r>
            <w:r>
              <w:rPr>
                <w:rFonts w:hint="eastAsia"/>
                <w:color w:val="auto"/>
                <w:sz w:val="21"/>
                <w:szCs w:val="21"/>
                <w:highlight w:val="none"/>
              </w:rPr>
              <w:t>分，具备房屋鉴定能力评定乙级（有效期内）的得</w:t>
            </w:r>
            <w:r>
              <w:rPr>
                <w:rFonts w:hint="eastAsia"/>
                <w:color w:val="auto"/>
                <w:sz w:val="21"/>
                <w:szCs w:val="21"/>
                <w:highlight w:val="none"/>
                <w:lang w:val="en-US"/>
              </w:rPr>
              <w:t>1</w:t>
            </w:r>
            <w:r>
              <w:rPr>
                <w:rFonts w:hint="eastAsia"/>
                <w:color w:val="auto"/>
                <w:sz w:val="21"/>
                <w:szCs w:val="21"/>
                <w:highlight w:val="none"/>
              </w:rPr>
              <w:t>分；</w:t>
            </w:r>
          </w:p>
          <w:p>
            <w:pPr>
              <w:adjustRightInd w:val="0"/>
              <w:ind w:left="44" w:leftChars="20" w:right="44" w:rightChars="20"/>
              <w:jc w:val="both"/>
              <w:rPr>
                <w:color w:val="auto"/>
                <w:sz w:val="21"/>
                <w:szCs w:val="21"/>
                <w:highlight w:val="none"/>
              </w:rPr>
            </w:pPr>
            <w:r>
              <w:rPr>
                <w:rFonts w:hint="eastAsia"/>
                <w:color w:val="auto"/>
                <w:sz w:val="21"/>
                <w:szCs w:val="21"/>
                <w:highlight w:val="none"/>
              </w:rPr>
              <w:t>（2）具备质量技术监督部门颁发的CMA检验检测机构资质认定证书得</w:t>
            </w:r>
            <w:r>
              <w:rPr>
                <w:rFonts w:hint="eastAsia"/>
                <w:color w:val="auto"/>
                <w:sz w:val="21"/>
                <w:szCs w:val="21"/>
                <w:highlight w:val="none"/>
                <w:lang w:val="en-US"/>
              </w:rPr>
              <w:t>1</w:t>
            </w:r>
            <w:r>
              <w:rPr>
                <w:rFonts w:hint="eastAsia"/>
                <w:color w:val="auto"/>
                <w:sz w:val="21"/>
                <w:szCs w:val="21"/>
                <w:highlight w:val="none"/>
              </w:rPr>
              <w:t>分；</w:t>
            </w:r>
          </w:p>
          <w:p>
            <w:pPr>
              <w:adjustRightInd w:val="0"/>
              <w:ind w:left="44" w:leftChars="20" w:right="44" w:rightChars="20"/>
              <w:jc w:val="both"/>
              <w:rPr>
                <w:color w:val="auto"/>
                <w:sz w:val="21"/>
                <w:szCs w:val="21"/>
                <w:highlight w:val="none"/>
              </w:rPr>
            </w:pPr>
            <w:r>
              <w:rPr>
                <w:rFonts w:hint="eastAsia"/>
                <w:b/>
                <w:bCs/>
                <w:color w:val="auto"/>
                <w:sz w:val="21"/>
                <w:szCs w:val="21"/>
                <w:highlight w:val="none"/>
              </w:rPr>
              <w:t>本项累计最多得</w:t>
            </w:r>
            <w:r>
              <w:rPr>
                <w:rFonts w:hint="eastAsia"/>
                <w:b/>
                <w:bCs/>
                <w:color w:val="auto"/>
                <w:sz w:val="21"/>
                <w:szCs w:val="21"/>
                <w:highlight w:val="none"/>
                <w:lang w:val="en-US"/>
              </w:rPr>
              <w:t>5</w:t>
            </w:r>
            <w:r>
              <w:rPr>
                <w:rFonts w:hint="eastAsia"/>
                <w:b/>
                <w:bCs/>
                <w:color w:val="auto"/>
                <w:sz w:val="21"/>
                <w:szCs w:val="21"/>
                <w:highlight w:val="none"/>
              </w:rPr>
              <w:t>分。</w:t>
            </w:r>
          </w:p>
          <w:p>
            <w:pPr>
              <w:adjustRightInd w:val="0"/>
              <w:ind w:left="44" w:leftChars="20" w:right="44" w:rightChars="20"/>
              <w:jc w:val="both"/>
              <w:rPr>
                <w:b/>
                <w:bCs/>
                <w:color w:val="auto"/>
                <w:sz w:val="21"/>
                <w:szCs w:val="21"/>
                <w:highlight w:val="none"/>
              </w:rPr>
            </w:pPr>
            <w:r>
              <w:rPr>
                <w:rFonts w:hint="eastAsia"/>
                <w:b/>
                <w:bCs/>
                <w:color w:val="auto"/>
                <w:sz w:val="21"/>
                <w:szCs w:val="21"/>
                <w:highlight w:val="none"/>
              </w:rPr>
              <w:t>以上两项无或不提供或超过有效期的不得分；</w:t>
            </w:r>
          </w:p>
          <w:p>
            <w:pPr>
              <w:adjustRightInd w:val="0"/>
              <w:ind w:left="44" w:leftChars="20" w:right="44" w:rightChars="20"/>
              <w:jc w:val="both"/>
              <w:rPr>
                <w:color w:val="auto"/>
                <w:sz w:val="21"/>
                <w:szCs w:val="21"/>
                <w:highlight w:val="none"/>
                <w:lang w:val="en-US"/>
              </w:rPr>
            </w:pPr>
            <w:r>
              <w:rPr>
                <w:rFonts w:hint="eastAsia"/>
                <w:b/>
                <w:bCs/>
                <w:color w:val="auto"/>
                <w:sz w:val="21"/>
                <w:szCs w:val="21"/>
                <w:highlight w:val="none"/>
              </w:rPr>
              <w:t>注：需提供以上相关证书复印件加盖公章，否则不得分。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89" w:hRule="atLeast"/>
          <w:jc w:val="center"/>
        </w:trPr>
        <w:tc>
          <w:tcPr>
            <w:tcW w:w="960" w:type="dxa"/>
            <w:gridSpan w:val="2"/>
            <w:vMerge w:val="continue"/>
            <w:tcBorders>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p>
        </w:tc>
        <w:tc>
          <w:tcPr>
            <w:tcW w:w="1142" w:type="dxa"/>
            <w:vMerge w:val="continue"/>
            <w:tcBorders>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r>
              <w:rPr>
                <w:rFonts w:hint="eastAsia"/>
                <w:color w:val="auto"/>
                <w:sz w:val="21"/>
                <w:szCs w:val="21"/>
                <w:highlight w:val="none"/>
                <w:lang w:val="en-US"/>
              </w:rPr>
              <w:t>管理体系认证（3分）</w:t>
            </w:r>
          </w:p>
        </w:tc>
        <w:tc>
          <w:tcPr>
            <w:tcW w:w="5103" w:type="dxa"/>
            <w:tcBorders>
              <w:top w:val="single" w:color="auto" w:sz="4" w:space="0"/>
              <w:left w:val="single" w:color="auto" w:sz="4" w:space="0"/>
              <w:bottom w:val="single" w:color="auto" w:sz="4" w:space="0"/>
            </w:tcBorders>
            <w:vAlign w:val="center"/>
          </w:tcPr>
          <w:p>
            <w:pPr>
              <w:adjustRightInd w:val="0"/>
              <w:spacing w:before="44"/>
              <w:ind w:left="44" w:leftChars="20" w:right="44" w:rightChars="20"/>
              <w:jc w:val="both"/>
              <w:rPr>
                <w:color w:val="auto"/>
                <w:sz w:val="21"/>
                <w:szCs w:val="21"/>
                <w:highlight w:val="none"/>
              </w:rPr>
            </w:pPr>
            <w:r>
              <w:rPr>
                <w:rFonts w:hint="eastAsia"/>
                <w:color w:val="auto"/>
                <w:sz w:val="21"/>
                <w:szCs w:val="21"/>
                <w:highlight w:val="none"/>
              </w:rPr>
              <w:t xml:space="preserve">具有有效期内的质量管理体系、环境管理体系、职业健康安全管理体系认证的，每具有一份证书得1分，最高得3分。无或不提供的不得分。 </w:t>
            </w:r>
          </w:p>
          <w:p>
            <w:pPr>
              <w:adjustRightInd w:val="0"/>
              <w:spacing w:before="44"/>
              <w:ind w:left="44" w:leftChars="20" w:right="44" w:rightChars="20"/>
              <w:jc w:val="both"/>
              <w:rPr>
                <w:color w:val="auto"/>
                <w:sz w:val="21"/>
                <w:szCs w:val="21"/>
                <w:highlight w:val="none"/>
              </w:rPr>
            </w:pPr>
            <w:r>
              <w:rPr>
                <w:rFonts w:hint="eastAsia"/>
                <w:b/>
                <w:bCs/>
                <w:color w:val="auto"/>
                <w:sz w:val="21"/>
                <w:szCs w:val="21"/>
                <w:highlight w:val="none"/>
              </w:rPr>
              <w:t>注：需提供相关认证证书复印件加盖公章，否则不得分。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89" w:hRule="atLeast"/>
          <w:jc w:val="center"/>
        </w:trPr>
        <w:tc>
          <w:tcPr>
            <w:tcW w:w="960" w:type="dxa"/>
            <w:gridSpan w:val="2"/>
            <w:vMerge w:val="continue"/>
            <w:tcBorders>
              <w:right w:val="single" w:color="auto" w:sz="4" w:space="0"/>
            </w:tcBorders>
            <w:vAlign w:val="center"/>
          </w:tcPr>
          <w:p>
            <w:pPr>
              <w:adjustRightInd w:val="0"/>
              <w:snapToGrid w:val="0"/>
              <w:spacing w:before="36" w:beforeLines="15" w:after="36" w:afterLines="15"/>
              <w:ind w:left="44" w:leftChars="20" w:right="44" w:rightChars="20"/>
              <w:jc w:val="center"/>
              <w:rPr>
                <w:color w:val="auto"/>
                <w:highlight w:val="none"/>
              </w:rPr>
            </w:pPr>
            <w:r>
              <w:rPr>
                <w:rFonts w:hint="eastAsia"/>
                <w:color w:val="auto"/>
                <w:highlight w:val="none"/>
              </w:rPr>
              <w:t>企业荣誉（12分）</w:t>
            </w:r>
            <w:r>
              <w:rPr>
                <w:rFonts w:hint="eastAsia"/>
                <w:color w:val="auto"/>
                <w:highlight w:val="none"/>
              </w:rPr>
              <w:tab/>
            </w:r>
            <w:r>
              <w:rPr>
                <w:rFonts w:hint="eastAsia"/>
                <w:color w:val="auto"/>
                <w:highlight w:val="none"/>
              </w:rPr>
              <w:t>2016年至今连续获得市级或以上房屋鉴定相关行业协会颁发的“房屋安全鉴定工作优秀单位”的，每获得一年得2分，此项最高可得12分，没有获得不得分。</w:t>
            </w:r>
          </w:p>
          <w:p>
            <w:pPr>
              <w:adjustRightInd w:val="0"/>
              <w:snapToGrid w:val="0"/>
              <w:spacing w:before="36" w:beforeLines="15" w:after="36" w:afterLines="15"/>
              <w:ind w:left="44" w:leftChars="20" w:right="44" w:rightChars="20"/>
              <w:jc w:val="center"/>
              <w:rPr>
                <w:color w:val="auto"/>
                <w:sz w:val="21"/>
                <w:szCs w:val="21"/>
                <w:highlight w:val="none"/>
              </w:rPr>
            </w:pPr>
            <w:r>
              <w:rPr>
                <w:rFonts w:hint="eastAsia"/>
                <w:color w:val="auto"/>
                <w:highlight w:val="none"/>
              </w:rPr>
              <w:t>注：以上需提供有效证明材料的复印件，否则不得分。</w:t>
            </w:r>
          </w:p>
        </w:tc>
        <w:tc>
          <w:tcPr>
            <w:tcW w:w="1142" w:type="dxa"/>
            <w:vMerge w:val="continue"/>
            <w:tcBorders>
              <w:right w:val="single" w:color="auto" w:sz="4" w:space="0"/>
            </w:tcBorders>
            <w:vAlign w:val="center"/>
          </w:tcPr>
          <w:p>
            <w:pPr>
              <w:adjustRightInd w:val="0"/>
              <w:snapToGrid w:val="0"/>
              <w:spacing w:before="36" w:beforeLines="15" w:after="36" w:afterLines="15"/>
              <w:ind w:left="44" w:leftChars="20" w:right="44" w:rightChars="20"/>
              <w:jc w:val="center"/>
              <w:rPr>
                <w:color w:val="auto"/>
                <w:highlight w:val="none"/>
              </w:rPr>
            </w:pPr>
            <w:r>
              <w:rPr>
                <w:rFonts w:hint="eastAsia"/>
                <w:color w:val="auto"/>
                <w:highlight w:val="none"/>
              </w:rPr>
              <w:t>企业荣誉（12分）</w:t>
            </w:r>
            <w:r>
              <w:rPr>
                <w:rFonts w:hint="eastAsia"/>
                <w:color w:val="auto"/>
                <w:highlight w:val="none"/>
              </w:rPr>
              <w:tab/>
            </w:r>
            <w:r>
              <w:rPr>
                <w:rFonts w:hint="eastAsia"/>
                <w:color w:val="auto"/>
                <w:highlight w:val="none"/>
              </w:rPr>
              <w:t>2016年至今连续获得市级或以上房屋鉴定相关行业协会颁发的“房屋安全鉴定工作优秀单位”的，每获得一年得2分，此项最高可得12分，没有获得不得分。</w:t>
            </w:r>
          </w:p>
          <w:p>
            <w:pPr>
              <w:adjustRightInd w:val="0"/>
              <w:snapToGrid w:val="0"/>
              <w:spacing w:before="36" w:beforeLines="15" w:after="36" w:afterLines="15"/>
              <w:ind w:left="44" w:leftChars="20" w:right="44" w:rightChars="20"/>
              <w:jc w:val="center"/>
              <w:rPr>
                <w:color w:val="auto"/>
                <w:sz w:val="21"/>
                <w:szCs w:val="21"/>
                <w:highlight w:val="none"/>
              </w:rPr>
            </w:pPr>
            <w:r>
              <w:rPr>
                <w:rFonts w:hint="eastAsia"/>
                <w:color w:val="auto"/>
                <w:highlight w:val="none"/>
              </w:rPr>
              <w:t>注：以上需提供有效证明材料的复印件，否则不得分。</w:t>
            </w: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lang w:val="en-US"/>
              </w:rPr>
            </w:pPr>
            <w:r>
              <w:rPr>
                <w:rFonts w:hint="eastAsia"/>
                <w:color w:val="auto"/>
                <w:sz w:val="21"/>
                <w:szCs w:val="21"/>
                <w:highlight w:val="none"/>
                <w:lang w:val="en-US"/>
              </w:rPr>
              <w:t>企业荣誉（12分）</w:t>
            </w:r>
            <w:r>
              <w:rPr>
                <w:rFonts w:hint="eastAsia"/>
                <w:color w:val="auto"/>
                <w:highlight w:val="none"/>
              </w:rPr>
              <w:tab/>
            </w:r>
          </w:p>
        </w:tc>
        <w:tc>
          <w:tcPr>
            <w:tcW w:w="5103" w:type="dxa"/>
            <w:tcBorders>
              <w:top w:val="single" w:color="auto" w:sz="4" w:space="0"/>
              <w:left w:val="single" w:color="auto" w:sz="4" w:space="0"/>
              <w:bottom w:val="single" w:color="auto" w:sz="4" w:space="0"/>
            </w:tcBorders>
            <w:vAlign w:val="center"/>
          </w:tcPr>
          <w:p>
            <w:pPr>
              <w:adjustRightInd w:val="0"/>
              <w:spacing w:before="44"/>
              <w:ind w:left="44" w:leftChars="20" w:right="44" w:rightChars="20"/>
              <w:jc w:val="both"/>
              <w:rPr>
                <w:color w:val="auto"/>
                <w:sz w:val="21"/>
                <w:szCs w:val="21"/>
                <w:highlight w:val="none"/>
              </w:rPr>
            </w:pPr>
            <w:r>
              <w:rPr>
                <w:rFonts w:hint="eastAsia"/>
                <w:color w:val="auto"/>
                <w:sz w:val="21"/>
                <w:szCs w:val="21"/>
                <w:highlight w:val="none"/>
              </w:rPr>
              <w:t>2016年至今连续获得市级或以上房屋鉴定相关行业协会颁发的“房屋安全鉴定工作优秀单位”的，每获得一年得2分，此项最高可得12分，没有获得不得分。</w:t>
            </w:r>
          </w:p>
          <w:p>
            <w:pPr>
              <w:adjustRightInd w:val="0"/>
              <w:spacing w:before="44"/>
              <w:ind w:left="44" w:leftChars="20" w:right="44" w:rightChars="20"/>
              <w:jc w:val="both"/>
              <w:rPr>
                <w:b/>
                <w:bCs/>
                <w:color w:val="auto"/>
                <w:sz w:val="21"/>
                <w:szCs w:val="21"/>
                <w:highlight w:val="none"/>
              </w:rPr>
            </w:pPr>
            <w:r>
              <w:rPr>
                <w:rFonts w:hint="eastAsia"/>
                <w:b/>
                <w:bCs/>
                <w:color w:val="auto"/>
                <w:sz w:val="21"/>
                <w:szCs w:val="21"/>
                <w:highlight w:val="none"/>
              </w:rPr>
              <w:t>注：以上需提供有效证明材料的复印件，否则不得分。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94" w:hRule="atLeast"/>
          <w:jc w:val="center"/>
        </w:trPr>
        <w:tc>
          <w:tcPr>
            <w:tcW w:w="960" w:type="dxa"/>
            <w:gridSpan w:val="2"/>
            <w:vMerge w:val="continue"/>
            <w:tcBorders>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p>
        </w:tc>
        <w:tc>
          <w:tcPr>
            <w:tcW w:w="1142" w:type="dxa"/>
            <w:vMerge w:val="continue"/>
            <w:tcBorders>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p>
        </w:tc>
        <w:tc>
          <w:tcPr>
            <w:tcW w:w="2506" w:type="dxa"/>
            <w:tcBorders>
              <w:top w:val="single" w:color="auto" w:sz="4" w:space="0"/>
              <w:left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color w:val="auto"/>
                <w:sz w:val="21"/>
                <w:szCs w:val="21"/>
                <w:highlight w:val="none"/>
              </w:rPr>
            </w:pPr>
            <w:r>
              <w:rPr>
                <w:rFonts w:hint="eastAsia"/>
                <w:color w:val="auto"/>
                <w:sz w:val="21"/>
                <w:szCs w:val="21"/>
                <w:highlight w:val="none"/>
              </w:rPr>
              <w:t>技术人员配备（</w:t>
            </w:r>
            <w:r>
              <w:rPr>
                <w:rFonts w:hint="eastAsia"/>
                <w:color w:val="auto"/>
                <w:sz w:val="21"/>
                <w:szCs w:val="21"/>
                <w:highlight w:val="none"/>
                <w:lang w:val="en-US"/>
              </w:rPr>
              <w:t>2</w:t>
            </w:r>
            <w:r>
              <w:rPr>
                <w:rFonts w:hint="eastAsia"/>
                <w:color w:val="auto"/>
                <w:sz w:val="21"/>
                <w:szCs w:val="21"/>
                <w:highlight w:val="none"/>
              </w:rPr>
              <w:t>0分）</w:t>
            </w:r>
          </w:p>
        </w:tc>
        <w:tc>
          <w:tcPr>
            <w:tcW w:w="5103" w:type="dxa"/>
            <w:tcBorders>
              <w:top w:val="single" w:color="auto" w:sz="4" w:space="0"/>
              <w:left w:val="single" w:color="auto" w:sz="4" w:space="0"/>
              <w:bottom w:val="single" w:color="auto" w:sz="4" w:space="0"/>
            </w:tcBorders>
            <w:vAlign w:val="center"/>
          </w:tcPr>
          <w:p>
            <w:pPr>
              <w:adjustRightInd w:val="0"/>
              <w:spacing w:before="44"/>
              <w:ind w:left="44" w:leftChars="20" w:right="44" w:rightChars="20"/>
              <w:jc w:val="both"/>
              <w:rPr>
                <w:color w:val="auto"/>
                <w:sz w:val="21"/>
                <w:szCs w:val="21"/>
                <w:highlight w:val="none"/>
                <w:lang w:val="en-US"/>
              </w:rPr>
            </w:pPr>
            <w:r>
              <w:rPr>
                <w:rFonts w:hint="eastAsia"/>
                <w:color w:val="auto"/>
                <w:sz w:val="21"/>
                <w:szCs w:val="21"/>
                <w:highlight w:val="none"/>
                <w:lang w:val="en-US"/>
              </w:rPr>
              <w:t>一、项目负责人：</w:t>
            </w:r>
          </w:p>
          <w:p>
            <w:pPr>
              <w:adjustRightInd w:val="0"/>
              <w:spacing w:before="44"/>
              <w:ind w:left="44" w:leftChars="20" w:right="44" w:rightChars="20"/>
              <w:jc w:val="both"/>
              <w:rPr>
                <w:color w:val="auto"/>
                <w:sz w:val="21"/>
                <w:szCs w:val="21"/>
                <w:highlight w:val="none"/>
                <w:lang w:val="en-US"/>
              </w:rPr>
            </w:pPr>
            <w:r>
              <w:rPr>
                <w:rFonts w:hint="eastAsia"/>
                <w:color w:val="auto"/>
                <w:sz w:val="21"/>
                <w:szCs w:val="21"/>
                <w:highlight w:val="none"/>
                <w:lang w:val="en-US"/>
              </w:rPr>
              <w:t>1.项目负责人具备高级工程师（或以上）职称或国家一级注册结构工程师得3分，没有不得分。</w:t>
            </w:r>
          </w:p>
          <w:p>
            <w:pPr>
              <w:adjustRightInd w:val="0"/>
              <w:spacing w:before="44"/>
              <w:ind w:left="44" w:leftChars="20" w:right="44" w:rightChars="20"/>
              <w:jc w:val="both"/>
              <w:rPr>
                <w:color w:val="auto"/>
                <w:sz w:val="21"/>
                <w:szCs w:val="21"/>
                <w:highlight w:val="none"/>
                <w:lang w:val="en-US"/>
              </w:rPr>
            </w:pPr>
            <w:r>
              <w:rPr>
                <w:rFonts w:hint="eastAsia"/>
                <w:color w:val="auto"/>
                <w:sz w:val="21"/>
                <w:szCs w:val="21"/>
                <w:highlight w:val="none"/>
                <w:lang w:val="en-US"/>
              </w:rPr>
              <w:t>注：报价人须同时提供项目负责人以下证明资料：</w:t>
            </w:r>
          </w:p>
          <w:p>
            <w:pPr>
              <w:adjustRightInd w:val="0"/>
              <w:spacing w:before="44"/>
              <w:ind w:left="44" w:leftChars="20" w:right="44" w:rightChars="20"/>
              <w:jc w:val="both"/>
              <w:rPr>
                <w:color w:val="auto"/>
                <w:sz w:val="21"/>
                <w:szCs w:val="21"/>
                <w:highlight w:val="none"/>
                <w:lang w:val="en-US"/>
              </w:rPr>
            </w:pPr>
            <w:r>
              <w:rPr>
                <w:rFonts w:hint="eastAsia"/>
                <w:color w:val="auto"/>
                <w:sz w:val="21"/>
                <w:szCs w:val="21"/>
                <w:highlight w:val="none"/>
                <w:lang w:val="en-US"/>
              </w:rPr>
              <w:t>①职称证书或注册结构工程师证书复印件加盖公章；</w:t>
            </w:r>
          </w:p>
          <w:p>
            <w:pPr>
              <w:adjustRightInd w:val="0"/>
              <w:spacing w:before="44"/>
              <w:ind w:left="44" w:leftChars="20" w:right="44" w:rightChars="20"/>
              <w:jc w:val="both"/>
              <w:rPr>
                <w:color w:val="auto"/>
                <w:sz w:val="21"/>
                <w:szCs w:val="21"/>
                <w:highlight w:val="none"/>
                <w:lang w:val="en-US"/>
              </w:rPr>
            </w:pPr>
            <w:r>
              <w:rPr>
                <w:rFonts w:hint="eastAsia"/>
                <w:color w:val="auto"/>
                <w:sz w:val="21"/>
                <w:szCs w:val="21"/>
                <w:highlight w:val="none"/>
                <w:lang w:val="en-US"/>
              </w:rPr>
              <w:t>②身份证复印件加盖公章；</w:t>
            </w:r>
          </w:p>
          <w:p>
            <w:pPr>
              <w:adjustRightInd w:val="0"/>
              <w:spacing w:before="44"/>
              <w:ind w:left="44" w:leftChars="20" w:right="44" w:rightChars="20"/>
              <w:jc w:val="both"/>
              <w:rPr>
                <w:color w:val="auto"/>
                <w:sz w:val="21"/>
                <w:szCs w:val="21"/>
                <w:highlight w:val="none"/>
                <w:lang w:val="en-US"/>
              </w:rPr>
            </w:pPr>
            <w:r>
              <w:rPr>
                <w:rFonts w:hint="eastAsia"/>
                <w:color w:val="auto"/>
                <w:sz w:val="21"/>
                <w:szCs w:val="21"/>
                <w:highlight w:val="none"/>
                <w:lang w:val="en-US"/>
              </w:rPr>
              <w:t>③本项目报价截止日之前近</w:t>
            </w:r>
            <w:r>
              <w:rPr>
                <w:rFonts w:hint="eastAsia"/>
                <w:color w:val="auto"/>
                <w:sz w:val="21"/>
                <w:szCs w:val="21"/>
                <w:highlight w:val="none"/>
                <w:lang w:val="en-US" w:eastAsia="zh-CN"/>
              </w:rPr>
              <w:t>一</w:t>
            </w:r>
            <w:r>
              <w:rPr>
                <w:rFonts w:hint="eastAsia"/>
                <w:color w:val="auto"/>
                <w:sz w:val="21"/>
                <w:szCs w:val="21"/>
                <w:highlight w:val="none"/>
                <w:lang w:val="en-US"/>
              </w:rPr>
              <w:t>个月的报价单位购买社保证明复印件，或报价单位代缴个人所得税税单。</w:t>
            </w:r>
          </w:p>
          <w:p>
            <w:pPr>
              <w:adjustRightInd w:val="0"/>
              <w:spacing w:before="44"/>
              <w:ind w:left="44" w:leftChars="20" w:right="44" w:rightChars="20"/>
              <w:jc w:val="both"/>
              <w:rPr>
                <w:color w:val="auto"/>
                <w:sz w:val="21"/>
                <w:szCs w:val="21"/>
                <w:highlight w:val="none"/>
                <w:lang w:val="en-US"/>
              </w:rPr>
            </w:pPr>
            <w:r>
              <w:rPr>
                <w:rFonts w:hint="eastAsia"/>
                <w:color w:val="auto"/>
                <w:sz w:val="21"/>
                <w:szCs w:val="21"/>
                <w:highlight w:val="none"/>
                <w:lang w:val="en-US"/>
              </w:rPr>
              <w:t>2. 2015年至今项目负责人获得省级或以上行业协会“先进工作者”称号的，得2分，没有不得分。</w:t>
            </w:r>
          </w:p>
          <w:p>
            <w:pPr>
              <w:adjustRightInd w:val="0"/>
              <w:spacing w:before="44"/>
              <w:ind w:left="44" w:leftChars="20" w:right="44" w:rightChars="20"/>
              <w:jc w:val="both"/>
              <w:rPr>
                <w:color w:val="auto"/>
                <w:sz w:val="21"/>
                <w:szCs w:val="21"/>
                <w:highlight w:val="none"/>
                <w:lang w:val="en-US"/>
              </w:rPr>
            </w:pPr>
            <w:r>
              <w:rPr>
                <w:rFonts w:hint="eastAsia"/>
                <w:color w:val="auto"/>
                <w:sz w:val="21"/>
                <w:szCs w:val="21"/>
                <w:highlight w:val="none"/>
                <w:lang w:val="en-US"/>
              </w:rPr>
              <w:t>注：提供相关证书复印件加盖公章作为证明材料。</w:t>
            </w:r>
          </w:p>
          <w:p>
            <w:pPr>
              <w:adjustRightInd w:val="0"/>
              <w:spacing w:before="44"/>
              <w:ind w:left="44" w:leftChars="20" w:right="44" w:rightChars="20"/>
              <w:jc w:val="both"/>
              <w:rPr>
                <w:color w:val="auto"/>
                <w:sz w:val="21"/>
                <w:szCs w:val="21"/>
                <w:highlight w:val="none"/>
                <w:lang w:val="en-US"/>
              </w:rPr>
            </w:pPr>
            <w:r>
              <w:rPr>
                <w:rFonts w:hint="eastAsia"/>
                <w:color w:val="auto"/>
                <w:sz w:val="21"/>
                <w:szCs w:val="21"/>
                <w:highlight w:val="none"/>
                <w:lang w:val="en-US"/>
              </w:rPr>
              <w:t>二、拟投入本项目的鉴定人员（注册到报价单位为准）：</w:t>
            </w:r>
          </w:p>
          <w:p>
            <w:pPr>
              <w:adjustRightInd w:val="0"/>
              <w:spacing w:before="44"/>
              <w:ind w:left="44" w:leftChars="20" w:right="44" w:rightChars="20"/>
              <w:jc w:val="both"/>
              <w:rPr>
                <w:color w:val="auto"/>
                <w:sz w:val="21"/>
                <w:szCs w:val="21"/>
                <w:highlight w:val="none"/>
                <w:lang w:val="en-US"/>
              </w:rPr>
            </w:pPr>
            <w:r>
              <w:rPr>
                <w:rFonts w:hint="eastAsia"/>
                <w:color w:val="auto"/>
                <w:sz w:val="21"/>
                <w:szCs w:val="21"/>
                <w:highlight w:val="none"/>
                <w:lang w:val="en-US"/>
              </w:rPr>
              <w:t>报价人拟投入本项目的鉴定人员15人或以上的（含15人）得15分；</w:t>
            </w:r>
          </w:p>
          <w:p>
            <w:pPr>
              <w:adjustRightInd w:val="0"/>
              <w:spacing w:before="44"/>
              <w:ind w:left="44" w:leftChars="20" w:right="44" w:rightChars="20"/>
              <w:jc w:val="both"/>
              <w:rPr>
                <w:color w:val="auto"/>
                <w:sz w:val="21"/>
                <w:szCs w:val="21"/>
                <w:highlight w:val="none"/>
                <w:lang w:val="en-US"/>
              </w:rPr>
            </w:pPr>
            <w:r>
              <w:rPr>
                <w:rFonts w:hint="eastAsia"/>
                <w:color w:val="auto"/>
                <w:sz w:val="21"/>
                <w:szCs w:val="21"/>
                <w:highlight w:val="none"/>
                <w:lang w:val="en-US"/>
              </w:rPr>
              <w:t>12人≤报价人拟投入本项目的鉴定人员＜15人的，得10分；</w:t>
            </w:r>
          </w:p>
          <w:p>
            <w:pPr>
              <w:adjustRightInd w:val="0"/>
              <w:spacing w:before="44"/>
              <w:ind w:left="44" w:leftChars="20" w:right="44" w:rightChars="20"/>
              <w:jc w:val="both"/>
              <w:rPr>
                <w:color w:val="auto"/>
                <w:sz w:val="21"/>
                <w:szCs w:val="21"/>
                <w:highlight w:val="none"/>
                <w:lang w:val="en-US"/>
              </w:rPr>
            </w:pPr>
            <w:r>
              <w:rPr>
                <w:rFonts w:hint="eastAsia"/>
                <w:color w:val="auto"/>
                <w:sz w:val="21"/>
                <w:szCs w:val="21"/>
                <w:highlight w:val="none"/>
                <w:lang w:val="en-US"/>
              </w:rPr>
              <w:t>6人≤报价人拟投入本项目的鉴定人员＜12人的，得5分；</w:t>
            </w:r>
          </w:p>
          <w:p>
            <w:pPr>
              <w:adjustRightInd w:val="0"/>
              <w:spacing w:before="44"/>
              <w:ind w:left="44" w:leftChars="20" w:right="44" w:rightChars="20"/>
              <w:jc w:val="both"/>
              <w:rPr>
                <w:color w:val="auto"/>
                <w:sz w:val="21"/>
                <w:szCs w:val="21"/>
                <w:highlight w:val="none"/>
                <w:lang w:val="en-US"/>
              </w:rPr>
            </w:pPr>
            <w:r>
              <w:rPr>
                <w:rFonts w:hint="eastAsia"/>
                <w:color w:val="auto"/>
                <w:sz w:val="21"/>
                <w:szCs w:val="21"/>
                <w:highlight w:val="none"/>
                <w:lang w:val="en-US"/>
              </w:rPr>
              <w:t>2人≤报价人拟投入本项目的鉴定人员＜6人的，得2分；</w:t>
            </w:r>
          </w:p>
          <w:p>
            <w:pPr>
              <w:adjustRightInd w:val="0"/>
              <w:spacing w:before="44"/>
              <w:ind w:left="44" w:leftChars="20" w:right="44" w:rightChars="20"/>
              <w:jc w:val="both"/>
              <w:rPr>
                <w:color w:val="auto"/>
                <w:sz w:val="21"/>
                <w:szCs w:val="21"/>
                <w:highlight w:val="none"/>
                <w:lang w:val="en-US"/>
              </w:rPr>
            </w:pPr>
            <w:r>
              <w:rPr>
                <w:rFonts w:hint="eastAsia"/>
                <w:color w:val="auto"/>
                <w:sz w:val="21"/>
                <w:szCs w:val="21"/>
                <w:highlight w:val="none"/>
                <w:lang w:val="en-US"/>
              </w:rPr>
              <w:t>其他情况得0分。</w:t>
            </w:r>
          </w:p>
          <w:p>
            <w:pPr>
              <w:adjustRightInd w:val="0"/>
              <w:spacing w:before="44"/>
              <w:ind w:left="44" w:leftChars="20" w:right="44" w:rightChars="20"/>
              <w:jc w:val="both"/>
              <w:rPr>
                <w:b/>
                <w:bCs/>
                <w:color w:val="auto"/>
                <w:sz w:val="21"/>
                <w:szCs w:val="21"/>
                <w:highlight w:val="none"/>
                <w:lang w:val="en-US"/>
              </w:rPr>
            </w:pPr>
            <w:r>
              <w:rPr>
                <w:rFonts w:hint="eastAsia"/>
                <w:b/>
                <w:bCs/>
                <w:color w:val="auto"/>
                <w:sz w:val="21"/>
                <w:szCs w:val="21"/>
                <w:highlight w:val="none"/>
                <w:lang w:val="en-US"/>
              </w:rPr>
              <w:t>注：报价人须同时提供上述人员以下证明资料：</w:t>
            </w:r>
          </w:p>
          <w:p>
            <w:pPr>
              <w:adjustRightInd w:val="0"/>
              <w:spacing w:before="44"/>
              <w:ind w:left="44" w:leftChars="20" w:right="44" w:rightChars="20"/>
              <w:jc w:val="both"/>
              <w:rPr>
                <w:b/>
                <w:bCs/>
                <w:color w:val="auto"/>
                <w:sz w:val="21"/>
                <w:szCs w:val="21"/>
                <w:highlight w:val="none"/>
                <w:lang w:val="en-US"/>
              </w:rPr>
            </w:pPr>
            <w:r>
              <w:rPr>
                <w:rFonts w:hint="eastAsia"/>
                <w:b/>
                <w:bCs/>
                <w:color w:val="auto"/>
                <w:sz w:val="21"/>
                <w:szCs w:val="21"/>
                <w:highlight w:val="none"/>
                <w:lang w:val="en-US"/>
              </w:rPr>
              <w:t>①鉴定员资格证复印件加盖公章；</w:t>
            </w:r>
          </w:p>
          <w:p>
            <w:pPr>
              <w:adjustRightInd w:val="0"/>
              <w:spacing w:before="44"/>
              <w:ind w:left="44" w:leftChars="20" w:right="44" w:rightChars="20"/>
              <w:jc w:val="both"/>
              <w:rPr>
                <w:b/>
                <w:bCs/>
                <w:color w:val="auto"/>
                <w:sz w:val="21"/>
                <w:szCs w:val="21"/>
                <w:highlight w:val="none"/>
                <w:lang w:val="en-US"/>
              </w:rPr>
            </w:pPr>
            <w:r>
              <w:rPr>
                <w:rFonts w:hint="eastAsia"/>
                <w:b/>
                <w:bCs/>
                <w:color w:val="auto"/>
                <w:sz w:val="21"/>
                <w:szCs w:val="21"/>
                <w:highlight w:val="none"/>
                <w:lang w:val="en-US"/>
              </w:rPr>
              <w:t>②有效的鉴定员执业注册证书复印件加盖公章；</w:t>
            </w:r>
          </w:p>
          <w:p>
            <w:pPr>
              <w:adjustRightInd w:val="0"/>
              <w:spacing w:before="44"/>
              <w:ind w:left="44" w:leftChars="20" w:right="44" w:rightChars="20"/>
              <w:jc w:val="both"/>
              <w:rPr>
                <w:color w:val="auto"/>
                <w:highlight w:val="none"/>
                <w:lang w:val="en-US"/>
              </w:rPr>
            </w:pPr>
            <w:r>
              <w:rPr>
                <w:rFonts w:hint="eastAsia"/>
                <w:b/>
                <w:bCs/>
                <w:color w:val="auto"/>
                <w:sz w:val="21"/>
                <w:szCs w:val="21"/>
                <w:highlight w:val="none"/>
                <w:lang w:val="en-US"/>
              </w:rPr>
              <w:t>③本项目报价截止日之前近</w:t>
            </w:r>
            <w:r>
              <w:rPr>
                <w:rFonts w:hint="eastAsia"/>
                <w:b/>
                <w:bCs/>
                <w:color w:val="auto"/>
                <w:sz w:val="21"/>
                <w:szCs w:val="21"/>
                <w:highlight w:val="none"/>
                <w:lang w:val="en-US" w:eastAsia="zh-CN"/>
              </w:rPr>
              <w:t>一</w:t>
            </w:r>
            <w:r>
              <w:rPr>
                <w:rFonts w:hint="eastAsia"/>
                <w:b/>
                <w:bCs/>
                <w:color w:val="auto"/>
                <w:sz w:val="21"/>
                <w:szCs w:val="21"/>
                <w:highlight w:val="none"/>
                <w:lang w:val="en-US"/>
              </w:rPr>
              <w:t>个月的报价单位购买社保证明复印件，或报价单位代缴个人所得税税单。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25" w:hRule="atLeast"/>
          <w:jc w:val="center"/>
        </w:trPr>
        <w:tc>
          <w:tcPr>
            <w:tcW w:w="960" w:type="dxa"/>
            <w:gridSpan w:val="2"/>
            <w:vMerge w:val="restart"/>
            <w:tcBorders>
              <w:top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2.2.4</w:t>
            </w:r>
            <w:r>
              <w:rPr>
                <w:rFonts w:hint="eastAsia"/>
                <w:color w:val="auto"/>
                <w:sz w:val="21"/>
                <w:szCs w:val="21"/>
                <w:highlight w:val="none"/>
              </w:rPr>
              <w:t>（</w:t>
            </w:r>
            <w:r>
              <w:rPr>
                <w:color w:val="auto"/>
                <w:sz w:val="21"/>
                <w:szCs w:val="21"/>
                <w:highlight w:val="none"/>
              </w:rPr>
              <w:t>2</w:t>
            </w:r>
            <w:r>
              <w:rPr>
                <w:rFonts w:hint="eastAsia"/>
                <w:color w:val="auto"/>
                <w:sz w:val="21"/>
                <w:szCs w:val="21"/>
                <w:highlight w:val="none"/>
              </w:rPr>
              <w:t>）</w:t>
            </w:r>
          </w:p>
        </w:tc>
        <w:tc>
          <w:tcPr>
            <w:tcW w:w="1142" w:type="dxa"/>
            <w:vMerge w:val="restart"/>
            <w:tcBorders>
              <w:top w:val="single" w:color="auto" w:sz="4" w:space="0"/>
              <w:right w:val="single" w:color="auto" w:sz="4" w:space="0"/>
            </w:tcBorders>
            <w:vAlign w:val="center"/>
          </w:tcPr>
          <w:p>
            <w:pPr>
              <w:spacing w:line="440" w:lineRule="exact"/>
              <w:jc w:val="center"/>
              <w:rPr>
                <w:color w:val="auto"/>
                <w:sz w:val="21"/>
                <w:szCs w:val="21"/>
                <w:highlight w:val="none"/>
              </w:rPr>
            </w:pPr>
            <w:r>
              <w:rPr>
                <w:rFonts w:hint="eastAsia"/>
                <w:color w:val="auto"/>
                <w:sz w:val="21"/>
                <w:szCs w:val="21"/>
                <w:highlight w:val="none"/>
              </w:rPr>
              <w:t>技术方案</w:t>
            </w:r>
          </w:p>
          <w:p>
            <w:pPr>
              <w:spacing w:line="440" w:lineRule="exact"/>
              <w:jc w:val="center"/>
              <w:rPr>
                <w:color w:val="auto"/>
                <w:sz w:val="21"/>
                <w:szCs w:val="21"/>
                <w:highlight w:val="none"/>
              </w:rPr>
            </w:pPr>
            <w:r>
              <w:rPr>
                <w:rFonts w:hint="eastAsia"/>
                <w:color w:val="auto"/>
                <w:sz w:val="21"/>
                <w:szCs w:val="21"/>
                <w:highlight w:val="none"/>
              </w:rPr>
              <w:t>评分标准</w:t>
            </w:r>
          </w:p>
          <w:p>
            <w:pPr>
              <w:spacing w:line="440" w:lineRule="exact"/>
              <w:jc w:val="center"/>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20</w:t>
            </w:r>
            <w:r>
              <w:rPr>
                <w:rFonts w:hint="eastAsia"/>
                <w:color w:val="auto"/>
                <w:sz w:val="21"/>
                <w:szCs w:val="21"/>
                <w:highlight w:val="none"/>
              </w:rPr>
              <w:t>分）</w:t>
            </w: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pacing w:before="100" w:beforeAutospacing="1" w:after="100" w:afterAutospacing="1"/>
              <w:ind w:left="44" w:leftChars="20" w:right="44" w:rightChars="20"/>
              <w:jc w:val="center"/>
              <w:rPr>
                <w:color w:val="auto"/>
                <w:sz w:val="21"/>
                <w:szCs w:val="21"/>
                <w:highlight w:val="none"/>
              </w:rPr>
            </w:pPr>
            <w:r>
              <w:rPr>
                <w:rFonts w:hint="eastAsia"/>
                <w:color w:val="auto"/>
                <w:sz w:val="21"/>
                <w:szCs w:val="21"/>
                <w:highlight w:val="none"/>
                <w:lang w:val="en-US"/>
              </w:rPr>
              <w:t>鉴定服务技术方案</w:t>
            </w:r>
            <w:r>
              <w:rPr>
                <w:rFonts w:hint="eastAsia"/>
                <w:color w:val="auto"/>
                <w:sz w:val="21"/>
                <w:szCs w:val="21"/>
                <w:highlight w:val="none"/>
              </w:rPr>
              <w:t>（</w:t>
            </w:r>
            <w:r>
              <w:rPr>
                <w:rFonts w:hint="eastAsia"/>
                <w:color w:val="auto"/>
                <w:sz w:val="21"/>
                <w:szCs w:val="21"/>
                <w:highlight w:val="none"/>
                <w:lang w:val="en-US"/>
              </w:rPr>
              <w:t>20</w:t>
            </w:r>
            <w:r>
              <w:rPr>
                <w:rFonts w:hint="eastAsia"/>
                <w:color w:val="auto"/>
                <w:sz w:val="21"/>
                <w:szCs w:val="21"/>
                <w:highlight w:val="none"/>
              </w:rPr>
              <w:t>分）</w:t>
            </w:r>
          </w:p>
        </w:tc>
        <w:tc>
          <w:tcPr>
            <w:tcW w:w="5103" w:type="dxa"/>
            <w:tcBorders>
              <w:top w:val="single" w:color="auto" w:sz="4" w:space="0"/>
              <w:left w:val="single" w:color="auto" w:sz="4" w:space="0"/>
              <w:bottom w:val="single" w:color="auto" w:sz="4" w:space="0"/>
            </w:tcBorders>
            <w:vAlign w:val="center"/>
          </w:tcPr>
          <w:p>
            <w:pPr>
              <w:adjustRightInd w:val="0"/>
              <w:snapToGrid w:val="0"/>
              <w:ind w:left="44" w:leftChars="20" w:right="44" w:rightChars="20"/>
              <w:jc w:val="both"/>
              <w:rPr>
                <w:color w:val="auto"/>
                <w:sz w:val="21"/>
                <w:szCs w:val="21"/>
                <w:highlight w:val="none"/>
              </w:rPr>
            </w:pPr>
            <w:r>
              <w:rPr>
                <w:rFonts w:hint="eastAsia"/>
                <w:color w:val="auto"/>
                <w:sz w:val="21"/>
                <w:szCs w:val="21"/>
                <w:highlight w:val="none"/>
              </w:rPr>
              <w:t>根据</w:t>
            </w:r>
            <w:r>
              <w:rPr>
                <w:rFonts w:hint="eastAsia"/>
                <w:color w:val="auto"/>
                <w:sz w:val="21"/>
                <w:szCs w:val="21"/>
                <w:highlight w:val="none"/>
                <w:lang w:val="en-US"/>
              </w:rPr>
              <w:t>投标人</w:t>
            </w:r>
            <w:r>
              <w:rPr>
                <w:rFonts w:hint="eastAsia"/>
                <w:color w:val="auto"/>
                <w:sz w:val="21"/>
                <w:szCs w:val="21"/>
                <w:highlight w:val="none"/>
              </w:rPr>
              <w:t>的实施方案、服务计划、承诺及质量保证措施以及其可行性等进行综合分析与评审：优</w:t>
            </w:r>
            <w:r>
              <w:rPr>
                <w:rFonts w:hint="eastAsia"/>
                <w:color w:val="auto"/>
                <w:sz w:val="21"/>
                <w:szCs w:val="21"/>
                <w:highlight w:val="none"/>
                <w:lang w:val="en-US"/>
              </w:rPr>
              <w:t>15-2</w:t>
            </w:r>
            <w:r>
              <w:rPr>
                <w:rFonts w:hint="eastAsia"/>
                <w:color w:val="auto"/>
                <w:sz w:val="21"/>
                <w:szCs w:val="21"/>
                <w:highlight w:val="none"/>
              </w:rPr>
              <w:t>0分，良</w:t>
            </w:r>
            <w:r>
              <w:rPr>
                <w:rFonts w:hint="eastAsia"/>
                <w:color w:val="auto"/>
                <w:sz w:val="21"/>
                <w:szCs w:val="21"/>
                <w:highlight w:val="none"/>
                <w:lang w:val="en-US"/>
              </w:rPr>
              <w:t>15-8</w:t>
            </w:r>
            <w:r>
              <w:rPr>
                <w:rFonts w:hint="eastAsia"/>
                <w:color w:val="auto"/>
                <w:sz w:val="21"/>
                <w:szCs w:val="21"/>
                <w:highlight w:val="none"/>
              </w:rPr>
              <w:t>分，差</w:t>
            </w:r>
            <w:r>
              <w:rPr>
                <w:rFonts w:hint="eastAsia"/>
                <w:color w:val="auto"/>
                <w:sz w:val="21"/>
                <w:szCs w:val="21"/>
                <w:highlight w:val="none"/>
                <w:lang w:val="en-US"/>
              </w:rPr>
              <w:t>8-0</w:t>
            </w:r>
            <w:r>
              <w:rPr>
                <w:rFonts w:hint="eastAsia"/>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70" w:hRule="atLeast"/>
          <w:jc w:val="center"/>
        </w:trPr>
        <w:tc>
          <w:tcPr>
            <w:tcW w:w="960" w:type="dxa"/>
            <w:gridSpan w:val="2"/>
            <w:tcBorders>
              <w:top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2.2.4</w:t>
            </w:r>
            <w:r>
              <w:rPr>
                <w:rFonts w:hint="eastAsia"/>
                <w:color w:val="auto"/>
                <w:sz w:val="21"/>
                <w:szCs w:val="21"/>
                <w:highlight w:val="none"/>
              </w:rPr>
              <w:t>（</w:t>
            </w:r>
            <w:r>
              <w:rPr>
                <w:color w:val="auto"/>
                <w:sz w:val="21"/>
                <w:szCs w:val="21"/>
                <w:highlight w:val="none"/>
              </w:rPr>
              <w:t>3</w:t>
            </w:r>
            <w:r>
              <w:rPr>
                <w:rFonts w:hint="eastAsia"/>
                <w:color w:val="auto"/>
                <w:sz w:val="21"/>
                <w:szCs w:val="21"/>
                <w:highlight w:val="none"/>
              </w:rPr>
              <w:t>）</w:t>
            </w:r>
          </w:p>
        </w:tc>
        <w:tc>
          <w:tcPr>
            <w:tcW w:w="1142" w:type="dxa"/>
            <w:tcBorders>
              <w:top w:val="single" w:color="auto" w:sz="4" w:space="0"/>
              <w:bottom w:val="single" w:color="auto" w:sz="4" w:space="0"/>
              <w:right w:val="single" w:color="auto" w:sz="4" w:space="0"/>
            </w:tcBorders>
            <w:vAlign w:val="center"/>
          </w:tcPr>
          <w:p>
            <w:pPr>
              <w:snapToGrid w:val="0"/>
              <w:jc w:val="center"/>
              <w:rPr>
                <w:color w:val="auto"/>
                <w:sz w:val="21"/>
                <w:szCs w:val="21"/>
                <w:highlight w:val="none"/>
              </w:rPr>
            </w:pPr>
            <w:r>
              <w:rPr>
                <w:rFonts w:hint="eastAsia"/>
                <w:color w:val="auto"/>
                <w:sz w:val="21"/>
                <w:szCs w:val="21"/>
                <w:highlight w:val="none"/>
              </w:rPr>
              <w:t>投标报价评分标准</w:t>
            </w:r>
            <w:r>
              <w:rPr>
                <w:color w:val="auto"/>
                <w:sz w:val="21"/>
                <w:szCs w:val="21"/>
                <w:highlight w:val="none"/>
              </w:rPr>
              <w:t>(1</w:t>
            </w:r>
            <w:r>
              <w:rPr>
                <w:rFonts w:hint="eastAsia"/>
                <w:color w:val="auto"/>
                <w:sz w:val="21"/>
                <w:szCs w:val="21"/>
                <w:highlight w:val="none"/>
                <w:lang w:val="en-US"/>
              </w:rPr>
              <w:t>0</w:t>
            </w:r>
            <w:r>
              <w:rPr>
                <w:rFonts w:hint="eastAsia"/>
                <w:color w:val="auto"/>
                <w:sz w:val="21"/>
                <w:szCs w:val="21"/>
                <w:highlight w:val="none"/>
              </w:rPr>
              <w:t>分</w:t>
            </w:r>
            <w:r>
              <w:rPr>
                <w:color w:val="auto"/>
                <w:sz w:val="21"/>
                <w:szCs w:val="21"/>
                <w:highlight w:val="none"/>
              </w:rPr>
              <w:t>)</w:t>
            </w:r>
          </w:p>
        </w:tc>
        <w:tc>
          <w:tcPr>
            <w:tcW w:w="2506"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auto"/>
                <w:sz w:val="21"/>
                <w:szCs w:val="21"/>
                <w:highlight w:val="none"/>
              </w:rPr>
            </w:pPr>
            <w:r>
              <w:rPr>
                <w:rFonts w:hint="eastAsia"/>
                <w:color w:val="auto"/>
                <w:sz w:val="21"/>
                <w:szCs w:val="21"/>
                <w:highlight w:val="none"/>
              </w:rPr>
              <w:t>报价得分（</w:t>
            </w:r>
            <w:r>
              <w:rPr>
                <w:rFonts w:hint="eastAsia"/>
                <w:color w:val="auto"/>
                <w:sz w:val="21"/>
                <w:szCs w:val="21"/>
                <w:highlight w:val="none"/>
                <w:lang w:val="en-US"/>
              </w:rPr>
              <w:t>10分</w:t>
            </w:r>
            <w:r>
              <w:rPr>
                <w:rFonts w:hint="eastAsia"/>
                <w:color w:val="auto"/>
                <w:sz w:val="21"/>
                <w:szCs w:val="21"/>
                <w:highlight w:val="none"/>
              </w:rPr>
              <w:t>）</w:t>
            </w:r>
          </w:p>
        </w:tc>
        <w:tc>
          <w:tcPr>
            <w:tcW w:w="5103" w:type="dxa"/>
            <w:tcBorders>
              <w:top w:val="single" w:color="auto" w:sz="4" w:space="0"/>
              <w:left w:val="single" w:color="auto" w:sz="4" w:space="0"/>
              <w:bottom w:val="single" w:color="auto" w:sz="4" w:space="0"/>
            </w:tcBorders>
            <w:vAlign w:val="center"/>
          </w:tcPr>
          <w:p>
            <w:pPr>
              <w:adjustRightInd w:val="0"/>
              <w:snapToGrid w:val="0"/>
              <w:ind w:left="44" w:leftChars="20" w:right="44" w:rightChars="20"/>
              <w:jc w:val="both"/>
              <w:rPr>
                <w:color w:val="auto"/>
                <w:sz w:val="21"/>
                <w:szCs w:val="21"/>
                <w:highlight w:val="none"/>
                <w:lang w:val="en-US"/>
              </w:rPr>
            </w:pPr>
            <w:r>
              <w:rPr>
                <w:rFonts w:hint="eastAsia"/>
                <w:color w:val="auto"/>
                <w:sz w:val="21"/>
                <w:szCs w:val="21"/>
                <w:highlight w:val="none"/>
              </w:rPr>
              <w:t>价格得分采用算术平均法计算，即所有满足招标文件要求的有效投标价格的平均值为评标基准价，投标报价等于评标基准价的，其价格得分为</w:t>
            </w:r>
            <w:r>
              <w:rPr>
                <w:rFonts w:hint="eastAsia"/>
                <w:color w:val="auto"/>
                <w:sz w:val="21"/>
                <w:szCs w:val="21"/>
                <w:highlight w:val="none"/>
                <w:lang w:val="en-US"/>
              </w:rPr>
              <w:t>1</w:t>
            </w:r>
            <w:r>
              <w:rPr>
                <w:rFonts w:hint="eastAsia"/>
                <w:color w:val="auto"/>
                <w:sz w:val="21"/>
                <w:szCs w:val="21"/>
                <w:highlight w:val="none"/>
              </w:rPr>
              <w:t>0分；其他投标人的价格得分按如下公式计算：价格得分=（1-|（投标报价-评标基准价）|÷评标基准价）×</w:t>
            </w:r>
            <w:r>
              <w:rPr>
                <w:rFonts w:hint="eastAsia"/>
                <w:color w:val="auto"/>
                <w:sz w:val="21"/>
                <w:szCs w:val="21"/>
                <w:highlight w:val="none"/>
                <w:lang w:val="en-US"/>
              </w:rPr>
              <w:t>1</w:t>
            </w:r>
            <w:r>
              <w:rPr>
                <w:rFonts w:hint="eastAsia"/>
                <w:color w:val="auto"/>
                <w:sz w:val="21"/>
                <w:szCs w:val="21"/>
                <w:highlight w:val="none"/>
              </w:rPr>
              <w:t>0。</w:t>
            </w:r>
          </w:p>
        </w:tc>
      </w:tr>
    </w:tbl>
    <w:p>
      <w:pPr>
        <w:spacing w:line="360" w:lineRule="auto"/>
        <w:rPr>
          <w:color w:val="auto"/>
          <w:sz w:val="21"/>
          <w:szCs w:val="21"/>
          <w:highlight w:val="none"/>
        </w:rPr>
      </w:pPr>
      <w:r>
        <w:rPr>
          <w:rFonts w:hint="eastAsia"/>
          <w:color w:val="auto"/>
          <w:sz w:val="21"/>
          <w:szCs w:val="21"/>
          <w:highlight w:val="none"/>
        </w:rPr>
        <w:t>说明：（1）</w:t>
      </w:r>
      <w:r>
        <w:rPr>
          <w:rFonts w:hint="eastAsia"/>
          <w:color w:val="auto"/>
          <w:sz w:val="21"/>
          <w:szCs w:val="21"/>
          <w:highlight w:val="none"/>
          <w:lang w:val="en-US"/>
        </w:rPr>
        <w:t>所有</w:t>
      </w:r>
      <w:r>
        <w:rPr>
          <w:rFonts w:hint="eastAsia"/>
          <w:color w:val="auto"/>
          <w:sz w:val="21"/>
          <w:szCs w:val="21"/>
          <w:highlight w:val="none"/>
        </w:rPr>
        <w:t>技术人员配备</w:t>
      </w:r>
      <w:r>
        <w:rPr>
          <w:rFonts w:hint="eastAsia"/>
          <w:color w:val="auto"/>
          <w:sz w:val="21"/>
          <w:szCs w:val="21"/>
          <w:highlight w:val="none"/>
          <w:lang w:val="en-US"/>
        </w:rPr>
        <w:t>需提供近</w:t>
      </w:r>
      <w:r>
        <w:rPr>
          <w:rFonts w:hint="eastAsia"/>
          <w:color w:val="auto"/>
          <w:sz w:val="21"/>
          <w:szCs w:val="21"/>
          <w:highlight w:val="none"/>
          <w:lang w:val="en-US" w:eastAsia="zh-CN"/>
        </w:rPr>
        <w:t>一</w:t>
      </w:r>
      <w:r>
        <w:rPr>
          <w:rFonts w:hint="eastAsia"/>
          <w:color w:val="auto"/>
          <w:sz w:val="21"/>
          <w:szCs w:val="21"/>
          <w:highlight w:val="none"/>
          <w:lang w:val="en-US"/>
        </w:rPr>
        <w:t>个月</w:t>
      </w:r>
      <w:r>
        <w:rPr>
          <w:rFonts w:hint="eastAsia"/>
          <w:color w:val="auto"/>
          <w:sz w:val="21"/>
          <w:szCs w:val="21"/>
          <w:highlight w:val="none"/>
          <w:lang w:val="en-US" w:eastAsia="zh-CN"/>
        </w:rPr>
        <w:t>的</w:t>
      </w:r>
      <w:r>
        <w:rPr>
          <w:rFonts w:hint="eastAsia"/>
          <w:color w:val="auto"/>
          <w:sz w:val="21"/>
          <w:szCs w:val="21"/>
          <w:highlight w:val="none"/>
          <w:lang w:val="en-US"/>
        </w:rPr>
        <w:t>社保证明</w:t>
      </w:r>
      <w:r>
        <w:rPr>
          <w:rFonts w:hint="eastAsia"/>
          <w:color w:val="auto"/>
          <w:sz w:val="21"/>
          <w:szCs w:val="21"/>
          <w:highlight w:val="none"/>
        </w:rPr>
        <w:t>（社保证明需能反映参保人在该投标单位缴纳社保），否则不得分。</w:t>
      </w:r>
    </w:p>
    <w:p>
      <w:pPr>
        <w:spacing w:line="360" w:lineRule="auto"/>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2</w:t>
      </w:r>
      <w:r>
        <w:rPr>
          <w:rFonts w:hint="eastAsia"/>
          <w:color w:val="auto"/>
          <w:sz w:val="21"/>
          <w:szCs w:val="21"/>
          <w:highlight w:val="none"/>
        </w:rPr>
        <w:t>）评分如出现小数点，则保留小数点后两位，第三位四舍五入。</w:t>
      </w:r>
    </w:p>
    <w:p>
      <w:pPr>
        <w:spacing w:line="360" w:lineRule="auto"/>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3</w:t>
      </w:r>
      <w:r>
        <w:rPr>
          <w:rFonts w:hint="eastAsia"/>
          <w:color w:val="auto"/>
          <w:sz w:val="21"/>
          <w:szCs w:val="21"/>
          <w:highlight w:val="none"/>
        </w:rPr>
        <w:t>）投标人的得分为各评委的评分计取的算术平均分（分数出现小数点时，保留小数点后二位，第三位小数四舍五入）。</w:t>
      </w:r>
    </w:p>
    <w:p>
      <w:pPr>
        <w:spacing w:line="360" w:lineRule="auto"/>
        <w:rPr>
          <w:b/>
          <w:color w:val="auto"/>
          <w:sz w:val="32"/>
          <w:highlight w:val="none"/>
        </w:rPr>
      </w:pPr>
      <w:r>
        <w:rPr>
          <w:rFonts w:hint="eastAsia"/>
          <w:color w:val="auto"/>
          <w:sz w:val="21"/>
          <w:szCs w:val="21"/>
          <w:highlight w:val="none"/>
        </w:rPr>
        <w:t>（</w:t>
      </w:r>
      <w:r>
        <w:rPr>
          <w:rFonts w:hint="eastAsia"/>
          <w:color w:val="auto"/>
          <w:sz w:val="21"/>
          <w:szCs w:val="21"/>
          <w:highlight w:val="none"/>
          <w:lang w:val="en-US"/>
        </w:rPr>
        <w:t>4</w:t>
      </w:r>
      <w:r>
        <w:rPr>
          <w:rFonts w:hint="eastAsia"/>
          <w:color w:val="auto"/>
          <w:sz w:val="21"/>
          <w:szCs w:val="21"/>
          <w:highlight w:val="none"/>
        </w:rPr>
        <w:t>）若评委意见不一致时，则按少数服从多数的原则，作出评审结论。</w:t>
      </w:r>
    </w:p>
    <w:p>
      <w:pPr>
        <w:rPr>
          <w:b/>
          <w:color w:val="auto"/>
          <w:sz w:val="32"/>
          <w:highlight w:val="none"/>
        </w:rPr>
      </w:pPr>
      <w:r>
        <w:rPr>
          <w:rFonts w:hint="eastAsia"/>
          <w:b/>
          <w:color w:val="auto"/>
          <w:sz w:val="32"/>
          <w:highlight w:val="none"/>
        </w:rPr>
        <w:br w:type="page"/>
      </w:r>
    </w:p>
    <w:p>
      <w:pPr>
        <w:spacing w:line="360" w:lineRule="auto"/>
        <w:rPr>
          <w:b/>
          <w:color w:val="auto"/>
          <w:sz w:val="32"/>
          <w:highlight w:val="none"/>
        </w:rPr>
      </w:pPr>
      <w:r>
        <w:rPr>
          <w:rFonts w:hint="eastAsia"/>
          <w:b/>
          <w:color w:val="auto"/>
          <w:sz w:val="32"/>
          <w:highlight w:val="none"/>
        </w:rPr>
        <w:t>1.评标方法</w:t>
      </w:r>
    </w:p>
    <w:p>
      <w:pPr>
        <w:spacing w:line="360" w:lineRule="auto"/>
        <w:ind w:left="80" w:firstLine="420"/>
        <w:rPr>
          <w:color w:val="auto"/>
          <w:sz w:val="21"/>
          <w:szCs w:val="21"/>
          <w:highlight w:val="none"/>
        </w:rPr>
      </w:pPr>
      <w:r>
        <w:rPr>
          <w:rFonts w:hint="eastAsia"/>
          <w:color w:val="auto"/>
          <w:sz w:val="21"/>
          <w:szCs w:val="21"/>
          <w:highlight w:val="none"/>
        </w:rPr>
        <w:t>本次评标采用综合评估法。评标委员会对满足招标文件实质性要求的投标文件，按照本章第2.2 款规定的评分标准进行打分，并按得分由高到低顺序推荐前三名作为中标候选人。综合评分相等时，以投标报价低的优先；投标报价也相等的，以</w:t>
      </w:r>
      <w:r>
        <w:rPr>
          <w:rFonts w:hint="eastAsia"/>
          <w:color w:val="auto"/>
          <w:sz w:val="21"/>
          <w:szCs w:val="21"/>
          <w:highlight w:val="none"/>
          <w:lang w:val="en-US"/>
        </w:rPr>
        <w:t>鉴定服务</w:t>
      </w:r>
      <w:r>
        <w:rPr>
          <w:rFonts w:hint="eastAsia"/>
          <w:color w:val="auto"/>
          <w:sz w:val="21"/>
          <w:szCs w:val="21"/>
          <w:highlight w:val="none"/>
        </w:rPr>
        <w:t>技术方案得分高的优先；如果</w:t>
      </w:r>
      <w:r>
        <w:rPr>
          <w:rFonts w:hint="eastAsia"/>
          <w:color w:val="auto"/>
          <w:sz w:val="21"/>
          <w:szCs w:val="21"/>
          <w:highlight w:val="none"/>
          <w:lang w:val="en-US"/>
        </w:rPr>
        <w:t>鉴定服务</w:t>
      </w:r>
      <w:r>
        <w:rPr>
          <w:rFonts w:hint="eastAsia"/>
          <w:color w:val="auto"/>
          <w:sz w:val="21"/>
          <w:szCs w:val="21"/>
          <w:highlight w:val="none"/>
        </w:rPr>
        <w:t>技术方案得分也相等，由评标委员会采用记名投票方式，以得票多的优先。</w:t>
      </w:r>
    </w:p>
    <w:p>
      <w:pPr>
        <w:spacing w:line="360" w:lineRule="auto"/>
        <w:rPr>
          <w:b/>
          <w:color w:val="auto"/>
          <w:sz w:val="32"/>
          <w:highlight w:val="none"/>
        </w:rPr>
      </w:pPr>
      <w:r>
        <w:rPr>
          <w:rFonts w:hint="eastAsia"/>
          <w:b/>
          <w:color w:val="auto"/>
          <w:sz w:val="32"/>
          <w:highlight w:val="none"/>
        </w:rPr>
        <w:t>2.评审标准</w:t>
      </w:r>
    </w:p>
    <w:p>
      <w:pPr>
        <w:spacing w:line="360" w:lineRule="auto"/>
        <w:ind w:firstLine="210" w:firstLineChars="100"/>
        <w:rPr>
          <w:color w:val="auto"/>
          <w:sz w:val="21"/>
          <w:highlight w:val="none"/>
        </w:rPr>
      </w:pPr>
      <w:r>
        <w:rPr>
          <w:rFonts w:hint="eastAsia"/>
          <w:color w:val="auto"/>
          <w:sz w:val="21"/>
          <w:highlight w:val="none"/>
        </w:rPr>
        <w:t>2.1初步评审标准</w:t>
      </w:r>
    </w:p>
    <w:p>
      <w:pPr>
        <w:spacing w:line="360" w:lineRule="auto"/>
        <w:ind w:firstLine="210" w:firstLineChars="100"/>
        <w:rPr>
          <w:color w:val="auto"/>
          <w:sz w:val="21"/>
          <w:highlight w:val="none"/>
        </w:rPr>
      </w:pPr>
      <w:r>
        <w:rPr>
          <w:rFonts w:hint="eastAsia"/>
          <w:color w:val="auto"/>
          <w:sz w:val="21"/>
          <w:highlight w:val="none"/>
        </w:rPr>
        <w:t>2.1.1形式评审标准：见评标办法前附表。</w:t>
      </w:r>
    </w:p>
    <w:p>
      <w:pPr>
        <w:spacing w:line="360" w:lineRule="auto"/>
        <w:ind w:firstLine="210" w:firstLineChars="100"/>
        <w:rPr>
          <w:color w:val="auto"/>
          <w:sz w:val="21"/>
          <w:highlight w:val="none"/>
        </w:rPr>
      </w:pPr>
      <w:r>
        <w:rPr>
          <w:rFonts w:hint="eastAsia"/>
          <w:color w:val="auto"/>
          <w:sz w:val="21"/>
          <w:highlight w:val="none"/>
        </w:rPr>
        <w:t>2.1.2资格评审标准：见评标办法前附表。</w:t>
      </w:r>
    </w:p>
    <w:p>
      <w:pPr>
        <w:spacing w:line="360" w:lineRule="auto"/>
        <w:ind w:firstLine="210" w:firstLineChars="100"/>
        <w:rPr>
          <w:color w:val="auto"/>
          <w:sz w:val="21"/>
          <w:highlight w:val="none"/>
        </w:rPr>
      </w:pPr>
      <w:r>
        <w:rPr>
          <w:rFonts w:hint="eastAsia"/>
          <w:color w:val="auto"/>
          <w:sz w:val="21"/>
          <w:highlight w:val="none"/>
        </w:rPr>
        <w:t>2.1.3响应性评审标准：见评标办法前附表。</w:t>
      </w:r>
    </w:p>
    <w:p>
      <w:pPr>
        <w:spacing w:line="360" w:lineRule="auto"/>
        <w:rPr>
          <w:b/>
          <w:color w:val="auto"/>
          <w:sz w:val="32"/>
          <w:highlight w:val="none"/>
        </w:rPr>
      </w:pPr>
      <w:r>
        <w:rPr>
          <w:rFonts w:hint="eastAsia"/>
          <w:b/>
          <w:color w:val="auto"/>
          <w:sz w:val="32"/>
          <w:highlight w:val="none"/>
        </w:rPr>
        <w:t>2.2分值构成与评分标准</w:t>
      </w:r>
    </w:p>
    <w:p>
      <w:pPr>
        <w:spacing w:line="360" w:lineRule="auto"/>
        <w:ind w:firstLine="210" w:firstLineChars="100"/>
        <w:rPr>
          <w:color w:val="auto"/>
          <w:sz w:val="21"/>
          <w:highlight w:val="none"/>
        </w:rPr>
      </w:pPr>
      <w:r>
        <w:rPr>
          <w:rFonts w:hint="eastAsia"/>
          <w:color w:val="auto"/>
          <w:sz w:val="21"/>
          <w:highlight w:val="none"/>
        </w:rPr>
        <w:t>2.2.1分值构成</w:t>
      </w:r>
    </w:p>
    <w:p>
      <w:pPr>
        <w:spacing w:line="360" w:lineRule="auto"/>
        <w:rPr>
          <w:color w:val="auto"/>
          <w:sz w:val="21"/>
          <w:highlight w:val="none"/>
        </w:rPr>
      </w:pPr>
      <w:r>
        <w:rPr>
          <w:rFonts w:hint="eastAsia"/>
          <w:color w:val="auto"/>
          <w:sz w:val="21"/>
          <w:highlight w:val="none"/>
        </w:rPr>
        <w:t>（1）资信业绩部分：见评标办法前附表；</w:t>
      </w:r>
    </w:p>
    <w:p>
      <w:pPr>
        <w:spacing w:line="360" w:lineRule="auto"/>
        <w:rPr>
          <w:color w:val="auto"/>
          <w:sz w:val="21"/>
          <w:highlight w:val="none"/>
        </w:rPr>
      </w:pPr>
      <w:r>
        <w:rPr>
          <w:rFonts w:hint="eastAsia"/>
          <w:color w:val="auto"/>
          <w:sz w:val="21"/>
          <w:highlight w:val="none"/>
        </w:rPr>
        <w:t>（2）</w:t>
      </w:r>
      <w:r>
        <w:rPr>
          <w:rFonts w:hint="eastAsia"/>
          <w:color w:val="auto"/>
          <w:sz w:val="21"/>
          <w:highlight w:val="none"/>
          <w:lang w:val="en-US"/>
        </w:rPr>
        <w:t>技术方案</w:t>
      </w:r>
      <w:r>
        <w:rPr>
          <w:rFonts w:hint="eastAsia"/>
          <w:color w:val="auto"/>
          <w:sz w:val="21"/>
          <w:highlight w:val="none"/>
        </w:rPr>
        <w:t>部分：见评标办法前附表；</w:t>
      </w:r>
    </w:p>
    <w:p>
      <w:pPr>
        <w:spacing w:line="360" w:lineRule="auto"/>
        <w:rPr>
          <w:color w:val="auto"/>
          <w:sz w:val="21"/>
          <w:highlight w:val="none"/>
        </w:rPr>
      </w:pPr>
      <w:r>
        <w:rPr>
          <w:rFonts w:hint="eastAsia"/>
          <w:color w:val="auto"/>
          <w:sz w:val="21"/>
          <w:highlight w:val="none"/>
        </w:rPr>
        <w:t>（3）投标报价：见评标办法前附表；</w:t>
      </w:r>
    </w:p>
    <w:p>
      <w:pPr>
        <w:spacing w:line="360" w:lineRule="auto"/>
        <w:rPr>
          <w:color w:val="auto"/>
          <w:sz w:val="21"/>
          <w:highlight w:val="none"/>
        </w:rPr>
      </w:pPr>
      <w:r>
        <w:rPr>
          <w:rFonts w:hint="eastAsia"/>
          <w:strike/>
          <w:color w:val="auto"/>
          <w:sz w:val="21"/>
          <w:highlight w:val="none"/>
        </w:rPr>
        <w:t>（4）其他评分因素：见评标办法前附表。</w:t>
      </w:r>
    </w:p>
    <w:p>
      <w:pPr>
        <w:spacing w:line="360" w:lineRule="auto"/>
        <w:ind w:firstLine="210" w:firstLineChars="100"/>
        <w:rPr>
          <w:color w:val="auto"/>
          <w:sz w:val="21"/>
          <w:highlight w:val="none"/>
        </w:rPr>
      </w:pPr>
      <w:r>
        <w:rPr>
          <w:rFonts w:hint="eastAsia"/>
          <w:color w:val="auto"/>
          <w:sz w:val="21"/>
          <w:highlight w:val="none"/>
        </w:rPr>
        <w:t>2.2.2评标基准价计算</w:t>
      </w:r>
    </w:p>
    <w:p>
      <w:pPr>
        <w:spacing w:line="360" w:lineRule="auto"/>
        <w:rPr>
          <w:color w:val="auto"/>
          <w:sz w:val="21"/>
          <w:highlight w:val="none"/>
        </w:rPr>
      </w:pPr>
      <w:r>
        <w:rPr>
          <w:rFonts w:hint="eastAsia"/>
          <w:color w:val="auto"/>
          <w:sz w:val="21"/>
          <w:highlight w:val="none"/>
        </w:rPr>
        <w:t>评标基准价计算方法：见评标办法前附表。</w:t>
      </w:r>
    </w:p>
    <w:p>
      <w:pPr>
        <w:spacing w:line="360" w:lineRule="auto"/>
        <w:ind w:firstLine="210" w:firstLineChars="100"/>
        <w:rPr>
          <w:color w:val="auto"/>
          <w:sz w:val="21"/>
          <w:highlight w:val="none"/>
        </w:rPr>
      </w:pPr>
      <w:r>
        <w:rPr>
          <w:rFonts w:hint="eastAsia"/>
          <w:color w:val="auto"/>
          <w:sz w:val="21"/>
          <w:highlight w:val="none"/>
        </w:rPr>
        <w:t>2.2.3投标报价的偏差率计算</w:t>
      </w:r>
    </w:p>
    <w:p>
      <w:pPr>
        <w:spacing w:line="360" w:lineRule="auto"/>
        <w:rPr>
          <w:color w:val="auto"/>
          <w:sz w:val="21"/>
          <w:highlight w:val="none"/>
        </w:rPr>
      </w:pPr>
      <w:r>
        <w:rPr>
          <w:rFonts w:hint="eastAsia"/>
          <w:color w:val="auto"/>
          <w:sz w:val="21"/>
          <w:highlight w:val="none"/>
        </w:rPr>
        <w:t>投标报价的偏差率计算公式：见评标办法前附表。</w:t>
      </w:r>
    </w:p>
    <w:p>
      <w:pPr>
        <w:spacing w:line="360" w:lineRule="auto"/>
        <w:ind w:firstLine="210" w:firstLineChars="100"/>
        <w:rPr>
          <w:color w:val="auto"/>
          <w:sz w:val="21"/>
          <w:highlight w:val="none"/>
        </w:rPr>
      </w:pPr>
      <w:r>
        <w:rPr>
          <w:rFonts w:hint="eastAsia"/>
          <w:color w:val="auto"/>
          <w:sz w:val="21"/>
          <w:highlight w:val="none"/>
        </w:rPr>
        <w:t>2.2.4评分标准</w:t>
      </w:r>
    </w:p>
    <w:p>
      <w:pPr>
        <w:spacing w:line="360" w:lineRule="auto"/>
        <w:rPr>
          <w:color w:val="auto"/>
          <w:sz w:val="21"/>
          <w:highlight w:val="none"/>
        </w:rPr>
      </w:pPr>
      <w:r>
        <w:rPr>
          <w:rFonts w:hint="eastAsia"/>
          <w:color w:val="auto"/>
          <w:sz w:val="21"/>
          <w:highlight w:val="none"/>
        </w:rPr>
        <w:t>（1）资信业绩评分标准：见评标办法前附表；</w:t>
      </w:r>
    </w:p>
    <w:p>
      <w:pPr>
        <w:spacing w:line="360" w:lineRule="auto"/>
        <w:rPr>
          <w:color w:val="auto"/>
          <w:sz w:val="21"/>
          <w:highlight w:val="none"/>
        </w:rPr>
      </w:pPr>
      <w:r>
        <w:rPr>
          <w:rFonts w:hint="eastAsia"/>
          <w:color w:val="auto"/>
          <w:sz w:val="21"/>
          <w:highlight w:val="none"/>
        </w:rPr>
        <w:t>（2）</w:t>
      </w:r>
      <w:r>
        <w:rPr>
          <w:rFonts w:hint="eastAsia"/>
          <w:color w:val="auto"/>
          <w:sz w:val="21"/>
          <w:highlight w:val="none"/>
          <w:lang w:val="en-US"/>
        </w:rPr>
        <w:t>技术方案</w:t>
      </w:r>
      <w:r>
        <w:rPr>
          <w:rFonts w:hint="eastAsia"/>
          <w:color w:val="auto"/>
          <w:sz w:val="21"/>
          <w:highlight w:val="none"/>
        </w:rPr>
        <w:t>评分标准：见评标办法前附表；</w:t>
      </w:r>
    </w:p>
    <w:p>
      <w:pPr>
        <w:spacing w:line="360" w:lineRule="auto"/>
        <w:rPr>
          <w:color w:val="auto"/>
          <w:sz w:val="21"/>
          <w:highlight w:val="none"/>
        </w:rPr>
      </w:pPr>
      <w:r>
        <w:rPr>
          <w:rFonts w:hint="eastAsia"/>
          <w:color w:val="auto"/>
          <w:sz w:val="21"/>
          <w:highlight w:val="none"/>
        </w:rPr>
        <w:t>（3）投标报价评分标准：见评标办法前附表；</w:t>
      </w:r>
    </w:p>
    <w:p>
      <w:pPr>
        <w:spacing w:line="360" w:lineRule="auto"/>
        <w:rPr>
          <w:color w:val="auto"/>
          <w:sz w:val="21"/>
          <w:highlight w:val="none"/>
        </w:rPr>
      </w:pPr>
      <w:r>
        <w:rPr>
          <w:rFonts w:hint="eastAsia"/>
          <w:strike/>
          <w:color w:val="auto"/>
          <w:sz w:val="21"/>
          <w:highlight w:val="none"/>
        </w:rPr>
        <w:t>（4）其他因素评分标准：见评标办法前附表。</w:t>
      </w:r>
    </w:p>
    <w:p>
      <w:pPr>
        <w:spacing w:line="360" w:lineRule="auto"/>
        <w:rPr>
          <w:b/>
          <w:color w:val="auto"/>
          <w:sz w:val="32"/>
          <w:highlight w:val="none"/>
        </w:rPr>
      </w:pPr>
      <w:r>
        <w:rPr>
          <w:rFonts w:hint="eastAsia"/>
          <w:b/>
          <w:color w:val="auto"/>
          <w:sz w:val="32"/>
          <w:highlight w:val="none"/>
        </w:rPr>
        <w:t>3.评标程序</w:t>
      </w:r>
    </w:p>
    <w:p>
      <w:pPr>
        <w:spacing w:line="360" w:lineRule="auto"/>
        <w:rPr>
          <w:color w:val="auto"/>
          <w:sz w:val="21"/>
          <w:highlight w:val="none"/>
        </w:rPr>
      </w:pPr>
      <w:r>
        <w:rPr>
          <w:rFonts w:hint="eastAsia"/>
          <w:b/>
          <w:color w:val="auto"/>
          <w:sz w:val="32"/>
          <w:highlight w:val="none"/>
        </w:rPr>
        <w:t>3.1初步评审</w:t>
      </w:r>
    </w:p>
    <w:p>
      <w:pPr>
        <w:spacing w:line="360" w:lineRule="auto"/>
        <w:ind w:firstLine="210" w:firstLineChars="100"/>
        <w:rPr>
          <w:color w:val="auto"/>
          <w:sz w:val="21"/>
          <w:highlight w:val="none"/>
        </w:rPr>
      </w:pPr>
      <w:r>
        <w:rPr>
          <w:rFonts w:hint="eastAsia"/>
          <w:color w:val="auto"/>
          <w:sz w:val="21"/>
          <w:highlight w:val="none"/>
        </w:rPr>
        <w:t>3.1.1评标委员会可以要求投标人提交第二章“投标人须知”规定的有关证明和证件的原件， 以便核验。评标委员会依据本章第 2.1 款规定的标准对投标文件进行初步评审。有一项不符合评审标准的，评标委员会应当否决其投标。</w:t>
      </w:r>
    </w:p>
    <w:p>
      <w:pPr>
        <w:spacing w:line="360" w:lineRule="auto"/>
        <w:ind w:firstLine="210" w:firstLineChars="100"/>
        <w:rPr>
          <w:color w:val="auto"/>
          <w:sz w:val="21"/>
          <w:highlight w:val="none"/>
        </w:rPr>
      </w:pPr>
      <w:r>
        <w:rPr>
          <w:rFonts w:hint="eastAsia"/>
          <w:color w:val="auto"/>
          <w:sz w:val="21"/>
          <w:highlight w:val="none"/>
        </w:rPr>
        <w:t>3.1.2投标人有以下情形之一的，评标委员会应当否决其投标：</w:t>
      </w:r>
    </w:p>
    <w:p>
      <w:pPr>
        <w:spacing w:line="360" w:lineRule="auto"/>
        <w:rPr>
          <w:color w:val="auto"/>
          <w:sz w:val="21"/>
          <w:highlight w:val="none"/>
        </w:rPr>
      </w:pPr>
      <w:r>
        <w:rPr>
          <w:rFonts w:hint="eastAsia"/>
          <w:color w:val="auto"/>
          <w:sz w:val="21"/>
          <w:highlight w:val="none"/>
        </w:rPr>
        <w:t>（1）投标文件没有对招标文件的实质性要求和条件作出响应，或者对招标文件的偏差超出招标文件规定的偏差范围或最高项数；</w:t>
      </w:r>
    </w:p>
    <w:p>
      <w:pPr>
        <w:spacing w:line="360" w:lineRule="auto"/>
        <w:rPr>
          <w:color w:val="auto"/>
          <w:sz w:val="21"/>
          <w:highlight w:val="none"/>
        </w:rPr>
      </w:pPr>
      <w:r>
        <w:rPr>
          <w:rFonts w:hint="eastAsia"/>
          <w:color w:val="auto"/>
          <w:sz w:val="21"/>
          <w:highlight w:val="none"/>
        </w:rPr>
        <w:t>（2）有串通投标、弄虚作假、行贿等违法行为。</w:t>
      </w:r>
    </w:p>
    <w:p>
      <w:pPr>
        <w:spacing w:line="360" w:lineRule="auto"/>
        <w:ind w:firstLine="210" w:firstLineChars="100"/>
        <w:rPr>
          <w:color w:val="auto"/>
          <w:sz w:val="21"/>
          <w:highlight w:val="none"/>
        </w:rPr>
      </w:pPr>
      <w:r>
        <w:rPr>
          <w:rFonts w:hint="eastAsia"/>
          <w:color w:val="auto"/>
          <w:sz w:val="21"/>
          <w:highlight w:val="none"/>
        </w:rPr>
        <w:t>3.1.3投标报价有算术错误及其他错误的，评标委员会按以下原则要求投标人对投标报价进行修正，并要求投标人书面澄清确认。投标人拒不澄清确认的，评标委员会应当否决其投标：</w:t>
      </w:r>
    </w:p>
    <w:p>
      <w:pPr>
        <w:spacing w:line="360" w:lineRule="auto"/>
        <w:rPr>
          <w:color w:val="auto"/>
          <w:sz w:val="21"/>
          <w:szCs w:val="21"/>
          <w:highlight w:val="none"/>
        </w:rPr>
      </w:pPr>
      <w:r>
        <w:rPr>
          <w:rFonts w:hint="eastAsia"/>
          <w:color w:val="auto"/>
          <w:sz w:val="21"/>
          <w:szCs w:val="21"/>
          <w:highlight w:val="none"/>
        </w:rPr>
        <w:t>（1）投标文件中的大写金额与小写金额不一致的，以大写金额为准；</w:t>
      </w:r>
    </w:p>
    <w:p>
      <w:pPr>
        <w:spacing w:line="360" w:lineRule="auto"/>
        <w:rPr>
          <w:color w:val="auto"/>
          <w:sz w:val="21"/>
          <w:szCs w:val="21"/>
          <w:highlight w:val="none"/>
        </w:rPr>
      </w:pPr>
      <w:r>
        <w:rPr>
          <w:rFonts w:hint="eastAsia"/>
          <w:color w:val="auto"/>
          <w:sz w:val="21"/>
          <w:szCs w:val="21"/>
          <w:highlight w:val="none"/>
        </w:rPr>
        <w:t>（2）总价金额与单价金额不一致的，以单价金额为准，但单价金额小数点有明显错误的除外。</w:t>
      </w:r>
    </w:p>
    <w:p>
      <w:pPr>
        <w:pStyle w:val="8"/>
        <w:spacing w:line="360" w:lineRule="auto"/>
        <w:ind w:firstLine="220" w:firstLineChars="100"/>
        <w:rPr>
          <w:color w:val="auto"/>
          <w:highlight w:val="none"/>
        </w:rPr>
      </w:pPr>
      <w:r>
        <w:rPr>
          <w:rFonts w:hint="eastAsia" w:cs="Arial"/>
          <w:color w:val="auto"/>
          <w:highlight w:val="none"/>
          <w:u w:val="single"/>
        </w:rPr>
        <w:t>3.1.4 招标人需将开标异议提交给评标委员会的评审确认时，评标委员会须进行评审确认，不得以任何理由拒绝。</w:t>
      </w:r>
    </w:p>
    <w:p>
      <w:pPr>
        <w:spacing w:line="360" w:lineRule="auto"/>
        <w:rPr>
          <w:color w:val="auto"/>
          <w:sz w:val="21"/>
          <w:highlight w:val="none"/>
        </w:rPr>
      </w:pPr>
      <w:r>
        <w:rPr>
          <w:rFonts w:hint="eastAsia"/>
          <w:b/>
          <w:color w:val="auto"/>
          <w:sz w:val="32"/>
          <w:highlight w:val="none"/>
        </w:rPr>
        <w:t>3.2详细评审</w:t>
      </w:r>
    </w:p>
    <w:p>
      <w:pPr>
        <w:spacing w:line="360" w:lineRule="auto"/>
        <w:ind w:firstLine="210" w:firstLineChars="100"/>
        <w:rPr>
          <w:color w:val="auto"/>
          <w:sz w:val="21"/>
          <w:highlight w:val="none"/>
        </w:rPr>
      </w:pPr>
      <w:r>
        <w:rPr>
          <w:rFonts w:hint="eastAsia"/>
          <w:color w:val="auto"/>
          <w:sz w:val="21"/>
          <w:highlight w:val="none"/>
        </w:rPr>
        <w:t>3.2.1评标委员会按本章第 2.2 款规定的量化因素和分值进行打分，并计算出综合评估得分。</w:t>
      </w:r>
    </w:p>
    <w:p>
      <w:pPr>
        <w:spacing w:line="360" w:lineRule="auto"/>
        <w:rPr>
          <w:color w:val="auto"/>
          <w:sz w:val="21"/>
          <w:highlight w:val="none"/>
        </w:rPr>
      </w:pPr>
      <w:r>
        <w:rPr>
          <w:rFonts w:hint="eastAsia"/>
          <w:color w:val="auto"/>
          <w:sz w:val="21"/>
          <w:highlight w:val="none"/>
        </w:rPr>
        <w:t>（1）按本章第 2.2.4（1）目规定的评审因素和分值对资信业绩部分计算出得分A；</w:t>
      </w:r>
    </w:p>
    <w:p>
      <w:pPr>
        <w:spacing w:line="360" w:lineRule="auto"/>
        <w:rPr>
          <w:color w:val="auto"/>
          <w:sz w:val="21"/>
          <w:highlight w:val="none"/>
        </w:rPr>
      </w:pPr>
      <w:r>
        <w:rPr>
          <w:rFonts w:hint="eastAsia"/>
          <w:color w:val="auto"/>
          <w:sz w:val="21"/>
          <w:highlight w:val="none"/>
        </w:rPr>
        <w:t>（2）按本章第 2.2.4（2）目规定的评审因素和分值对</w:t>
      </w:r>
      <w:r>
        <w:rPr>
          <w:rFonts w:hint="eastAsia"/>
          <w:color w:val="auto"/>
          <w:sz w:val="21"/>
          <w:highlight w:val="none"/>
          <w:lang w:val="en-US"/>
        </w:rPr>
        <w:t>技术方案</w:t>
      </w:r>
      <w:r>
        <w:rPr>
          <w:rFonts w:hint="eastAsia"/>
          <w:color w:val="auto"/>
          <w:sz w:val="21"/>
          <w:highlight w:val="none"/>
        </w:rPr>
        <w:t>部分计算出得分B；</w:t>
      </w:r>
    </w:p>
    <w:p>
      <w:pPr>
        <w:spacing w:line="360" w:lineRule="auto"/>
        <w:rPr>
          <w:color w:val="auto"/>
          <w:sz w:val="21"/>
          <w:highlight w:val="none"/>
        </w:rPr>
      </w:pPr>
      <w:r>
        <w:rPr>
          <w:rFonts w:hint="eastAsia"/>
          <w:color w:val="auto"/>
          <w:sz w:val="21"/>
          <w:highlight w:val="none"/>
        </w:rPr>
        <w:t>（3）按本章第 2.2.4（3）目规定的评审因素和分值对投标报价计算出得分C；</w:t>
      </w:r>
    </w:p>
    <w:p>
      <w:pPr>
        <w:spacing w:line="360" w:lineRule="auto"/>
        <w:rPr>
          <w:color w:val="auto"/>
          <w:sz w:val="21"/>
          <w:highlight w:val="none"/>
        </w:rPr>
      </w:pPr>
      <w:r>
        <w:rPr>
          <w:rFonts w:hint="eastAsia"/>
          <w:strike/>
          <w:color w:val="auto"/>
          <w:sz w:val="21"/>
          <w:highlight w:val="none"/>
        </w:rPr>
        <w:t>（4）按本章第 2.2.4（4）目规定的评审因素和分值对其他部分计算出得分D。</w:t>
      </w:r>
    </w:p>
    <w:p>
      <w:pPr>
        <w:spacing w:line="360" w:lineRule="auto"/>
        <w:ind w:firstLine="210" w:firstLineChars="100"/>
        <w:rPr>
          <w:color w:val="auto"/>
          <w:sz w:val="21"/>
          <w:highlight w:val="none"/>
        </w:rPr>
      </w:pPr>
      <w:r>
        <w:rPr>
          <w:rFonts w:hint="eastAsia"/>
          <w:color w:val="auto"/>
          <w:sz w:val="21"/>
          <w:highlight w:val="none"/>
        </w:rPr>
        <w:t>3.2.2评分分值计算保留小数点后两位，小数点后第三位“四舍五入”。</w:t>
      </w:r>
    </w:p>
    <w:p>
      <w:pPr>
        <w:spacing w:line="360" w:lineRule="auto"/>
        <w:ind w:firstLine="210" w:firstLineChars="100"/>
        <w:rPr>
          <w:color w:val="auto"/>
          <w:sz w:val="21"/>
          <w:highlight w:val="none"/>
        </w:rPr>
      </w:pPr>
      <w:r>
        <w:rPr>
          <w:rFonts w:hint="eastAsia"/>
          <w:color w:val="auto"/>
          <w:sz w:val="21"/>
          <w:highlight w:val="none"/>
        </w:rPr>
        <w:t>3.2.3投标人得分=A+B+C。</w:t>
      </w:r>
    </w:p>
    <w:p>
      <w:pPr>
        <w:spacing w:line="360" w:lineRule="auto"/>
        <w:ind w:firstLine="210" w:firstLineChars="100"/>
        <w:rPr>
          <w:color w:val="auto"/>
          <w:sz w:val="21"/>
          <w:highlight w:val="none"/>
        </w:rPr>
      </w:pPr>
      <w:r>
        <w:rPr>
          <w:rFonts w:hint="eastAsia"/>
          <w:color w:val="auto"/>
          <w:sz w:val="21"/>
          <w:highlight w:val="none"/>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spacing w:line="360" w:lineRule="auto"/>
        <w:rPr>
          <w:color w:val="auto"/>
          <w:sz w:val="21"/>
          <w:highlight w:val="none"/>
        </w:rPr>
      </w:pPr>
      <w:r>
        <w:rPr>
          <w:rFonts w:hint="eastAsia"/>
          <w:b/>
          <w:color w:val="auto"/>
          <w:sz w:val="32"/>
          <w:highlight w:val="none"/>
        </w:rPr>
        <w:t>3.3投标文件的澄清</w:t>
      </w:r>
    </w:p>
    <w:p>
      <w:pPr>
        <w:spacing w:line="360" w:lineRule="auto"/>
        <w:ind w:firstLine="210" w:firstLineChars="100"/>
        <w:rPr>
          <w:color w:val="auto"/>
          <w:sz w:val="21"/>
          <w:highlight w:val="none"/>
        </w:rPr>
      </w:pPr>
      <w:r>
        <w:rPr>
          <w:rFonts w:hint="eastAsia"/>
          <w:color w:val="auto"/>
          <w:sz w:val="21"/>
          <w:highlight w:val="none"/>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210" w:firstLineChars="100"/>
        <w:rPr>
          <w:color w:val="auto"/>
          <w:sz w:val="21"/>
          <w:highlight w:val="none"/>
        </w:rPr>
      </w:pPr>
      <w:r>
        <w:rPr>
          <w:rFonts w:hint="eastAsia"/>
          <w:color w:val="auto"/>
          <w:sz w:val="21"/>
          <w:highlight w:val="none"/>
        </w:rPr>
        <w:t>3.3.2澄清、说明或补正不得超出投标文件的范围且不得改变投标文件的实质性内容，并构成投标文件的组成部分。</w:t>
      </w:r>
    </w:p>
    <w:p>
      <w:pPr>
        <w:spacing w:line="360" w:lineRule="auto"/>
        <w:ind w:firstLine="210" w:firstLineChars="100"/>
        <w:rPr>
          <w:color w:val="auto"/>
          <w:sz w:val="21"/>
          <w:highlight w:val="none"/>
        </w:rPr>
      </w:pPr>
      <w:r>
        <w:rPr>
          <w:rFonts w:hint="eastAsia"/>
          <w:color w:val="auto"/>
          <w:sz w:val="21"/>
          <w:highlight w:val="none"/>
        </w:rPr>
        <w:t>3.3.3评标委员会对投标人提交的澄清、说明或补正有疑问的，可以要求投标人进一步澄清、说明或补正，直至满足评标委员会的要求。</w:t>
      </w:r>
    </w:p>
    <w:p>
      <w:pPr>
        <w:spacing w:line="360" w:lineRule="auto"/>
        <w:rPr>
          <w:color w:val="auto"/>
          <w:sz w:val="21"/>
          <w:highlight w:val="none"/>
        </w:rPr>
      </w:pPr>
      <w:r>
        <w:rPr>
          <w:rFonts w:hint="eastAsia"/>
          <w:b/>
          <w:color w:val="auto"/>
          <w:sz w:val="32"/>
          <w:highlight w:val="none"/>
        </w:rPr>
        <w:t>3.4评标结果</w:t>
      </w:r>
    </w:p>
    <w:p>
      <w:pPr>
        <w:spacing w:line="360" w:lineRule="auto"/>
        <w:ind w:firstLine="210" w:firstLineChars="100"/>
        <w:rPr>
          <w:color w:val="auto"/>
          <w:sz w:val="21"/>
          <w:highlight w:val="none"/>
        </w:rPr>
      </w:pPr>
      <w:r>
        <w:rPr>
          <w:rFonts w:hint="eastAsia"/>
          <w:color w:val="auto"/>
          <w:sz w:val="21"/>
          <w:highlight w:val="none"/>
        </w:rPr>
        <w:t>3.4.1除第二章“投标人须知”前附表授权直接确定中标人外，评标委员会按照得分由高到低的顺序推荐中标候选人，并标明排序。</w:t>
      </w:r>
    </w:p>
    <w:p>
      <w:pPr>
        <w:spacing w:line="360" w:lineRule="auto"/>
        <w:ind w:firstLine="210" w:firstLineChars="100"/>
        <w:rPr>
          <w:color w:val="auto"/>
          <w:sz w:val="21"/>
          <w:highlight w:val="none"/>
        </w:rPr>
      </w:pPr>
      <w:r>
        <w:rPr>
          <w:rFonts w:hint="eastAsia"/>
          <w:color w:val="auto"/>
          <w:sz w:val="21"/>
          <w:highlight w:val="none"/>
        </w:rPr>
        <w:t>评标委员会完成评标后，应当向招标人提交书面评标报告和中标候选人名单。</w:t>
      </w:r>
    </w:p>
    <w:p>
      <w:pPr>
        <w:spacing w:line="360" w:lineRule="auto"/>
        <w:rPr>
          <w:color w:val="auto"/>
          <w:sz w:val="21"/>
          <w:highlight w:val="none"/>
        </w:rPr>
        <w:sectPr>
          <w:pgSz w:w="11906" w:h="16838"/>
          <w:pgMar w:top="1500" w:right="1100" w:bottom="1120" w:left="1560" w:header="0" w:footer="841" w:gutter="0"/>
          <w:cols w:space="720" w:num="1"/>
        </w:sectPr>
      </w:pPr>
    </w:p>
    <w:p>
      <w:pPr>
        <w:pStyle w:val="3"/>
        <w:spacing w:line="360" w:lineRule="auto"/>
        <w:rPr>
          <w:rFonts w:ascii="宋体" w:hAnsi="宋体" w:eastAsia="宋体" w:cs="宋体"/>
          <w:color w:val="auto"/>
          <w:highlight w:val="none"/>
        </w:rPr>
      </w:pPr>
      <w:bookmarkStart w:id="30" w:name="_Toc24117"/>
    </w:p>
    <w:p>
      <w:pPr>
        <w:pStyle w:val="3"/>
        <w:spacing w:line="360" w:lineRule="auto"/>
        <w:rPr>
          <w:rFonts w:ascii="宋体" w:hAnsi="宋体" w:eastAsia="宋体" w:cs="宋体"/>
          <w:color w:val="auto"/>
          <w:highlight w:val="none"/>
        </w:rPr>
      </w:pPr>
      <w:r>
        <w:rPr>
          <w:rFonts w:hint="eastAsia" w:ascii="宋体" w:hAnsi="宋体" w:eastAsia="宋体" w:cs="宋体"/>
          <w:color w:val="auto"/>
          <w:highlight w:val="none"/>
        </w:rPr>
        <w:t>第四章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合同条款及格式</w:t>
      </w:r>
      <w:bookmarkEnd w:id="30"/>
    </w:p>
    <w:p>
      <w:pPr>
        <w:pStyle w:val="11"/>
        <w:spacing w:line="360" w:lineRule="auto"/>
        <w:rPr>
          <w:b/>
          <w:color w:val="auto"/>
          <w:sz w:val="20"/>
          <w:highlight w:val="none"/>
        </w:rPr>
      </w:pPr>
    </w:p>
    <w:p>
      <w:pPr>
        <w:pStyle w:val="11"/>
        <w:spacing w:line="360" w:lineRule="auto"/>
        <w:rPr>
          <w:b/>
          <w:color w:val="auto"/>
          <w:sz w:val="20"/>
          <w:highlight w:val="none"/>
        </w:rPr>
      </w:pPr>
    </w:p>
    <w:p>
      <w:pPr>
        <w:pStyle w:val="11"/>
        <w:spacing w:before="5" w:line="360" w:lineRule="auto"/>
        <w:rPr>
          <w:b/>
          <w:color w:val="auto"/>
          <w:sz w:val="19"/>
          <w:highlight w:val="none"/>
        </w:rPr>
      </w:pPr>
    </w:p>
    <w:p>
      <w:pPr>
        <w:spacing w:line="300" w:lineRule="auto"/>
        <w:jc w:val="center"/>
        <w:rPr>
          <w:b/>
          <w:color w:val="auto"/>
          <w:sz w:val="44"/>
          <w:szCs w:val="44"/>
          <w:highlight w:val="none"/>
        </w:rPr>
      </w:pPr>
      <w:r>
        <w:rPr>
          <w:rFonts w:hint="eastAsia"/>
          <w:b/>
          <w:color w:val="auto"/>
          <w:sz w:val="44"/>
          <w:szCs w:val="44"/>
          <w:highlight w:val="none"/>
          <w:u w:val="single"/>
        </w:rPr>
        <w:t xml:space="preserve">       工程</w:t>
      </w:r>
      <w:r>
        <w:rPr>
          <w:rFonts w:hint="eastAsia"/>
          <w:b/>
          <w:color w:val="auto"/>
          <w:sz w:val="44"/>
          <w:szCs w:val="44"/>
          <w:highlight w:val="none"/>
        </w:rPr>
        <w:t>房屋安全鉴定合同</w:t>
      </w:r>
    </w:p>
    <w:p>
      <w:pPr>
        <w:spacing w:line="300" w:lineRule="auto"/>
        <w:rPr>
          <w:color w:val="auto"/>
          <w:sz w:val="32"/>
          <w:szCs w:val="32"/>
          <w:highlight w:val="none"/>
        </w:rPr>
      </w:pPr>
    </w:p>
    <w:p>
      <w:pPr>
        <w:spacing w:line="300" w:lineRule="auto"/>
        <w:rPr>
          <w:color w:val="auto"/>
          <w:sz w:val="32"/>
          <w:szCs w:val="32"/>
          <w:highlight w:val="none"/>
        </w:rPr>
      </w:pPr>
    </w:p>
    <w:p>
      <w:pPr>
        <w:spacing w:line="300" w:lineRule="auto"/>
        <w:rPr>
          <w:color w:val="auto"/>
          <w:sz w:val="32"/>
          <w:szCs w:val="32"/>
          <w:highlight w:val="none"/>
        </w:rPr>
      </w:pPr>
    </w:p>
    <w:p>
      <w:pPr>
        <w:spacing w:line="300" w:lineRule="auto"/>
        <w:rPr>
          <w:color w:val="auto"/>
          <w:sz w:val="32"/>
          <w:szCs w:val="32"/>
          <w:highlight w:val="none"/>
        </w:rPr>
      </w:pPr>
    </w:p>
    <w:p>
      <w:pPr>
        <w:spacing w:line="300" w:lineRule="auto"/>
        <w:rPr>
          <w:color w:val="auto"/>
          <w:sz w:val="32"/>
          <w:szCs w:val="32"/>
          <w:highlight w:val="none"/>
        </w:rPr>
      </w:pPr>
    </w:p>
    <w:p>
      <w:pPr>
        <w:spacing w:line="300" w:lineRule="auto"/>
        <w:rPr>
          <w:color w:val="auto"/>
          <w:sz w:val="32"/>
          <w:szCs w:val="32"/>
          <w:highlight w:val="none"/>
        </w:rPr>
      </w:pPr>
    </w:p>
    <w:p>
      <w:pPr>
        <w:spacing w:line="300" w:lineRule="auto"/>
        <w:rPr>
          <w:color w:val="auto"/>
          <w:sz w:val="32"/>
          <w:szCs w:val="32"/>
          <w:highlight w:val="none"/>
        </w:rPr>
      </w:pPr>
    </w:p>
    <w:p>
      <w:pPr>
        <w:spacing w:line="300" w:lineRule="auto"/>
        <w:rPr>
          <w:color w:val="auto"/>
          <w:sz w:val="32"/>
          <w:szCs w:val="32"/>
          <w:highlight w:val="none"/>
        </w:rPr>
      </w:pPr>
    </w:p>
    <w:p>
      <w:pPr>
        <w:spacing w:line="300" w:lineRule="auto"/>
        <w:rPr>
          <w:color w:val="auto"/>
          <w:sz w:val="32"/>
          <w:szCs w:val="32"/>
          <w:highlight w:val="none"/>
        </w:rPr>
      </w:pPr>
    </w:p>
    <w:p>
      <w:pPr>
        <w:spacing w:line="300" w:lineRule="auto"/>
        <w:rPr>
          <w:color w:val="auto"/>
          <w:sz w:val="32"/>
          <w:szCs w:val="32"/>
          <w:highlight w:val="none"/>
        </w:rPr>
      </w:pPr>
    </w:p>
    <w:p>
      <w:pPr>
        <w:spacing w:line="300" w:lineRule="auto"/>
        <w:rPr>
          <w:color w:val="auto"/>
          <w:sz w:val="32"/>
          <w:szCs w:val="32"/>
          <w:highlight w:val="none"/>
        </w:rPr>
      </w:pPr>
    </w:p>
    <w:p>
      <w:pPr>
        <w:spacing w:line="300" w:lineRule="auto"/>
        <w:rPr>
          <w:color w:val="auto"/>
          <w:sz w:val="32"/>
          <w:szCs w:val="32"/>
          <w:highlight w:val="none"/>
        </w:rPr>
      </w:pPr>
    </w:p>
    <w:p>
      <w:pPr>
        <w:adjustRightInd w:val="0"/>
        <w:snapToGrid w:val="0"/>
        <w:spacing w:line="480" w:lineRule="auto"/>
        <w:ind w:firstLine="1786" w:firstLineChars="556"/>
        <w:rPr>
          <w:b/>
          <w:color w:val="auto"/>
          <w:sz w:val="32"/>
          <w:szCs w:val="32"/>
          <w:highlight w:val="none"/>
        </w:rPr>
      </w:pPr>
      <w:r>
        <w:rPr>
          <w:rFonts w:hint="eastAsia"/>
          <w:b/>
          <w:color w:val="auto"/>
          <w:sz w:val="32"/>
          <w:szCs w:val="32"/>
          <w:highlight w:val="none"/>
        </w:rPr>
        <w:t>项目名称：</w:t>
      </w:r>
      <w:r>
        <w:rPr>
          <w:rFonts w:hint="eastAsia"/>
          <w:b/>
          <w:color w:val="auto"/>
          <w:sz w:val="32"/>
          <w:szCs w:val="32"/>
          <w:highlight w:val="none"/>
          <w:u w:val="single"/>
        </w:rPr>
        <w:t xml:space="preserve">                    </w:t>
      </w:r>
    </w:p>
    <w:p>
      <w:pPr>
        <w:adjustRightInd w:val="0"/>
        <w:snapToGrid w:val="0"/>
        <w:spacing w:line="480" w:lineRule="auto"/>
        <w:ind w:firstLine="1786" w:firstLineChars="556"/>
        <w:rPr>
          <w:b/>
          <w:color w:val="auto"/>
          <w:sz w:val="32"/>
          <w:szCs w:val="32"/>
          <w:highlight w:val="none"/>
          <w:u w:val="single"/>
        </w:rPr>
      </w:pPr>
      <w:r>
        <w:rPr>
          <w:rFonts w:hint="eastAsia"/>
          <w:b/>
          <w:color w:val="auto"/>
          <w:sz w:val="32"/>
          <w:szCs w:val="32"/>
          <w:highlight w:val="none"/>
        </w:rPr>
        <w:t>合同编号：</w:t>
      </w:r>
      <w:r>
        <w:rPr>
          <w:rFonts w:hint="eastAsia"/>
          <w:b/>
          <w:color w:val="auto"/>
          <w:sz w:val="32"/>
          <w:szCs w:val="32"/>
          <w:highlight w:val="none"/>
          <w:u w:val="single"/>
        </w:rPr>
        <w:t xml:space="preserve">                    </w:t>
      </w:r>
    </w:p>
    <w:p>
      <w:pPr>
        <w:adjustRightInd w:val="0"/>
        <w:snapToGrid w:val="0"/>
        <w:spacing w:line="480" w:lineRule="auto"/>
        <w:ind w:firstLine="1786" w:firstLineChars="556"/>
        <w:rPr>
          <w:b/>
          <w:color w:val="auto"/>
          <w:sz w:val="32"/>
          <w:szCs w:val="32"/>
          <w:highlight w:val="none"/>
        </w:rPr>
      </w:pPr>
      <w:r>
        <w:rPr>
          <w:rFonts w:hint="eastAsia"/>
          <w:b/>
          <w:color w:val="auto"/>
          <w:sz w:val="32"/>
          <w:szCs w:val="32"/>
          <w:highlight w:val="none"/>
        </w:rPr>
        <w:t>签约地点：</w:t>
      </w:r>
      <w:r>
        <w:rPr>
          <w:rFonts w:hint="eastAsia"/>
          <w:b/>
          <w:color w:val="auto"/>
          <w:sz w:val="32"/>
          <w:szCs w:val="32"/>
          <w:highlight w:val="none"/>
          <w:u w:val="single"/>
        </w:rPr>
        <w:t xml:space="preserve">  广州市</w:t>
      </w:r>
      <w:r>
        <w:rPr>
          <w:rFonts w:hint="eastAsia"/>
          <w:b/>
          <w:color w:val="auto"/>
          <w:sz w:val="32"/>
          <w:szCs w:val="32"/>
          <w:highlight w:val="none"/>
          <w:u w:val="single"/>
          <w:lang w:val="en-US"/>
        </w:rPr>
        <w:t>荔湾</w:t>
      </w:r>
      <w:r>
        <w:rPr>
          <w:rFonts w:hint="eastAsia"/>
          <w:b/>
          <w:color w:val="auto"/>
          <w:sz w:val="32"/>
          <w:szCs w:val="32"/>
          <w:highlight w:val="none"/>
          <w:u w:val="single"/>
        </w:rPr>
        <w:t xml:space="preserve">区  </w:t>
      </w:r>
    </w:p>
    <w:p>
      <w:pPr>
        <w:adjustRightInd w:val="0"/>
        <w:snapToGrid w:val="0"/>
        <w:spacing w:line="480" w:lineRule="auto"/>
        <w:ind w:firstLine="1786" w:firstLineChars="556"/>
        <w:rPr>
          <w:b/>
          <w:color w:val="auto"/>
          <w:sz w:val="32"/>
          <w:szCs w:val="32"/>
          <w:highlight w:val="none"/>
        </w:rPr>
      </w:pPr>
      <w:r>
        <w:rPr>
          <w:rFonts w:hint="eastAsia"/>
          <w:b/>
          <w:color w:val="auto"/>
          <w:sz w:val="32"/>
          <w:szCs w:val="32"/>
          <w:highlight w:val="none"/>
        </w:rPr>
        <w:t>签订日期：</w:t>
      </w:r>
      <w:r>
        <w:rPr>
          <w:rFonts w:hint="eastAsia"/>
          <w:b/>
          <w:color w:val="auto"/>
          <w:sz w:val="32"/>
          <w:szCs w:val="32"/>
          <w:highlight w:val="none"/>
          <w:u w:val="single"/>
        </w:rPr>
        <w:t>二○</w:t>
      </w:r>
      <w:r>
        <w:rPr>
          <w:rFonts w:hint="eastAsia"/>
          <w:b/>
          <w:color w:val="auto"/>
          <w:sz w:val="32"/>
          <w:szCs w:val="32"/>
          <w:highlight w:val="none"/>
          <w:u w:val="single"/>
          <w:lang w:val="en-US"/>
        </w:rPr>
        <w:t>二三</w:t>
      </w:r>
      <w:r>
        <w:rPr>
          <w:rFonts w:hint="eastAsia"/>
          <w:b/>
          <w:color w:val="auto"/>
          <w:sz w:val="32"/>
          <w:szCs w:val="32"/>
          <w:highlight w:val="none"/>
        </w:rPr>
        <w:t>年</w:t>
      </w:r>
      <w:r>
        <w:rPr>
          <w:rFonts w:hint="eastAsia"/>
          <w:b/>
          <w:color w:val="auto"/>
          <w:sz w:val="32"/>
          <w:szCs w:val="32"/>
          <w:highlight w:val="none"/>
          <w:u w:val="single"/>
        </w:rPr>
        <w:t xml:space="preserve">    </w:t>
      </w:r>
      <w:r>
        <w:rPr>
          <w:rFonts w:hint="eastAsia"/>
          <w:b/>
          <w:color w:val="auto"/>
          <w:sz w:val="32"/>
          <w:szCs w:val="32"/>
          <w:highlight w:val="none"/>
        </w:rPr>
        <w:t>月</w:t>
      </w:r>
      <w:r>
        <w:rPr>
          <w:rFonts w:hint="eastAsia"/>
          <w:b/>
          <w:color w:val="auto"/>
          <w:sz w:val="32"/>
          <w:szCs w:val="32"/>
          <w:highlight w:val="none"/>
          <w:u w:val="single"/>
        </w:rPr>
        <w:t xml:space="preserve">    </w:t>
      </w:r>
      <w:r>
        <w:rPr>
          <w:rFonts w:hint="eastAsia"/>
          <w:b/>
          <w:color w:val="auto"/>
          <w:sz w:val="32"/>
          <w:szCs w:val="32"/>
          <w:highlight w:val="none"/>
        </w:rPr>
        <w:t>日</w:t>
      </w:r>
    </w:p>
    <w:p>
      <w:pPr>
        <w:tabs>
          <w:tab w:val="left" w:pos="6510"/>
        </w:tabs>
        <w:autoSpaceDE/>
        <w:autoSpaceDN/>
        <w:jc w:val="center"/>
        <w:rPr>
          <w:b/>
          <w:color w:val="auto"/>
          <w:kern w:val="2"/>
          <w:sz w:val="44"/>
          <w:szCs w:val="44"/>
          <w:highlight w:val="none"/>
          <w:lang w:val="en-US" w:bidi="ar-SA"/>
        </w:rPr>
      </w:pPr>
      <w:r>
        <w:rPr>
          <w:b/>
          <w:color w:val="auto"/>
          <w:sz w:val="30"/>
          <w:szCs w:val="30"/>
          <w:highlight w:val="none"/>
        </w:rPr>
        <w:br w:type="page"/>
      </w:r>
      <w:r>
        <w:rPr>
          <w:rFonts w:hint="eastAsia"/>
          <w:b/>
          <w:color w:val="auto"/>
          <w:kern w:val="2"/>
          <w:sz w:val="44"/>
          <w:szCs w:val="44"/>
          <w:highlight w:val="none"/>
          <w:lang w:val="en-US" w:bidi="ar-SA"/>
        </w:rPr>
        <w:t>房屋安全鉴定合同</w:t>
      </w:r>
    </w:p>
    <w:p>
      <w:pPr>
        <w:tabs>
          <w:tab w:val="left" w:pos="6510"/>
        </w:tabs>
        <w:autoSpaceDE/>
        <w:autoSpaceDN/>
        <w:jc w:val="center"/>
        <w:rPr>
          <w:b/>
          <w:color w:val="auto"/>
          <w:kern w:val="2"/>
          <w:sz w:val="24"/>
          <w:szCs w:val="24"/>
          <w:highlight w:val="none"/>
          <w:lang w:val="en-US" w:bidi="ar-SA"/>
        </w:rPr>
      </w:pP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甲方：</w:t>
      </w:r>
      <w:r>
        <w:rPr>
          <w:rFonts w:hint="eastAsia"/>
          <w:bCs/>
          <w:color w:val="auto"/>
          <w:kern w:val="2"/>
          <w:sz w:val="24"/>
          <w:szCs w:val="24"/>
          <w:highlight w:val="none"/>
          <w:u w:val="single"/>
          <w:lang w:val="en-US" w:bidi="ar-SA"/>
        </w:rPr>
        <w:t xml:space="preserve">                      </w:t>
      </w:r>
      <w:r>
        <w:rPr>
          <w:rFonts w:hint="eastAsia"/>
          <w:bCs/>
          <w:color w:val="auto"/>
          <w:kern w:val="2"/>
          <w:sz w:val="24"/>
          <w:szCs w:val="24"/>
          <w:highlight w:val="none"/>
          <w:lang w:val="en-US" w:bidi="ar-SA"/>
        </w:rPr>
        <w:t xml:space="preserve">                         </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乙方：</w:t>
      </w:r>
      <w:r>
        <w:rPr>
          <w:rFonts w:hint="eastAsia"/>
          <w:bCs/>
          <w:color w:val="auto"/>
          <w:kern w:val="2"/>
          <w:sz w:val="24"/>
          <w:szCs w:val="24"/>
          <w:highlight w:val="none"/>
          <w:u w:val="single"/>
          <w:lang w:val="en-US" w:bidi="ar-SA"/>
        </w:rPr>
        <w:t xml:space="preserve">                      </w:t>
      </w:r>
      <w:r>
        <w:rPr>
          <w:rFonts w:hint="eastAsia"/>
          <w:bCs/>
          <w:color w:val="auto"/>
          <w:kern w:val="2"/>
          <w:sz w:val="24"/>
          <w:szCs w:val="24"/>
          <w:highlight w:val="none"/>
          <w:lang w:val="en-US" w:bidi="ar-SA"/>
        </w:rPr>
        <w:t xml:space="preserve">                       </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甲方委托乙方对</w:t>
      </w:r>
      <w:r>
        <w:rPr>
          <w:rFonts w:hint="eastAsia"/>
          <w:bCs/>
          <w:color w:val="auto"/>
          <w:kern w:val="2"/>
          <w:sz w:val="24"/>
          <w:szCs w:val="24"/>
          <w:highlight w:val="none"/>
          <w:u w:val="single"/>
          <w:lang w:val="en-US" w:bidi="ar-SA"/>
        </w:rPr>
        <w:t xml:space="preserve">                              </w:t>
      </w:r>
      <w:r>
        <w:rPr>
          <w:rFonts w:hint="eastAsia"/>
          <w:bCs/>
          <w:color w:val="auto"/>
          <w:kern w:val="2"/>
          <w:sz w:val="24"/>
          <w:szCs w:val="24"/>
          <w:highlight w:val="none"/>
          <w:lang w:val="en-US" w:bidi="ar-SA"/>
        </w:rPr>
        <w:t>工程进行房屋安全鉴定服务，做好证据保存，以便日后明确房屋的损坏责任，为明确双方权利和义务，依据《中华人民共和国民法典》的相关规定，经协商达成如下条款。</w:t>
      </w:r>
    </w:p>
    <w:p>
      <w:pPr>
        <w:tabs>
          <w:tab w:val="left" w:pos="6510"/>
        </w:tabs>
        <w:autoSpaceDE/>
        <w:autoSpaceDN/>
        <w:spacing w:line="480" w:lineRule="exact"/>
        <w:ind w:firstLine="482" w:firstLineChars="200"/>
        <w:rPr>
          <w:bCs/>
          <w:color w:val="auto"/>
          <w:kern w:val="2"/>
          <w:sz w:val="24"/>
          <w:szCs w:val="24"/>
          <w:highlight w:val="none"/>
          <w:u w:val="single"/>
          <w:lang w:val="en-US" w:bidi="ar-SA"/>
        </w:rPr>
      </w:pPr>
      <w:r>
        <w:rPr>
          <w:rFonts w:hint="eastAsia"/>
          <w:b/>
          <w:color w:val="auto"/>
          <w:kern w:val="2"/>
          <w:sz w:val="24"/>
          <w:szCs w:val="24"/>
          <w:highlight w:val="none"/>
          <w:lang w:val="en-US" w:bidi="ar-SA"/>
        </w:rPr>
        <w:t>一、建筑物所在地址：</w:t>
      </w:r>
      <w:r>
        <w:rPr>
          <w:rFonts w:hint="eastAsia"/>
          <w:bCs/>
          <w:color w:val="auto"/>
          <w:kern w:val="2"/>
          <w:sz w:val="24"/>
          <w:szCs w:val="24"/>
          <w:highlight w:val="none"/>
          <w:u w:val="single"/>
          <w:lang w:val="en-US" w:bidi="ar-SA"/>
        </w:rPr>
        <w:t>广州市荔湾区</w:t>
      </w:r>
    </w:p>
    <w:p>
      <w:pPr>
        <w:tabs>
          <w:tab w:val="left" w:pos="6510"/>
        </w:tabs>
        <w:autoSpaceDE/>
        <w:autoSpaceDN/>
        <w:spacing w:line="480" w:lineRule="exact"/>
        <w:ind w:firstLine="482" w:firstLineChars="200"/>
        <w:rPr>
          <w:bCs/>
          <w:color w:val="auto"/>
          <w:kern w:val="2"/>
          <w:sz w:val="24"/>
          <w:szCs w:val="24"/>
          <w:highlight w:val="none"/>
          <w:lang w:val="en-US" w:bidi="ar-SA"/>
        </w:rPr>
      </w:pPr>
      <w:r>
        <w:rPr>
          <w:rFonts w:hint="eastAsia"/>
          <w:b/>
          <w:color w:val="auto"/>
          <w:kern w:val="2"/>
          <w:sz w:val="24"/>
          <w:szCs w:val="24"/>
          <w:highlight w:val="none"/>
          <w:lang w:val="en-US" w:bidi="ar-SA"/>
        </w:rPr>
        <w:t>二、结构规模：</w:t>
      </w:r>
      <w:r>
        <w:rPr>
          <w:rFonts w:hint="eastAsia"/>
          <w:bCs/>
          <w:color w:val="auto"/>
          <w:kern w:val="2"/>
          <w:sz w:val="24"/>
          <w:szCs w:val="24"/>
          <w:highlight w:val="none"/>
          <w:lang w:val="en-US" w:bidi="ar-SA"/>
        </w:rPr>
        <w:t>房屋总鉴定面积暂定为</w:t>
      </w:r>
      <w:r>
        <w:rPr>
          <w:rFonts w:hint="eastAsia"/>
          <w:bCs/>
          <w:color w:val="auto"/>
          <w:kern w:val="2"/>
          <w:sz w:val="24"/>
          <w:szCs w:val="24"/>
          <w:highlight w:val="none"/>
          <w:u w:val="single"/>
          <w:lang w:val="en-US" w:bidi="ar-SA"/>
        </w:rPr>
        <w:t>30000</w:t>
      </w:r>
      <w:r>
        <w:rPr>
          <w:rFonts w:hint="eastAsia"/>
          <w:bCs/>
          <w:color w:val="auto"/>
          <w:kern w:val="2"/>
          <w:sz w:val="24"/>
          <w:szCs w:val="24"/>
          <w:highlight w:val="none"/>
          <w:lang w:val="en-US" w:bidi="ar-SA"/>
        </w:rPr>
        <w:t>平方米，结构形式为框剪、框架、砖混、砖木及简易结构等。</w:t>
      </w:r>
    </w:p>
    <w:p>
      <w:pPr>
        <w:tabs>
          <w:tab w:val="left" w:pos="6510"/>
        </w:tabs>
        <w:autoSpaceDE/>
        <w:autoSpaceDN/>
        <w:spacing w:line="480" w:lineRule="exact"/>
        <w:ind w:firstLine="482" w:firstLineChars="200"/>
        <w:rPr>
          <w:b/>
          <w:color w:val="auto"/>
          <w:kern w:val="2"/>
          <w:sz w:val="24"/>
          <w:szCs w:val="24"/>
          <w:highlight w:val="none"/>
          <w:lang w:val="en-US" w:bidi="ar-SA"/>
        </w:rPr>
      </w:pPr>
      <w:r>
        <w:rPr>
          <w:rFonts w:hint="eastAsia"/>
          <w:b/>
          <w:color w:val="auto"/>
          <w:kern w:val="2"/>
          <w:sz w:val="24"/>
          <w:szCs w:val="24"/>
          <w:highlight w:val="none"/>
          <w:lang w:val="en-US" w:bidi="ar-SA"/>
        </w:rPr>
        <w:t>三、鉴定目的</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施工周边房屋安全鉴定，根据国家相关标准、规范和规程，从建筑物变形和结构构件裂缝、损伤及缺陷的角度，对相关房屋在施工前及施工后的建筑物结构现状进行房屋安全鉴定，做好证据保存，以便日后明确房屋的损坏责任，减少因施工导致的纠纷，并结合委托方提供的资料，并出具准确有效的《房屋安全鉴定报告》，以明确该工程实施方案是否将对周边建筑物安全造成影响；在施工过程中是否对沿线建筑物存在扰动，以及保护加固房屋措施的建议，为甲方妥善处理及保护沿线建筑提供准确、科学、客观的技术信息参考依据，为</w:t>
      </w:r>
      <w:r>
        <w:rPr>
          <w:rFonts w:hint="eastAsia"/>
          <w:bCs/>
          <w:color w:val="auto"/>
          <w:kern w:val="2"/>
          <w:sz w:val="24"/>
          <w:szCs w:val="24"/>
          <w:highlight w:val="none"/>
          <w:u w:val="single"/>
          <w:lang w:val="en-US" w:bidi="ar-SA"/>
        </w:rPr>
        <w:t xml:space="preserve">                             </w:t>
      </w:r>
      <w:r>
        <w:rPr>
          <w:rFonts w:hint="eastAsia"/>
          <w:bCs/>
          <w:color w:val="auto"/>
          <w:kern w:val="2"/>
          <w:sz w:val="24"/>
          <w:szCs w:val="24"/>
          <w:highlight w:val="none"/>
          <w:lang w:val="en-US" w:bidi="ar-SA"/>
        </w:rPr>
        <w:t>工程项目顺利施工提供科学依据。</w:t>
      </w:r>
    </w:p>
    <w:p>
      <w:pPr>
        <w:tabs>
          <w:tab w:val="left" w:pos="6510"/>
        </w:tabs>
        <w:autoSpaceDE/>
        <w:autoSpaceDN/>
        <w:spacing w:line="480" w:lineRule="exact"/>
        <w:ind w:firstLine="482" w:firstLineChars="200"/>
        <w:rPr>
          <w:b/>
          <w:color w:val="auto"/>
          <w:kern w:val="2"/>
          <w:sz w:val="24"/>
          <w:szCs w:val="24"/>
          <w:highlight w:val="none"/>
          <w:lang w:val="en-US" w:bidi="ar-SA"/>
        </w:rPr>
      </w:pPr>
      <w:r>
        <w:rPr>
          <w:rFonts w:hint="eastAsia"/>
          <w:b/>
          <w:color w:val="auto"/>
          <w:kern w:val="2"/>
          <w:sz w:val="24"/>
          <w:szCs w:val="24"/>
          <w:highlight w:val="none"/>
          <w:lang w:val="en-US" w:bidi="ar-SA"/>
        </w:rPr>
        <w:t>四、鉴定依据</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1、《工程测量规范》（GB50026-2007）</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2、《建筑变形测量规范》（JGJ8-2016）</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3、《城市危险房屋管理规定》（建设部令2004年第129号）</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4、《危险房屋鉴定标准》（JGJ125-2016）</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5、《房屋完损等级评定标准》（城住字[1984]第678号）</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6、《广州市房屋使用安全管理规定》(广州市人民政府令第164号)</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7、《建筑结构荷载规范》（GB50009-2012）</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8、《混凝土结构设计规范》（GB50010-2010）</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9、《砌体结构设计规范》（GB50003-2011）</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10、《建筑地基基础设计规范》（GB50007-2011）</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11、《建筑结构检测技术标准》（GB/T50344-2004）</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12、《混凝土中钢筋检测技术规程》（JGJ/T 152-2008）</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13、其它相关技术标准</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14、委托单位提供该工程项目的相关资料及有关规范</w:t>
      </w:r>
    </w:p>
    <w:p>
      <w:pPr>
        <w:tabs>
          <w:tab w:val="left" w:pos="6510"/>
        </w:tabs>
        <w:autoSpaceDE/>
        <w:autoSpaceDN/>
        <w:spacing w:line="480" w:lineRule="exact"/>
        <w:ind w:firstLine="482" w:firstLineChars="200"/>
        <w:rPr>
          <w:bCs/>
          <w:color w:val="auto"/>
          <w:kern w:val="2"/>
          <w:sz w:val="24"/>
          <w:szCs w:val="24"/>
          <w:highlight w:val="none"/>
          <w:lang w:val="en-US" w:bidi="ar-SA"/>
        </w:rPr>
      </w:pPr>
      <w:r>
        <w:rPr>
          <w:rFonts w:hint="eastAsia"/>
          <w:b/>
          <w:color w:val="auto"/>
          <w:kern w:val="2"/>
          <w:sz w:val="24"/>
          <w:szCs w:val="24"/>
          <w:highlight w:val="none"/>
          <w:lang w:val="en-US" w:bidi="ar-SA"/>
        </w:rPr>
        <w:t>五、主要工作内容</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1、 检测鉴定项目</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（1）房屋的地基基础的基本情况（不均匀沉降、内外地台损坏等）；</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（2）房屋的承重结构的基本情况（构造与连接、裂缝和变形等）；</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（3）房屋的围护结构的基本情况；</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（4）房屋的垂直度的基本情况；</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（5）房屋现状的基本情况（门窗、地面、墙身）；</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（6）房屋鉴定的鉴定意见和处理意见；</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（7）法律、规范、规定的相关内容。</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2、检测鉴定内容</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（1）房屋资料调查</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（2）现场勘查内容</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1）房屋现在使用状况；</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2）房屋结构形式及其主要材料；</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3）检查构件及其连接情况；</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4）砖墙砌体及饰面检查；</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5）门、窗和水电等设施检查。</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（3）房屋变形检测（倾斜测量）</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（4）钢筋混凝土构件裂缝针对性检查</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1）检查构件表面的裂缝及不同构件类型之间的裂缝，包括其长度、宽度、深度、形状、条数，必要时绘出裂缝分布图；针对部分裂缝采用裂缝测宽仪进行裂缝宽度进行测量，并抽样钢筋探测仪对其周边配筋情况及保护层厚度进行检测，初步判断裂缝的性质；</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2）裂缝记录时要按位置、走向、裂缝形式、宽度、长度的顺序进行记录，并选取典型裂缝进行刻画、监测，用照相机拍摄记录异常现象；</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（5）房屋平面布置、垂直布置及构件截面尺寸检查。</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（6）出具鉴定结论及提出处理建议。</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（8）法律、规范、规定的相关内容。</w:t>
      </w:r>
    </w:p>
    <w:p>
      <w:pPr>
        <w:tabs>
          <w:tab w:val="left" w:pos="6510"/>
        </w:tabs>
        <w:autoSpaceDE/>
        <w:autoSpaceDN/>
        <w:spacing w:line="480" w:lineRule="exact"/>
        <w:ind w:firstLine="482" w:firstLineChars="200"/>
        <w:rPr>
          <w:bCs/>
          <w:color w:val="auto"/>
          <w:kern w:val="2"/>
          <w:sz w:val="24"/>
          <w:szCs w:val="24"/>
          <w:highlight w:val="none"/>
          <w:lang w:val="en-US" w:bidi="ar-SA"/>
        </w:rPr>
      </w:pPr>
      <w:r>
        <w:rPr>
          <w:rFonts w:hint="eastAsia"/>
          <w:b/>
          <w:color w:val="auto"/>
          <w:kern w:val="2"/>
          <w:sz w:val="24"/>
          <w:szCs w:val="24"/>
          <w:highlight w:val="none"/>
          <w:lang w:val="en-US" w:bidi="ar-SA"/>
        </w:rPr>
        <w:t>六、进度安排</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在收到甲方通知后</w:t>
      </w:r>
      <w:r>
        <w:rPr>
          <w:rFonts w:hint="eastAsia"/>
          <w:bCs/>
          <w:color w:val="auto"/>
          <w:kern w:val="2"/>
          <w:sz w:val="24"/>
          <w:szCs w:val="24"/>
          <w:highlight w:val="none"/>
          <w:u w:val="single"/>
          <w:lang w:val="en-US" w:bidi="ar-SA"/>
        </w:rPr>
        <w:t>2</w:t>
      </w:r>
      <w:r>
        <w:rPr>
          <w:rFonts w:hint="eastAsia"/>
          <w:bCs/>
          <w:color w:val="auto"/>
          <w:kern w:val="2"/>
          <w:sz w:val="24"/>
          <w:szCs w:val="24"/>
          <w:highlight w:val="none"/>
          <w:lang w:val="en-US" w:bidi="ar-SA"/>
        </w:rPr>
        <w:t>天内派员对周边房屋进行鉴定，每批次在</w:t>
      </w:r>
      <w:r>
        <w:rPr>
          <w:rFonts w:hint="eastAsia"/>
          <w:bCs/>
          <w:color w:val="auto"/>
          <w:kern w:val="2"/>
          <w:sz w:val="24"/>
          <w:szCs w:val="24"/>
          <w:highlight w:val="none"/>
          <w:u w:val="single"/>
          <w:lang w:val="en-US" w:bidi="ar-SA"/>
        </w:rPr>
        <w:t>60</w:t>
      </w:r>
      <w:r>
        <w:rPr>
          <w:rFonts w:hint="eastAsia"/>
          <w:bCs/>
          <w:color w:val="auto"/>
          <w:kern w:val="2"/>
          <w:sz w:val="24"/>
          <w:szCs w:val="24"/>
          <w:highlight w:val="none"/>
          <w:lang w:val="en-US" w:bidi="ar-SA"/>
        </w:rPr>
        <w:t>天内提交房屋安全鉴定成果，其中现场查勘</w:t>
      </w:r>
      <w:r>
        <w:rPr>
          <w:rFonts w:hint="eastAsia"/>
          <w:bCs/>
          <w:color w:val="auto"/>
          <w:kern w:val="2"/>
          <w:sz w:val="24"/>
          <w:szCs w:val="24"/>
          <w:highlight w:val="none"/>
          <w:u w:val="single"/>
          <w:lang w:val="en-US" w:bidi="ar-SA"/>
        </w:rPr>
        <w:t>15</w:t>
      </w:r>
      <w:r>
        <w:rPr>
          <w:rFonts w:hint="eastAsia"/>
          <w:bCs/>
          <w:color w:val="auto"/>
          <w:kern w:val="2"/>
          <w:sz w:val="24"/>
          <w:szCs w:val="24"/>
          <w:highlight w:val="none"/>
          <w:lang w:val="en-US" w:bidi="ar-SA"/>
        </w:rPr>
        <w:t>天，数据分析、计算及鉴定报告编写</w:t>
      </w:r>
      <w:r>
        <w:rPr>
          <w:rFonts w:hint="eastAsia"/>
          <w:bCs/>
          <w:color w:val="auto"/>
          <w:kern w:val="2"/>
          <w:sz w:val="24"/>
          <w:szCs w:val="24"/>
          <w:highlight w:val="none"/>
          <w:u w:val="single"/>
          <w:lang w:val="en-US" w:bidi="ar-SA"/>
        </w:rPr>
        <w:t>45</w:t>
      </w:r>
      <w:r>
        <w:rPr>
          <w:rFonts w:hint="eastAsia"/>
          <w:bCs/>
          <w:color w:val="auto"/>
          <w:kern w:val="2"/>
          <w:sz w:val="24"/>
          <w:szCs w:val="24"/>
          <w:highlight w:val="none"/>
          <w:lang w:val="en-US" w:bidi="ar-SA"/>
        </w:rPr>
        <w:t>天。工期不因工作量增减而发生变化。</w:t>
      </w:r>
    </w:p>
    <w:p>
      <w:pPr>
        <w:tabs>
          <w:tab w:val="left" w:pos="6510"/>
        </w:tabs>
        <w:autoSpaceDE/>
        <w:autoSpaceDN/>
        <w:spacing w:line="480" w:lineRule="exact"/>
        <w:ind w:firstLine="482" w:firstLineChars="200"/>
        <w:rPr>
          <w:b/>
          <w:color w:val="auto"/>
          <w:kern w:val="2"/>
          <w:sz w:val="24"/>
          <w:szCs w:val="24"/>
          <w:highlight w:val="none"/>
          <w:lang w:val="en-US" w:bidi="ar-SA"/>
        </w:rPr>
      </w:pPr>
      <w:r>
        <w:rPr>
          <w:rFonts w:hint="eastAsia"/>
          <w:b/>
          <w:color w:val="auto"/>
          <w:kern w:val="2"/>
          <w:sz w:val="24"/>
          <w:szCs w:val="24"/>
          <w:highlight w:val="none"/>
          <w:lang w:val="en-US" w:bidi="ar-SA"/>
        </w:rPr>
        <w:t>七、费用及付款方式</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1、鉴定费</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（一）固定单价合同包干。房屋建筑物安全鉴定综合单价按</w:t>
      </w:r>
      <w:r>
        <w:rPr>
          <w:rFonts w:hint="eastAsia"/>
          <w:bCs/>
          <w:color w:val="auto"/>
          <w:kern w:val="2"/>
          <w:sz w:val="24"/>
          <w:szCs w:val="24"/>
          <w:highlight w:val="none"/>
          <w:u w:val="single"/>
          <w:lang w:val="en-US" w:bidi="ar-SA"/>
        </w:rPr>
        <w:t xml:space="preserve">      </w:t>
      </w:r>
      <w:r>
        <w:rPr>
          <w:rFonts w:hint="eastAsia"/>
          <w:bCs/>
          <w:color w:val="auto"/>
          <w:kern w:val="2"/>
          <w:sz w:val="24"/>
          <w:szCs w:val="24"/>
          <w:highlight w:val="none"/>
          <w:lang w:val="en-US" w:bidi="ar-SA"/>
        </w:rPr>
        <w:t>元/平方米（含施工前与施工后共两次鉴定）；</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（二）本项目结算金额以实际鉴定面积按实结算。</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（三）合同金额：（鉴定费用总金额）￥：</w:t>
      </w:r>
      <w:r>
        <w:rPr>
          <w:rFonts w:hint="eastAsia"/>
          <w:bCs/>
          <w:color w:val="auto"/>
          <w:kern w:val="2"/>
          <w:sz w:val="24"/>
          <w:szCs w:val="24"/>
          <w:highlight w:val="none"/>
          <w:u w:val="single"/>
          <w:lang w:val="en-US" w:bidi="ar-SA"/>
        </w:rPr>
        <w:t xml:space="preserve">               </w:t>
      </w:r>
      <w:r>
        <w:rPr>
          <w:rFonts w:hint="eastAsia"/>
          <w:bCs/>
          <w:color w:val="auto"/>
          <w:kern w:val="2"/>
          <w:sz w:val="24"/>
          <w:szCs w:val="24"/>
          <w:highlight w:val="none"/>
          <w:lang w:val="en-US" w:bidi="ar-SA"/>
        </w:rPr>
        <w:t>元</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（大写）:</w:t>
      </w:r>
      <w:r>
        <w:rPr>
          <w:rFonts w:hint="eastAsia"/>
          <w:bCs/>
          <w:color w:val="auto"/>
          <w:kern w:val="2"/>
          <w:sz w:val="24"/>
          <w:szCs w:val="24"/>
          <w:highlight w:val="none"/>
          <w:u w:val="single"/>
          <w:lang w:val="en-US" w:bidi="ar-SA"/>
        </w:rPr>
        <w:t xml:space="preserve">                             </w:t>
      </w:r>
      <w:r>
        <w:rPr>
          <w:rFonts w:hint="eastAsia"/>
          <w:bCs/>
          <w:color w:val="auto"/>
          <w:kern w:val="2"/>
          <w:sz w:val="24"/>
          <w:szCs w:val="24"/>
          <w:highlight w:val="none"/>
          <w:lang w:val="en-US" w:bidi="ar-SA"/>
        </w:rPr>
        <w:t>（人民币）</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2、付款方式</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 xml:space="preserve">鉴定费用支付程序和时限：采用分期付款方法，具体为： </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（1）合同生效后15日历天内，甲方应向乙方支付合同价的20％；</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 xml:space="preserve">（2）提交合格的施工前独立结构房屋安全鉴定成果报告后15日历天内，施工周边房屋安全鉴定的费用按其合同总鉴定费的35%支付；提交合格的施工后独立结构房屋安全鉴定成果报告后15日历天内，施工周边房屋安全鉴定的费用再按合同总鉴定费的35%的支付； </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（3）余款在政府有关部门进行结算审定后的一个月后，一次性支付；</w:t>
      </w:r>
    </w:p>
    <w:p>
      <w:pPr>
        <w:tabs>
          <w:tab w:val="left" w:pos="6510"/>
        </w:tabs>
        <w:autoSpaceDE/>
        <w:autoSpaceDN/>
        <w:spacing w:line="480" w:lineRule="exact"/>
        <w:ind w:firstLine="482" w:firstLineChars="200"/>
        <w:rPr>
          <w:b/>
          <w:color w:val="auto"/>
          <w:kern w:val="2"/>
          <w:sz w:val="24"/>
          <w:szCs w:val="24"/>
          <w:highlight w:val="none"/>
          <w:lang w:val="en-US" w:bidi="ar-SA"/>
        </w:rPr>
      </w:pPr>
      <w:r>
        <w:rPr>
          <w:rFonts w:hint="eastAsia"/>
          <w:b/>
          <w:color w:val="auto"/>
          <w:kern w:val="2"/>
          <w:sz w:val="24"/>
          <w:szCs w:val="24"/>
          <w:highlight w:val="none"/>
          <w:lang w:val="en-US" w:bidi="ar-SA"/>
        </w:rPr>
        <w:t>本工程房屋安全鉴定费合同总金额按暂定工程量乘以中标综合包干单价确定，结算时按照承发包双方确认的实际工程量乘以中标综合包干单价结算。</w:t>
      </w:r>
    </w:p>
    <w:p>
      <w:pPr>
        <w:tabs>
          <w:tab w:val="left" w:pos="6510"/>
        </w:tabs>
        <w:autoSpaceDE/>
        <w:autoSpaceDN/>
        <w:spacing w:line="480" w:lineRule="exact"/>
        <w:ind w:firstLine="482" w:firstLineChars="200"/>
        <w:rPr>
          <w:b/>
          <w:color w:val="auto"/>
          <w:kern w:val="2"/>
          <w:sz w:val="24"/>
          <w:szCs w:val="24"/>
          <w:highlight w:val="none"/>
          <w:lang w:val="en-US" w:bidi="ar-SA"/>
        </w:rPr>
      </w:pPr>
      <w:r>
        <w:rPr>
          <w:rFonts w:hint="eastAsia"/>
          <w:b/>
          <w:color w:val="auto"/>
          <w:kern w:val="2"/>
          <w:sz w:val="24"/>
          <w:szCs w:val="24"/>
          <w:highlight w:val="none"/>
          <w:lang w:val="en-US" w:bidi="ar-SA"/>
        </w:rPr>
        <w:t>本合同须缴纳的增值税按国家最新规定执行。</w:t>
      </w:r>
    </w:p>
    <w:p>
      <w:pPr>
        <w:tabs>
          <w:tab w:val="left" w:pos="6510"/>
        </w:tabs>
        <w:autoSpaceDE/>
        <w:autoSpaceDN/>
        <w:spacing w:line="480" w:lineRule="exact"/>
        <w:ind w:firstLine="482" w:firstLineChars="200"/>
        <w:rPr>
          <w:bCs/>
          <w:color w:val="auto"/>
          <w:kern w:val="2"/>
          <w:sz w:val="24"/>
          <w:szCs w:val="24"/>
          <w:highlight w:val="none"/>
          <w:lang w:val="en-US" w:bidi="ar-SA"/>
        </w:rPr>
      </w:pPr>
      <w:r>
        <w:rPr>
          <w:rFonts w:hint="eastAsia"/>
          <w:b/>
          <w:color w:val="auto"/>
          <w:kern w:val="2"/>
          <w:sz w:val="24"/>
          <w:szCs w:val="24"/>
          <w:highlight w:val="none"/>
          <w:lang w:val="en-US" w:bidi="ar-SA"/>
        </w:rPr>
        <w:t>八、甲方责任</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1. 按本合同规定，向乙方支付鉴定费。</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2. 向乙方提交以下资料（可提交的在括号内打“√”，不可提供打“×”）：</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（1）原房屋结构设计施工图或竣工图（  ）；</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（2）房屋设计资料（  ）；</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（3）地质勘察资料（  ）；</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（4）施工技术档案（  ）；</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（5）房屋目前使用用途证明（  ）；</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3.乙方因检测鉴定需要要求甲方提供的其他技术资料：</w:t>
      </w:r>
    </w:p>
    <w:p>
      <w:pPr>
        <w:tabs>
          <w:tab w:val="left" w:pos="6510"/>
        </w:tabs>
        <w:autoSpaceDE/>
        <w:autoSpaceDN/>
        <w:spacing w:line="480" w:lineRule="exact"/>
        <w:ind w:firstLine="480" w:firstLineChars="200"/>
        <w:rPr>
          <w:bCs/>
          <w:color w:val="auto"/>
          <w:kern w:val="2"/>
          <w:sz w:val="24"/>
          <w:szCs w:val="24"/>
          <w:highlight w:val="none"/>
          <w:u w:val="single"/>
          <w:lang w:val="en-US" w:bidi="ar-SA"/>
        </w:rPr>
      </w:pPr>
      <w:r>
        <w:rPr>
          <w:rFonts w:hint="eastAsia"/>
          <w:bCs/>
          <w:color w:val="auto"/>
          <w:kern w:val="2"/>
          <w:sz w:val="24"/>
          <w:szCs w:val="24"/>
          <w:highlight w:val="none"/>
          <w:lang w:val="en-US" w:bidi="ar-SA"/>
        </w:rPr>
        <w:t>（1）：</w:t>
      </w:r>
      <w:r>
        <w:rPr>
          <w:rFonts w:hint="eastAsia"/>
          <w:bCs/>
          <w:color w:val="auto"/>
          <w:kern w:val="2"/>
          <w:sz w:val="24"/>
          <w:szCs w:val="24"/>
          <w:highlight w:val="none"/>
          <w:u w:val="single"/>
          <w:lang w:val="en-US" w:bidi="ar-SA"/>
        </w:rPr>
        <w:t xml:space="preserve">                                         </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（2）：</w:t>
      </w:r>
      <w:r>
        <w:rPr>
          <w:rFonts w:hint="eastAsia"/>
          <w:bCs/>
          <w:color w:val="auto"/>
          <w:kern w:val="2"/>
          <w:sz w:val="24"/>
          <w:szCs w:val="24"/>
          <w:highlight w:val="none"/>
          <w:u w:val="single"/>
          <w:lang w:val="en-US" w:bidi="ar-SA"/>
        </w:rPr>
        <w:t xml:space="preserve">                                         </w:t>
      </w:r>
    </w:p>
    <w:p>
      <w:pPr>
        <w:tabs>
          <w:tab w:val="left" w:pos="6510"/>
        </w:tabs>
        <w:autoSpaceDE/>
        <w:autoSpaceDN/>
        <w:spacing w:line="480" w:lineRule="exact"/>
        <w:ind w:firstLine="480" w:firstLineChars="200"/>
        <w:rPr>
          <w:bCs/>
          <w:color w:val="auto"/>
          <w:kern w:val="2"/>
          <w:sz w:val="24"/>
          <w:szCs w:val="24"/>
          <w:highlight w:val="none"/>
          <w:u w:val="single"/>
          <w:lang w:val="en-US" w:bidi="ar-SA"/>
        </w:rPr>
      </w:pPr>
      <w:r>
        <w:rPr>
          <w:rFonts w:hint="eastAsia"/>
          <w:bCs/>
          <w:color w:val="auto"/>
          <w:kern w:val="2"/>
          <w:sz w:val="24"/>
          <w:szCs w:val="24"/>
          <w:highlight w:val="none"/>
          <w:lang w:val="en-US" w:bidi="ar-SA"/>
        </w:rPr>
        <w:t>（3）：</w:t>
      </w:r>
      <w:r>
        <w:rPr>
          <w:rFonts w:hint="eastAsia"/>
          <w:bCs/>
          <w:color w:val="auto"/>
          <w:kern w:val="2"/>
          <w:sz w:val="24"/>
          <w:szCs w:val="24"/>
          <w:highlight w:val="none"/>
          <w:u w:val="single"/>
          <w:lang w:val="en-US" w:bidi="ar-SA"/>
        </w:rPr>
        <w:t xml:space="preserve">                                         </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4.应于</w:t>
      </w:r>
      <w:r>
        <w:rPr>
          <w:rFonts w:hint="eastAsia"/>
          <w:bCs/>
          <w:color w:val="auto"/>
          <w:kern w:val="2"/>
          <w:sz w:val="24"/>
          <w:szCs w:val="24"/>
          <w:highlight w:val="none"/>
          <w:u w:val="single"/>
          <w:lang w:val="en-US" w:bidi="ar-SA"/>
        </w:rPr>
        <w:t xml:space="preserve">  </w:t>
      </w:r>
      <w:r>
        <w:rPr>
          <w:rFonts w:hint="eastAsia"/>
          <w:bCs/>
          <w:color w:val="auto"/>
          <w:kern w:val="2"/>
          <w:sz w:val="24"/>
          <w:szCs w:val="24"/>
          <w:highlight w:val="none"/>
          <w:lang w:val="en-US" w:bidi="ar-SA"/>
        </w:rPr>
        <w:t>年</w:t>
      </w:r>
      <w:r>
        <w:rPr>
          <w:rFonts w:hint="eastAsia"/>
          <w:bCs/>
          <w:color w:val="auto"/>
          <w:kern w:val="2"/>
          <w:sz w:val="24"/>
          <w:szCs w:val="24"/>
          <w:highlight w:val="none"/>
          <w:u w:val="single"/>
          <w:lang w:val="en-US" w:bidi="ar-SA"/>
        </w:rPr>
        <w:t xml:space="preserve">  </w:t>
      </w:r>
      <w:r>
        <w:rPr>
          <w:rFonts w:hint="eastAsia"/>
          <w:bCs/>
          <w:color w:val="auto"/>
          <w:kern w:val="2"/>
          <w:sz w:val="24"/>
          <w:szCs w:val="24"/>
          <w:highlight w:val="none"/>
          <w:lang w:val="en-US" w:bidi="ar-SA"/>
        </w:rPr>
        <w:t>月</w:t>
      </w:r>
      <w:r>
        <w:rPr>
          <w:rFonts w:hint="eastAsia"/>
          <w:bCs/>
          <w:color w:val="auto"/>
          <w:kern w:val="2"/>
          <w:sz w:val="24"/>
          <w:szCs w:val="24"/>
          <w:highlight w:val="none"/>
          <w:u w:val="single"/>
          <w:lang w:val="en-US" w:bidi="ar-SA"/>
        </w:rPr>
        <w:t xml:space="preserve">  </w:t>
      </w:r>
      <w:r>
        <w:rPr>
          <w:rFonts w:hint="eastAsia"/>
          <w:bCs/>
          <w:color w:val="auto"/>
          <w:kern w:val="2"/>
          <w:sz w:val="24"/>
          <w:szCs w:val="24"/>
          <w:highlight w:val="none"/>
          <w:lang w:val="en-US" w:bidi="ar-SA"/>
        </w:rPr>
        <w:t>日提供上述资料，并对其完整性、正确性及时限负责；</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5.联系当地有关单位，协助乙方上门进行房屋安全鉴定工作和协助乙方进场进行房屋检测鉴定；</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6.协助乙方做好现场检测的安全工作；</w:t>
      </w:r>
    </w:p>
    <w:p>
      <w:pPr>
        <w:tabs>
          <w:tab w:val="left" w:pos="6510"/>
        </w:tabs>
        <w:autoSpaceDE/>
        <w:autoSpaceDN/>
        <w:spacing w:line="480" w:lineRule="exact"/>
        <w:ind w:firstLine="480" w:firstLineChars="200"/>
        <w:rPr>
          <w:bCs/>
          <w:color w:val="auto"/>
          <w:kern w:val="2"/>
          <w:sz w:val="24"/>
          <w:szCs w:val="24"/>
          <w:highlight w:val="none"/>
          <w:u w:val="single"/>
          <w:lang w:val="en-US" w:bidi="ar-SA"/>
        </w:rPr>
      </w:pPr>
      <w:r>
        <w:rPr>
          <w:rFonts w:hint="eastAsia"/>
          <w:bCs/>
          <w:color w:val="auto"/>
          <w:kern w:val="2"/>
          <w:sz w:val="24"/>
          <w:szCs w:val="24"/>
          <w:highlight w:val="none"/>
          <w:lang w:val="en-US" w:bidi="ar-SA"/>
        </w:rPr>
        <w:t xml:space="preserve">7. </w:t>
      </w:r>
      <w:r>
        <w:rPr>
          <w:rFonts w:hint="eastAsia"/>
          <w:bCs/>
          <w:color w:val="auto"/>
          <w:kern w:val="2"/>
          <w:sz w:val="24"/>
          <w:szCs w:val="24"/>
          <w:highlight w:val="none"/>
          <w:u w:val="single"/>
          <w:lang w:val="en-US" w:bidi="ar-SA"/>
        </w:rPr>
        <w:t xml:space="preserve">                                                  </w:t>
      </w:r>
    </w:p>
    <w:p>
      <w:pPr>
        <w:tabs>
          <w:tab w:val="left" w:pos="6510"/>
        </w:tabs>
        <w:autoSpaceDE/>
        <w:autoSpaceDN/>
        <w:spacing w:line="480" w:lineRule="exact"/>
        <w:ind w:firstLine="482" w:firstLineChars="200"/>
        <w:rPr>
          <w:b/>
          <w:color w:val="auto"/>
          <w:kern w:val="2"/>
          <w:sz w:val="24"/>
          <w:szCs w:val="24"/>
          <w:highlight w:val="none"/>
          <w:lang w:val="en-US" w:bidi="ar-SA"/>
        </w:rPr>
      </w:pPr>
      <w:r>
        <w:rPr>
          <w:rFonts w:hint="eastAsia"/>
          <w:b/>
          <w:color w:val="auto"/>
          <w:kern w:val="2"/>
          <w:sz w:val="24"/>
          <w:szCs w:val="24"/>
          <w:highlight w:val="none"/>
          <w:lang w:val="en-US" w:bidi="ar-SA"/>
        </w:rPr>
        <w:t>九、乙方责任</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1. 以国家、地方的有关技术规范和要求，为甲方提供本合同第三条规定的技术服务。</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2. 自备检测与鉴定必须的设备仪器。</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3. 以独立结构房屋为单位向甲方提交符合国家规范的鉴定报告</w:t>
      </w:r>
      <w:r>
        <w:rPr>
          <w:rFonts w:hint="eastAsia"/>
          <w:bCs/>
          <w:color w:val="auto"/>
          <w:kern w:val="2"/>
          <w:sz w:val="24"/>
          <w:szCs w:val="24"/>
          <w:highlight w:val="none"/>
          <w:u w:val="single"/>
          <w:lang w:val="en-US" w:bidi="ar-SA"/>
        </w:rPr>
        <w:t xml:space="preserve">  贰　</w:t>
      </w:r>
      <w:r>
        <w:rPr>
          <w:rFonts w:hint="eastAsia"/>
          <w:bCs/>
          <w:color w:val="auto"/>
          <w:kern w:val="2"/>
          <w:sz w:val="24"/>
          <w:szCs w:val="24"/>
          <w:highlight w:val="none"/>
          <w:lang w:val="en-US" w:bidi="ar-SA"/>
        </w:rPr>
        <w:t>份。</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4. 对鉴定报告中的测量数据及鉴定结果负责。</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5、配合甲方处理房屋安全鉴定的相关事宜和做好政府规定的检查工作。</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十、违约金或者损失赔偿额的计算</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违反本合同约定，违约方应当按照《中华人民共和国合同法》第七章相关条款的规定承担违约责任。</w:t>
      </w:r>
    </w:p>
    <w:p>
      <w:pPr>
        <w:tabs>
          <w:tab w:val="left" w:pos="6510"/>
        </w:tabs>
        <w:autoSpaceDE/>
        <w:autoSpaceDN/>
        <w:spacing w:line="480" w:lineRule="exact"/>
        <w:ind w:firstLine="482" w:firstLineChars="200"/>
        <w:rPr>
          <w:b/>
          <w:color w:val="auto"/>
          <w:kern w:val="2"/>
          <w:sz w:val="24"/>
          <w:szCs w:val="24"/>
          <w:highlight w:val="none"/>
          <w:lang w:val="en-US" w:bidi="ar-SA"/>
        </w:rPr>
      </w:pPr>
      <w:r>
        <w:rPr>
          <w:rFonts w:hint="eastAsia"/>
          <w:b/>
          <w:color w:val="auto"/>
          <w:kern w:val="2"/>
          <w:sz w:val="24"/>
          <w:szCs w:val="24"/>
          <w:highlight w:val="none"/>
          <w:lang w:val="en-US" w:bidi="ar-SA"/>
        </w:rPr>
        <w:t>十一、有关事宜</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（一）本合同执行过程中发生争议，甲乙双方应及时协商解决。如双方协商不成，可向市（区）建设、房地产行政主管部门申请调解或向法院申请诉讼。</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（二）未尽事宜，经双方协商一致，签订补充协议。</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（三）双方的协商补充条款、补充协议与本合同均具效力。</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（四）本合同经甲乙双方鉴字盖章即时生效。</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（五）本合同一式</w:t>
      </w:r>
      <w:r>
        <w:rPr>
          <w:rFonts w:hint="eastAsia"/>
          <w:bCs/>
          <w:color w:val="auto"/>
          <w:kern w:val="2"/>
          <w:sz w:val="24"/>
          <w:szCs w:val="24"/>
          <w:highlight w:val="none"/>
          <w:u w:val="single"/>
          <w:lang w:val="en-US" w:bidi="ar-SA"/>
        </w:rPr>
        <w:t>玖</w:t>
      </w:r>
      <w:r>
        <w:rPr>
          <w:rFonts w:hint="eastAsia"/>
          <w:bCs/>
          <w:color w:val="auto"/>
          <w:kern w:val="2"/>
          <w:sz w:val="24"/>
          <w:szCs w:val="24"/>
          <w:highlight w:val="none"/>
          <w:lang w:val="en-US" w:bidi="ar-SA"/>
        </w:rPr>
        <w:t>份，甲方执</w:t>
      </w:r>
      <w:r>
        <w:rPr>
          <w:rFonts w:hint="eastAsia"/>
          <w:bCs/>
          <w:color w:val="auto"/>
          <w:kern w:val="2"/>
          <w:sz w:val="24"/>
          <w:szCs w:val="24"/>
          <w:highlight w:val="none"/>
          <w:u w:val="single"/>
          <w:lang w:val="en-US" w:bidi="ar-SA"/>
        </w:rPr>
        <w:t>陆</w:t>
      </w:r>
      <w:r>
        <w:rPr>
          <w:rFonts w:hint="eastAsia"/>
          <w:bCs/>
          <w:color w:val="auto"/>
          <w:kern w:val="2"/>
          <w:sz w:val="24"/>
          <w:szCs w:val="24"/>
          <w:highlight w:val="none"/>
          <w:lang w:val="en-US" w:bidi="ar-SA"/>
        </w:rPr>
        <w:t>份，乙方执</w:t>
      </w:r>
      <w:r>
        <w:rPr>
          <w:rFonts w:hint="eastAsia"/>
          <w:bCs/>
          <w:color w:val="auto"/>
          <w:kern w:val="2"/>
          <w:sz w:val="24"/>
          <w:szCs w:val="24"/>
          <w:highlight w:val="none"/>
          <w:u w:val="single"/>
          <w:lang w:val="en-US" w:bidi="ar-SA"/>
        </w:rPr>
        <w:t>叁</w:t>
      </w:r>
      <w:r>
        <w:rPr>
          <w:rFonts w:hint="eastAsia"/>
          <w:bCs/>
          <w:color w:val="auto"/>
          <w:kern w:val="2"/>
          <w:sz w:val="24"/>
          <w:szCs w:val="24"/>
          <w:highlight w:val="none"/>
          <w:lang w:val="en-US" w:bidi="ar-SA"/>
        </w:rPr>
        <w:t>份。</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甲、乙双方确定，在本合同有效期内，甲方指定</w:t>
      </w:r>
      <w:r>
        <w:rPr>
          <w:rFonts w:hint="eastAsia"/>
          <w:bCs/>
          <w:color w:val="auto"/>
          <w:kern w:val="2"/>
          <w:sz w:val="24"/>
          <w:szCs w:val="24"/>
          <w:highlight w:val="none"/>
          <w:u w:val="single"/>
          <w:lang w:val="en-US" w:bidi="ar-SA"/>
        </w:rPr>
        <w:t>　　  　　</w:t>
      </w:r>
      <w:r>
        <w:rPr>
          <w:rFonts w:hint="eastAsia"/>
          <w:bCs/>
          <w:color w:val="auto"/>
          <w:kern w:val="2"/>
          <w:sz w:val="24"/>
          <w:szCs w:val="24"/>
          <w:highlight w:val="none"/>
          <w:lang w:val="en-US" w:bidi="ar-SA"/>
        </w:rPr>
        <w:t>为甲方项目联系人，乙方指定</w:t>
      </w:r>
      <w:r>
        <w:rPr>
          <w:rFonts w:hint="eastAsia"/>
          <w:bCs/>
          <w:color w:val="auto"/>
          <w:kern w:val="2"/>
          <w:sz w:val="24"/>
          <w:szCs w:val="24"/>
          <w:highlight w:val="none"/>
          <w:u w:val="single"/>
          <w:lang w:val="en-US" w:bidi="ar-SA"/>
        </w:rPr>
        <w:t>　      　</w:t>
      </w:r>
      <w:r>
        <w:rPr>
          <w:rFonts w:hint="eastAsia"/>
          <w:bCs/>
          <w:color w:val="auto"/>
          <w:kern w:val="2"/>
          <w:sz w:val="24"/>
          <w:szCs w:val="24"/>
          <w:highlight w:val="none"/>
          <w:lang w:val="en-US" w:bidi="ar-SA"/>
        </w:rPr>
        <w:t>为乙方项目联系人，项目联系人负责本项目进行过程中的协调工作，以使本项目顺利进行。</w:t>
      </w:r>
    </w:p>
    <w:p>
      <w:pPr>
        <w:tabs>
          <w:tab w:val="left" w:pos="6510"/>
        </w:tabs>
        <w:autoSpaceDE/>
        <w:autoSpaceDN/>
        <w:spacing w:line="480" w:lineRule="exact"/>
        <w:ind w:firstLine="482" w:firstLineChars="200"/>
        <w:rPr>
          <w:b/>
          <w:color w:val="auto"/>
          <w:kern w:val="2"/>
          <w:sz w:val="24"/>
          <w:szCs w:val="24"/>
          <w:highlight w:val="none"/>
          <w:lang w:val="en-US" w:bidi="ar-SA"/>
        </w:rPr>
      </w:pPr>
      <w:r>
        <w:rPr>
          <w:rFonts w:hint="eastAsia"/>
          <w:b/>
          <w:color w:val="auto"/>
          <w:kern w:val="2"/>
          <w:sz w:val="24"/>
          <w:szCs w:val="24"/>
          <w:highlight w:val="none"/>
          <w:lang w:val="en-US" w:bidi="ar-SA"/>
        </w:rPr>
        <w:t>十二、 合同生效</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 xml:space="preserve">合同订立时间： </w:t>
      </w:r>
      <w:r>
        <w:rPr>
          <w:rFonts w:hint="eastAsia"/>
          <w:bCs/>
          <w:color w:val="auto"/>
          <w:kern w:val="2"/>
          <w:sz w:val="24"/>
          <w:szCs w:val="24"/>
          <w:highlight w:val="none"/>
          <w:u w:val="single"/>
          <w:lang w:val="en-US" w:bidi="ar-SA"/>
        </w:rPr>
        <w:t xml:space="preserve">           </w:t>
      </w:r>
      <w:r>
        <w:rPr>
          <w:rFonts w:hint="eastAsia"/>
          <w:bCs/>
          <w:color w:val="auto"/>
          <w:kern w:val="2"/>
          <w:sz w:val="24"/>
          <w:szCs w:val="24"/>
          <w:highlight w:val="none"/>
          <w:lang w:val="en-US" w:bidi="ar-SA"/>
        </w:rPr>
        <w:t xml:space="preserve"> 年 </w:t>
      </w:r>
      <w:r>
        <w:rPr>
          <w:rFonts w:hint="eastAsia"/>
          <w:bCs/>
          <w:color w:val="auto"/>
          <w:kern w:val="2"/>
          <w:sz w:val="24"/>
          <w:szCs w:val="24"/>
          <w:highlight w:val="none"/>
          <w:u w:val="single"/>
          <w:lang w:val="en-US" w:bidi="ar-SA"/>
        </w:rPr>
        <w:t xml:space="preserve">        </w:t>
      </w:r>
      <w:r>
        <w:rPr>
          <w:rFonts w:hint="eastAsia"/>
          <w:bCs/>
          <w:color w:val="auto"/>
          <w:kern w:val="2"/>
          <w:sz w:val="24"/>
          <w:szCs w:val="24"/>
          <w:highlight w:val="none"/>
          <w:lang w:val="en-US" w:bidi="ar-SA"/>
        </w:rPr>
        <w:t>月</w:t>
      </w:r>
      <w:r>
        <w:rPr>
          <w:rFonts w:hint="eastAsia"/>
          <w:bCs/>
          <w:color w:val="auto"/>
          <w:kern w:val="2"/>
          <w:sz w:val="24"/>
          <w:szCs w:val="24"/>
          <w:highlight w:val="none"/>
          <w:u w:val="single"/>
          <w:lang w:val="en-US" w:bidi="ar-SA"/>
        </w:rPr>
        <w:t xml:space="preserve">        </w:t>
      </w:r>
      <w:r>
        <w:rPr>
          <w:rFonts w:hint="eastAsia"/>
          <w:bCs/>
          <w:color w:val="auto"/>
          <w:kern w:val="2"/>
          <w:sz w:val="24"/>
          <w:szCs w:val="24"/>
          <w:highlight w:val="none"/>
          <w:lang w:val="en-US" w:bidi="ar-SA"/>
        </w:rPr>
        <w:t>日</w:t>
      </w:r>
    </w:p>
    <w:p>
      <w:pPr>
        <w:tabs>
          <w:tab w:val="left" w:pos="6510"/>
        </w:tabs>
        <w:autoSpaceDE/>
        <w:autoSpaceDN/>
        <w:spacing w:line="480" w:lineRule="exact"/>
        <w:ind w:firstLine="480" w:firstLineChars="200"/>
        <w:rPr>
          <w:bCs/>
          <w:color w:val="auto"/>
          <w:kern w:val="2"/>
          <w:sz w:val="24"/>
          <w:szCs w:val="24"/>
          <w:highlight w:val="none"/>
          <w:u w:val="single"/>
          <w:lang w:val="en-US" w:bidi="ar-SA"/>
        </w:rPr>
      </w:pPr>
      <w:r>
        <w:rPr>
          <w:rFonts w:hint="eastAsia"/>
          <w:bCs/>
          <w:color w:val="auto"/>
          <w:kern w:val="2"/>
          <w:sz w:val="24"/>
          <w:szCs w:val="24"/>
          <w:highlight w:val="none"/>
          <w:lang w:val="en-US" w:bidi="ar-SA"/>
        </w:rPr>
        <w:t>合同订立地点：</w:t>
      </w:r>
      <w:r>
        <w:rPr>
          <w:rFonts w:hint="eastAsia"/>
          <w:bCs/>
          <w:color w:val="auto"/>
          <w:kern w:val="2"/>
          <w:sz w:val="24"/>
          <w:szCs w:val="24"/>
          <w:highlight w:val="none"/>
          <w:u w:val="single"/>
          <w:lang w:val="en-US" w:bidi="ar-SA"/>
        </w:rPr>
        <w:t xml:space="preserve">                                   </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本合同双方约定</w:t>
      </w:r>
      <w:r>
        <w:rPr>
          <w:rFonts w:hint="eastAsia"/>
          <w:bCs/>
          <w:color w:val="auto"/>
          <w:kern w:val="2"/>
          <w:sz w:val="24"/>
          <w:szCs w:val="24"/>
          <w:highlight w:val="none"/>
          <w:u w:val="single"/>
          <w:lang w:val="en-US" w:bidi="ar-SA"/>
        </w:rPr>
        <w:t xml:space="preserve">：           </w:t>
      </w:r>
      <w:r>
        <w:rPr>
          <w:rFonts w:hint="eastAsia"/>
          <w:bCs/>
          <w:color w:val="auto"/>
          <w:kern w:val="2"/>
          <w:sz w:val="24"/>
          <w:szCs w:val="24"/>
          <w:highlight w:val="none"/>
          <w:lang w:val="en-US" w:bidi="ar-SA"/>
        </w:rPr>
        <w:t>后生效;</w:t>
      </w:r>
      <w:r>
        <w:rPr>
          <w:rFonts w:hint="eastAsia"/>
          <w:bCs/>
          <w:color w:val="auto"/>
          <w:kern w:val="2"/>
          <w:sz w:val="24"/>
          <w:szCs w:val="24"/>
          <w:highlight w:val="none"/>
          <w:u w:val="single"/>
          <w:lang w:val="en-US" w:bidi="ar-SA"/>
        </w:rPr>
        <w:t xml:space="preserve">              </w:t>
      </w:r>
      <w:r>
        <w:rPr>
          <w:rFonts w:hint="eastAsia"/>
          <w:bCs/>
          <w:color w:val="auto"/>
          <w:kern w:val="2"/>
          <w:sz w:val="24"/>
          <w:szCs w:val="24"/>
          <w:highlight w:val="none"/>
          <w:lang w:val="en-US" w:bidi="ar-SA"/>
        </w:rPr>
        <w:t>后失效。</w:t>
      </w:r>
    </w:p>
    <w:p>
      <w:pPr>
        <w:tabs>
          <w:tab w:val="left" w:pos="6510"/>
        </w:tabs>
        <w:autoSpaceDE/>
        <w:autoSpaceDN/>
        <w:spacing w:line="480" w:lineRule="exact"/>
        <w:ind w:firstLine="480" w:firstLineChars="200"/>
        <w:rPr>
          <w:bCs/>
          <w:color w:val="auto"/>
          <w:kern w:val="2"/>
          <w:sz w:val="24"/>
          <w:szCs w:val="24"/>
          <w:highlight w:val="none"/>
          <w:lang w:val="en-US" w:bidi="ar-SA"/>
        </w:rPr>
      </w:pPr>
    </w:p>
    <w:p>
      <w:pPr>
        <w:tabs>
          <w:tab w:val="left" w:pos="6510"/>
        </w:tabs>
        <w:autoSpaceDE/>
        <w:autoSpaceDN/>
        <w:spacing w:line="480" w:lineRule="exact"/>
        <w:ind w:firstLine="480" w:firstLineChars="200"/>
        <w:rPr>
          <w:bCs/>
          <w:color w:val="auto"/>
          <w:kern w:val="2"/>
          <w:sz w:val="24"/>
          <w:szCs w:val="24"/>
          <w:highlight w:val="none"/>
          <w:lang w:val="en-US" w:bidi="ar-SA"/>
        </w:rPr>
      </w:pP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（以下无正文，本页为签署页）</w:t>
      </w:r>
    </w:p>
    <w:p>
      <w:pPr>
        <w:tabs>
          <w:tab w:val="left" w:pos="6510"/>
        </w:tabs>
        <w:autoSpaceDE/>
        <w:autoSpaceDN/>
        <w:spacing w:line="480" w:lineRule="exact"/>
        <w:ind w:firstLine="480" w:firstLineChars="200"/>
        <w:rPr>
          <w:bCs/>
          <w:color w:val="auto"/>
          <w:kern w:val="2"/>
          <w:sz w:val="24"/>
          <w:szCs w:val="24"/>
          <w:highlight w:val="none"/>
          <w:lang w:val="en-US" w:bidi="ar-SA"/>
        </w:rPr>
      </w:pP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 xml:space="preserve">甲方：                                   乙方： </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 xml:space="preserve">                                    </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 xml:space="preserve">（盖章）                                 （盖章）                                  </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 xml:space="preserve">负责人：       　　　　  　　  　　　    负责人：   </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联系人：                                 联系人：</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 xml:space="preserve">地    址：                               地    址：                                                    </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邮政编码：      　　　　　　             邮政编码：</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电    话：                               电    话：</w:t>
      </w:r>
    </w:p>
    <w:p>
      <w:pPr>
        <w:tabs>
          <w:tab w:val="left" w:pos="6510"/>
        </w:tabs>
        <w:autoSpaceDE/>
        <w:autoSpaceDN/>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传    真： 　　　　　　　　　            传    真：</w:t>
      </w:r>
    </w:p>
    <w:p>
      <w:pPr>
        <w:tabs>
          <w:tab w:val="left" w:pos="6510"/>
        </w:tabs>
        <w:autoSpaceDE/>
        <w:autoSpaceDN/>
        <w:spacing w:line="480" w:lineRule="exact"/>
        <w:ind w:firstLine="480" w:firstLineChars="200"/>
        <w:rPr>
          <w:bCs/>
          <w:color w:val="auto"/>
          <w:kern w:val="2"/>
          <w:sz w:val="24"/>
          <w:szCs w:val="24"/>
          <w:highlight w:val="none"/>
          <w:lang w:val="en-US" w:bidi="ar-SA"/>
        </w:rPr>
      </w:pPr>
    </w:p>
    <w:p>
      <w:pPr>
        <w:tabs>
          <w:tab w:val="left" w:pos="6510"/>
        </w:tabs>
        <w:autoSpaceDE/>
        <w:autoSpaceDN/>
        <w:spacing w:line="480" w:lineRule="exact"/>
        <w:ind w:firstLine="480" w:firstLineChars="200"/>
        <w:rPr>
          <w:bCs/>
          <w:color w:val="auto"/>
          <w:kern w:val="2"/>
          <w:sz w:val="24"/>
          <w:szCs w:val="24"/>
          <w:highlight w:val="none"/>
          <w:lang w:val="en-US" w:bidi="ar-SA"/>
        </w:rPr>
      </w:pPr>
    </w:p>
    <w:p>
      <w:pPr>
        <w:tabs>
          <w:tab w:val="left" w:pos="6510"/>
        </w:tabs>
        <w:autoSpaceDE/>
        <w:autoSpaceDN/>
        <w:spacing w:line="480" w:lineRule="exact"/>
        <w:ind w:firstLine="480" w:firstLineChars="200"/>
        <w:rPr>
          <w:bCs/>
          <w:color w:val="auto"/>
          <w:kern w:val="2"/>
          <w:sz w:val="24"/>
          <w:szCs w:val="24"/>
          <w:highlight w:val="none"/>
          <w:lang w:val="en-US" w:bidi="ar-SA"/>
        </w:rPr>
      </w:pPr>
    </w:p>
    <w:p>
      <w:pPr>
        <w:pStyle w:val="4"/>
        <w:rPr>
          <w:rFonts w:ascii="宋体" w:hAnsi="宋体" w:eastAsia="宋体" w:cs="宋体"/>
          <w:b w:val="0"/>
          <w:color w:val="auto"/>
          <w:kern w:val="2"/>
          <w:sz w:val="24"/>
          <w:szCs w:val="24"/>
          <w:highlight w:val="none"/>
          <w:lang w:val="en-US" w:bidi="ar-SA"/>
        </w:rPr>
      </w:pPr>
    </w:p>
    <w:p>
      <w:pPr>
        <w:rPr>
          <w:bCs/>
          <w:color w:val="auto"/>
          <w:kern w:val="2"/>
          <w:sz w:val="24"/>
          <w:szCs w:val="24"/>
          <w:highlight w:val="none"/>
          <w:lang w:val="en-US" w:bidi="ar-SA"/>
        </w:rPr>
      </w:pPr>
    </w:p>
    <w:p>
      <w:pPr>
        <w:pStyle w:val="4"/>
        <w:rPr>
          <w:rFonts w:ascii="宋体" w:hAnsi="宋体" w:eastAsia="宋体" w:cs="宋体"/>
          <w:b w:val="0"/>
          <w:color w:val="auto"/>
          <w:kern w:val="2"/>
          <w:sz w:val="24"/>
          <w:szCs w:val="24"/>
          <w:highlight w:val="none"/>
          <w:lang w:val="en-US" w:bidi="ar-SA"/>
        </w:rPr>
      </w:pPr>
    </w:p>
    <w:p>
      <w:pPr>
        <w:rPr>
          <w:bCs/>
          <w:color w:val="auto"/>
          <w:kern w:val="2"/>
          <w:sz w:val="24"/>
          <w:szCs w:val="24"/>
          <w:highlight w:val="none"/>
          <w:lang w:val="en-US" w:bidi="ar-SA"/>
        </w:rPr>
      </w:pPr>
    </w:p>
    <w:p>
      <w:pPr>
        <w:pStyle w:val="4"/>
        <w:rPr>
          <w:rFonts w:ascii="宋体" w:hAnsi="宋体" w:eastAsia="宋体" w:cs="宋体"/>
          <w:b w:val="0"/>
          <w:color w:val="auto"/>
          <w:kern w:val="2"/>
          <w:sz w:val="24"/>
          <w:szCs w:val="24"/>
          <w:highlight w:val="none"/>
          <w:lang w:val="en-US" w:bidi="ar-SA"/>
        </w:rPr>
      </w:pPr>
    </w:p>
    <w:p>
      <w:pPr>
        <w:rPr>
          <w:bCs/>
          <w:color w:val="auto"/>
          <w:kern w:val="2"/>
          <w:sz w:val="24"/>
          <w:szCs w:val="24"/>
          <w:highlight w:val="none"/>
          <w:lang w:val="en-US" w:bidi="ar-SA"/>
        </w:rPr>
      </w:pPr>
    </w:p>
    <w:p>
      <w:pPr>
        <w:pStyle w:val="4"/>
        <w:rPr>
          <w:color w:val="auto"/>
          <w:highlight w:val="none"/>
          <w:lang w:val="en-US"/>
        </w:rPr>
      </w:pPr>
    </w:p>
    <w:p>
      <w:pPr>
        <w:spacing w:line="360" w:lineRule="auto"/>
        <w:rPr>
          <w:bCs/>
          <w:color w:val="auto"/>
          <w:kern w:val="2"/>
          <w:sz w:val="36"/>
          <w:szCs w:val="36"/>
          <w:highlight w:val="none"/>
          <w:lang w:val="en-US" w:bidi="ar-SA"/>
        </w:rPr>
      </w:pPr>
      <w:bookmarkStart w:id="31" w:name="_bookmark94"/>
      <w:bookmarkEnd w:id="31"/>
    </w:p>
    <w:p>
      <w:pPr>
        <w:pStyle w:val="4"/>
        <w:rPr>
          <w:rFonts w:ascii="宋体" w:hAnsi="宋体" w:eastAsia="宋体" w:cs="宋体"/>
          <w:b w:val="0"/>
          <w:color w:val="auto"/>
          <w:kern w:val="2"/>
          <w:sz w:val="36"/>
          <w:szCs w:val="36"/>
          <w:highlight w:val="none"/>
          <w:lang w:val="en-US" w:bidi="ar-SA"/>
        </w:rPr>
      </w:pPr>
    </w:p>
    <w:p>
      <w:pPr>
        <w:rPr>
          <w:color w:val="auto"/>
          <w:highlight w:val="none"/>
          <w:lang w:val="en-US"/>
        </w:rPr>
      </w:pPr>
    </w:p>
    <w:p>
      <w:pPr>
        <w:spacing w:line="360" w:lineRule="auto"/>
        <w:jc w:val="center"/>
        <w:rPr>
          <w:bCs/>
          <w:color w:val="auto"/>
          <w:kern w:val="2"/>
          <w:sz w:val="36"/>
          <w:szCs w:val="36"/>
          <w:highlight w:val="none"/>
          <w:lang w:val="en-US" w:bidi="ar-SA"/>
        </w:rPr>
      </w:pPr>
      <w:r>
        <w:rPr>
          <w:rFonts w:hint="eastAsia"/>
          <w:bCs/>
          <w:color w:val="auto"/>
          <w:kern w:val="2"/>
          <w:sz w:val="36"/>
          <w:szCs w:val="36"/>
          <w:highlight w:val="none"/>
          <w:lang w:val="en-US" w:bidi="ar-SA"/>
        </w:rPr>
        <w:t>工程建设项目廉政责任书</w:t>
      </w:r>
    </w:p>
    <w:p>
      <w:pPr>
        <w:spacing w:line="480" w:lineRule="exact"/>
        <w:rPr>
          <w:bCs/>
          <w:color w:val="auto"/>
          <w:kern w:val="2"/>
          <w:sz w:val="24"/>
          <w:szCs w:val="24"/>
          <w:highlight w:val="none"/>
          <w:u w:val="single"/>
          <w:lang w:val="en-US" w:bidi="ar-SA"/>
        </w:rPr>
      </w:pPr>
      <w:r>
        <w:rPr>
          <w:rFonts w:hint="eastAsia"/>
          <w:bCs/>
          <w:color w:val="auto"/>
          <w:kern w:val="2"/>
          <w:sz w:val="24"/>
          <w:szCs w:val="24"/>
          <w:highlight w:val="none"/>
          <w:lang w:val="en-US" w:bidi="ar-SA"/>
        </w:rPr>
        <w:t>工程项目名称：</w:t>
      </w:r>
      <w:r>
        <w:rPr>
          <w:rFonts w:hint="eastAsia"/>
          <w:bCs/>
          <w:color w:val="auto"/>
          <w:kern w:val="2"/>
          <w:sz w:val="24"/>
          <w:szCs w:val="24"/>
          <w:highlight w:val="none"/>
          <w:u w:val="single"/>
          <w:lang w:val="en-US" w:bidi="ar-SA"/>
        </w:rPr>
        <w:t xml:space="preserve">                           </w:t>
      </w:r>
    </w:p>
    <w:p>
      <w:pPr>
        <w:spacing w:line="480" w:lineRule="exact"/>
        <w:rPr>
          <w:bCs/>
          <w:color w:val="auto"/>
          <w:kern w:val="2"/>
          <w:sz w:val="24"/>
          <w:szCs w:val="24"/>
          <w:highlight w:val="none"/>
          <w:u w:val="single"/>
          <w:lang w:val="en-US" w:bidi="ar-SA"/>
        </w:rPr>
      </w:pPr>
      <w:r>
        <w:rPr>
          <w:rFonts w:hint="eastAsia"/>
          <w:bCs/>
          <w:color w:val="auto"/>
          <w:kern w:val="2"/>
          <w:sz w:val="24"/>
          <w:szCs w:val="24"/>
          <w:highlight w:val="none"/>
          <w:lang w:val="en-US" w:bidi="ar-SA"/>
        </w:rPr>
        <w:t>工程项目地址：</w:t>
      </w:r>
      <w:r>
        <w:rPr>
          <w:rFonts w:hint="eastAsia"/>
          <w:bCs/>
          <w:color w:val="auto"/>
          <w:kern w:val="2"/>
          <w:sz w:val="24"/>
          <w:szCs w:val="24"/>
          <w:highlight w:val="none"/>
          <w:u w:val="single"/>
          <w:lang w:val="en-US" w:bidi="ar-SA"/>
        </w:rPr>
        <w:t>广州荔湾区</w:t>
      </w:r>
    </w:p>
    <w:p>
      <w:pPr>
        <w:spacing w:line="480" w:lineRule="exact"/>
        <w:rPr>
          <w:bCs/>
          <w:color w:val="auto"/>
          <w:kern w:val="2"/>
          <w:sz w:val="24"/>
          <w:szCs w:val="24"/>
          <w:highlight w:val="none"/>
          <w:lang w:val="en-US" w:bidi="ar-SA"/>
        </w:rPr>
      </w:pPr>
      <w:r>
        <w:rPr>
          <w:rFonts w:hint="eastAsia"/>
          <w:bCs/>
          <w:color w:val="auto"/>
          <w:kern w:val="2"/>
          <w:sz w:val="24"/>
          <w:szCs w:val="24"/>
          <w:highlight w:val="none"/>
          <w:lang w:val="en-US" w:bidi="ar-SA"/>
        </w:rPr>
        <w:t>发包单位：</w:t>
      </w:r>
      <w:r>
        <w:rPr>
          <w:rFonts w:hint="eastAsia"/>
          <w:bCs/>
          <w:color w:val="auto"/>
          <w:kern w:val="2"/>
          <w:sz w:val="24"/>
          <w:szCs w:val="24"/>
          <w:highlight w:val="none"/>
          <w:u w:val="single"/>
          <w:lang w:val="en-US" w:bidi="ar-SA"/>
        </w:rPr>
        <w:t xml:space="preserve">                       </w:t>
      </w:r>
      <w:r>
        <w:rPr>
          <w:rFonts w:hint="eastAsia"/>
          <w:bCs/>
          <w:color w:val="auto"/>
          <w:kern w:val="2"/>
          <w:sz w:val="24"/>
          <w:szCs w:val="24"/>
          <w:highlight w:val="none"/>
          <w:lang w:val="en-US" w:bidi="ar-SA"/>
        </w:rPr>
        <w:t>（业主）（以下简称甲方）</w:t>
      </w:r>
    </w:p>
    <w:p>
      <w:pPr>
        <w:spacing w:line="480" w:lineRule="exact"/>
        <w:rPr>
          <w:bCs/>
          <w:color w:val="auto"/>
          <w:kern w:val="2"/>
          <w:sz w:val="24"/>
          <w:szCs w:val="24"/>
          <w:highlight w:val="none"/>
          <w:lang w:val="en-US" w:bidi="ar-SA"/>
        </w:rPr>
      </w:pPr>
      <w:r>
        <w:rPr>
          <w:rFonts w:hint="eastAsia"/>
          <w:bCs/>
          <w:color w:val="auto"/>
          <w:kern w:val="2"/>
          <w:sz w:val="24"/>
          <w:szCs w:val="24"/>
          <w:highlight w:val="none"/>
          <w:lang w:val="en-US" w:bidi="ar-SA"/>
        </w:rPr>
        <w:t>建设管理单位：</w:t>
      </w:r>
      <w:r>
        <w:rPr>
          <w:rFonts w:hint="eastAsia"/>
          <w:bCs/>
          <w:color w:val="auto"/>
          <w:kern w:val="2"/>
          <w:sz w:val="24"/>
          <w:szCs w:val="24"/>
          <w:highlight w:val="none"/>
          <w:u w:val="single"/>
          <w:lang w:val="en-US" w:bidi="ar-SA"/>
        </w:rPr>
        <w:t xml:space="preserve">                                          </w:t>
      </w:r>
      <w:r>
        <w:rPr>
          <w:rFonts w:hint="eastAsia"/>
          <w:bCs/>
          <w:color w:val="auto"/>
          <w:kern w:val="2"/>
          <w:sz w:val="24"/>
          <w:szCs w:val="24"/>
          <w:highlight w:val="none"/>
          <w:lang w:val="en-US" w:bidi="ar-SA"/>
        </w:rPr>
        <w:t xml:space="preserve">  </w:t>
      </w:r>
    </w:p>
    <w:p>
      <w:pPr>
        <w:spacing w:line="480" w:lineRule="exact"/>
        <w:rPr>
          <w:bCs/>
          <w:color w:val="auto"/>
          <w:kern w:val="2"/>
          <w:sz w:val="24"/>
          <w:szCs w:val="24"/>
          <w:highlight w:val="none"/>
          <w:lang w:val="en-US" w:bidi="ar-SA"/>
        </w:rPr>
      </w:pPr>
      <w:r>
        <w:rPr>
          <w:rFonts w:hint="eastAsia"/>
          <w:bCs/>
          <w:color w:val="auto"/>
          <w:kern w:val="2"/>
          <w:sz w:val="24"/>
          <w:szCs w:val="24"/>
          <w:highlight w:val="none"/>
          <w:lang w:val="en-US" w:bidi="ar-SA"/>
        </w:rPr>
        <w:t>承包单位：</w:t>
      </w:r>
      <w:r>
        <w:rPr>
          <w:rFonts w:hint="eastAsia"/>
          <w:bCs/>
          <w:color w:val="auto"/>
          <w:kern w:val="2"/>
          <w:sz w:val="24"/>
          <w:szCs w:val="24"/>
          <w:highlight w:val="none"/>
          <w:u w:val="single"/>
          <w:lang w:val="en-US" w:bidi="ar-SA"/>
        </w:rPr>
        <w:t xml:space="preserve">                                </w:t>
      </w:r>
      <w:r>
        <w:rPr>
          <w:rFonts w:hint="eastAsia"/>
          <w:bCs/>
          <w:color w:val="auto"/>
          <w:kern w:val="2"/>
          <w:sz w:val="24"/>
          <w:szCs w:val="24"/>
          <w:highlight w:val="none"/>
          <w:lang w:val="en-US" w:bidi="ar-SA"/>
        </w:rPr>
        <w:t>（以下简称乙方）</w:t>
      </w:r>
    </w:p>
    <w:p>
      <w:pPr>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为加强工程建设中的廉政建设，规范工程建设项目承发包双方的各项活动，防止发生各种谋取不正当利益的违法违纪行为，保护当事人的合法权益，促进工程建设项目高效廉洁运行及建设资金的安全使用，根据国家有关工程建设的法律法规和廉政建设责任制规定，特订立本廉政协议书。经甲乙双方确认一致，甲乙双方各自的法定代表人（或授权委托人）签署本责任书后，本责任书作为甲乙双方所有业务往来合同的附件。</w:t>
      </w:r>
    </w:p>
    <w:p>
      <w:pPr>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第一条 甲乙双方的责任</w:t>
      </w:r>
    </w:p>
    <w:p>
      <w:pPr>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（一）严格遵守国家关于市场准入、项目招标投标、工程建设、施工安装和市场活动等有关法律、法规，相关政策，以及廉政建设的各项规定。</w:t>
      </w:r>
    </w:p>
    <w:p>
      <w:pPr>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（二）严格执行建设工程项目承发包合同文件，自觉按合同办事。</w:t>
      </w:r>
    </w:p>
    <w:p>
      <w:pPr>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三）业务活动必须坚持公开、公平、公正、诚信、透明的原则（项目涉及保密、法律法规另有规定者除外），不得为获取不正当的利益，损害国家、集体和对方利益，不得违反工程建设管理、施工安装的规章制度。</w:t>
      </w:r>
    </w:p>
    <w:p>
      <w:pPr>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（四）发现对方在业务活动中有违规、违纪、违法行为的，应及时提醒对方，情节严重的，应向其上级主管部门或纪检监察、司法等有关机关举报。</w:t>
      </w:r>
    </w:p>
    <w:p>
      <w:pPr>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第二条甲方的责任</w:t>
      </w:r>
    </w:p>
    <w:p>
      <w:pPr>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甲方的领导和从事该建设工程项目的工作人员，在工程建设的事前、事中、事后应遵守以下规定：</w:t>
      </w:r>
    </w:p>
    <w:p>
      <w:pPr>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（一）不准向乙方和相关单位索要或接受回扣、礼金、有价证券、贵重物品和好处费、感谢费等。</w:t>
      </w:r>
    </w:p>
    <w:p>
      <w:pPr>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（二）不准在乙方和相关单位报销任何应由甲方或甲方个人支付的费用。</w:t>
      </w:r>
    </w:p>
    <w:p>
      <w:pPr>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（三）不准要求、暗示和接受乙方和相关单位为个人装修住房、婚丧嫁娶、配偶子女的工作安排以及出国（境）、旅游等提供方便。</w:t>
      </w:r>
    </w:p>
    <w:p>
      <w:pPr>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（四）不准参加有可能影响公正执行公务的乙方和相关单位的宴请和健身、娱乐等活动。</w:t>
      </w:r>
    </w:p>
    <w:p>
      <w:pPr>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pPr>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（六）不得有违反法律法规、廉政政策规范、合同约定等的违法违规行为。</w:t>
      </w:r>
    </w:p>
    <w:p>
      <w:pPr>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第三条乙方的责任</w:t>
      </w:r>
    </w:p>
    <w:p>
      <w:pPr>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应与甲方保持正常的业务往来，按照有关法律法规和程序开展业务工作，严格执行工程建设的有关方针、政策，尤其是有关建筑施工安装的强制性标准和规范，并遵守以下规定：</w:t>
      </w:r>
    </w:p>
    <w:p>
      <w:pPr>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（一）不准以任何理由向甲方、相关单位及其工作人员索要、接收或赠送礼金、有价证券、贵重物品和回扣、好处费、感谢费等。</w:t>
      </w:r>
    </w:p>
    <w:p>
      <w:pPr>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（二）不准以任何理由为甲方和相关单位报销应由对方或甲方个人支付的费用。</w:t>
      </w:r>
    </w:p>
    <w:p>
      <w:pPr>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（三）不准接受或暗示为甲方、相关单位或甲方个人装修住房、婚丧嫁娶、配偶子女的工作安排以及出国（境）、旅游等提供方便。</w:t>
      </w:r>
    </w:p>
    <w:p>
      <w:pPr>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（四）不准以任何理由为甲方、相关单位或甲方个人组织有可能影响公正执行公务的宴请、健身、娱乐等活动。</w:t>
      </w:r>
    </w:p>
    <w:p>
      <w:pPr>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（五）不得有违反法律法规、廉政政策规范、合同约定等的违法违规行为。</w:t>
      </w:r>
    </w:p>
    <w:p>
      <w:pPr>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第四条违约责任</w:t>
      </w:r>
    </w:p>
    <w:p>
      <w:pPr>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一）甲方工作人员有违反本责任书第一、二条责任行为的，按照管理权限，依据有关法律法规和规定给与党纪、政纪处分或组织处理；涉嫌犯罪的，移交司法机关追究刑事责任；给乙方造成经济损失的，应予以赔偿。</w:t>
      </w:r>
    </w:p>
    <w:p>
      <w:pPr>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二）乙方工作人员有违反本责任书第一、三条责任行为的，按照管理权限，依据有关法律法规和规定给与党纪、政纪处分或组织处理；涉嫌犯罪的，移交司法机关追究刑事责任；给甲方造成经济损失的，应予以赔偿。</w:t>
      </w:r>
    </w:p>
    <w:p>
      <w:pPr>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第五条本责任书作为工程房屋鉴定合同的附件，与工程房屋鉴定合同具有同等法律效力。经双方签署后立即生效。</w:t>
      </w:r>
    </w:p>
    <w:p>
      <w:pPr>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第六条本责任书的有效期为双方签署之日起至该工程质保期满，且工程结算手续全部完成之日止。</w:t>
      </w:r>
    </w:p>
    <w:p>
      <w:pPr>
        <w:spacing w:line="480" w:lineRule="exact"/>
        <w:ind w:firstLine="480" w:firstLineChars="200"/>
        <w:rPr>
          <w:bCs/>
          <w:color w:val="auto"/>
          <w:kern w:val="2"/>
          <w:sz w:val="24"/>
          <w:szCs w:val="24"/>
          <w:highlight w:val="none"/>
          <w:lang w:val="en-US" w:bidi="ar-SA"/>
        </w:rPr>
      </w:pPr>
      <w:r>
        <w:rPr>
          <w:rFonts w:hint="eastAsia"/>
          <w:bCs/>
          <w:color w:val="auto"/>
          <w:kern w:val="2"/>
          <w:sz w:val="24"/>
          <w:szCs w:val="24"/>
          <w:highlight w:val="none"/>
          <w:lang w:val="en-US" w:bidi="ar-SA"/>
        </w:rPr>
        <w:t xml:space="preserve">第七条本责任书一式 </w:t>
      </w:r>
      <w:r>
        <w:rPr>
          <w:rFonts w:hint="eastAsia"/>
          <w:bCs/>
          <w:color w:val="auto"/>
          <w:kern w:val="2"/>
          <w:sz w:val="24"/>
          <w:szCs w:val="24"/>
          <w:highlight w:val="none"/>
          <w:u w:val="single"/>
          <w:lang w:val="en-US" w:bidi="ar-SA"/>
        </w:rPr>
        <w:t xml:space="preserve">玖 </w:t>
      </w:r>
      <w:r>
        <w:rPr>
          <w:rFonts w:hint="eastAsia"/>
          <w:bCs/>
          <w:color w:val="auto"/>
          <w:kern w:val="2"/>
          <w:sz w:val="24"/>
          <w:szCs w:val="24"/>
          <w:highlight w:val="none"/>
          <w:lang w:val="en-US" w:bidi="ar-SA"/>
        </w:rPr>
        <w:t xml:space="preserve">份，甲方执陆份，乙方执叁份。  </w:t>
      </w:r>
    </w:p>
    <w:p>
      <w:pPr>
        <w:spacing w:line="360" w:lineRule="auto"/>
        <w:rPr>
          <w:color w:val="auto"/>
          <w:highlight w:val="none"/>
        </w:rPr>
        <w:sectPr>
          <w:type w:val="continuous"/>
          <w:pgSz w:w="11906" w:h="16838"/>
          <w:pgMar w:top="1500" w:right="1100" w:bottom="280" w:left="1560" w:header="720" w:footer="720" w:gutter="0"/>
          <w:cols w:space="720" w:num="1"/>
        </w:sectPr>
      </w:pPr>
    </w:p>
    <w:p>
      <w:pPr>
        <w:pStyle w:val="3"/>
        <w:spacing w:before="68" w:line="360" w:lineRule="auto"/>
        <w:ind w:right="458"/>
        <w:rPr>
          <w:rFonts w:ascii="宋体" w:hAnsi="宋体" w:eastAsia="宋体" w:cs="宋体"/>
          <w:color w:val="auto"/>
          <w:highlight w:val="none"/>
        </w:rPr>
      </w:pPr>
      <w:bookmarkStart w:id="32" w:name="_Toc7448"/>
      <w:r>
        <w:rPr>
          <w:rFonts w:hint="eastAsia" w:ascii="宋体" w:hAnsi="宋体" w:eastAsia="宋体" w:cs="宋体"/>
          <w:color w:val="auto"/>
          <w:highlight w:val="none"/>
        </w:rPr>
        <w:t>第二卷</w:t>
      </w:r>
      <w:bookmarkEnd w:id="32"/>
    </w:p>
    <w:p>
      <w:pPr>
        <w:pStyle w:val="11"/>
        <w:spacing w:line="360" w:lineRule="auto"/>
        <w:rPr>
          <w:b/>
          <w:color w:val="auto"/>
          <w:sz w:val="20"/>
          <w:highlight w:val="none"/>
        </w:rPr>
      </w:pPr>
    </w:p>
    <w:p>
      <w:pPr>
        <w:pStyle w:val="11"/>
        <w:spacing w:before="1" w:line="360" w:lineRule="auto"/>
        <w:rPr>
          <w:b/>
          <w:color w:val="auto"/>
          <w:sz w:val="17"/>
          <w:highlight w:val="none"/>
        </w:rPr>
      </w:pPr>
    </w:p>
    <w:p>
      <w:pPr>
        <w:pStyle w:val="3"/>
        <w:spacing w:line="360" w:lineRule="auto"/>
        <w:rPr>
          <w:rFonts w:ascii="宋体" w:hAnsi="宋体" w:eastAsia="宋体" w:cs="宋体"/>
          <w:color w:val="auto"/>
          <w:highlight w:val="none"/>
        </w:rPr>
      </w:pPr>
      <w:bookmarkStart w:id="33" w:name="_Toc12073"/>
      <w:r>
        <w:rPr>
          <w:rFonts w:hint="eastAsia" w:ascii="宋体" w:hAnsi="宋体" w:eastAsia="宋体" w:cs="宋体"/>
          <w:color w:val="auto"/>
          <w:highlight w:val="none"/>
        </w:rPr>
        <w:t>第五章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委托人要求</w:t>
      </w:r>
      <w:bookmarkEnd w:id="33"/>
    </w:p>
    <w:p>
      <w:pPr>
        <w:autoSpaceDE/>
        <w:autoSpaceDN/>
        <w:snapToGrid w:val="0"/>
        <w:spacing w:line="400" w:lineRule="exact"/>
        <w:jc w:val="both"/>
        <w:rPr>
          <w:rFonts w:cs="Times New Roman"/>
          <w:b/>
          <w:color w:val="auto"/>
          <w:kern w:val="2"/>
          <w:sz w:val="24"/>
          <w:szCs w:val="24"/>
          <w:highlight w:val="none"/>
          <w:lang w:val="en-US" w:bidi="ar-SA"/>
        </w:rPr>
      </w:pPr>
      <w:r>
        <w:rPr>
          <w:rFonts w:hint="eastAsia" w:cs="Times New Roman"/>
          <w:b/>
          <w:color w:val="auto"/>
          <w:kern w:val="2"/>
          <w:sz w:val="24"/>
          <w:szCs w:val="24"/>
          <w:highlight w:val="none"/>
          <w:lang w:val="en-US" w:bidi="ar-SA"/>
        </w:rPr>
        <w:t>一、项目基本情况：</w:t>
      </w:r>
    </w:p>
    <w:p>
      <w:pPr>
        <w:autoSpaceDE/>
        <w:autoSpaceDN/>
        <w:snapToGrid w:val="0"/>
        <w:spacing w:line="400" w:lineRule="exact"/>
        <w:ind w:firstLine="480" w:firstLineChars="200"/>
        <w:jc w:val="both"/>
        <w:rPr>
          <w:rFonts w:cs="Times New Roman"/>
          <w:color w:val="auto"/>
          <w:kern w:val="2"/>
          <w:sz w:val="24"/>
          <w:szCs w:val="24"/>
          <w:highlight w:val="none"/>
          <w:lang w:val="en-US" w:bidi="ar-SA"/>
        </w:rPr>
      </w:pPr>
      <w:r>
        <w:rPr>
          <w:rFonts w:hint="eastAsia" w:cs="Times New Roman"/>
          <w:color w:val="auto"/>
          <w:kern w:val="2"/>
          <w:sz w:val="24"/>
          <w:szCs w:val="24"/>
          <w:highlight w:val="none"/>
          <w:lang w:val="en-US" w:bidi="ar-SA"/>
        </w:rPr>
        <w:t>1、本项目为</w:t>
      </w:r>
      <w:r>
        <w:rPr>
          <w:rFonts w:hint="eastAsia" w:cs="Times New Roman"/>
          <w:color w:val="auto"/>
          <w:kern w:val="2"/>
          <w:sz w:val="24"/>
          <w:szCs w:val="24"/>
          <w:highlight w:val="none"/>
          <w:u w:val="single"/>
          <w:lang w:val="en-US" w:bidi="ar-SA"/>
        </w:rPr>
        <w:t>南源街风雨亭片区(风雨亭、和平南、源溪社区)微改造项目房屋鉴定服务</w:t>
      </w:r>
      <w:r>
        <w:rPr>
          <w:rFonts w:hint="eastAsia" w:cs="Times New Roman"/>
          <w:color w:val="auto"/>
          <w:kern w:val="2"/>
          <w:sz w:val="24"/>
          <w:szCs w:val="24"/>
          <w:highlight w:val="none"/>
          <w:lang w:val="en-US" w:bidi="ar-SA"/>
        </w:rPr>
        <w:t>。</w:t>
      </w:r>
    </w:p>
    <w:p>
      <w:pPr>
        <w:autoSpaceDE/>
        <w:autoSpaceDN/>
        <w:snapToGrid w:val="0"/>
        <w:spacing w:line="400" w:lineRule="exact"/>
        <w:ind w:firstLine="480" w:firstLineChars="200"/>
        <w:jc w:val="both"/>
        <w:rPr>
          <w:rFonts w:cs="Times New Roman"/>
          <w:color w:val="auto"/>
          <w:kern w:val="2"/>
          <w:sz w:val="24"/>
          <w:szCs w:val="24"/>
          <w:highlight w:val="none"/>
          <w:lang w:val="en-US" w:bidi="ar-SA"/>
        </w:rPr>
      </w:pPr>
      <w:r>
        <w:rPr>
          <w:rFonts w:hint="eastAsia" w:cs="Times New Roman"/>
          <w:color w:val="auto"/>
          <w:kern w:val="2"/>
          <w:sz w:val="24"/>
          <w:szCs w:val="24"/>
          <w:highlight w:val="none"/>
          <w:lang w:val="en-US" w:bidi="ar-SA"/>
        </w:rPr>
        <w:t>2、投标人应对本项目内按标段所有内容进行投标，不允许只对其中部分内容进行投标。</w:t>
      </w:r>
    </w:p>
    <w:p>
      <w:pPr>
        <w:autoSpaceDE/>
        <w:autoSpaceDN/>
        <w:snapToGrid w:val="0"/>
        <w:spacing w:line="400" w:lineRule="exact"/>
        <w:jc w:val="both"/>
        <w:rPr>
          <w:rFonts w:cs="Times New Roman"/>
          <w:b/>
          <w:color w:val="auto"/>
          <w:kern w:val="2"/>
          <w:sz w:val="24"/>
          <w:szCs w:val="24"/>
          <w:highlight w:val="none"/>
          <w:lang w:val="en-US" w:bidi="ar-SA"/>
        </w:rPr>
      </w:pPr>
    </w:p>
    <w:p>
      <w:pPr>
        <w:autoSpaceDE/>
        <w:autoSpaceDN/>
        <w:snapToGrid w:val="0"/>
        <w:spacing w:line="400" w:lineRule="exact"/>
        <w:jc w:val="both"/>
        <w:rPr>
          <w:rFonts w:cs="Times New Roman"/>
          <w:b/>
          <w:color w:val="auto"/>
          <w:kern w:val="2"/>
          <w:sz w:val="24"/>
          <w:szCs w:val="24"/>
          <w:highlight w:val="none"/>
          <w:lang w:val="en-US" w:bidi="ar-SA"/>
        </w:rPr>
      </w:pPr>
      <w:r>
        <w:rPr>
          <w:rFonts w:hint="eastAsia" w:cs="Times New Roman"/>
          <w:b/>
          <w:color w:val="auto"/>
          <w:kern w:val="2"/>
          <w:sz w:val="24"/>
          <w:szCs w:val="24"/>
          <w:highlight w:val="none"/>
          <w:lang w:val="en-US" w:bidi="ar-SA"/>
        </w:rPr>
        <w:t>二、安全鉴定要求：</w:t>
      </w:r>
    </w:p>
    <w:p>
      <w:pPr>
        <w:autoSpaceDE/>
        <w:autoSpaceDN/>
        <w:snapToGrid w:val="0"/>
        <w:spacing w:line="400" w:lineRule="exact"/>
        <w:ind w:firstLine="480" w:firstLineChars="200"/>
        <w:jc w:val="both"/>
        <w:rPr>
          <w:rFonts w:cs="Times New Roman"/>
          <w:color w:val="auto"/>
          <w:kern w:val="2"/>
          <w:sz w:val="24"/>
          <w:szCs w:val="24"/>
          <w:highlight w:val="none"/>
          <w:lang w:val="en-US" w:bidi="ar-SA"/>
        </w:rPr>
      </w:pPr>
      <w:r>
        <w:rPr>
          <w:rFonts w:hint="eastAsia" w:cs="Times New Roman"/>
          <w:color w:val="auto"/>
          <w:kern w:val="2"/>
          <w:sz w:val="24"/>
          <w:szCs w:val="24"/>
          <w:highlight w:val="none"/>
          <w:lang w:val="en-US" w:bidi="ar-SA"/>
        </w:rPr>
        <w:t>按照《城市危险房屋管理规定》（建设部令2004年第129号）、《危险房屋鉴定标准》（JGJ125-2016）、《房屋完损等级评定标准》（城住字[84]第678号）、《广州市房屋安全管理规定》(广州市人民政府令第83号)及现行有关规范，对</w:t>
      </w:r>
      <w:r>
        <w:rPr>
          <w:rFonts w:hint="eastAsia" w:cs="Times New Roman"/>
          <w:color w:val="auto"/>
          <w:kern w:val="2"/>
          <w:sz w:val="24"/>
          <w:szCs w:val="24"/>
          <w:highlight w:val="none"/>
          <w:u w:val="single"/>
          <w:lang w:val="en-US" w:bidi="ar-SA"/>
        </w:rPr>
        <w:t>南源街风雨亭片区(风雨亭、和平南、源溪社区)微改造项目房屋鉴定服务</w:t>
      </w:r>
      <w:r>
        <w:rPr>
          <w:rFonts w:hint="eastAsia" w:cs="Times New Roman"/>
          <w:color w:val="auto"/>
          <w:kern w:val="2"/>
          <w:sz w:val="24"/>
          <w:szCs w:val="24"/>
          <w:highlight w:val="none"/>
          <w:lang w:val="en-US" w:bidi="ar-SA"/>
        </w:rPr>
        <w:t>的安全程度和现状损坏程度，以便施工过程中及时采取相关措施，确保房屋的使用安全，施工后能明确区分房屋的损坏责任，并作好证据保存。鉴定单位需对相关房屋进行检查鉴定，提出处理建议，确保房屋的正常安全使用；减少因施工导致的纠纷，为</w:t>
      </w:r>
      <w:r>
        <w:rPr>
          <w:rFonts w:hint="eastAsia" w:cs="Times New Roman"/>
          <w:color w:val="auto"/>
          <w:kern w:val="2"/>
          <w:sz w:val="24"/>
          <w:szCs w:val="24"/>
          <w:highlight w:val="none"/>
          <w:u w:val="single"/>
          <w:lang w:val="en-US" w:bidi="ar-SA"/>
        </w:rPr>
        <w:t>南源街风雨亭片区(风雨亭、和平南、源溪社区)微改造项目房屋鉴定服务</w:t>
      </w:r>
      <w:r>
        <w:rPr>
          <w:rFonts w:hint="eastAsia" w:cs="Times New Roman"/>
          <w:color w:val="auto"/>
          <w:kern w:val="2"/>
          <w:sz w:val="24"/>
          <w:szCs w:val="24"/>
          <w:highlight w:val="none"/>
          <w:lang w:val="en-US" w:bidi="ar-SA"/>
        </w:rPr>
        <w:t>顺利施工提供科学依据。</w:t>
      </w:r>
    </w:p>
    <w:p>
      <w:pPr>
        <w:autoSpaceDE/>
        <w:autoSpaceDN/>
        <w:snapToGrid w:val="0"/>
        <w:spacing w:line="400" w:lineRule="exact"/>
        <w:jc w:val="both"/>
        <w:rPr>
          <w:rFonts w:cs="Times New Roman"/>
          <w:b/>
          <w:color w:val="auto"/>
          <w:kern w:val="2"/>
          <w:sz w:val="24"/>
          <w:szCs w:val="24"/>
          <w:highlight w:val="none"/>
          <w:lang w:val="en-US" w:bidi="ar-SA"/>
        </w:rPr>
      </w:pPr>
    </w:p>
    <w:p>
      <w:pPr>
        <w:autoSpaceDE/>
        <w:autoSpaceDN/>
        <w:snapToGrid w:val="0"/>
        <w:spacing w:line="400" w:lineRule="exact"/>
        <w:jc w:val="both"/>
        <w:rPr>
          <w:rFonts w:cs="Times New Roman"/>
          <w:b/>
          <w:color w:val="auto"/>
          <w:kern w:val="2"/>
          <w:sz w:val="24"/>
          <w:szCs w:val="24"/>
          <w:highlight w:val="none"/>
          <w:lang w:val="en-US" w:bidi="ar-SA"/>
        </w:rPr>
      </w:pPr>
      <w:r>
        <w:rPr>
          <w:rFonts w:hint="eastAsia" w:cs="Times New Roman"/>
          <w:b/>
          <w:color w:val="auto"/>
          <w:kern w:val="2"/>
          <w:sz w:val="24"/>
          <w:szCs w:val="24"/>
          <w:highlight w:val="none"/>
          <w:lang w:val="en-US" w:bidi="ar-SA"/>
        </w:rPr>
        <w:t>三、安全鉴定内容和步骤：</w:t>
      </w:r>
    </w:p>
    <w:p>
      <w:pPr>
        <w:autoSpaceDE/>
        <w:autoSpaceDN/>
        <w:snapToGrid w:val="0"/>
        <w:spacing w:line="400" w:lineRule="exact"/>
        <w:jc w:val="both"/>
        <w:rPr>
          <w:rFonts w:cs="Times New Roman"/>
          <w:color w:val="auto"/>
          <w:kern w:val="2"/>
          <w:sz w:val="24"/>
          <w:szCs w:val="24"/>
          <w:highlight w:val="none"/>
          <w:lang w:val="en-US" w:bidi="ar-SA"/>
        </w:rPr>
      </w:pPr>
      <w:r>
        <w:rPr>
          <w:rFonts w:hint="eastAsia" w:cs="Times New Roman"/>
          <w:color w:val="auto"/>
          <w:kern w:val="2"/>
          <w:sz w:val="24"/>
          <w:szCs w:val="24"/>
          <w:highlight w:val="none"/>
          <w:lang w:val="en-US" w:bidi="ar-SA"/>
        </w:rPr>
        <w:t>（一）、资料调查</w:t>
      </w:r>
    </w:p>
    <w:p>
      <w:pPr>
        <w:autoSpaceDE/>
        <w:autoSpaceDN/>
        <w:snapToGrid w:val="0"/>
        <w:spacing w:line="400" w:lineRule="exact"/>
        <w:ind w:firstLine="480" w:firstLineChars="200"/>
        <w:jc w:val="both"/>
        <w:rPr>
          <w:rFonts w:cs="Times New Roman"/>
          <w:color w:val="auto"/>
          <w:kern w:val="2"/>
          <w:sz w:val="24"/>
          <w:szCs w:val="24"/>
          <w:highlight w:val="none"/>
          <w:lang w:val="en-US" w:bidi="ar-SA"/>
        </w:rPr>
      </w:pPr>
      <w:r>
        <w:rPr>
          <w:rFonts w:hint="eastAsia" w:cs="Times New Roman"/>
          <w:color w:val="auto"/>
          <w:kern w:val="2"/>
          <w:sz w:val="24"/>
          <w:szCs w:val="24"/>
          <w:highlight w:val="none"/>
          <w:lang w:val="en-US" w:bidi="ar-SA"/>
        </w:rPr>
        <w:t>1、图纸资料调查：包括岩土工程勘察报告、建筑与结构施工图、施工变更记录、竣工图、竣工质检及验收文件等，了解原设计意图、要求和技术背景；记录房屋的设计单位及负责人，施工单位及负责人。</w:t>
      </w:r>
    </w:p>
    <w:p>
      <w:pPr>
        <w:autoSpaceDE/>
        <w:autoSpaceDN/>
        <w:snapToGrid w:val="0"/>
        <w:spacing w:line="400" w:lineRule="exact"/>
        <w:ind w:firstLine="480" w:firstLineChars="200"/>
        <w:jc w:val="both"/>
        <w:rPr>
          <w:rFonts w:cs="Times New Roman"/>
          <w:color w:val="auto"/>
          <w:kern w:val="2"/>
          <w:sz w:val="24"/>
          <w:szCs w:val="24"/>
          <w:highlight w:val="none"/>
          <w:lang w:val="en-US" w:bidi="ar-SA"/>
        </w:rPr>
      </w:pPr>
      <w:r>
        <w:rPr>
          <w:rFonts w:hint="eastAsia" w:cs="Times New Roman"/>
          <w:color w:val="auto"/>
          <w:kern w:val="2"/>
          <w:sz w:val="24"/>
          <w:szCs w:val="24"/>
          <w:highlight w:val="none"/>
          <w:lang w:val="en-US" w:bidi="ar-SA"/>
        </w:rPr>
        <w:t>2、建筑物历史调查：包括建筑物的原始施工、竣工日期，使用过程中的修缮、改造、扩建情况，用途变更、使用条件改变及受灾情况等。</w:t>
      </w:r>
    </w:p>
    <w:p>
      <w:pPr>
        <w:autoSpaceDE/>
        <w:autoSpaceDN/>
        <w:snapToGrid w:val="0"/>
        <w:spacing w:line="400" w:lineRule="exact"/>
        <w:ind w:firstLine="480" w:firstLineChars="200"/>
        <w:jc w:val="both"/>
        <w:rPr>
          <w:rFonts w:cs="Times New Roman"/>
          <w:color w:val="auto"/>
          <w:kern w:val="2"/>
          <w:sz w:val="24"/>
          <w:szCs w:val="24"/>
          <w:highlight w:val="none"/>
          <w:lang w:val="en-US" w:bidi="ar-SA"/>
        </w:rPr>
      </w:pPr>
      <w:r>
        <w:rPr>
          <w:rFonts w:hint="eastAsia" w:cs="Times New Roman"/>
          <w:color w:val="auto"/>
          <w:kern w:val="2"/>
          <w:sz w:val="24"/>
          <w:szCs w:val="24"/>
          <w:highlight w:val="none"/>
          <w:lang w:val="en-US" w:bidi="ar-SA"/>
        </w:rPr>
        <w:t>3、调查建筑物的使用条件和内、外环境状况（荷载历史）。</w:t>
      </w:r>
    </w:p>
    <w:p>
      <w:pPr>
        <w:autoSpaceDE/>
        <w:autoSpaceDN/>
        <w:snapToGrid w:val="0"/>
        <w:spacing w:line="400" w:lineRule="exact"/>
        <w:jc w:val="both"/>
        <w:rPr>
          <w:rFonts w:cs="Times New Roman"/>
          <w:color w:val="auto"/>
          <w:kern w:val="2"/>
          <w:sz w:val="24"/>
          <w:szCs w:val="24"/>
          <w:highlight w:val="none"/>
          <w:lang w:val="en-US" w:bidi="ar-SA"/>
        </w:rPr>
      </w:pPr>
    </w:p>
    <w:p>
      <w:pPr>
        <w:autoSpaceDE/>
        <w:autoSpaceDN/>
        <w:snapToGrid w:val="0"/>
        <w:spacing w:line="400" w:lineRule="exact"/>
        <w:jc w:val="both"/>
        <w:rPr>
          <w:rFonts w:cs="Times New Roman"/>
          <w:color w:val="auto"/>
          <w:kern w:val="2"/>
          <w:sz w:val="24"/>
          <w:szCs w:val="24"/>
          <w:highlight w:val="none"/>
          <w:lang w:val="en-US" w:bidi="ar-SA"/>
        </w:rPr>
      </w:pPr>
      <w:r>
        <w:rPr>
          <w:rFonts w:hint="eastAsia" w:cs="Times New Roman"/>
          <w:color w:val="auto"/>
          <w:kern w:val="2"/>
          <w:sz w:val="24"/>
          <w:szCs w:val="24"/>
          <w:highlight w:val="none"/>
          <w:lang w:val="en-US" w:bidi="ar-SA"/>
        </w:rPr>
        <w:t>（二）、检测工作</w:t>
      </w:r>
    </w:p>
    <w:p>
      <w:pPr>
        <w:autoSpaceDE/>
        <w:autoSpaceDN/>
        <w:snapToGrid w:val="0"/>
        <w:spacing w:line="400" w:lineRule="exact"/>
        <w:ind w:firstLine="480" w:firstLineChars="200"/>
        <w:jc w:val="both"/>
        <w:rPr>
          <w:rFonts w:cs="Times New Roman"/>
          <w:color w:val="auto"/>
          <w:kern w:val="2"/>
          <w:sz w:val="24"/>
          <w:szCs w:val="24"/>
          <w:highlight w:val="none"/>
          <w:lang w:val="en-US" w:bidi="ar-SA"/>
        </w:rPr>
      </w:pPr>
      <w:r>
        <w:rPr>
          <w:rFonts w:hint="eastAsia" w:cs="Times New Roman"/>
          <w:color w:val="auto"/>
          <w:kern w:val="2"/>
          <w:sz w:val="24"/>
          <w:szCs w:val="24"/>
          <w:highlight w:val="none"/>
          <w:lang w:val="en-US" w:bidi="ar-SA"/>
        </w:rPr>
        <w:t>1、房屋倾斜度（垂直度）变形观测</w:t>
      </w:r>
    </w:p>
    <w:p>
      <w:pPr>
        <w:autoSpaceDE/>
        <w:autoSpaceDN/>
        <w:snapToGrid w:val="0"/>
        <w:spacing w:line="400" w:lineRule="exact"/>
        <w:ind w:firstLine="480" w:firstLineChars="200"/>
        <w:jc w:val="both"/>
        <w:rPr>
          <w:rFonts w:cs="Times New Roman"/>
          <w:color w:val="auto"/>
          <w:kern w:val="2"/>
          <w:sz w:val="24"/>
          <w:szCs w:val="24"/>
          <w:highlight w:val="none"/>
          <w:lang w:val="en-US" w:bidi="ar-SA"/>
        </w:rPr>
      </w:pPr>
      <w:r>
        <w:rPr>
          <w:rFonts w:hint="eastAsia" w:cs="Times New Roman"/>
          <w:color w:val="auto"/>
          <w:kern w:val="2"/>
          <w:sz w:val="24"/>
          <w:szCs w:val="24"/>
          <w:highlight w:val="none"/>
          <w:lang w:val="en-US" w:bidi="ar-SA"/>
        </w:rPr>
        <w:t>采用电子经纬仪对房屋二角四方向的垂直度进行测量，必要时增设四角八方向或沿房屋一定距离增设观测点；根据《建筑地基基础设计规范》（GB50007-2011）对房屋的垂直度偏差进行评定。</w:t>
      </w:r>
    </w:p>
    <w:p>
      <w:pPr>
        <w:autoSpaceDE/>
        <w:autoSpaceDN/>
        <w:snapToGrid w:val="0"/>
        <w:spacing w:line="400" w:lineRule="exact"/>
        <w:ind w:firstLine="480" w:firstLineChars="200"/>
        <w:jc w:val="both"/>
        <w:rPr>
          <w:rFonts w:cs="Times New Roman"/>
          <w:color w:val="auto"/>
          <w:kern w:val="2"/>
          <w:sz w:val="24"/>
          <w:szCs w:val="24"/>
          <w:highlight w:val="none"/>
          <w:lang w:val="en-US" w:bidi="ar-SA"/>
        </w:rPr>
      </w:pPr>
      <w:r>
        <w:rPr>
          <w:rFonts w:hint="eastAsia" w:cs="Times New Roman"/>
          <w:color w:val="auto"/>
          <w:kern w:val="2"/>
          <w:sz w:val="24"/>
          <w:szCs w:val="24"/>
          <w:highlight w:val="none"/>
          <w:lang w:val="en-US" w:bidi="ar-SA"/>
        </w:rPr>
        <w:t>2</w:t>
      </w:r>
      <w:r>
        <w:rPr>
          <w:rFonts w:cs="Times New Roman"/>
          <w:color w:val="auto"/>
          <w:kern w:val="2"/>
          <w:sz w:val="24"/>
          <w:szCs w:val="24"/>
          <w:highlight w:val="none"/>
          <w:lang w:val="en-US" w:bidi="ar-SA"/>
        </w:rPr>
        <w:t>、</w:t>
      </w:r>
      <w:r>
        <w:rPr>
          <w:rFonts w:hint="eastAsia" w:cs="Times New Roman"/>
          <w:color w:val="auto"/>
          <w:kern w:val="2"/>
          <w:sz w:val="24"/>
          <w:szCs w:val="24"/>
          <w:highlight w:val="none"/>
          <w:lang w:val="en-US" w:bidi="ar-SA"/>
        </w:rPr>
        <w:t>钢筋混凝土构件裂缝针对性检查</w:t>
      </w:r>
    </w:p>
    <w:p>
      <w:pPr>
        <w:autoSpaceDE/>
        <w:autoSpaceDN/>
        <w:snapToGrid w:val="0"/>
        <w:spacing w:line="400" w:lineRule="exact"/>
        <w:ind w:firstLine="480" w:firstLineChars="200"/>
        <w:jc w:val="both"/>
        <w:rPr>
          <w:rFonts w:cs="Times New Roman"/>
          <w:color w:val="auto"/>
          <w:kern w:val="2"/>
          <w:sz w:val="24"/>
          <w:szCs w:val="24"/>
          <w:highlight w:val="none"/>
          <w:lang w:val="en-US" w:bidi="ar-SA"/>
        </w:rPr>
      </w:pPr>
      <w:r>
        <w:rPr>
          <w:rFonts w:hint="eastAsia" w:cs="Times New Roman"/>
          <w:color w:val="auto"/>
          <w:kern w:val="2"/>
          <w:sz w:val="24"/>
          <w:szCs w:val="24"/>
          <w:highlight w:val="none"/>
          <w:lang w:val="en-US" w:bidi="ar-SA"/>
        </w:rPr>
        <w:t>检查构件表面的裂缝及不同构件类型之间的裂缝，包括其长度、宽度、深度、形状、条数，必要时绘出裂缝分布图；针对部分裂缝采用裂缝测宽仪进行裂缝宽度进行测量，并抽样钢筋探测仪对其周边配筋情况及保护层厚度进行检测，初步判断裂缝的性质。</w:t>
      </w:r>
    </w:p>
    <w:p>
      <w:pPr>
        <w:autoSpaceDE/>
        <w:autoSpaceDN/>
        <w:snapToGrid w:val="0"/>
        <w:spacing w:line="400" w:lineRule="exact"/>
        <w:ind w:firstLine="480" w:firstLineChars="200"/>
        <w:jc w:val="both"/>
        <w:rPr>
          <w:rFonts w:cs="Times New Roman"/>
          <w:color w:val="auto"/>
          <w:kern w:val="2"/>
          <w:sz w:val="24"/>
          <w:szCs w:val="24"/>
          <w:highlight w:val="none"/>
          <w:lang w:val="en-US" w:bidi="ar-SA"/>
        </w:rPr>
      </w:pPr>
      <w:r>
        <w:rPr>
          <w:rFonts w:hint="eastAsia" w:cs="Times New Roman"/>
          <w:color w:val="auto"/>
          <w:kern w:val="2"/>
          <w:sz w:val="24"/>
          <w:szCs w:val="24"/>
          <w:highlight w:val="none"/>
          <w:lang w:val="en-US" w:bidi="ar-SA"/>
        </w:rPr>
        <w:t>3、地台裂缝针对性检查</w:t>
      </w:r>
    </w:p>
    <w:p>
      <w:pPr>
        <w:autoSpaceDE/>
        <w:autoSpaceDN/>
        <w:snapToGrid w:val="0"/>
        <w:spacing w:line="400" w:lineRule="exact"/>
        <w:ind w:firstLine="480" w:firstLineChars="200"/>
        <w:jc w:val="both"/>
        <w:rPr>
          <w:rFonts w:cs="Times New Roman"/>
          <w:color w:val="auto"/>
          <w:kern w:val="2"/>
          <w:sz w:val="24"/>
          <w:szCs w:val="24"/>
          <w:highlight w:val="none"/>
          <w:lang w:val="en-US" w:bidi="ar-SA"/>
        </w:rPr>
      </w:pPr>
      <w:r>
        <w:rPr>
          <w:rFonts w:hint="eastAsia" w:cs="Times New Roman"/>
          <w:color w:val="auto"/>
          <w:kern w:val="2"/>
          <w:sz w:val="24"/>
          <w:szCs w:val="24"/>
          <w:highlight w:val="none"/>
          <w:lang w:val="en-US" w:bidi="ar-SA"/>
        </w:rPr>
        <w:t>检查地台表面的裂缝，包括其长度、宽度、深度、形状、条数，必要时绘出裂缝分布图；针对部分地台开裂部位采用裂缝测宽仪进行裂缝宽度进行测量，必要的情况下采用局部破损法或钻芯法进行检查地台空鼓或离空损坏程度。</w:t>
      </w:r>
    </w:p>
    <w:p>
      <w:pPr>
        <w:autoSpaceDE/>
        <w:autoSpaceDN/>
        <w:snapToGrid w:val="0"/>
        <w:spacing w:line="400" w:lineRule="exact"/>
        <w:ind w:firstLine="480" w:firstLineChars="200"/>
        <w:jc w:val="both"/>
        <w:rPr>
          <w:rFonts w:cs="Times New Roman"/>
          <w:color w:val="auto"/>
          <w:kern w:val="2"/>
          <w:sz w:val="24"/>
          <w:szCs w:val="24"/>
          <w:highlight w:val="none"/>
          <w:lang w:val="en-US" w:bidi="ar-SA"/>
        </w:rPr>
      </w:pPr>
      <w:r>
        <w:rPr>
          <w:rFonts w:hint="eastAsia" w:cs="Times New Roman"/>
          <w:color w:val="auto"/>
          <w:kern w:val="2"/>
          <w:sz w:val="24"/>
          <w:szCs w:val="24"/>
          <w:highlight w:val="none"/>
          <w:lang w:val="en-US" w:bidi="ar-SA"/>
        </w:rPr>
        <w:t>4、构件裂缝监测</w:t>
      </w:r>
    </w:p>
    <w:p>
      <w:pPr>
        <w:autoSpaceDE/>
        <w:autoSpaceDN/>
        <w:snapToGrid w:val="0"/>
        <w:spacing w:line="400" w:lineRule="exact"/>
        <w:ind w:firstLine="480" w:firstLineChars="200"/>
        <w:jc w:val="both"/>
        <w:rPr>
          <w:rFonts w:cs="Times New Roman"/>
          <w:color w:val="auto"/>
          <w:kern w:val="2"/>
          <w:sz w:val="24"/>
          <w:szCs w:val="24"/>
          <w:highlight w:val="none"/>
          <w:lang w:val="en-US" w:bidi="ar-SA"/>
        </w:rPr>
      </w:pPr>
      <w:r>
        <w:rPr>
          <w:rFonts w:hint="eastAsia" w:cs="Times New Roman"/>
          <w:color w:val="auto"/>
          <w:kern w:val="2"/>
          <w:sz w:val="24"/>
          <w:szCs w:val="24"/>
          <w:highlight w:val="none"/>
          <w:lang w:val="en-US" w:bidi="ar-SA"/>
        </w:rPr>
        <w:t>对房屋组成构件的裂缝选取典型裂缝进行布点、刻画、监测。</w:t>
      </w:r>
    </w:p>
    <w:p>
      <w:pPr>
        <w:autoSpaceDE/>
        <w:autoSpaceDN/>
        <w:snapToGrid w:val="0"/>
        <w:spacing w:line="400" w:lineRule="exact"/>
        <w:jc w:val="both"/>
        <w:rPr>
          <w:rFonts w:cs="Times New Roman"/>
          <w:color w:val="auto"/>
          <w:kern w:val="2"/>
          <w:sz w:val="24"/>
          <w:szCs w:val="24"/>
          <w:highlight w:val="none"/>
          <w:lang w:val="en-US" w:bidi="ar-SA"/>
        </w:rPr>
      </w:pPr>
    </w:p>
    <w:p>
      <w:pPr>
        <w:autoSpaceDE/>
        <w:autoSpaceDN/>
        <w:snapToGrid w:val="0"/>
        <w:spacing w:line="400" w:lineRule="exact"/>
        <w:jc w:val="both"/>
        <w:rPr>
          <w:rFonts w:cs="Times New Roman"/>
          <w:color w:val="auto"/>
          <w:kern w:val="2"/>
          <w:sz w:val="24"/>
          <w:szCs w:val="24"/>
          <w:highlight w:val="none"/>
          <w:lang w:val="en-US" w:bidi="ar-SA"/>
        </w:rPr>
      </w:pPr>
      <w:r>
        <w:rPr>
          <w:rFonts w:hint="eastAsia" w:cs="Times New Roman"/>
          <w:color w:val="auto"/>
          <w:kern w:val="2"/>
          <w:sz w:val="24"/>
          <w:szCs w:val="24"/>
          <w:highlight w:val="none"/>
          <w:lang w:val="en-US" w:bidi="ar-SA"/>
        </w:rPr>
        <w:t>（三）、鉴定工作</w:t>
      </w:r>
    </w:p>
    <w:p>
      <w:pPr>
        <w:autoSpaceDE/>
        <w:autoSpaceDN/>
        <w:snapToGrid w:val="0"/>
        <w:spacing w:line="400" w:lineRule="exact"/>
        <w:ind w:firstLine="480" w:firstLineChars="200"/>
        <w:jc w:val="both"/>
        <w:rPr>
          <w:rFonts w:cs="Times New Roman"/>
          <w:color w:val="auto"/>
          <w:kern w:val="2"/>
          <w:sz w:val="24"/>
          <w:szCs w:val="24"/>
          <w:highlight w:val="none"/>
          <w:lang w:val="en-US" w:bidi="ar-SA"/>
        </w:rPr>
      </w:pPr>
      <w:r>
        <w:rPr>
          <w:rFonts w:hint="eastAsia" w:cs="Times New Roman"/>
          <w:color w:val="auto"/>
          <w:kern w:val="2"/>
          <w:sz w:val="24"/>
          <w:szCs w:val="24"/>
          <w:highlight w:val="none"/>
          <w:lang w:val="en-US" w:bidi="ar-SA"/>
        </w:rPr>
        <w:t>1、房屋概况</w:t>
      </w:r>
    </w:p>
    <w:p>
      <w:pPr>
        <w:autoSpaceDE/>
        <w:autoSpaceDN/>
        <w:snapToGrid w:val="0"/>
        <w:spacing w:line="400" w:lineRule="exact"/>
        <w:ind w:firstLine="480" w:firstLineChars="200"/>
        <w:jc w:val="both"/>
        <w:rPr>
          <w:rFonts w:cs="Times New Roman"/>
          <w:color w:val="auto"/>
          <w:kern w:val="2"/>
          <w:sz w:val="24"/>
          <w:szCs w:val="24"/>
          <w:highlight w:val="none"/>
          <w:lang w:val="en-US" w:bidi="ar-SA"/>
        </w:rPr>
      </w:pPr>
      <w:r>
        <w:rPr>
          <w:rFonts w:cs="Times New Roman"/>
          <w:color w:val="auto"/>
          <w:kern w:val="2"/>
          <w:sz w:val="24"/>
          <w:szCs w:val="24"/>
          <w:highlight w:val="none"/>
          <w:lang w:val="en-US" w:bidi="ar-SA"/>
        </w:rPr>
        <w:t>⑴、</w:t>
      </w:r>
      <w:r>
        <w:rPr>
          <w:rFonts w:hint="eastAsia" w:cs="Times New Roman"/>
          <w:color w:val="auto"/>
          <w:kern w:val="2"/>
          <w:sz w:val="24"/>
          <w:szCs w:val="24"/>
          <w:highlight w:val="none"/>
          <w:lang w:val="en-US" w:bidi="ar-SA"/>
        </w:rPr>
        <w:t>房屋建造年代、房屋朝向、建筑面积。</w:t>
      </w:r>
    </w:p>
    <w:p>
      <w:pPr>
        <w:autoSpaceDE/>
        <w:autoSpaceDN/>
        <w:snapToGrid w:val="0"/>
        <w:spacing w:line="400" w:lineRule="exact"/>
        <w:ind w:firstLine="480" w:firstLineChars="200"/>
        <w:jc w:val="both"/>
        <w:rPr>
          <w:rFonts w:cs="Times New Roman"/>
          <w:color w:val="auto"/>
          <w:kern w:val="2"/>
          <w:sz w:val="24"/>
          <w:szCs w:val="24"/>
          <w:highlight w:val="none"/>
          <w:lang w:val="en-US" w:bidi="ar-SA"/>
        </w:rPr>
      </w:pPr>
      <w:r>
        <w:rPr>
          <w:rFonts w:cs="Times New Roman"/>
          <w:color w:val="auto"/>
          <w:kern w:val="2"/>
          <w:sz w:val="24"/>
          <w:szCs w:val="24"/>
          <w:highlight w:val="none"/>
          <w:lang w:val="en-US" w:bidi="ar-SA"/>
        </w:rPr>
        <w:t>⑵、</w:t>
      </w:r>
      <w:r>
        <w:rPr>
          <w:rFonts w:hint="eastAsia" w:cs="Times New Roman"/>
          <w:color w:val="auto"/>
          <w:kern w:val="2"/>
          <w:sz w:val="24"/>
          <w:szCs w:val="24"/>
          <w:highlight w:val="none"/>
          <w:lang w:val="en-US" w:bidi="ar-SA"/>
        </w:rPr>
        <w:t>房屋结构类型、层数、房屋的使用材料。</w:t>
      </w:r>
    </w:p>
    <w:p>
      <w:pPr>
        <w:autoSpaceDE/>
        <w:autoSpaceDN/>
        <w:snapToGrid w:val="0"/>
        <w:spacing w:line="400" w:lineRule="exact"/>
        <w:ind w:firstLine="480" w:firstLineChars="200"/>
        <w:jc w:val="both"/>
        <w:rPr>
          <w:rFonts w:cs="Times New Roman"/>
          <w:color w:val="auto"/>
          <w:kern w:val="2"/>
          <w:sz w:val="24"/>
          <w:szCs w:val="24"/>
          <w:highlight w:val="none"/>
          <w:lang w:val="en-US" w:bidi="ar-SA"/>
        </w:rPr>
      </w:pPr>
      <w:r>
        <w:rPr>
          <w:rFonts w:hint="eastAsia" w:cs="Times New Roman"/>
          <w:color w:val="auto"/>
          <w:kern w:val="2"/>
          <w:sz w:val="24"/>
          <w:szCs w:val="24"/>
          <w:highlight w:val="none"/>
          <w:lang w:val="en-US" w:bidi="ar-SA"/>
        </w:rPr>
        <w:t>2、房屋地基基础的基本情况</w:t>
      </w:r>
    </w:p>
    <w:p>
      <w:pPr>
        <w:autoSpaceDE/>
        <w:autoSpaceDN/>
        <w:snapToGrid w:val="0"/>
        <w:spacing w:line="400" w:lineRule="exact"/>
        <w:ind w:firstLine="480" w:firstLineChars="200"/>
        <w:jc w:val="both"/>
        <w:rPr>
          <w:rFonts w:cs="Times New Roman"/>
          <w:color w:val="auto"/>
          <w:kern w:val="2"/>
          <w:sz w:val="24"/>
          <w:szCs w:val="24"/>
          <w:highlight w:val="none"/>
          <w:lang w:val="en-US" w:bidi="ar-SA"/>
        </w:rPr>
      </w:pPr>
      <w:r>
        <w:rPr>
          <w:rFonts w:hint="eastAsia" w:cs="Times New Roman"/>
          <w:color w:val="auto"/>
          <w:kern w:val="2"/>
          <w:sz w:val="24"/>
          <w:szCs w:val="24"/>
          <w:highlight w:val="none"/>
          <w:lang w:val="en-US" w:bidi="ar-SA"/>
        </w:rPr>
        <w:t>⑴、检查基础是否有不均匀沉降的迹象。</w:t>
      </w:r>
    </w:p>
    <w:p>
      <w:pPr>
        <w:autoSpaceDE/>
        <w:autoSpaceDN/>
        <w:snapToGrid w:val="0"/>
        <w:spacing w:line="400" w:lineRule="exact"/>
        <w:ind w:firstLine="480" w:firstLineChars="200"/>
        <w:jc w:val="both"/>
        <w:rPr>
          <w:rFonts w:cs="Times New Roman"/>
          <w:color w:val="auto"/>
          <w:kern w:val="2"/>
          <w:sz w:val="24"/>
          <w:szCs w:val="24"/>
          <w:highlight w:val="none"/>
          <w:lang w:val="en-US" w:bidi="ar-SA"/>
        </w:rPr>
      </w:pPr>
      <w:r>
        <w:rPr>
          <w:rFonts w:hint="eastAsia" w:cs="Times New Roman"/>
          <w:color w:val="auto"/>
          <w:kern w:val="2"/>
          <w:sz w:val="24"/>
          <w:szCs w:val="24"/>
          <w:highlight w:val="none"/>
          <w:lang w:val="en-US" w:bidi="ar-SA"/>
        </w:rPr>
        <w:t>⑵、检查室内、外地台是否有沉降裂缝，室外墙脚是否与地台有分离裂缝，检查包括裂缝长度、宽度、深度、形状、条数，必要时绘出裂缝分布图。</w:t>
      </w:r>
    </w:p>
    <w:p>
      <w:pPr>
        <w:autoSpaceDE/>
        <w:autoSpaceDN/>
        <w:snapToGrid w:val="0"/>
        <w:spacing w:line="400" w:lineRule="exact"/>
        <w:ind w:firstLine="480" w:firstLineChars="200"/>
        <w:jc w:val="both"/>
        <w:rPr>
          <w:rFonts w:cs="Times New Roman"/>
          <w:color w:val="auto"/>
          <w:kern w:val="2"/>
          <w:sz w:val="24"/>
          <w:szCs w:val="24"/>
          <w:highlight w:val="none"/>
          <w:lang w:val="en-US" w:bidi="ar-SA"/>
        </w:rPr>
      </w:pPr>
      <w:r>
        <w:rPr>
          <w:rFonts w:hint="eastAsia" w:cs="Times New Roman"/>
          <w:color w:val="auto"/>
          <w:kern w:val="2"/>
          <w:sz w:val="24"/>
          <w:szCs w:val="24"/>
          <w:highlight w:val="none"/>
          <w:lang w:val="en-US" w:bidi="ar-SA"/>
        </w:rPr>
        <w:t>3、房屋承重结构的基本情况</w:t>
      </w:r>
    </w:p>
    <w:p>
      <w:pPr>
        <w:autoSpaceDE/>
        <w:autoSpaceDN/>
        <w:snapToGrid w:val="0"/>
        <w:spacing w:line="400" w:lineRule="exact"/>
        <w:ind w:firstLine="480" w:firstLineChars="200"/>
        <w:jc w:val="both"/>
        <w:rPr>
          <w:rFonts w:cs="Times New Roman"/>
          <w:color w:val="auto"/>
          <w:kern w:val="2"/>
          <w:sz w:val="24"/>
          <w:szCs w:val="24"/>
          <w:highlight w:val="none"/>
          <w:lang w:val="en-US" w:bidi="ar-SA"/>
        </w:rPr>
      </w:pPr>
      <w:r>
        <w:rPr>
          <w:rFonts w:hint="eastAsia" w:cs="Times New Roman"/>
          <w:color w:val="auto"/>
          <w:kern w:val="2"/>
          <w:sz w:val="24"/>
          <w:szCs w:val="24"/>
          <w:highlight w:val="none"/>
          <w:lang w:val="en-US" w:bidi="ar-SA"/>
        </w:rPr>
        <w:t>⑴、检查钢筋混凝土构件是否有开裂和变形等损坏现象。</w:t>
      </w:r>
    </w:p>
    <w:p>
      <w:pPr>
        <w:autoSpaceDE/>
        <w:autoSpaceDN/>
        <w:snapToGrid w:val="0"/>
        <w:spacing w:line="400" w:lineRule="exact"/>
        <w:ind w:firstLine="480" w:firstLineChars="200"/>
        <w:jc w:val="both"/>
        <w:rPr>
          <w:rFonts w:cs="Times New Roman"/>
          <w:color w:val="auto"/>
          <w:kern w:val="2"/>
          <w:sz w:val="24"/>
          <w:szCs w:val="24"/>
          <w:highlight w:val="none"/>
          <w:lang w:val="en-US" w:bidi="ar-SA"/>
        </w:rPr>
      </w:pPr>
      <w:r>
        <w:rPr>
          <w:rFonts w:hint="eastAsia" w:cs="Times New Roman"/>
          <w:color w:val="auto"/>
          <w:kern w:val="2"/>
          <w:sz w:val="24"/>
          <w:szCs w:val="24"/>
          <w:highlight w:val="none"/>
          <w:lang w:val="en-US" w:bidi="ar-SA"/>
        </w:rPr>
        <w:t>①、混凝土构件外观完损状态记录：保护层脱落、裂缝、露筋、移位、蜂窝、麻面、空洞、掉角、水渍、变色等。</w:t>
      </w:r>
    </w:p>
    <w:p>
      <w:pPr>
        <w:autoSpaceDE/>
        <w:autoSpaceDN/>
        <w:snapToGrid w:val="0"/>
        <w:spacing w:line="400" w:lineRule="exact"/>
        <w:ind w:firstLine="480" w:firstLineChars="200"/>
        <w:jc w:val="both"/>
        <w:rPr>
          <w:rFonts w:cs="Times New Roman"/>
          <w:color w:val="auto"/>
          <w:kern w:val="2"/>
          <w:sz w:val="24"/>
          <w:szCs w:val="24"/>
          <w:highlight w:val="none"/>
          <w:lang w:val="en-US" w:bidi="ar-SA"/>
        </w:rPr>
      </w:pPr>
      <w:r>
        <w:rPr>
          <w:rFonts w:hint="eastAsia" w:cs="Times New Roman"/>
          <w:color w:val="auto"/>
          <w:kern w:val="2"/>
          <w:sz w:val="24"/>
          <w:szCs w:val="24"/>
          <w:highlight w:val="none"/>
          <w:lang w:val="en-US" w:bidi="ar-SA"/>
        </w:rPr>
        <w:t>②、裂缝记录时要按位置、走向、裂缝形式、宽度、长度的顺序进行记录，必要时绘出裂缝分布图，并选取典型裂缝进行刻画、监测，用照相机拍摄记录异常现象。</w:t>
      </w:r>
    </w:p>
    <w:p>
      <w:pPr>
        <w:autoSpaceDE/>
        <w:autoSpaceDN/>
        <w:snapToGrid w:val="0"/>
        <w:spacing w:line="400" w:lineRule="exact"/>
        <w:ind w:firstLine="480" w:firstLineChars="200"/>
        <w:jc w:val="both"/>
        <w:rPr>
          <w:rFonts w:cs="Times New Roman"/>
          <w:color w:val="auto"/>
          <w:kern w:val="2"/>
          <w:sz w:val="24"/>
          <w:szCs w:val="24"/>
          <w:highlight w:val="none"/>
          <w:lang w:val="en-US" w:bidi="ar-SA"/>
        </w:rPr>
      </w:pPr>
      <w:r>
        <w:rPr>
          <w:rFonts w:cs="Times New Roman"/>
          <w:color w:val="auto"/>
          <w:kern w:val="2"/>
          <w:sz w:val="24"/>
          <w:szCs w:val="24"/>
          <w:highlight w:val="none"/>
          <w:lang w:val="en-US" w:bidi="ar-SA"/>
        </w:rPr>
        <w:t>③、</w:t>
      </w:r>
      <w:r>
        <w:rPr>
          <w:rFonts w:hint="eastAsia" w:cs="Times New Roman"/>
          <w:color w:val="auto"/>
          <w:kern w:val="2"/>
          <w:sz w:val="24"/>
          <w:szCs w:val="24"/>
          <w:highlight w:val="none"/>
          <w:lang w:val="en-US" w:bidi="ar-SA"/>
        </w:rPr>
        <w:t>针对部分裂缝采用裂缝测宽仪进行裂缝宽度进行测量，并抽样用钢筋探测仪对其周边配筋情况及保护层厚度进行检测，初步判断裂缝的性质。</w:t>
      </w:r>
    </w:p>
    <w:p>
      <w:pPr>
        <w:autoSpaceDE/>
        <w:autoSpaceDN/>
        <w:snapToGrid w:val="0"/>
        <w:spacing w:line="400" w:lineRule="exact"/>
        <w:ind w:firstLine="480" w:firstLineChars="200"/>
        <w:jc w:val="both"/>
        <w:rPr>
          <w:rFonts w:cs="Times New Roman"/>
          <w:color w:val="auto"/>
          <w:kern w:val="2"/>
          <w:sz w:val="24"/>
          <w:szCs w:val="24"/>
          <w:highlight w:val="none"/>
          <w:lang w:val="en-US" w:bidi="ar-SA"/>
        </w:rPr>
      </w:pPr>
      <w:r>
        <w:rPr>
          <w:rFonts w:hint="eastAsia" w:cs="Times New Roman"/>
          <w:color w:val="auto"/>
          <w:kern w:val="2"/>
          <w:sz w:val="24"/>
          <w:szCs w:val="24"/>
          <w:highlight w:val="none"/>
          <w:lang w:val="en-US" w:bidi="ar-SA"/>
        </w:rPr>
        <w:t>⑵、检查各构件之间的连接是否有松动、开裂及变形等损坏现象。</w:t>
      </w:r>
    </w:p>
    <w:p>
      <w:pPr>
        <w:autoSpaceDE/>
        <w:autoSpaceDN/>
        <w:snapToGrid w:val="0"/>
        <w:spacing w:line="400" w:lineRule="exact"/>
        <w:ind w:firstLine="480" w:firstLineChars="200"/>
        <w:jc w:val="both"/>
        <w:rPr>
          <w:rFonts w:cs="Times New Roman"/>
          <w:color w:val="auto"/>
          <w:kern w:val="2"/>
          <w:sz w:val="24"/>
          <w:szCs w:val="24"/>
          <w:highlight w:val="none"/>
          <w:lang w:val="en-US" w:bidi="ar-SA"/>
        </w:rPr>
      </w:pPr>
      <w:r>
        <w:rPr>
          <w:rFonts w:hint="eastAsia" w:cs="Times New Roman"/>
          <w:color w:val="auto"/>
          <w:kern w:val="2"/>
          <w:sz w:val="24"/>
          <w:szCs w:val="24"/>
          <w:highlight w:val="none"/>
          <w:lang w:val="en-US" w:bidi="ar-SA"/>
        </w:rPr>
        <w:t>⑶、检查承重砖墙砌体外观损坏情况：破损、裂缝、倾斜、弓凸、风化、腐蚀、高低不平、灰缝酥松等；裂缝记录时按上述顺序进行记录，选取典型裂缝进行刻画、监测，并初步判断裂缝的性质。</w:t>
      </w:r>
    </w:p>
    <w:p>
      <w:pPr>
        <w:autoSpaceDE/>
        <w:autoSpaceDN/>
        <w:snapToGrid w:val="0"/>
        <w:spacing w:line="400" w:lineRule="exact"/>
        <w:ind w:firstLine="480" w:firstLineChars="200"/>
        <w:jc w:val="both"/>
        <w:rPr>
          <w:rFonts w:cs="Times New Roman"/>
          <w:color w:val="auto"/>
          <w:kern w:val="2"/>
          <w:sz w:val="24"/>
          <w:szCs w:val="24"/>
          <w:highlight w:val="none"/>
          <w:lang w:val="en-US" w:bidi="ar-SA"/>
        </w:rPr>
      </w:pPr>
      <w:r>
        <w:rPr>
          <w:rFonts w:hint="eastAsia" w:cs="Times New Roman"/>
          <w:color w:val="auto"/>
          <w:kern w:val="2"/>
          <w:sz w:val="24"/>
          <w:szCs w:val="24"/>
          <w:highlight w:val="none"/>
          <w:lang w:val="en-US" w:bidi="ar-SA"/>
        </w:rPr>
        <w:t>4、房屋围护结构基本情况</w:t>
      </w:r>
    </w:p>
    <w:p>
      <w:pPr>
        <w:autoSpaceDE/>
        <w:autoSpaceDN/>
        <w:snapToGrid w:val="0"/>
        <w:spacing w:line="400" w:lineRule="exact"/>
        <w:ind w:firstLine="480" w:firstLineChars="200"/>
        <w:jc w:val="both"/>
        <w:rPr>
          <w:rFonts w:cs="Times New Roman"/>
          <w:color w:val="auto"/>
          <w:kern w:val="2"/>
          <w:sz w:val="24"/>
          <w:szCs w:val="24"/>
          <w:highlight w:val="none"/>
          <w:lang w:val="en-US" w:bidi="ar-SA"/>
        </w:rPr>
      </w:pPr>
      <w:r>
        <w:rPr>
          <w:rFonts w:hint="eastAsia" w:cs="Times New Roman"/>
          <w:color w:val="auto"/>
          <w:kern w:val="2"/>
          <w:sz w:val="24"/>
          <w:szCs w:val="24"/>
          <w:highlight w:val="none"/>
          <w:lang w:val="en-US" w:bidi="ar-SA"/>
        </w:rPr>
        <w:t>⑴、检查砖墙砌体的损坏情况</w:t>
      </w:r>
    </w:p>
    <w:p>
      <w:pPr>
        <w:autoSpaceDE/>
        <w:autoSpaceDN/>
        <w:snapToGrid w:val="0"/>
        <w:spacing w:line="400" w:lineRule="exact"/>
        <w:ind w:firstLine="480" w:firstLineChars="200"/>
        <w:jc w:val="both"/>
        <w:rPr>
          <w:rFonts w:cs="Times New Roman"/>
          <w:color w:val="auto"/>
          <w:kern w:val="2"/>
          <w:sz w:val="24"/>
          <w:szCs w:val="24"/>
          <w:highlight w:val="none"/>
          <w:lang w:val="en-US" w:bidi="ar-SA"/>
        </w:rPr>
      </w:pPr>
      <w:r>
        <w:rPr>
          <w:rFonts w:hint="eastAsia" w:cs="Times New Roman"/>
          <w:color w:val="auto"/>
          <w:kern w:val="2"/>
          <w:sz w:val="24"/>
          <w:szCs w:val="24"/>
          <w:highlight w:val="none"/>
          <w:lang w:val="en-US" w:bidi="ar-SA"/>
        </w:rPr>
        <w:t>①、墙体外观完损状态检查：破损、裂缝、倾斜、弓凸、风化、腐蚀、高低不平、灰缝酥松等。</w:t>
      </w:r>
    </w:p>
    <w:p>
      <w:pPr>
        <w:autoSpaceDE/>
        <w:autoSpaceDN/>
        <w:snapToGrid w:val="0"/>
        <w:spacing w:line="400" w:lineRule="exact"/>
        <w:ind w:firstLine="480" w:firstLineChars="200"/>
        <w:jc w:val="both"/>
        <w:rPr>
          <w:rFonts w:cs="Times New Roman"/>
          <w:color w:val="auto"/>
          <w:kern w:val="2"/>
          <w:sz w:val="24"/>
          <w:szCs w:val="24"/>
          <w:highlight w:val="none"/>
          <w:lang w:val="en-US" w:bidi="ar-SA"/>
        </w:rPr>
      </w:pPr>
      <w:r>
        <w:rPr>
          <w:rFonts w:hint="eastAsia" w:cs="Times New Roman"/>
          <w:color w:val="auto"/>
          <w:kern w:val="2"/>
          <w:sz w:val="24"/>
          <w:szCs w:val="24"/>
          <w:highlight w:val="none"/>
          <w:lang w:val="en-US" w:bidi="ar-SA"/>
        </w:rPr>
        <w:t>②、裂缝记录时要按位置、走向、裂缝形式、宽度、长度的顺序进行记录，并选取典型裂缝进行刻画、监测，用照相机拍摄记录异常现象。</w:t>
      </w:r>
    </w:p>
    <w:p>
      <w:pPr>
        <w:autoSpaceDE/>
        <w:autoSpaceDN/>
        <w:snapToGrid w:val="0"/>
        <w:spacing w:line="400" w:lineRule="exact"/>
        <w:ind w:firstLine="480" w:firstLineChars="200"/>
        <w:jc w:val="both"/>
        <w:rPr>
          <w:rFonts w:cs="Times New Roman"/>
          <w:color w:val="auto"/>
          <w:kern w:val="2"/>
          <w:sz w:val="24"/>
          <w:szCs w:val="24"/>
          <w:highlight w:val="none"/>
          <w:lang w:val="en-US" w:bidi="ar-SA"/>
        </w:rPr>
      </w:pPr>
      <w:r>
        <w:rPr>
          <w:rFonts w:hint="eastAsia" w:cs="Times New Roman"/>
          <w:color w:val="auto"/>
          <w:kern w:val="2"/>
          <w:sz w:val="24"/>
          <w:szCs w:val="24"/>
          <w:highlight w:val="none"/>
          <w:lang w:val="en-US" w:bidi="ar-SA"/>
        </w:rPr>
        <w:t>⑵、检查房屋的饰面及隔热层损坏情况</w:t>
      </w:r>
    </w:p>
    <w:p>
      <w:pPr>
        <w:autoSpaceDE/>
        <w:autoSpaceDN/>
        <w:snapToGrid w:val="0"/>
        <w:spacing w:line="400" w:lineRule="exact"/>
        <w:ind w:firstLine="480" w:firstLineChars="200"/>
        <w:jc w:val="both"/>
        <w:rPr>
          <w:rFonts w:cs="Times New Roman"/>
          <w:color w:val="auto"/>
          <w:kern w:val="2"/>
          <w:sz w:val="24"/>
          <w:szCs w:val="24"/>
          <w:highlight w:val="none"/>
          <w:lang w:val="en-US" w:bidi="ar-SA"/>
        </w:rPr>
      </w:pPr>
      <w:r>
        <w:rPr>
          <w:rFonts w:hint="eastAsia" w:cs="Times New Roman"/>
          <w:color w:val="auto"/>
          <w:kern w:val="2"/>
          <w:sz w:val="24"/>
          <w:szCs w:val="24"/>
          <w:highlight w:val="none"/>
          <w:lang w:val="en-US" w:bidi="ar-SA"/>
        </w:rPr>
        <w:t>①、检查楼地面的损坏：起砂、剥落、裂缝、沉陷、空鼓。</w:t>
      </w:r>
    </w:p>
    <w:p>
      <w:pPr>
        <w:autoSpaceDE/>
        <w:autoSpaceDN/>
        <w:snapToGrid w:val="0"/>
        <w:spacing w:line="400" w:lineRule="exact"/>
        <w:ind w:firstLine="480" w:firstLineChars="200"/>
        <w:jc w:val="both"/>
        <w:rPr>
          <w:rFonts w:cs="Times New Roman"/>
          <w:color w:val="auto"/>
          <w:kern w:val="2"/>
          <w:sz w:val="24"/>
          <w:szCs w:val="24"/>
          <w:highlight w:val="none"/>
          <w:lang w:val="en-US" w:bidi="ar-SA"/>
        </w:rPr>
      </w:pPr>
      <w:r>
        <w:rPr>
          <w:rFonts w:hint="eastAsia" w:cs="Times New Roman"/>
          <w:color w:val="auto"/>
          <w:kern w:val="2"/>
          <w:sz w:val="24"/>
          <w:szCs w:val="24"/>
          <w:highlight w:val="none"/>
          <w:lang w:val="en-US" w:bidi="ar-SA"/>
        </w:rPr>
        <w:t>②、检查装修部分的损坏情况：内外墙抹灰、空鼓、剥落、风化、裂缝、龟裂、墙面渗水。</w:t>
      </w:r>
    </w:p>
    <w:p>
      <w:pPr>
        <w:autoSpaceDE/>
        <w:autoSpaceDN/>
        <w:snapToGrid w:val="0"/>
        <w:spacing w:line="400" w:lineRule="exact"/>
        <w:ind w:firstLine="480" w:firstLineChars="200"/>
        <w:jc w:val="both"/>
        <w:rPr>
          <w:rFonts w:cs="Times New Roman"/>
          <w:color w:val="auto"/>
          <w:kern w:val="2"/>
          <w:sz w:val="24"/>
          <w:szCs w:val="24"/>
          <w:highlight w:val="none"/>
          <w:lang w:val="en-US" w:bidi="ar-SA"/>
        </w:rPr>
      </w:pPr>
      <w:r>
        <w:rPr>
          <w:rFonts w:hint="eastAsia" w:cs="Times New Roman"/>
          <w:color w:val="auto"/>
          <w:kern w:val="2"/>
          <w:sz w:val="24"/>
          <w:szCs w:val="24"/>
          <w:highlight w:val="none"/>
          <w:lang w:val="en-US" w:bidi="ar-SA"/>
        </w:rPr>
        <w:t>⑶、检查房屋门窗的损坏情况：窗框与墙体固定、木质腐朽、开启、钢门窗锈蚀、变形、玻璃、五金、油漆等。</w:t>
      </w:r>
    </w:p>
    <w:p>
      <w:pPr>
        <w:autoSpaceDE/>
        <w:autoSpaceDN/>
        <w:snapToGrid w:val="0"/>
        <w:spacing w:line="400" w:lineRule="exact"/>
        <w:ind w:firstLine="480" w:firstLineChars="200"/>
        <w:jc w:val="both"/>
        <w:rPr>
          <w:rFonts w:cs="Times New Roman"/>
          <w:color w:val="auto"/>
          <w:kern w:val="2"/>
          <w:sz w:val="24"/>
          <w:szCs w:val="24"/>
          <w:highlight w:val="none"/>
          <w:lang w:val="en-US" w:bidi="ar-SA"/>
        </w:rPr>
      </w:pPr>
      <w:r>
        <w:rPr>
          <w:rFonts w:hint="eastAsia" w:cs="Times New Roman"/>
          <w:color w:val="auto"/>
          <w:kern w:val="2"/>
          <w:sz w:val="24"/>
          <w:szCs w:val="24"/>
          <w:highlight w:val="none"/>
          <w:lang w:val="en-US" w:bidi="ar-SA"/>
        </w:rPr>
        <w:t>⑷、检查房屋水电设备的使用功能：给排水管道堵塞、锈蚀、漏水；电照设备的新旧、完损、电线老化、绝缘。</w:t>
      </w:r>
    </w:p>
    <w:p>
      <w:pPr>
        <w:autoSpaceDE/>
        <w:autoSpaceDN/>
        <w:snapToGrid w:val="0"/>
        <w:spacing w:line="400" w:lineRule="exact"/>
        <w:ind w:firstLine="480" w:firstLineChars="200"/>
        <w:jc w:val="both"/>
        <w:rPr>
          <w:rFonts w:cs="Times New Roman"/>
          <w:color w:val="auto"/>
          <w:kern w:val="2"/>
          <w:sz w:val="24"/>
          <w:szCs w:val="24"/>
          <w:highlight w:val="none"/>
          <w:lang w:val="en-US" w:bidi="ar-SA"/>
        </w:rPr>
      </w:pPr>
      <w:r>
        <w:rPr>
          <w:rFonts w:hint="eastAsia" w:cs="Times New Roman"/>
          <w:color w:val="auto"/>
          <w:kern w:val="2"/>
          <w:sz w:val="24"/>
          <w:szCs w:val="24"/>
          <w:highlight w:val="none"/>
          <w:lang w:val="en-US" w:bidi="ar-SA"/>
        </w:rPr>
        <w:t>⑸、检查房屋其他各部分（如：屋顶女儿墙、栏杆、雨蓬、挑檐、过梁等）的使用状况和建筑物损坏状况。</w:t>
      </w:r>
    </w:p>
    <w:p>
      <w:pPr>
        <w:autoSpaceDE/>
        <w:autoSpaceDN/>
        <w:snapToGrid w:val="0"/>
        <w:spacing w:line="400" w:lineRule="exact"/>
        <w:jc w:val="both"/>
        <w:rPr>
          <w:rFonts w:cs="Times New Roman"/>
          <w:color w:val="auto"/>
          <w:kern w:val="2"/>
          <w:sz w:val="24"/>
          <w:szCs w:val="24"/>
          <w:highlight w:val="none"/>
          <w:lang w:val="en-US" w:bidi="ar-SA"/>
        </w:rPr>
      </w:pPr>
    </w:p>
    <w:p>
      <w:pPr>
        <w:autoSpaceDE/>
        <w:autoSpaceDN/>
        <w:snapToGrid w:val="0"/>
        <w:spacing w:line="400" w:lineRule="exact"/>
        <w:jc w:val="both"/>
        <w:rPr>
          <w:rFonts w:cs="Times New Roman"/>
          <w:color w:val="auto"/>
          <w:kern w:val="2"/>
          <w:sz w:val="24"/>
          <w:szCs w:val="24"/>
          <w:highlight w:val="none"/>
          <w:lang w:val="en-US" w:bidi="ar-SA"/>
        </w:rPr>
      </w:pPr>
      <w:r>
        <w:rPr>
          <w:rFonts w:hint="eastAsia" w:cs="Times New Roman"/>
          <w:color w:val="auto"/>
          <w:kern w:val="2"/>
          <w:sz w:val="24"/>
          <w:szCs w:val="24"/>
          <w:highlight w:val="none"/>
          <w:lang w:val="en-US" w:bidi="ar-SA"/>
        </w:rPr>
        <w:t>（四）、房屋鉴定报告</w:t>
      </w:r>
    </w:p>
    <w:p>
      <w:pPr>
        <w:autoSpaceDE/>
        <w:autoSpaceDN/>
        <w:snapToGrid w:val="0"/>
        <w:spacing w:line="400" w:lineRule="exact"/>
        <w:ind w:firstLine="480" w:firstLineChars="200"/>
        <w:jc w:val="both"/>
        <w:rPr>
          <w:rFonts w:cs="Times New Roman"/>
          <w:color w:val="auto"/>
          <w:kern w:val="2"/>
          <w:sz w:val="24"/>
          <w:szCs w:val="24"/>
          <w:highlight w:val="none"/>
          <w:lang w:val="en-US" w:bidi="ar-SA"/>
        </w:rPr>
      </w:pPr>
      <w:r>
        <w:rPr>
          <w:rFonts w:hint="eastAsia" w:cs="Times New Roman"/>
          <w:color w:val="auto"/>
          <w:kern w:val="2"/>
          <w:sz w:val="24"/>
          <w:szCs w:val="24"/>
          <w:highlight w:val="none"/>
          <w:lang w:val="en-US" w:bidi="ar-SA"/>
        </w:rPr>
        <w:t>根据上述对房屋各构件全面检查结果，根据国家现行建筑结构有关规范、标准编写《鉴定报告》，并判断该房屋安全程度，对存在的质量问题或安全隐患的地方提出处理意见，如有应急抢险鉴定可根据实际情况编写检查意见或鉴定报告。</w:t>
      </w:r>
    </w:p>
    <w:p>
      <w:pPr>
        <w:pStyle w:val="11"/>
        <w:adjustRightInd w:val="0"/>
        <w:snapToGrid w:val="0"/>
        <w:spacing w:line="400" w:lineRule="exact"/>
        <w:ind w:firstLine="480" w:firstLineChars="200"/>
        <w:rPr>
          <w:color w:val="auto"/>
          <w:sz w:val="24"/>
          <w:szCs w:val="24"/>
          <w:highlight w:val="none"/>
        </w:rPr>
        <w:sectPr>
          <w:pgSz w:w="11906" w:h="16838"/>
          <w:pgMar w:top="1380" w:right="1100" w:bottom="1120" w:left="1560" w:header="0" w:footer="841" w:gutter="0"/>
          <w:cols w:space="720" w:num="1"/>
        </w:sectPr>
      </w:pPr>
    </w:p>
    <w:p>
      <w:pPr>
        <w:pStyle w:val="11"/>
        <w:spacing w:before="8" w:line="360" w:lineRule="auto"/>
        <w:rPr>
          <w:color w:val="auto"/>
          <w:sz w:val="26"/>
          <w:highlight w:val="none"/>
        </w:rPr>
      </w:pPr>
    </w:p>
    <w:p>
      <w:pPr>
        <w:pStyle w:val="3"/>
        <w:spacing w:line="360" w:lineRule="auto"/>
        <w:ind w:right="458"/>
        <w:rPr>
          <w:rFonts w:ascii="宋体" w:hAnsi="宋体" w:eastAsia="宋体" w:cs="宋体"/>
          <w:color w:val="auto"/>
          <w:highlight w:val="none"/>
        </w:rPr>
      </w:pPr>
      <w:bookmarkStart w:id="34" w:name="_Toc31926"/>
      <w:r>
        <w:rPr>
          <w:rFonts w:hint="eastAsia" w:ascii="宋体" w:hAnsi="宋体" w:eastAsia="宋体" w:cs="宋体"/>
          <w:color w:val="auto"/>
          <w:highlight w:val="none"/>
        </w:rPr>
        <w:t>第三卷</w:t>
      </w:r>
      <w:bookmarkEnd w:id="34"/>
    </w:p>
    <w:p>
      <w:pPr>
        <w:pStyle w:val="3"/>
        <w:spacing w:line="360" w:lineRule="auto"/>
        <w:rPr>
          <w:rFonts w:ascii="宋体" w:hAnsi="宋体" w:eastAsia="宋体" w:cs="宋体"/>
          <w:color w:val="auto"/>
          <w:highlight w:val="none"/>
        </w:rPr>
      </w:pPr>
      <w:bookmarkStart w:id="35" w:name="_Toc30980"/>
      <w:r>
        <w:rPr>
          <w:rFonts w:hint="eastAsia" w:ascii="宋体" w:hAnsi="宋体" w:eastAsia="宋体" w:cs="宋体"/>
          <w:color w:val="auto"/>
          <w:highlight w:val="none"/>
        </w:rPr>
        <w:t>第六章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投标文件格式</w:t>
      </w:r>
      <w:bookmarkEnd w:id="35"/>
    </w:p>
    <w:p>
      <w:pPr>
        <w:spacing w:line="360" w:lineRule="auto"/>
        <w:rPr>
          <w:color w:val="auto"/>
          <w:highlight w:val="none"/>
        </w:rPr>
        <w:sectPr>
          <w:pgSz w:w="11906" w:h="16838"/>
          <w:pgMar w:top="1420" w:right="1100" w:bottom="1120" w:left="1560" w:header="0" w:footer="841" w:gutter="0"/>
          <w:cols w:space="720" w:num="1"/>
        </w:sectPr>
      </w:pPr>
    </w:p>
    <w:p>
      <w:pPr>
        <w:pStyle w:val="11"/>
        <w:spacing w:line="360" w:lineRule="auto"/>
        <w:rPr>
          <w:b/>
          <w:color w:val="auto"/>
          <w:sz w:val="20"/>
          <w:highlight w:val="none"/>
        </w:rPr>
      </w:pPr>
    </w:p>
    <w:p>
      <w:pPr>
        <w:pStyle w:val="11"/>
        <w:spacing w:line="360" w:lineRule="auto"/>
        <w:rPr>
          <w:b/>
          <w:color w:val="auto"/>
          <w:sz w:val="20"/>
          <w:highlight w:val="none"/>
        </w:rPr>
      </w:pPr>
    </w:p>
    <w:p>
      <w:pPr>
        <w:pStyle w:val="11"/>
        <w:spacing w:before="4" w:line="360" w:lineRule="auto"/>
        <w:rPr>
          <w:b/>
          <w:color w:val="auto"/>
          <w:sz w:val="18"/>
          <w:highlight w:val="none"/>
        </w:rPr>
      </w:pPr>
    </w:p>
    <w:p>
      <w:pPr>
        <w:tabs>
          <w:tab w:val="left" w:pos="1118"/>
        </w:tabs>
        <w:spacing w:before="70" w:line="360" w:lineRule="auto"/>
        <w:ind w:right="453"/>
        <w:jc w:val="center"/>
        <w:rPr>
          <w:color w:val="auto"/>
          <w:sz w:val="28"/>
          <w:highlight w:val="none"/>
        </w:rPr>
      </w:pPr>
      <w:r>
        <w:rPr>
          <w:rFonts w:hint="eastAsia"/>
          <w:color w:val="auto"/>
          <w:sz w:val="28"/>
          <w:highlight w:val="none"/>
          <w:u w:val="single"/>
        </w:rPr>
        <w:t xml:space="preserve"> </w:t>
      </w:r>
      <w:r>
        <w:rPr>
          <w:rFonts w:hint="eastAsia"/>
          <w:color w:val="auto"/>
          <w:sz w:val="28"/>
          <w:highlight w:val="none"/>
          <w:u w:val="single"/>
        </w:rPr>
        <w:tab/>
      </w:r>
      <w:r>
        <w:rPr>
          <w:rFonts w:hint="eastAsia"/>
          <w:color w:val="auto"/>
          <w:sz w:val="28"/>
          <w:highlight w:val="none"/>
          <w:u w:val="single"/>
        </w:rPr>
        <w:t>（</w:t>
      </w:r>
      <w:r>
        <w:rPr>
          <w:rFonts w:hint="eastAsia"/>
          <w:color w:val="auto"/>
          <w:spacing w:val="-1"/>
          <w:sz w:val="28"/>
          <w:highlight w:val="none"/>
        </w:rPr>
        <w:t>项目名称）</w:t>
      </w:r>
    </w:p>
    <w:p>
      <w:pPr>
        <w:pStyle w:val="11"/>
        <w:spacing w:line="360" w:lineRule="auto"/>
        <w:rPr>
          <w:color w:val="auto"/>
          <w:sz w:val="20"/>
          <w:highlight w:val="none"/>
        </w:rPr>
      </w:pPr>
    </w:p>
    <w:p>
      <w:pPr>
        <w:spacing w:before="209" w:line="360" w:lineRule="auto"/>
        <w:ind w:right="455"/>
        <w:jc w:val="center"/>
        <w:rPr>
          <w:color w:val="auto"/>
          <w:sz w:val="44"/>
          <w:highlight w:val="none"/>
        </w:rPr>
      </w:pPr>
      <w:r>
        <w:rPr>
          <w:rFonts w:hint="eastAsia"/>
          <w:color w:val="auto"/>
          <w:sz w:val="44"/>
          <w:highlight w:val="none"/>
        </w:rPr>
        <w:t>投 标 文 件</w:t>
      </w:r>
    </w:p>
    <w:p>
      <w:pPr>
        <w:pStyle w:val="11"/>
        <w:spacing w:line="360" w:lineRule="auto"/>
        <w:rPr>
          <w:color w:val="auto"/>
          <w:sz w:val="44"/>
          <w:highlight w:val="none"/>
        </w:rPr>
      </w:pPr>
    </w:p>
    <w:p>
      <w:pPr>
        <w:pStyle w:val="11"/>
        <w:spacing w:line="360" w:lineRule="auto"/>
        <w:rPr>
          <w:color w:val="auto"/>
          <w:sz w:val="44"/>
          <w:highlight w:val="none"/>
        </w:rPr>
      </w:pPr>
    </w:p>
    <w:p>
      <w:pPr>
        <w:pStyle w:val="11"/>
        <w:spacing w:line="360" w:lineRule="auto"/>
        <w:rPr>
          <w:color w:val="auto"/>
          <w:sz w:val="44"/>
          <w:highlight w:val="none"/>
        </w:rPr>
      </w:pPr>
    </w:p>
    <w:p>
      <w:pPr>
        <w:pStyle w:val="11"/>
        <w:spacing w:line="360" w:lineRule="auto"/>
        <w:rPr>
          <w:color w:val="auto"/>
          <w:sz w:val="44"/>
          <w:highlight w:val="none"/>
        </w:rPr>
      </w:pPr>
    </w:p>
    <w:p>
      <w:pPr>
        <w:pStyle w:val="11"/>
        <w:spacing w:line="360" w:lineRule="auto"/>
        <w:rPr>
          <w:color w:val="auto"/>
          <w:sz w:val="44"/>
          <w:highlight w:val="none"/>
        </w:rPr>
      </w:pPr>
    </w:p>
    <w:p>
      <w:pPr>
        <w:pStyle w:val="11"/>
        <w:spacing w:line="360" w:lineRule="auto"/>
        <w:rPr>
          <w:color w:val="auto"/>
          <w:sz w:val="44"/>
          <w:highlight w:val="none"/>
        </w:rPr>
      </w:pPr>
    </w:p>
    <w:p>
      <w:pPr>
        <w:pStyle w:val="11"/>
        <w:spacing w:line="360" w:lineRule="auto"/>
        <w:rPr>
          <w:color w:val="auto"/>
          <w:sz w:val="44"/>
          <w:highlight w:val="none"/>
        </w:rPr>
      </w:pPr>
    </w:p>
    <w:p>
      <w:pPr>
        <w:pStyle w:val="11"/>
        <w:spacing w:before="3" w:line="360" w:lineRule="auto"/>
        <w:rPr>
          <w:color w:val="auto"/>
          <w:sz w:val="52"/>
          <w:highlight w:val="none"/>
        </w:rPr>
      </w:pPr>
    </w:p>
    <w:p>
      <w:pPr>
        <w:tabs>
          <w:tab w:val="left" w:pos="5737"/>
          <w:tab w:val="left" w:pos="7102"/>
        </w:tabs>
        <w:spacing w:line="360" w:lineRule="auto"/>
        <w:ind w:left="1361" w:right="795"/>
        <w:rPr>
          <w:color w:val="auto"/>
          <w:spacing w:val="-16"/>
          <w:sz w:val="28"/>
          <w:highlight w:val="none"/>
        </w:rPr>
      </w:pPr>
      <w:r>
        <w:rPr>
          <w:rFonts w:hint="eastAsia"/>
          <w:color w:val="auto"/>
          <w:sz w:val="28"/>
          <w:highlight w:val="none"/>
        </w:rPr>
        <w:t>投标人：</w:t>
      </w:r>
      <w:r>
        <w:rPr>
          <w:rFonts w:hint="eastAsia"/>
          <w:color w:val="auto"/>
          <w:sz w:val="28"/>
          <w:highlight w:val="none"/>
          <w:u w:val="single"/>
        </w:rPr>
        <w:t xml:space="preserve"> </w:t>
      </w:r>
      <w:r>
        <w:rPr>
          <w:rFonts w:hint="eastAsia"/>
          <w:color w:val="auto"/>
          <w:sz w:val="28"/>
          <w:highlight w:val="none"/>
          <w:u w:val="single"/>
        </w:rPr>
        <w:tab/>
      </w:r>
      <w:r>
        <w:rPr>
          <w:rFonts w:hint="eastAsia"/>
          <w:color w:val="auto"/>
          <w:sz w:val="28"/>
          <w:highlight w:val="none"/>
        </w:rPr>
        <w:t>（盖</w:t>
      </w:r>
      <w:r>
        <w:rPr>
          <w:rFonts w:hint="eastAsia"/>
          <w:color w:val="auto"/>
          <w:spacing w:val="-3"/>
          <w:sz w:val="28"/>
          <w:highlight w:val="none"/>
        </w:rPr>
        <w:t>单</w:t>
      </w:r>
      <w:r>
        <w:rPr>
          <w:rFonts w:hint="eastAsia"/>
          <w:color w:val="auto"/>
          <w:sz w:val="28"/>
          <w:highlight w:val="none"/>
        </w:rPr>
        <w:t>位</w:t>
      </w:r>
      <w:r>
        <w:rPr>
          <w:rFonts w:hint="eastAsia"/>
          <w:color w:val="auto"/>
          <w:spacing w:val="-3"/>
          <w:sz w:val="28"/>
          <w:highlight w:val="none"/>
        </w:rPr>
        <w:t>章</w:t>
      </w:r>
      <w:r>
        <w:rPr>
          <w:rFonts w:hint="eastAsia"/>
          <w:color w:val="auto"/>
          <w:spacing w:val="-16"/>
          <w:sz w:val="28"/>
          <w:highlight w:val="none"/>
        </w:rPr>
        <w:t xml:space="preserve">） </w:t>
      </w:r>
    </w:p>
    <w:p>
      <w:pPr>
        <w:tabs>
          <w:tab w:val="left" w:pos="5737"/>
          <w:tab w:val="left" w:pos="7102"/>
        </w:tabs>
        <w:spacing w:line="360" w:lineRule="auto"/>
        <w:ind w:left="1361" w:right="795"/>
        <w:rPr>
          <w:color w:val="auto"/>
          <w:sz w:val="28"/>
          <w:highlight w:val="none"/>
        </w:rPr>
      </w:pPr>
      <w:r>
        <w:rPr>
          <w:rFonts w:hint="eastAsia"/>
          <w:color w:val="auto"/>
          <w:sz w:val="28"/>
          <w:highlight w:val="none"/>
        </w:rPr>
        <w:t>法定代</w:t>
      </w:r>
      <w:r>
        <w:rPr>
          <w:rFonts w:hint="eastAsia"/>
          <w:color w:val="auto"/>
          <w:spacing w:val="-3"/>
          <w:sz w:val="28"/>
          <w:highlight w:val="none"/>
        </w:rPr>
        <w:t>表</w:t>
      </w:r>
      <w:r>
        <w:rPr>
          <w:rFonts w:hint="eastAsia"/>
          <w:color w:val="auto"/>
          <w:sz w:val="28"/>
          <w:highlight w:val="none"/>
        </w:rPr>
        <w:t>人或</w:t>
      </w:r>
      <w:r>
        <w:rPr>
          <w:rFonts w:hint="eastAsia"/>
          <w:color w:val="auto"/>
          <w:spacing w:val="-3"/>
          <w:sz w:val="28"/>
          <w:highlight w:val="none"/>
        </w:rPr>
        <w:t>其委</w:t>
      </w:r>
      <w:r>
        <w:rPr>
          <w:rFonts w:hint="eastAsia"/>
          <w:color w:val="auto"/>
          <w:sz w:val="28"/>
          <w:highlight w:val="none"/>
        </w:rPr>
        <w:t>托代理</w:t>
      </w:r>
      <w:r>
        <w:rPr>
          <w:rFonts w:hint="eastAsia"/>
          <w:color w:val="auto"/>
          <w:spacing w:val="-3"/>
          <w:sz w:val="28"/>
          <w:highlight w:val="none"/>
        </w:rPr>
        <w:t>人</w:t>
      </w:r>
      <w:r>
        <w:rPr>
          <w:rFonts w:hint="eastAsia"/>
          <w:color w:val="auto"/>
          <w:sz w:val="28"/>
          <w:highlight w:val="none"/>
        </w:rPr>
        <w:t>：</w:t>
      </w:r>
      <w:r>
        <w:rPr>
          <w:rFonts w:hint="eastAsia"/>
          <w:color w:val="auto"/>
          <w:sz w:val="28"/>
          <w:highlight w:val="none"/>
          <w:u w:val="single"/>
        </w:rPr>
        <w:t xml:space="preserve"> </w:t>
      </w:r>
      <w:r>
        <w:rPr>
          <w:rFonts w:hint="eastAsia"/>
          <w:color w:val="auto"/>
          <w:sz w:val="28"/>
          <w:highlight w:val="none"/>
          <w:u w:val="single"/>
        </w:rPr>
        <w:tab/>
      </w:r>
      <w:r>
        <w:rPr>
          <w:rFonts w:hint="eastAsia"/>
          <w:color w:val="auto"/>
          <w:spacing w:val="-3"/>
          <w:sz w:val="28"/>
          <w:highlight w:val="none"/>
        </w:rPr>
        <w:t>（</w:t>
      </w:r>
      <w:r>
        <w:rPr>
          <w:rFonts w:hint="eastAsia"/>
          <w:color w:val="auto"/>
          <w:sz w:val="28"/>
          <w:highlight w:val="none"/>
        </w:rPr>
        <w:t>签字）</w:t>
      </w:r>
    </w:p>
    <w:p>
      <w:pPr>
        <w:pStyle w:val="11"/>
        <w:spacing w:before="5" w:line="360" w:lineRule="auto"/>
        <w:rPr>
          <w:color w:val="auto"/>
          <w:sz w:val="23"/>
          <w:highlight w:val="none"/>
        </w:rPr>
      </w:pPr>
    </w:p>
    <w:p>
      <w:pPr>
        <w:tabs>
          <w:tab w:val="left" w:pos="734"/>
          <w:tab w:val="left" w:pos="1749"/>
          <w:tab w:val="left" w:pos="2765"/>
        </w:tabs>
        <w:spacing w:before="62" w:line="360" w:lineRule="auto"/>
        <w:ind w:right="459"/>
        <w:jc w:val="center"/>
        <w:rPr>
          <w:color w:val="auto"/>
          <w:sz w:val="28"/>
          <w:highlight w:val="none"/>
        </w:rPr>
      </w:pPr>
      <w:r>
        <w:rPr>
          <w:rFonts w:hint="eastAsia"/>
          <w:color w:val="auto"/>
          <w:sz w:val="28"/>
          <w:highlight w:val="none"/>
          <w:u w:val="single"/>
        </w:rPr>
        <w:t xml:space="preserve"> </w:t>
      </w:r>
      <w:r>
        <w:rPr>
          <w:rFonts w:hint="eastAsia"/>
          <w:color w:val="auto"/>
          <w:sz w:val="28"/>
          <w:highlight w:val="none"/>
          <w:u w:val="single"/>
        </w:rPr>
        <w:tab/>
      </w:r>
      <w:r>
        <w:rPr>
          <w:rFonts w:hint="eastAsia"/>
          <w:color w:val="auto"/>
          <w:sz w:val="28"/>
          <w:highlight w:val="none"/>
        </w:rPr>
        <w:t>年</w:t>
      </w:r>
      <w:r>
        <w:rPr>
          <w:rFonts w:hint="eastAsia"/>
          <w:color w:val="auto"/>
          <w:sz w:val="28"/>
          <w:highlight w:val="none"/>
          <w:u w:val="single"/>
        </w:rPr>
        <w:t xml:space="preserve"> </w:t>
      </w:r>
      <w:r>
        <w:rPr>
          <w:rFonts w:hint="eastAsia"/>
          <w:color w:val="auto"/>
          <w:sz w:val="28"/>
          <w:highlight w:val="none"/>
          <w:u w:val="single"/>
        </w:rPr>
        <w:tab/>
      </w:r>
      <w:r>
        <w:rPr>
          <w:rFonts w:hint="eastAsia"/>
          <w:color w:val="auto"/>
          <w:sz w:val="28"/>
          <w:highlight w:val="none"/>
        </w:rPr>
        <w:t>月</w:t>
      </w:r>
      <w:r>
        <w:rPr>
          <w:rFonts w:hint="eastAsia"/>
          <w:color w:val="auto"/>
          <w:sz w:val="28"/>
          <w:highlight w:val="none"/>
          <w:u w:val="single"/>
        </w:rPr>
        <w:t xml:space="preserve"> </w:t>
      </w:r>
      <w:r>
        <w:rPr>
          <w:rFonts w:hint="eastAsia"/>
          <w:color w:val="auto"/>
          <w:sz w:val="28"/>
          <w:highlight w:val="none"/>
          <w:u w:val="single"/>
        </w:rPr>
        <w:tab/>
      </w:r>
      <w:r>
        <w:rPr>
          <w:rFonts w:hint="eastAsia"/>
          <w:color w:val="auto"/>
          <w:sz w:val="28"/>
          <w:highlight w:val="none"/>
        </w:rPr>
        <w:t>日</w:t>
      </w:r>
    </w:p>
    <w:p>
      <w:pPr>
        <w:spacing w:line="360" w:lineRule="auto"/>
        <w:jc w:val="center"/>
        <w:rPr>
          <w:color w:val="auto"/>
          <w:sz w:val="28"/>
          <w:highlight w:val="none"/>
        </w:rPr>
        <w:sectPr>
          <w:pgSz w:w="11906" w:h="16838"/>
          <w:pgMar w:top="1500" w:right="1100" w:bottom="1120" w:left="1560" w:header="0" w:footer="841" w:gutter="0"/>
          <w:cols w:space="720" w:num="1"/>
        </w:sectPr>
      </w:pPr>
    </w:p>
    <w:p>
      <w:pPr>
        <w:pStyle w:val="4"/>
        <w:spacing w:line="360" w:lineRule="auto"/>
        <w:ind w:left="0" w:right="457" w:firstLine="0"/>
        <w:jc w:val="center"/>
        <w:rPr>
          <w:rFonts w:ascii="宋体" w:hAnsi="宋体" w:eastAsia="宋体" w:cs="宋体"/>
          <w:color w:val="auto"/>
          <w:highlight w:val="none"/>
        </w:rPr>
      </w:pPr>
      <w:bookmarkStart w:id="36" w:name="_bookmark175"/>
      <w:bookmarkEnd w:id="36"/>
      <w:r>
        <w:rPr>
          <w:rFonts w:hint="eastAsia" w:ascii="宋体" w:hAnsi="宋体" w:eastAsia="宋体" w:cs="宋体"/>
          <w:color w:val="auto"/>
          <w:highlight w:val="none"/>
        </w:rPr>
        <w:t>目录</w:t>
      </w:r>
    </w:p>
    <w:p>
      <w:pPr>
        <w:pStyle w:val="11"/>
        <w:spacing w:line="360" w:lineRule="auto"/>
        <w:rPr>
          <w:b/>
          <w:color w:val="auto"/>
          <w:sz w:val="20"/>
          <w:highlight w:val="none"/>
        </w:rPr>
      </w:pPr>
    </w:p>
    <w:p>
      <w:pPr>
        <w:pStyle w:val="11"/>
        <w:spacing w:line="360" w:lineRule="auto"/>
        <w:rPr>
          <w:b/>
          <w:color w:val="auto"/>
          <w:sz w:val="20"/>
          <w:highlight w:val="none"/>
        </w:rPr>
      </w:pPr>
    </w:p>
    <w:p>
      <w:pPr>
        <w:pStyle w:val="11"/>
        <w:spacing w:before="1" w:line="360" w:lineRule="auto"/>
        <w:rPr>
          <w:b/>
          <w:color w:val="auto"/>
          <w:sz w:val="24"/>
          <w:highlight w:val="none"/>
        </w:rPr>
      </w:pPr>
    </w:p>
    <w:p>
      <w:pPr>
        <w:pStyle w:val="11"/>
        <w:spacing w:before="71" w:line="360" w:lineRule="auto"/>
        <w:ind w:left="240" w:right="6"/>
        <w:rPr>
          <w:color w:val="auto"/>
          <w:highlight w:val="none"/>
        </w:rPr>
      </w:pPr>
      <w:bookmarkStart w:id="37" w:name="_bookmark176"/>
      <w:bookmarkEnd w:id="37"/>
      <w:r>
        <w:rPr>
          <w:rFonts w:hint="eastAsia"/>
          <w:color w:val="auto"/>
          <w:highlight w:val="none"/>
        </w:rPr>
        <w:t>一、投标函及投标函附录</w:t>
      </w:r>
    </w:p>
    <w:p>
      <w:pPr>
        <w:pStyle w:val="11"/>
        <w:spacing w:line="360" w:lineRule="auto"/>
        <w:ind w:left="240" w:right="6"/>
        <w:rPr>
          <w:color w:val="auto"/>
          <w:highlight w:val="none"/>
        </w:rPr>
      </w:pPr>
      <w:r>
        <w:rPr>
          <w:rFonts w:hint="eastAsia"/>
          <w:color w:val="auto"/>
          <w:highlight w:val="none"/>
        </w:rPr>
        <w:t>二、法定代表人身份证明</w:t>
      </w:r>
    </w:p>
    <w:p>
      <w:pPr>
        <w:pStyle w:val="11"/>
        <w:spacing w:line="360" w:lineRule="auto"/>
        <w:ind w:left="240" w:right="6"/>
        <w:rPr>
          <w:color w:val="auto"/>
          <w:highlight w:val="none"/>
        </w:rPr>
      </w:pPr>
      <w:r>
        <w:rPr>
          <w:rFonts w:hint="eastAsia"/>
          <w:color w:val="auto"/>
          <w:highlight w:val="none"/>
        </w:rPr>
        <w:t>三、授权委托书</w:t>
      </w:r>
    </w:p>
    <w:p>
      <w:pPr>
        <w:pStyle w:val="11"/>
        <w:spacing w:line="360" w:lineRule="auto"/>
        <w:ind w:left="240" w:right="6"/>
        <w:rPr>
          <w:color w:val="auto"/>
          <w:spacing w:val="-2"/>
          <w:highlight w:val="none"/>
        </w:rPr>
      </w:pPr>
      <w:r>
        <w:rPr>
          <w:rFonts w:hint="eastAsia"/>
          <w:color w:val="auto"/>
          <w:spacing w:val="-5"/>
          <w:highlight w:val="none"/>
          <w:lang w:val="en-US"/>
        </w:rPr>
        <w:t>四</w:t>
      </w:r>
      <w:r>
        <w:rPr>
          <w:rFonts w:hint="eastAsia"/>
          <w:color w:val="auto"/>
          <w:spacing w:val="-5"/>
          <w:highlight w:val="none"/>
        </w:rPr>
        <w:t>、</w:t>
      </w:r>
      <w:r>
        <w:rPr>
          <w:rFonts w:hint="eastAsia"/>
          <w:color w:val="auto"/>
          <w:spacing w:val="-2"/>
          <w:highlight w:val="none"/>
        </w:rPr>
        <w:t xml:space="preserve">投标保证金 </w:t>
      </w:r>
    </w:p>
    <w:p>
      <w:pPr>
        <w:pStyle w:val="11"/>
        <w:spacing w:line="360" w:lineRule="auto"/>
        <w:ind w:left="240" w:right="6"/>
        <w:rPr>
          <w:color w:val="auto"/>
          <w:spacing w:val="-5"/>
          <w:highlight w:val="none"/>
        </w:rPr>
      </w:pPr>
      <w:r>
        <w:rPr>
          <w:rFonts w:hint="eastAsia"/>
          <w:color w:val="auto"/>
          <w:spacing w:val="-5"/>
          <w:highlight w:val="none"/>
          <w:lang w:val="en-US"/>
        </w:rPr>
        <w:t>五</w:t>
      </w:r>
      <w:r>
        <w:rPr>
          <w:rFonts w:hint="eastAsia"/>
          <w:color w:val="auto"/>
          <w:spacing w:val="-5"/>
          <w:highlight w:val="none"/>
        </w:rPr>
        <w:t>、报酬清单</w:t>
      </w:r>
    </w:p>
    <w:p>
      <w:pPr>
        <w:pStyle w:val="11"/>
        <w:spacing w:line="360" w:lineRule="auto"/>
        <w:ind w:left="240" w:right="6"/>
        <w:rPr>
          <w:color w:val="auto"/>
          <w:spacing w:val="-5"/>
          <w:highlight w:val="none"/>
        </w:rPr>
      </w:pPr>
      <w:r>
        <w:rPr>
          <w:rFonts w:hint="eastAsia"/>
          <w:color w:val="auto"/>
          <w:spacing w:val="-2"/>
          <w:highlight w:val="none"/>
          <w:lang w:val="en-US"/>
        </w:rPr>
        <w:t>六</w:t>
      </w:r>
      <w:r>
        <w:rPr>
          <w:rFonts w:hint="eastAsia"/>
          <w:color w:val="auto"/>
          <w:spacing w:val="-5"/>
          <w:highlight w:val="none"/>
        </w:rPr>
        <w:t>、资格审查资料</w:t>
      </w:r>
    </w:p>
    <w:p>
      <w:pPr>
        <w:pStyle w:val="11"/>
        <w:spacing w:line="360" w:lineRule="auto"/>
        <w:ind w:left="240" w:right="6"/>
        <w:rPr>
          <w:color w:val="auto"/>
          <w:highlight w:val="none"/>
        </w:rPr>
      </w:pPr>
      <w:r>
        <w:rPr>
          <w:rFonts w:hint="eastAsia"/>
          <w:color w:val="auto"/>
          <w:spacing w:val="-3"/>
          <w:highlight w:val="none"/>
          <w:lang w:val="en-US"/>
        </w:rPr>
        <w:t>七</w:t>
      </w:r>
      <w:r>
        <w:rPr>
          <w:rFonts w:hint="eastAsia"/>
          <w:color w:val="auto"/>
          <w:spacing w:val="-2"/>
          <w:highlight w:val="none"/>
        </w:rPr>
        <w:t>、拟委任的主要人员汇总表</w:t>
      </w:r>
    </w:p>
    <w:p>
      <w:pPr>
        <w:pStyle w:val="11"/>
        <w:spacing w:line="360" w:lineRule="auto"/>
        <w:ind w:left="240" w:right="6"/>
        <w:rPr>
          <w:color w:val="auto"/>
          <w:spacing w:val="-3"/>
          <w:highlight w:val="none"/>
        </w:rPr>
      </w:pPr>
      <w:r>
        <w:rPr>
          <w:rFonts w:hint="eastAsia"/>
          <w:color w:val="auto"/>
          <w:spacing w:val="-3"/>
          <w:highlight w:val="none"/>
          <w:lang w:val="en-US"/>
        </w:rPr>
        <w:t>八</w:t>
      </w:r>
      <w:r>
        <w:rPr>
          <w:rFonts w:hint="eastAsia"/>
          <w:color w:val="auto"/>
          <w:spacing w:val="-3"/>
          <w:highlight w:val="none"/>
        </w:rPr>
        <w:t>、主要人员简历表</w:t>
      </w:r>
    </w:p>
    <w:p>
      <w:pPr>
        <w:pStyle w:val="11"/>
        <w:spacing w:line="360" w:lineRule="auto"/>
        <w:ind w:left="240" w:right="6"/>
        <w:rPr>
          <w:color w:val="auto"/>
          <w:highlight w:val="none"/>
        </w:rPr>
      </w:pPr>
      <w:r>
        <w:rPr>
          <w:rFonts w:hint="eastAsia"/>
          <w:color w:val="auto"/>
          <w:highlight w:val="none"/>
          <w:lang w:val="en-US"/>
        </w:rPr>
        <w:t>九</w:t>
      </w:r>
      <w:r>
        <w:rPr>
          <w:rFonts w:hint="eastAsia"/>
          <w:color w:val="auto"/>
          <w:highlight w:val="none"/>
        </w:rPr>
        <w:t>、投标人声明</w:t>
      </w:r>
    </w:p>
    <w:p>
      <w:pPr>
        <w:pStyle w:val="11"/>
        <w:spacing w:line="360" w:lineRule="auto"/>
        <w:ind w:left="240" w:right="6"/>
        <w:rPr>
          <w:color w:val="auto"/>
          <w:highlight w:val="none"/>
        </w:rPr>
      </w:pPr>
      <w:r>
        <w:rPr>
          <w:rFonts w:hint="eastAsia"/>
          <w:color w:val="auto"/>
          <w:highlight w:val="none"/>
        </w:rPr>
        <w:t>十、</w:t>
      </w:r>
      <w:r>
        <w:rPr>
          <w:rFonts w:hint="eastAsia"/>
          <w:color w:val="auto"/>
          <w:highlight w:val="none"/>
          <w:lang w:val="en-US"/>
        </w:rPr>
        <w:t>鉴定服务技术方案</w:t>
      </w:r>
    </w:p>
    <w:p>
      <w:pPr>
        <w:pStyle w:val="11"/>
        <w:spacing w:line="360" w:lineRule="auto"/>
        <w:ind w:left="240" w:right="6"/>
        <w:rPr>
          <w:color w:val="auto"/>
          <w:highlight w:val="none"/>
        </w:rPr>
        <w:sectPr>
          <w:pgSz w:w="11906" w:h="16838"/>
          <w:pgMar w:top="1400" w:right="1100" w:bottom="1120" w:left="1560" w:header="0" w:footer="841" w:gutter="0"/>
          <w:cols w:space="720" w:num="1"/>
        </w:sectPr>
      </w:pPr>
      <w:r>
        <w:rPr>
          <w:rFonts w:hint="eastAsia"/>
          <w:color w:val="auto"/>
          <w:highlight w:val="none"/>
        </w:rPr>
        <w:t>十</w:t>
      </w:r>
      <w:r>
        <w:rPr>
          <w:rFonts w:hint="eastAsia"/>
          <w:color w:val="auto"/>
          <w:highlight w:val="none"/>
          <w:lang w:val="en-US"/>
        </w:rPr>
        <w:t>一</w:t>
      </w:r>
      <w:r>
        <w:rPr>
          <w:rFonts w:hint="eastAsia"/>
          <w:color w:val="auto"/>
          <w:highlight w:val="none"/>
        </w:rPr>
        <w:t>、其他资料</w:t>
      </w:r>
    </w:p>
    <w:p>
      <w:pPr>
        <w:spacing w:line="360" w:lineRule="auto"/>
        <w:ind w:right="456"/>
        <w:jc w:val="center"/>
        <w:rPr>
          <w:b/>
          <w:color w:val="auto"/>
          <w:sz w:val="32"/>
          <w:highlight w:val="none"/>
        </w:rPr>
      </w:pPr>
      <w:r>
        <w:rPr>
          <w:rFonts w:hint="eastAsia"/>
          <w:b/>
          <w:color w:val="auto"/>
          <w:sz w:val="32"/>
          <w:highlight w:val="none"/>
        </w:rPr>
        <w:t>一、投标函及投标函附录</w:t>
      </w:r>
    </w:p>
    <w:p>
      <w:pPr>
        <w:pStyle w:val="11"/>
        <w:spacing w:before="6" w:line="360" w:lineRule="auto"/>
        <w:rPr>
          <w:b/>
          <w:color w:val="auto"/>
          <w:sz w:val="23"/>
          <w:highlight w:val="none"/>
        </w:rPr>
      </w:pPr>
    </w:p>
    <w:p>
      <w:pPr>
        <w:spacing w:before="62" w:line="360" w:lineRule="auto"/>
        <w:ind w:left="377"/>
        <w:jc w:val="both"/>
        <w:rPr>
          <w:color w:val="auto"/>
          <w:sz w:val="28"/>
          <w:highlight w:val="none"/>
        </w:rPr>
      </w:pPr>
      <w:bookmarkStart w:id="38" w:name="_bookmark177"/>
      <w:bookmarkEnd w:id="38"/>
      <w:r>
        <w:rPr>
          <w:rFonts w:hint="eastAsia"/>
          <w:color w:val="auto"/>
          <w:sz w:val="28"/>
          <w:highlight w:val="none"/>
        </w:rPr>
        <w:t>（一）投标函</w:t>
      </w:r>
    </w:p>
    <w:p>
      <w:pPr>
        <w:pStyle w:val="11"/>
        <w:spacing w:line="360" w:lineRule="auto"/>
        <w:rPr>
          <w:color w:val="auto"/>
          <w:sz w:val="28"/>
          <w:highlight w:val="none"/>
        </w:rPr>
      </w:pPr>
    </w:p>
    <w:p>
      <w:pPr>
        <w:rPr>
          <w:color w:val="auto"/>
          <w:szCs w:val="21"/>
          <w:highlight w:val="none"/>
        </w:rPr>
      </w:pPr>
      <w:r>
        <w:rPr>
          <w:rFonts w:hint="eastAsia"/>
          <w:color w:val="auto"/>
          <w:szCs w:val="21"/>
          <w:highlight w:val="none"/>
          <w:u w:val="single"/>
        </w:rPr>
        <w:t xml:space="preserve">                  </w:t>
      </w:r>
      <w:r>
        <w:rPr>
          <w:rFonts w:hint="eastAsia"/>
          <w:color w:val="auto"/>
          <w:szCs w:val="21"/>
          <w:highlight w:val="none"/>
        </w:rPr>
        <w:t>（招标人名称）：</w:t>
      </w:r>
    </w:p>
    <w:p>
      <w:pPr>
        <w:rPr>
          <w:color w:val="auto"/>
          <w:szCs w:val="21"/>
          <w:highlight w:val="none"/>
        </w:rPr>
      </w:pPr>
      <w:r>
        <w:rPr>
          <w:rFonts w:hint="eastAsia"/>
          <w:color w:val="auto"/>
          <w:szCs w:val="21"/>
          <w:highlight w:val="none"/>
        </w:rPr>
        <w:t>1．我方已仔细研究了</w:t>
      </w:r>
      <w:r>
        <w:rPr>
          <w:rFonts w:hint="eastAsia"/>
          <w:color w:val="auto"/>
          <w:szCs w:val="21"/>
          <w:highlight w:val="none"/>
          <w:u w:val="single"/>
        </w:rPr>
        <w:t xml:space="preserve">                  </w:t>
      </w:r>
      <w:r>
        <w:rPr>
          <w:rFonts w:hint="eastAsia"/>
          <w:color w:val="auto"/>
          <w:szCs w:val="21"/>
          <w:highlight w:val="none"/>
        </w:rPr>
        <w:t>（项目名称）招标文件的全部内容，愿意以《开标一览表》中的投标总报价和服务期限，按合同约定完成</w:t>
      </w:r>
      <w:r>
        <w:rPr>
          <w:rFonts w:hint="eastAsia"/>
          <w:color w:val="auto"/>
          <w:szCs w:val="21"/>
          <w:highlight w:val="none"/>
          <w:lang w:val="en-US"/>
        </w:rPr>
        <w:t>本项目</w:t>
      </w:r>
      <w:r>
        <w:rPr>
          <w:rFonts w:hint="eastAsia"/>
          <w:color w:val="auto"/>
          <w:szCs w:val="21"/>
          <w:highlight w:val="none"/>
        </w:rPr>
        <w:t>工作。</w:t>
      </w:r>
    </w:p>
    <w:p>
      <w:pPr>
        <w:rPr>
          <w:color w:val="auto"/>
          <w:szCs w:val="21"/>
          <w:highlight w:val="none"/>
        </w:rPr>
      </w:pPr>
      <w:r>
        <w:rPr>
          <w:rFonts w:hint="eastAsia"/>
          <w:color w:val="auto"/>
          <w:szCs w:val="21"/>
          <w:highlight w:val="none"/>
        </w:rPr>
        <w:t>2. 我方的投标文件包括下列内容：</w:t>
      </w:r>
    </w:p>
    <w:p>
      <w:pPr>
        <w:rPr>
          <w:color w:val="auto"/>
          <w:szCs w:val="21"/>
          <w:highlight w:val="none"/>
        </w:rPr>
      </w:pPr>
      <w:r>
        <w:rPr>
          <w:rFonts w:hint="eastAsia"/>
          <w:color w:val="auto"/>
          <w:szCs w:val="21"/>
          <w:highlight w:val="none"/>
        </w:rPr>
        <w:t>（1）投标函及投标函附录；</w:t>
      </w:r>
    </w:p>
    <w:p>
      <w:pPr>
        <w:rPr>
          <w:color w:val="auto"/>
          <w:szCs w:val="21"/>
          <w:highlight w:val="none"/>
        </w:rPr>
      </w:pPr>
      <w:r>
        <w:rPr>
          <w:rFonts w:hint="eastAsia"/>
          <w:color w:val="auto"/>
          <w:szCs w:val="21"/>
          <w:highlight w:val="none"/>
        </w:rPr>
        <w:t>（2）法定代表人身份证明或授权委托书；</w:t>
      </w:r>
    </w:p>
    <w:p>
      <w:pPr>
        <w:rPr>
          <w:color w:val="auto"/>
          <w:szCs w:val="21"/>
          <w:highlight w:val="none"/>
        </w:rPr>
      </w:pPr>
      <w:r>
        <w:rPr>
          <w:rFonts w:hint="eastAsia"/>
          <w:color w:val="auto"/>
          <w:szCs w:val="21"/>
          <w:highlight w:val="none"/>
        </w:rPr>
        <w:t>（3）投标保证金（如有）；</w:t>
      </w:r>
    </w:p>
    <w:p>
      <w:pPr>
        <w:rPr>
          <w:color w:val="auto"/>
          <w:szCs w:val="21"/>
          <w:highlight w:val="none"/>
        </w:rPr>
      </w:pPr>
      <w:r>
        <w:rPr>
          <w:rFonts w:hint="eastAsia"/>
          <w:color w:val="auto"/>
          <w:szCs w:val="21"/>
          <w:highlight w:val="none"/>
        </w:rPr>
        <w:t>（</w:t>
      </w:r>
      <w:r>
        <w:rPr>
          <w:rFonts w:hint="eastAsia"/>
          <w:color w:val="auto"/>
          <w:szCs w:val="21"/>
          <w:highlight w:val="none"/>
          <w:lang w:val="en-US"/>
        </w:rPr>
        <w:t>4</w:t>
      </w:r>
      <w:r>
        <w:rPr>
          <w:rFonts w:hint="eastAsia"/>
          <w:color w:val="auto"/>
          <w:szCs w:val="21"/>
          <w:highlight w:val="none"/>
        </w:rPr>
        <w:t>）报酬清单；</w:t>
      </w:r>
    </w:p>
    <w:p>
      <w:pPr>
        <w:rPr>
          <w:color w:val="auto"/>
          <w:szCs w:val="21"/>
          <w:highlight w:val="none"/>
        </w:rPr>
      </w:pPr>
      <w:r>
        <w:rPr>
          <w:rFonts w:hint="eastAsia"/>
          <w:color w:val="auto"/>
          <w:szCs w:val="21"/>
          <w:highlight w:val="none"/>
        </w:rPr>
        <w:t>（</w:t>
      </w:r>
      <w:r>
        <w:rPr>
          <w:rFonts w:hint="eastAsia"/>
          <w:color w:val="auto"/>
          <w:szCs w:val="21"/>
          <w:highlight w:val="none"/>
          <w:lang w:val="en-US"/>
        </w:rPr>
        <w:t>5</w:t>
      </w:r>
      <w:r>
        <w:rPr>
          <w:rFonts w:hint="eastAsia"/>
          <w:color w:val="auto"/>
          <w:szCs w:val="21"/>
          <w:highlight w:val="none"/>
        </w:rPr>
        <w:t>）资格审查资料；</w:t>
      </w:r>
    </w:p>
    <w:p>
      <w:pPr>
        <w:rPr>
          <w:color w:val="auto"/>
          <w:szCs w:val="21"/>
          <w:highlight w:val="none"/>
        </w:rPr>
      </w:pPr>
      <w:r>
        <w:rPr>
          <w:rFonts w:hint="eastAsia"/>
          <w:color w:val="auto"/>
          <w:szCs w:val="21"/>
          <w:highlight w:val="none"/>
        </w:rPr>
        <w:t>（</w:t>
      </w:r>
      <w:r>
        <w:rPr>
          <w:rFonts w:hint="eastAsia"/>
          <w:color w:val="auto"/>
          <w:szCs w:val="21"/>
          <w:highlight w:val="none"/>
          <w:lang w:val="en-US"/>
        </w:rPr>
        <w:t>6</w:t>
      </w:r>
      <w:r>
        <w:rPr>
          <w:rFonts w:hint="eastAsia"/>
          <w:color w:val="auto"/>
          <w:szCs w:val="21"/>
          <w:highlight w:val="none"/>
        </w:rPr>
        <w:t>）</w:t>
      </w:r>
      <w:r>
        <w:rPr>
          <w:rFonts w:hint="eastAsia"/>
          <w:color w:val="auto"/>
          <w:szCs w:val="21"/>
          <w:highlight w:val="none"/>
          <w:lang w:val="en-US"/>
        </w:rPr>
        <w:t>鉴定服务技术方案</w:t>
      </w:r>
      <w:r>
        <w:rPr>
          <w:rFonts w:hint="eastAsia"/>
          <w:color w:val="auto"/>
          <w:szCs w:val="21"/>
          <w:highlight w:val="none"/>
        </w:rPr>
        <w:t>；</w:t>
      </w:r>
    </w:p>
    <w:p>
      <w:pPr>
        <w:rPr>
          <w:color w:val="auto"/>
          <w:szCs w:val="21"/>
          <w:highlight w:val="none"/>
        </w:rPr>
      </w:pPr>
      <w:r>
        <w:rPr>
          <w:rFonts w:hint="eastAsia"/>
          <w:color w:val="auto"/>
          <w:szCs w:val="21"/>
          <w:highlight w:val="none"/>
        </w:rPr>
        <w:t>（</w:t>
      </w:r>
      <w:r>
        <w:rPr>
          <w:rFonts w:hint="eastAsia"/>
          <w:color w:val="auto"/>
          <w:szCs w:val="21"/>
          <w:highlight w:val="none"/>
          <w:lang w:val="en-US"/>
        </w:rPr>
        <w:t>7</w:t>
      </w:r>
      <w:r>
        <w:rPr>
          <w:rFonts w:hint="eastAsia"/>
          <w:color w:val="auto"/>
          <w:szCs w:val="21"/>
          <w:highlight w:val="none"/>
        </w:rPr>
        <w:t>）其他资料。</w:t>
      </w:r>
    </w:p>
    <w:p>
      <w:pPr>
        <w:rPr>
          <w:color w:val="auto"/>
          <w:szCs w:val="21"/>
          <w:highlight w:val="none"/>
        </w:rPr>
      </w:pPr>
      <w:r>
        <w:rPr>
          <w:rFonts w:hint="eastAsia"/>
          <w:color w:val="auto"/>
          <w:szCs w:val="21"/>
          <w:highlight w:val="none"/>
        </w:rPr>
        <w:t>投标文件的上述组成部分如存在内容不一致的，以投标函为准。</w:t>
      </w:r>
    </w:p>
    <w:p>
      <w:pPr>
        <w:rPr>
          <w:color w:val="auto"/>
          <w:szCs w:val="21"/>
          <w:highlight w:val="none"/>
        </w:rPr>
      </w:pPr>
      <w:r>
        <w:rPr>
          <w:rFonts w:hint="eastAsia"/>
          <w:color w:val="auto"/>
          <w:szCs w:val="21"/>
          <w:highlight w:val="none"/>
        </w:rPr>
        <w:t>3．我方承诺在招标文件规定的投标有效期内不撤销投标文件。</w:t>
      </w:r>
    </w:p>
    <w:p>
      <w:pPr>
        <w:rPr>
          <w:color w:val="auto"/>
          <w:szCs w:val="21"/>
          <w:highlight w:val="none"/>
        </w:rPr>
      </w:pPr>
      <w:r>
        <w:rPr>
          <w:rFonts w:hint="eastAsia"/>
          <w:color w:val="auto"/>
          <w:szCs w:val="21"/>
          <w:highlight w:val="none"/>
        </w:rPr>
        <w:t>4．如我方中标，我方承诺：</w:t>
      </w:r>
    </w:p>
    <w:p>
      <w:pPr>
        <w:rPr>
          <w:color w:val="auto"/>
          <w:szCs w:val="21"/>
          <w:highlight w:val="none"/>
        </w:rPr>
      </w:pPr>
      <w:r>
        <w:rPr>
          <w:rFonts w:hint="eastAsia"/>
          <w:color w:val="auto"/>
          <w:szCs w:val="21"/>
          <w:highlight w:val="none"/>
        </w:rPr>
        <w:t>（1）在收到中标通知书后，在中标通知书规定的期限内与你方签订合同；</w:t>
      </w:r>
    </w:p>
    <w:p>
      <w:pPr>
        <w:rPr>
          <w:color w:val="auto"/>
          <w:szCs w:val="21"/>
          <w:highlight w:val="none"/>
        </w:rPr>
      </w:pPr>
      <w:r>
        <w:rPr>
          <w:rFonts w:hint="eastAsia"/>
          <w:color w:val="auto"/>
          <w:szCs w:val="21"/>
          <w:highlight w:val="none"/>
        </w:rPr>
        <w:t>（2）在签订合同时不向你方提出附加条件；</w:t>
      </w:r>
    </w:p>
    <w:p>
      <w:pPr>
        <w:rPr>
          <w:color w:val="auto"/>
          <w:szCs w:val="21"/>
          <w:highlight w:val="none"/>
        </w:rPr>
      </w:pPr>
      <w:r>
        <w:rPr>
          <w:rFonts w:hint="eastAsia"/>
          <w:color w:val="auto"/>
          <w:szCs w:val="21"/>
          <w:highlight w:val="none"/>
        </w:rPr>
        <w:t>（3）按照招标文件要求提交履约保证金；</w:t>
      </w:r>
    </w:p>
    <w:p>
      <w:pPr>
        <w:rPr>
          <w:color w:val="auto"/>
          <w:szCs w:val="21"/>
          <w:highlight w:val="none"/>
        </w:rPr>
      </w:pPr>
      <w:r>
        <w:rPr>
          <w:rFonts w:hint="eastAsia"/>
          <w:color w:val="auto"/>
          <w:szCs w:val="21"/>
          <w:highlight w:val="none"/>
        </w:rPr>
        <w:t>（4）在合同约定的期限内完成合同规定的全部义务。</w:t>
      </w:r>
    </w:p>
    <w:p>
      <w:pPr>
        <w:rPr>
          <w:color w:val="auto"/>
          <w:szCs w:val="21"/>
          <w:highlight w:val="none"/>
        </w:rPr>
      </w:pPr>
      <w:r>
        <w:rPr>
          <w:rFonts w:hint="eastAsia"/>
          <w:color w:val="auto"/>
          <w:szCs w:val="21"/>
          <w:highlight w:val="none"/>
        </w:rPr>
        <w:t>5．我方在此声明，所递交的投标文件及有关资料内容完整、真实和准确，且不存在第二章“投标人须知”第1.4.3项规定的任何一种情形。</w:t>
      </w:r>
    </w:p>
    <w:p>
      <w:pPr>
        <w:rPr>
          <w:color w:val="auto"/>
          <w:szCs w:val="21"/>
          <w:highlight w:val="none"/>
        </w:rPr>
      </w:pPr>
      <w:r>
        <w:rPr>
          <w:rFonts w:hint="eastAsia"/>
          <w:color w:val="auto"/>
          <w:szCs w:val="21"/>
          <w:highlight w:val="none"/>
        </w:rPr>
        <w:t>6．</w:t>
      </w:r>
      <w:r>
        <w:rPr>
          <w:rFonts w:hint="eastAsia"/>
          <w:color w:val="auto"/>
          <w:szCs w:val="21"/>
          <w:highlight w:val="none"/>
          <w:u w:val="single"/>
        </w:rPr>
        <w:t xml:space="preserve">                            </w:t>
      </w:r>
      <w:r>
        <w:rPr>
          <w:rFonts w:hint="eastAsia"/>
          <w:color w:val="auto"/>
          <w:szCs w:val="21"/>
          <w:highlight w:val="none"/>
          <w:u w:val="single"/>
        </w:rPr>
        <w:tab/>
      </w:r>
      <w:r>
        <w:rPr>
          <w:rFonts w:hint="eastAsia"/>
          <w:color w:val="auto"/>
          <w:szCs w:val="21"/>
          <w:highlight w:val="none"/>
        </w:rPr>
        <w:t>（其他补充说明）。</w:t>
      </w:r>
    </w:p>
    <w:p>
      <w:pPr>
        <w:rPr>
          <w:color w:val="auto"/>
          <w:szCs w:val="21"/>
          <w:highlight w:val="none"/>
        </w:rPr>
      </w:pPr>
    </w:p>
    <w:p>
      <w:pPr>
        <w:spacing w:line="440" w:lineRule="exact"/>
        <w:ind w:firstLine="2640" w:firstLineChars="1200"/>
        <w:rPr>
          <w:color w:val="auto"/>
          <w:szCs w:val="21"/>
          <w:highlight w:val="none"/>
        </w:rPr>
      </w:pPr>
      <w:r>
        <w:rPr>
          <w:rFonts w:hint="eastAsia"/>
          <w:color w:val="auto"/>
          <w:szCs w:val="21"/>
          <w:highlight w:val="none"/>
        </w:rPr>
        <w:t>投 标 人：</w:t>
      </w:r>
      <w:r>
        <w:rPr>
          <w:rFonts w:hint="eastAsia"/>
          <w:color w:val="auto"/>
          <w:szCs w:val="21"/>
          <w:highlight w:val="none"/>
          <w:u w:val="single"/>
        </w:rPr>
        <w:t xml:space="preserve">                                </w:t>
      </w:r>
      <w:r>
        <w:rPr>
          <w:rFonts w:hint="eastAsia"/>
          <w:color w:val="auto"/>
          <w:szCs w:val="21"/>
          <w:highlight w:val="none"/>
          <w:u w:val="single"/>
        </w:rPr>
        <w:tab/>
      </w:r>
      <w:r>
        <w:rPr>
          <w:rFonts w:hint="eastAsia"/>
          <w:color w:val="auto"/>
          <w:szCs w:val="21"/>
          <w:highlight w:val="none"/>
        </w:rPr>
        <w:t>（盖单位章）</w:t>
      </w:r>
    </w:p>
    <w:p>
      <w:pPr>
        <w:spacing w:line="440" w:lineRule="exact"/>
        <w:rPr>
          <w:color w:val="auto"/>
          <w:szCs w:val="21"/>
          <w:highlight w:val="none"/>
        </w:rPr>
      </w:pPr>
      <w:r>
        <w:rPr>
          <w:rFonts w:hint="eastAsia"/>
          <w:color w:val="auto"/>
          <w:szCs w:val="21"/>
          <w:highlight w:val="none"/>
        </w:rPr>
        <w:t xml:space="preserve">                        法定代表人或其委托代理人：</w:t>
      </w:r>
      <w:r>
        <w:rPr>
          <w:rFonts w:hint="eastAsia"/>
          <w:color w:val="auto"/>
          <w:szCs w:val="21"/>
          <w:highlight w:val="none"/>
          <w:u w:val="single"/>
        </w:rPr>
        <w:t xml:space="preserve">       </w:t>
      </w:r>
      <w:r>
        <w:rPr>
          <w:rFonts w:hint="eastAsia"/>
          <w:color w:val="auto"/>
          <w:szCs w:val="21"/>
          <w:highlight w:val="none"/>
          <w:u w:val="single"/>
        </w:rPr>
        <w:tab/>
      </w:r>
      <w:r>
        <w:rPr>
          <w:rFonts w:hint="eastAsia"/>
          <w:color w:val="auto"/>
          <w:szCs w:val="21"/>
          <w:highlight w:val="none"/>
        </w:rPr>
        <w:t>（签字）</w:t>
      </w:r>
    </w:p>
    <w:p>
      <w:pPr>
        <w:spacing w:line="440" w:lineRule="exact"/>
        <w:ind w:firstLine="2640" w:firstLineChars="1200"/>
        <w:rPr>
          <w:color w:val="auto"/>
          <w:szCs w:val="21"/>
          <w:highlight w:val="none"/>
        </w:rPr>
      </w:pPr>
      <w:r>
        <w:rPr>
          <w:rFonts w:hint="eastAsia"/>
          <w:color w:val="auto"/>
          <w:szCs w:val="21"/>
          <w:highlight w:val="none"/>
        </w:rPr>
        <w:t>地    址：</w:t>
      </w:r>
      <w:r>
        <w:rPr>
          <w:rFonts w:hint="eastAsia"/>
          <w:color w:val="auto"/>
          <w:szCs w:val="21"/>
          <w:highlight w:val="none"/>
          <w:u w:val="single"/>
        </w:rPr>
        <w:t xml:space="preserve">          </w:t>
      </w:r>
      <w:r>
        <w:rPr>
          <w:rFonts w:hint="eastAsia"/>
          <w:color w:val="auto"/>
          <w:szCs w:val="21"/>
          <w:highlight w:val="none"/>
          <w:u w:val="single"/>
        </w:rPr>
        <w:tab/>
      </w:r>
      <w:r>
        <w:rPr>
          <w:rFonts w:hint="eastAsia"/>
          <w:color w:val="auto"/>
          <w:szCs w:val="21"/>
          <w:highlight w:val="none"/>
          <w:u w:val="single"/>
        </w:rPr>
        <w:t xml:space="preserve">                             </w:t>
      </w:r>
      <w:r>
        <w:rPr>
          <w:rFonts w:hint="eastAsia"/>
          <w:color w:val="auto"/>
          <w:szCs w:val="21"/>
          <w:highlight w:val="none"/>
          <w:u w:val="single"/>
        </w:rPr>
        <w:tab/>
      </w:r>
    </w:p>
    <w:p>
      <w:pPr>
        <w:spacing w:line="440" w:lineRule="exact"/>
        <w:ind w:firstLine="2640" w:firstLineChars="1200"/>
        <w:rPr>
          <w:color w:val="auto"/>
          <w:szCs w:val="21"/>
          <w:highlight w:val="none"/>
        </w:rPr>
      </w:pPr>
      <w:r>
        <w:rPr>
          <w:rFonts w:hint="eastAsia"/>
          <w:color w:val="auto"/>
          <w:szCs w:val="21"/>
          <w:highlight w:val="none"/>
        </w:rPr>
        <w:t>网    址：</w:t>
      </w:r>
      <w:r>
        <w:rPr>
          <w:rFonts w:hint="eastAsia"/>
          <w:color w:val="auto"/>
          <w:szCs w:val="21"/>
          <w:highlight w:val="none"/>
          <w:u w:val="single"/>
        </w:rPr>
        <w:t xml:space="preserve">                                       </w:t>
      </w:r>
      <w:r>
        <w:rPr>
          <w:rFonts w:hint="eastAsia"/>
          <w:color w:val="auto"/>
          <w:szCs w:val="21"/>
          <w:highlight w:val="none"/>
          <w:u w:val="single"/>
        </w:rPr>
        <w:tab/>
      </w:r>
      <w:r>
        <w:rPr>
          <w:rFonts w:hint="eastAsia"/>
          <w:color w:val="auto"/>
          <w:szCs w:val="21"/>
          <w:highlight w:val="none"/>
          <w:u w:val="single"/>
        </w:rPr>
        <w:t xml:space="preserve">    </w:t>
      </w:r>
    </w:p>
    <w:p>
      <w:pPr>
        <w:spacing w:line="440" w:lineRule="exact"/>
        <w:ind w:firstLine="2640" w:firstLineChars="1200"/>
        <w:rPr>
          <w:color w:val="auto"/>
          <w:szCs w:val="21"/>
          <w:highlight w:val="none"/>
        </w:rPr>
      </w:pPr>
      <w:r>
        <w:rPr>
          <w:rFonts w:hint="eastAsia"/>
          <w:color w:val="auto"/>
          <w:szCs w:val="21"/>
          <w:highlight w:val="none"/>
        </w:rPr>
        <w:t>电    话：</w:t>
      </w:r>
      <w:r>
        <w:rPr>
          <w:rFonts w:hint="eastAsia"/>
          <w:color w:val="auto"/>
          <w:szCs w:val="21"/>
          <w:highlight w:val="none"/>
          <w:u w:val="single"/>
        </w:rPr>
        <w:t xml:space="preserve">          </w:t>
      </w:r>
      <w:r>
        <w:rPr>
          <w:rFonts w:hint="eastAsia"/>
          <w:color w:val="auto"/>
          <w:szCs w:val="21"/>
          <w:highlight w:val="none"/>
          <w:u w:val="single"/>
        </w:rPr>
        <w:tab/>
      </w:r>
      <w:r>
        <w:rPr>
          <w:rFonts w:hint="eastAsia"/>
          <w:color w:val="auto"/>
          <w:szCs w:val="21"/>
          <w:highlight w:val="none"/>
          <w:u w:val="single"/>
        </w:rPr>
        <w:t xml:space="preserve">                          </w:t>
      </w:r>
      <w:r>
        <w:rPr>
          <w:rFonts w:hint="eastAsia"/>
          <w:color w:val="auto"/>
          <w:szCs w:val="21"/>
          <w:highlight w:val="none"/>
          <w:u w:val="single"/>
        </w:rPr>
        <w:tab/>
      </w:r>
      <w:r>
        <w:rPr>
          <w:rFonts w:hint="eastAsia"/>
          <w:color w:val="auto"/>
          <w:szCs w:val="21"/>
          <w:highlight w:val="none"/>
          <w:u w:val="single"/>
        </w:rPr>
        <w:t xml:space="preserve">    </w:t>
      </w:r>
    </w:p>
    <w:p>
      <w:pPr>
        <w:spacing w:line="440" w:lineRule="exact"/>
        <w:ind w:firstLine="2640" w:firstLineChars="1200"/>
        <w:rPr>
          <w:color w:val="auto"/>
          <w:szCs w:val="21"/>
          <w:highlight w:val="none"/>
        </w:rPr>
      </w:pPr>
      <w:r>
        <w:rPr>
          <w:rFonts w:hint="eastAsia"/>
          <w:color w:val="auto"/>
          <w:szCs w:val="21"/>
          <w:highlight w:val="none"/>
        </w:rPr>
        <w:t>传    真：</w:t>
      </w:r>
      <w:r>
        <w:rPr>
          <w:rFonts w:hint="eastAsia"/>
          <w:color w:val="auto"/>
          <w:szCs w:val="21"/>
          <w:highlight w:val="none"/>
          <w:u w:val="single"/>
        </w:rPr>
        <w:t xml:space="preserve">          </w:t>
      </w:r>
      <w:r>
        <w:rPr>
          <w:rFonts w:hint="eastAsia"/>
          <w:color w:val="auto"/>
          <w:szCs w:val="21"/>
          <w:highlight w:val="none"/>
          <w:u w:val="single"/>
        </w:rPr>
        <w:tab/>
      </w:r>
      <w:r>
        <w:rPr>
          <w:rFonts w:hint="eastAsia"/>
          <w:color w:val="auto"/>
          <w:szCs w:val="21"/>
          <w:highlight w:val="none"/>
          <w:u w:val="single"/>
        </w:rPr>
        <w:t xml:space="preserve">                                </w:t>
      </w:r>
    </w:p>
    <w:p>
      <w:pPr>
        <w:spacing w:line="440" w:lineRule="exact"/>
        <w:ind w:firstLine="2640" w:firstLineChars="1200"/>
        <w:rPr>
          <w:color w:val="auto"/>
          <w:szCs w:val="21"/>
          <w:highlight w:val="none"/>
        </w:rPr>
      </w:pPr>
      <w:r>
        <w:rPr>
          <w:rFonts w:hint="eastAsia"/>
          <w:color w:val="auto"/>
          <w:szCs w:val="21"/>
          <w:highlight w:val="none"/>
        </w:rPr>
        <w:t>邮政编码：</w:t>
      </w:r>
      <w:r>
        <w:rPr>
          <w:rFonts w:hint="eastAsia"/>
          <w:color w:val="auto"/>
          <w:szCs w:val="21"/>
          <w:highlight w:val="none"/>
          <w:u w:val="single"/>
        </w:rPr>
        <w:t xml:space="preserve">          </w:t>
      </w:r>
      <w:r>
        <w:rPr>
          <w:rFonts w:hint="eastAsia"/>
          <w:color w:val="auto"/>
          <w:szCs w:val="21"/>
          <w:highlight w:val="none"/>
          <w:u w:val="single"/>
        </w:rPr>
        <w:tab/>
      </w:r>
      <w:r>
        <w:rPr>
          <w:rFonts w:hint="eastAsia"/>
          <w:color w:val="auto"/>
          <w:szCs w:val="21"/>
          <w:highlight w:val="none"/>
          <w:u w:val="single"/>
        </w:rPr>
        <w:t xml:space="preserve">                                </w:t>
      </w:r>
    </w:p>
    <w:p>
      <w:pPr>
        <w:pStyle w:val="11"/>
        <w:tabs>
          <w:tab w:val="left" w:pos="6990"/>
          <w:tab w:val="left" w:pos="7830"/>
          <w:tab w:val="left" w:pos="8670"/>
        </w:tabs>
        <w:spacing w:before="171" w:line="360" w:lineRule="auto"/>
        <w:ind w:left="6359"/>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pPr>
        <w:spacing w:line="360" w:lineRule="auto"/>
        <w:rPr>
          <w:color w:val="auto"/>
          <w:highlight w:val="none"/>
        </w:rPr>
        <w:sectPr>
          <w:pgSz w:w="11906" w:h="16838"/>
          <w:pgMar w:top="1500" w:right="1100" w:bottom="1120" w:left="1560" w:header="0" w:footer="841" w:gutter="0"/>
          <w:cols w:space="720" w:num="1"/>
        </w:sectPr>
      </w:pPr>
    </w:p>
    <w:p>
      <w:pPr>
        <w:spacing w:before="43" w:line="360" w:lineRule="auto"/>
        <w:ind w:left="377"/>
        <w:rPr>
          <w:color w:val="auto"/>
          <w:sz w:val="28"/>
          <w:highlight w:val="none"/>
        </w:rPr>
      </w:pPr>
      <w:bookmarkStart w:id="39" w:name="_bookmark178"/>
      <w:bookmarkEnd w:id="39"/>
      <w:r>
        <w:rPr>
          <w:rFonts w:hint="eastAsia"/>
          <w:color w:val="auto"/>
          <w:sz w:val="28"/>
          <w:highlight w:val="none"/>
        </w:rPr>
        <w:t>（二）投标函附录</w:t>
      </w:r>
    </w:p>
    <w:p>
      <w:pPr>
        <w:pStyle w:val="11"/>
        <w:spacing w:line="360" w:lineRule="auto"/>
        <w:rPr>
          <w:color w:val="auto"/>
          <w:sz w:val="20"/>
          <w:highlight w:val="none"/>
        </w:rPr>
      </w:pPr>
    </w:p>
    <w:p>
      <w:pPr>
        <w:pStyle w:val="11"/>
        <w:spacing w:before="9" w:line="360" w:lineRule="auto"/>
        <w:rPr>
          <w:color w:val="auto"/>
          <w:sz w:val="20"/>
          <w:highlight w:val="none"/>
        </w:rPr>
      </w:pPr>
    </w:p>
    <w:tbl>
      <w:tblPr>
        <w:tblStyle w:val="21"/>
        <w:tblW w:w="9258" w:type="dxa"/>
        <w:tblInd w:w="1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5"/>
        <w:gridCol w:w="3109"/>
        <w:gridCol w:w="2893"/>
        <w:gridCol w:w="18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375" w:type="dxa"/>
            <w:vAlign w:val="center"/>
          </w:tcPr>
          <w:p>
            <w:pPr>
              <w:pStyle w:val="27"/>
              <w:spacing w:before="59" w:line="360" w:lineRule="auto"/>
              <w:ind w:left="446" w:right="439"/>
              <w:jc w:val="center"/>
              <w:rPr>
                <w:b/>
                <w:color w:val="auto"/>
                <w:sz w:val="21"/>
                <w:highlight w:val="none"/>
              </w:rPr>
            </w:pPr>
            <w:r>
              <w:rPr>
                <w:rFonts w:hint="eastAsia"/>
                <w:b/>
                <w:color w:val="auto"/>
                <w:sz w:val="21"/>
                <w:highlight w:val="none"/>
              </w:rPr>
              <w:t>序号</w:t>
            </w:r>
          </w:p>
        </w:tc>
        <w:tc>
          <w:tcPr>
            <w:tcW w:w="3109" w:type="dxa"/>
            <w:vAlign w:val="center"/>
          </w:tcPr>
          <w:p>
            <w:pPr>
              <w:pStyle w:val="27"/>
              <w:spacing w:before="59" w:line="360" w:lineRule="auto"/>
              <w:ind w:left="218" w:right="210"/>
              <w:jc w:val="center"/>
              <w:rPr>
                <w:b/>
                <w:color w:val="auto"/>
                <w:sz w:val="21"/>
                <w:highlight w:val="none"/>
              </w:rPr>
            </w:pPr>
            <w:r>
              <w:rPr>
                <w:rFonts w:hint="eastAsia"/>
                <w:b/>
                <w:color w:val="auto"/>
                <w:sz w:val="21"/>
                <w:highlight w:val="none"/>
              </w:rPr>
              <w:t>条款名称</w:t>
            </w:r>
          </w:p>
        </w:tc>
        <w:tc>
          <w:tcPr>
            <w:tcW w:w="2893" w:type="dxa"/>
            <w:vAlign w:val="center"/>
          </w:tcPr>
          <w:p>
            <w:pPr>
              <w:pStyle w:val="27"/>
              <w:spacing w:before="59" w:line="360" w:lineRule="auto"/>
              <w:jc w:val="center"/>
              <w:rPr>
                <w:b/>
                <w:color w:val="auto"/>
                <w:sz w:val="21"/>
                <w:highlight w:val="none"/>
              </w:rPr>
            </w:pPr>
            <w:r>
              <w:rPr>
                <w:rFonts w:hint="eastAsia"/>
                <w:b/>
                <w:color w:val="auto"/>
                <w:sz w:val="21"/>
                <w:highlight w:val="none"/>
              </w:rPr>
              <w:t>约定内容</w:t>
            </w:r>
          </w:p>
        </w:tc>
        <w:tc>
          <w:tcPr>
            <w:tcW w:w="1881" w:type="dxa"/>
            <w:vAlign w:val="center"/>
          </w:tcPr>
          <w:p>
            <w:pPr>
              <w:pStyle w:val="27"/>
              <w:spacing w:before="59" w:line="360" w:lineRule="auto"/>
              <w:ind w:left="502" w:right="502"/>
              <w:jc w:val="center"/>
              <w:rPr>
                <w:b/>
                <w:color w:val="auto"/>
                <w:sz w:val="21"/>
                <w:highlight w:val="none"/>
              </w:rPr>
            </w:pPr>
            <w:r>
              <w:rPr>
                <w:rFonts w:hint="eastAsia"/>
                <w:b/>
                <w:color w:val="auto"/>
                <w:sz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375" w:type="dxa"/>
            <w:vAlign w:val="center"/>
          </w:tcPr>
          <w:p>
            <w:pPr>
              <w:pStyle w:val="27"/>
              <w:spacing w:before="94" w:line="360" w:lineRule="auto"/>
              <w:ind w:left="7"/>
              <w:jc w:val="center"/>
              <w:rPr>
                <w:color w:val="auto"/>
                <w:sz w:val="21"/>
                <w:highlight w:val="none"/>
              </w:rPr>
            </w:pPr>
            <w:r>
              <w:rPr>
                <w:rFonts w:hint="eastAsia"/>
                <w:color w:val="auto"/>
                <w:sz w:val="21"/>
                <w:highlight w:val="none"/>
              </w:rPr>
              <w:t>1</w:t>
            </w:r>
          </w:p>
        </w:tc>
        <w:tc>
          <w:tcPr>
            <w:tcW w:w="3109" w:type="dxa"/>
            <w:vAlign w:val="center"/>
          </w:tcPr>
          <w:p>
            <w:pPr>
              <w:pStyle w:val="27"/>
              <w:spacing w:before="142" w:line="360" w:lineRule="auto"/>
              <w:ind w:left="218" w:leftChars="99" w:right="210"/>
              <w:rPr>
                <w:color w:val="auto"/>
                <w:sz w:val="21"/>
                <w:highlight w:val="none"/>
              </w:rPr>
            </w:pPr>
            <w:r>
              <w:rPr>
                <w:rFonts w:hint="eastAsia"/>
                <w:color w:val="auto"/>
                <w:sz w:val="21"/>
                <w:highlight w:val="none"/>
                <w:lang w:val="en-US"/>
              </w:rPr>
              <w:t>项目总负责人</w:t>
            </w:r>
          </w:p>
        </w:tc>
        <w:tc>
          <w:tcPr>
            <w:tcW w:w="2893" w:type="dxa"/>
            <w:vAlign w:val="center"/>
          </w:tcPr>
          <w:p>
            <w:pPr>
              <w:adjustRightInd w:val="0"/>
              <w:spacing w:line="440" w:lineRule="exact"/>
              <w:ind w:left="44" w:leftChars="20" w:right="44" w:rightChars="20"/>
              <w:rPr>
                <w:color w:val="auto"/>
                <w:highlight w:val="none"/>
              </w:rPr>
            </w:pPr>
            <w:r>
              <w:rPr>
                <w:rFonts w:hint="eastAsia"/>
                <w:color w:val="auto"/>
                <w:highlight w:val="none"/>
              </w:rPr>
              <w:t>姓名：</w:t>
            </w:r>
          </w:p>
          <w:p>
            <w:pPr>
              <w:adjustRightInd w:val="0"/>
              <w:spacing w:line="440" w:lineRule="exact"/>
              <w:ind w:left="44" w:leftChars="20" w:right="44" w:rightChars="20"/>
              <w:rPr>
                <w:color w:val="auto"/>
                <w:sz w:val="21"/>
                <w:highlight w:val="none"/>
              </w:rPr>
            </w:pPr>
            <w:r>
              <w:rPr>
                <w:rFonts w:hint="eastAsia"/>
                <w:color w:val="auto"/>
                <w:highlight w:val="none"/>
              </w:rPr>
              <w:t>技术职称 ：</w:t>
            </w:r>
          </w:p>
        </w:tc>
        <w:tc>
          <w:tcPr>
            <w:tcW w:w="1881" w:type="dxa"/>
            <w:vAlign w:val="center"/>
          </w:tcPr>
          <w:p>
            <w:pPr>
              <w:pStyle w:val="27"/>
              <w:spacing w:line="360" w:lineRule="auto"/>
              <w:jc w:val="center"/>
              <w:rPr>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375" w:type="dxa"/>
            <w:vAlign w:val="center"/>
          </w:tcPr>
          <w:p>
            <w:pPr>
              <w:pStyle w:val="27"/>
              <w:spacing w:before="91" w:line="360" w:lineRule="auto"/>
              <w:ind w:left="7"/>
              <w:jc w:val="center"/>
              <w:rPr>
                <w:color w:val="auto"/>
                <w:sz w:val="21"/>
                <w:highlight w:val="none"/>
              </w:rPr>
            </w:pPr>
            <w:r>
              <w:rPr>
                <w:rFonts w:hint="eastAsia"/>
                <w:color w:val="auto"/>
                <w:sz w:val="21"/>
                <w:highlight w:val="none"/>
                <w:lang w:val="en-US"/>
              </w:rPr>
              <w:t>2</w:t>
            </w:r>
          </w:p>
        </w:tc>
        <w:tc>
          <w:tcPr>
            <w:tcW w:w="3109" w:type="dxa"/>
            <w:vAlign w:val="center"/>
          </w:tcPr>
          <w:p>
            <w:pPr>
              <w:pStyle w:val="27"/>
              <w:spacing w:before="142" w:line="360" w:lineRule="auto"/>
              <w:ind w:left="218" w:leftChars="99" w:right="210"/>
              <w:rPr>
                <w:color w:val="auto"/>
                <w:sz w:val="21"/>
                <w:highlight w:val="none"/>
              </w:rPr>
            </w:pPr>
            <w:r>
              <w:rPr>
                <w:rFonts w:hint="eastAsia"/>
                <w:color w:val="auto"/>
                <w:sz w:val="21"/>
                <w:highlight w:val="none"/>
              </w:rPr>
              <w:t>服务期限</w:t>
            </w:r>
          </w:p>
        </w:tc>
        <w:tc>
          <w:tcPr>
            <w:tcW w:w="2893" w:type="dxa"/>
            <w:vAlign w:val="center"/>
          </w:tcPr>
          <w:p>
            <w:pPr>
              <w:adjustRightInd w:val="0"/>
              <w:spacing w:line="440" w:lineRule="exact"/>
              <w:ind w:left="44" w:leftChars="20" w:right="44" w:rightChars="20"/>
              <w:rPr>
                <w:color w:val="auto"/>
                <w:sz w:val="21"/>
                <w:highlight w:val="none"/>
              </w:rPr>
            </w:pPr>
            <w:r>
              <w:rPr>
                <w:rFonts w:hint="eastAsia"/>
                <w:color w:val="auto"/>
                <w:highlight w:val="none"/>
              </w:rPr>
              <w:t>按招标文件要求</w:t>
            </w:r>
          </w:p>
        </w:tc>
        <w:tc>
          <w:tcPr>
            <w:tcW w:w="1881" w:type="dxa"/>
            <w:vAlign w:val="center"/>
          </w:tcPr>
          <w:p>
            <w:pPr>
              <w:pStyle w:val="27"/>
              <w:spacing w:line="360" w:lineRule="auto"/>
              <w:jc w:val="center"/>
              <w:rPr>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375" w:type="dxa"/>
            <w:vAlign w:val="center"/>
          </w:tcPr>
          <w:p>
            <w:pPr>
              <w:pStyle w:val="27"/>
              <w:spacing w:before="94" w:line="360" w:lineRule="auto"/>
              <w:ind w:left="7"/>
              <w:jc w:val="center"/>
              <w:rPr>
                <w:color w:val="auto"/>
                <w:sz w:val="21"/>
                <w:highlight w:val="none"/>
              </w:rPr>
            </w:pPr>
            <w:r>
              <w:rPr>
                <w:rFonts w:hint="eastAsia"/>
                <w:color w:val="auto"/>
                <w:sz w:val="21"/>
                <w:highlight w:val="none"/>
                <w:lang w:val="en-US"/>
              </w:rPr>
              <w:t>3</w:t>
            </w:r>
          </w:p>
        </w:tc>
        <w:tc>
          <w:tcPr>
            <w:tcW w:w="3109" w:type="dxa"/>
            <w:vAlign w:val="center"/>
          </w:tcPr>
          <w:p>
            <w:pPr>
              <w:pStyle w:val="27"/>
              <w:spacing w:before="142" w:line="360" w:lineRule="auto"/>
              <w:ind w:left="218" w:leftChars="99" w:right="210"/>
              <w:rPr>
                <w:color w:val="auto"/>
                <w:sz w:val="21"/>
                <w:highlight w:val="none"/>
              </w:rPr>
            </w:pPr>
            <w:r>
              <w:rPr>
                <w:rFonts w:hint="eastAsia"/>
                <w:color w:val="auto"/>
                <w:sz w:val="21"/>
                <w:highlight w:val="none"/>
              </w:rPr>
              <w:t>合同价款确定方式</w:t>
            </w:r>
          </w:p>
        </w:tc>
        <w:tc>
          <w:tcPr>
            <w:tcW w:w="2893" w:type="dxa"/>
            <w:vAlign w:val="center"/>
          </w:tcPr>
          <w:p>
            <w:pPr>
              <w:adjustRightInd w:val="0"/>
              <w:spacing w:line="440" w:lineRule="exact"/>
              <w:ind w:left="44" w:leftChars="20" w:right="44" w:rightChars="20"/>
              <w:rPr>
                <w:color w:val="auto"/>
                <w:sz w:val="21"/>
                <w:highlight w:val="none"/>
              </w:rPr>
            </w:pPr>
            <w:r>
              <w:rPr>
                <w:rFonts w:hint="eastAsia"/>
                <w:color w:val="auto"/>
                <w:highlight w:val="none"/>
              </w:rPr>
              <w:t>按招标文件要求</w:t>
            </w:r>
          </w:p>
        </w:tc>
        <w:tc>
          <w:tcPr>
            <w:tcW w:w="1881" w:type="dxa"/>
            <w:vAlign w:val="center"/>
          </w:tcPr>
          <w:p>
            <w:pPr>
              <w:pStyle w:val="27"/>
              <w:spacing w:line="360" w:lineRule="auto"/>
              <w:jc w:val="center"/>
              <w:rPr>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375" w:type="dxa"/>
            <w:vAlign w:val="center"/>
          </w:tcPr>
          <w:p>
            <w:pPr>
              <w:pStyle w:val="27"/>
              <w:spacing w:line="360" w:lineRule="auto"/>
              <w:ind w:left="446" w:right="439"/>
              <w:jc w:val="center"/>
              <w:rPr>
                <w:color w:val="auto"/>
                <w:sz w:val="21"/>
                <w:highlight w:val="none"/>
              </w:rPr>
            </w:pPr>
            <w:r>
              <w:rPr>
                <w:rFonts w:hint="eastAsia"/>
                <w:color w:val="auto"/>
                <w:sz w:val="21"/>
                <w:highlight w:val="none"/>
                <w:lang w:val="en-US"/>
              </w:rPr>
              <w:t>4</w:t>
            </w:r>
          </w:p>
        </w:tc>
        <w:tc>
          <w:tcPr>
            <w:tcW w:w="3109" w:type="dxa"/>
            <w:vAlign w:val="center"/>
          </w:tcPr>
          <w:p>
            <w:pPr>
              <w:spacing w:line="440" w:lineRule="exact"/>
              <w:ind w:left="218" w:leftChars="99"/>
              <w:rPr>
                <w:color w:val="auto"/>
                <w:sz w:val="21"/>
                <w:highlight w:val="none"/>
              </w:rPr>
            </w:pPr>
            <w:r>
              <w:rPr>
                <w:rFonts w:hint="eastAsia"/>
                <w:color w:val="auto"/>
                <w:highlight w:val="none"/>
              </w:rPr>
              <w:t>质量标准</w:t>
            </w:r>
          </w:p>
        </w:tc>
        <w:tc>
          <w:tcPr>
            <w:tcW w:w="2893" w:type="dxa"/>
            <w:vAlign w:val="center"/>
          </w:tcPr>
          <w:p>
            <w:pPr>
              <w:adjustRightInd w:val="0"/>
              <w:spacing w:line="440" w:lineRule="exact"/>
              <w:ind w:left="44" w:leftChars="20" w:right="44" w:rightChars="20"/>
              <w:rPr>
                <w:color w:val="auto"/>
                <w:sz w:val="21"/>
                <w:highlight w:val="none"/>
              </w:rPr>
            </w:pPr>
            <w:r>
              <w:rPr>
                <w:rFonts w:hint="eastAsia"/>
                <w:color w:val="auto"/>
                <w:highlight w:val="none"/>
              </w:rPr>
              <w:t>按招标文件要求</w:t>
            </w:r>
          </w:p>
        </w:tc>
        <w:tc>
          <w:tcPr>
            <w:tcW w:w="1881" w:type="dxa"/>
            <w:vAlign w:val="center"/>
          </w:tcPr>
          <w:p>
            <w:pPr>
              <w:pStyle w:val="27"/>
              <w:spacing w:line="360" w:lineRule="auto"/>
              <w:jc w:val="center"/>
              <w:rPr>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75" w:type="dxa"/>
            <w:vAlign w:val="center"/>
          </w:tcPr>
          <w:p>
            <w:pPr>
              <w:pStyle w:val="27"/>
              <w:spacing w:line="360" w:lineRule="auto"/>
              <w:ind w:left="446" w:right="439"/>
              <w:jc w:val="center"/>
              <w:rPr>
                <w:color w:val="auto"/>
                <w:sz w:val="21"/>
                <w:highlight w:val="none"/>
                <w:lang w:val="en-US"/>
              </w:rPr>
            </w:pPr>
            <w:r>
              <w:rPr>
                <w:rFonts w:hint="eastAsia"/>
                <w:color w:val="auto"/>
                <w:sz w:val="21"/>
                <w:highlight w:val="none"/>
                <w:lang w:val="en-US"/>
              </w:rPr>
              <w:t>5</w:t>
            </w:r>
          </w:p>
        </w:tc>
        <w:tc>
          <w:tcPr>
            <w:tcW w:w="3109" w:type="dxa"/>
            <w:vAlign w:val="center"/>
          </w:tcPr>
          <w:p>
            <w:pPr>
              <w:spacing w:line="440" w:lineRule="exact"/>
              <w:ind w:left="218" w:leftChars="99"/>
              <w:rPr>
                <w:color w:val="auto"/>
                <w:sz w:val="21"/>
                <w:highlight w:val="none"/>
              </w:rPr>
            </w:pPr>
            <w:r>
              <w:rPr>
                <w:rFonts w:hint="eastAsia"/>
                <w:color w:val="auto"/>
                <w:highlight w:val="none"/>
                <w:lang w:val="en-US"/>
              </w:rPr>
              <w:t>技术</w:t>
            </w:r>
            <w:r>
              <w:rPr>
                <w:rFonts w:hint="eastAsia"/>
                <w:color w:val="auto"/>
                <w:highlight w:val="none"/>
              </w:rPr>
              <w:t>人员</w:t>
            </w:r>
          </w:p>
        </w:tc>
        <w:tc>
          <w:tcPr>
            <w:tcW w:w="2893" w:type="dxa"/>
            <w:vAlign w:val="center"/>
          </w:tcPr>
          <w:p>
            <w:pPr>
              <w:adjustRightInd w:val="0"/>
              <w:spacing w:line="440" w:lineRule="exact"/>
              <w:ind w:left="44" w:leftChars="20" w:right="44" w:rightChars="20"/>
              <w:rPr>
                <w:color w:val="auto"/>
                <w:sz w:val="21"/>
                <w:highlight w:val="none"/>
              </w:rPr>
            </w:pPr>
            <w:r>
              <w:rPr>
                <w:rFonts w:hint="eastAsia"/>
                <w:color w:val="auto"/>
                <w:highlight w:val="none"/>
                <w:lang w:val="en-US"/>
              </w:rPr>
              <w:t>拟投入技术人员</w:t>
            </w:r>
            <w:r>
              <w:rPr>
                <w:rFonts w:hint="eastAsia"/>
                <w:color w:val="auto"/>
                <w:highlight w:val="none"/>
              </w:rPr>
              <w:t>人数:</w:t>
            </w:r>
          </w:p>
        </w:tc>
        <w:tc>
          <w:tcPr>
            <w:tcW w:w="1881" w:type="dxa"/>
            <w:vAlign w:val="center"/>
          </w:tcPr>
          <w:p>
            <w:pPr>
              <w:pStyle w:val="27"/>
              <w:spacing w:line="360" w:lineRule="auto"/>
              <w:jc w:val="center"/>
              <w:rPr>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75" w:type="dxa"/>
            <w:vAlign w:val="center"/>
          </w:tcPr>
          <w:p>
            <w:pPr>
              <w:pStyle w:val="27"/>
              <w:spacing w:line="360" w:lineRule="auto"/>
              <w:ind w:left="446" w:right="439"/>
              <w:jc w:val="center"/>
              <w:rPr>
                <w:color w:val="auto"/>
                <w:sz w:val="21"/>
                <w:highlight w:val="none"/>
                <w:lang w:val="en-US"/>
              </w:rPr>
            </w:pPr>
            <w:r>
              <w:rPr>
                <w:rFonts w:hint="eastAsia"/>
                <w:color w:val="auto"/>
                <w:sz w:val="21"/>
                <w:highlight w:val="none"/>
                <w:lang w:val="en-US"/>
              </w:rPr>
              <w:t>6</w:t>
            </w:r>
          </w:p>
        </w:tc>
        <w:tc>
          <w:tcPr>
            <w:tcW w:w="3109" w:type="dxa"/>
            <w:vAlign w:val="center"/>
          </w:tcPr>
          <w:p>
            <w:pPr>
              <w:spacing w:line="440" w:lineRule="exact"/>
              <w:ind w:left="218" w:leftChars="99"/>
              <w:rPr>
                <w:color w:val="auto"/>
                <w:highlight w:val="none"/>
              </w:rPr>
            </w:pPr>
            <w:r>
              <w:rPr>
                <w:rFonts w:hint="eastAsia"/>
                <w:color w:val="auto"/>
                <w:highlight w:val="none"/>
              </w:rPr>
              <w:t>投标总报价</w:t>
            </w:r>
          </w:p>
        </w:tc>
        <w:tc>
          <w:tcPr>
            <w:tcW w:w="2893" w:type="dxa"/>
            <w:vAlign w:val="center"/>
          </w:tcPr>
          <w:p>
            <w:pPr>
              <w:adjustRightInd w:val="0"/>
              <w:spacing w:line="440" w:lineRule="exact"/>
              <w:ind w:left="44" w:leftChars="20" w:right="44" w:rightChars="20"/>
              <w:rPr>
                <w:color w:val="auto"/>
                <w:highlight w:val="none"/>
              </w:rPr>
            </w:pPr>
            <w:r>
              <w:rPr>
                <w:rFonts w:hint="eastAsia"/>
                <w:color w:val="auto"/>
                <w:highlight w:val="none"/>
                <w:lang w:val="en-US"/>
              </w:rPr>
              <w:t>投标总</w:t>
            </w:r>
            <w:r>
              <w:rPr>
                <w:rFonts w:hint="eastAsia"/>
                <w:color w:val="auto"/>
                <w:highlight w:val="none"/>
              </w:rPr>
              <w:t>报价（</w:t>
            </w:r>
            <w:r>
              <w:rPr>
                <w:rFonts w:hint="eastAsia"/>
                <w:color w:val="auto"/>
                <w:highlight w:val="none"/>
                <w:lang w:val="en-US"/>
              </w:rPr>
              <w:t>万</w:t>
            </w:r>
            <w:r>
              <w:rPr>
                <w:rFonts w:hint="eastAsia"/>
                <w:color w:val="auto"/>
                <w:highlight w:val="none"/>
              </w:rPr>
              <w:t>元）：</w:t>
            </w:r>
          </w:p>
        </w:tc>
        <w:tc>
          <w:tcPr>
            <w:tcW w:w="1881" w:type="dxa"/>
            <w:vAlign w:val="center"/>
          </w:tcPr>
          <w:p>
            <w:pPr>
              <w:pStyle w:val="27"/>
              <w:spacing w:line="360" w:lineRule="auto"/>
              <w:jc w:val="center"/>
              <w:rPr>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75" w:type="dxa"/>
            <w:vAlign w:val="center"/>
          </w:tcPr>
          <w:p>
            <w:pPr>
              <w:pStyle w:val="27"/>
              <w:spacing w:line="360" w:lineRule="auto"/>
              <w:ind w:left="446" w:right="439"/>
              <w:jc w:val="center"/>
              <w:rPr>
                <w:color w:val="auto"/>
                <w:sz w:val="21"/>
                <w:highlight w:val="none"/>
                <w:lang w:val="en-US"/>
              </w:rPr>
            </w:pPr>
            <w:r>
              <w:rPr>
                <w:rFonts w:hint="eastAsia"/>
                <w:color w:val="auto"/>
                <w:sz w:val="21"/>
                <w:highlight w:val="none"/>
                <w:lang w:val="en-US"/>
              </w:rPr>
              <w:t>7</w:t>
            </w:r>
          </w:p>
        </w:tc>
        <w:tc>
          <w:tcPr>
            <w:tcW w:w="3109" w:type="dxa"/>
            <w:vAlign w:val="center"/>
          </w:tcPr>
          <w:p>
            <w:pPr>
              <w:spacing w:line="440" w:lineRule="exact"/>
              <w:ind w:left="218" w:leftChars="99"/>
              <w:rPr>
                <w:color w:val="auto"/>
                <w:highlight w:val="none"/>
              </w:rPr>
            </w:pPr>
            <w:r>
              <w:rPr>
                <w:rFonts w:hint="eastAsia"/>
                <w:color w:val="auto"/>
                <w:highlight w:val="none"/>
              </w:rPr>
              <w:t>法 人 营 业</w:t>
            </w:r>
          </w:p>
          <w:p>
            <w:pPr>
              <w:spacing w:line="440" w:lineRule="exact"/>
              <w:ind w:left="218" w:leftChars="99"/>
              <w:rPr>
                <w:color w:val="auto"/>
                <w:highlight w:val="none"/>
              </w:rPr>
            </w:pPr>
            <w:r>
              <w:rPr>
                <w:rFonts w:hint="eastAsia"/>
                <w:color w:val="auto"/>
                <w:highlight w:val="none"/>
              </w:rPr>
              <w:t>执 照 证 号</w:t>
            </w:r>
          </w:p>
        </w:tc>
        <w:tc>
          <w:tcPr>
            <w:tcW w:w="2893" w:type="dxa"/>
            <w:vAlign w:val="center"/>
          </w:tcPr>
          <w:p>
            <w:pPr>
              <w:adjustRightInd w:val="0"/>
              <w:spacing w:line="440" w:lineRule="exact"/>
              <w:ind w:left="44" w:leftChars="20" w:right="44" w:rightChars="20"/>
              <w:rPr>
                <w:color w:val="auto"/>
                <w:highlight w:val="none"/>
              </w:rPr>
            </w:pPr>
            <w:r>
              <w:rPr>
                <w:rFonts w:hint="eastAsia"/>
                <w:color w:val="auto"/>
                <w:highlight w:val="none"/>
              </w:rPr>
              <w:t>法 人 营 业</w:t>
            </w:r>
          </w:p>
          <w:p>
            <w:pPr>
              <w:adjustRightInd w:val="0"/>
              <w:spacing w:line="440" w:lineRule="exact"/>
              <w:ind w:left="44" w:leftChars="20" w:right="44" w:rightChars="20"/>
              <w:rPr>
                <w:color w:val="auto"/>
                <w:highlight w:val="none"/>
              </w:rPr>
            </w:pPr>
            <w:r>
              <w:rPr>
                <w:rFonts w:hint="eastAsia"/>
                <w:color w:val="auto"/>
                <w:highlight w:val="none"/>
              </w:rPr>
              <w:t>执 照 证 号：</w:t>
            </w:r>
          </w:p>
        </w:tc>
        <w:tc>
          <w:tcPr>
            <w:tcW w:w="1881" w:type="dxa"/>
            <w:vAlign w:val="center"/>
          </w:tcPr>
          <w:p>
            <w:pPr>
              <w:pStyle w:val="27"/>
              <w:spacing w:line="360" w:lineRule="auto"/>
              <w:jc w:val="center"/>
              <w:rPr>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75" w:type="dxa"/>
            <w:vAlign w:val="center"/>
          </w:tcPr>
          <w:p>
            <w:pPr>
              <w:pStyle w:val="27"/>
              <w:spacing w:line="360" w:lineRule="auto"/>
              <w:ind w:left="446" w:right="439"/>
              <w:jc w:val="center"/>
              <w:rPr>
                <w:color w:val="auto"/>
                <w:sz w:val="21"/>
                <w:highlight w:val="none"/>
                <w:lang w:val="en-US"/>
              </w:rPr>
            </w:pPr>
            <w:r>
              <w:rPr>
                <w:rFonts w:hint="eastAsia"/>
                <w:color w:val="auto"/>
                <w:sz w:val="21"/>
                <w:highlight w:val="none"/>
                <w:lang w:val="en-US"/>
              </w:rPr>
              <w:t>8</w:t>
            </w:r>
          </w:p>
        </w:tc>
        <w:tc>
          <w:tcPr>
            <w:tcW w:w="3109" w:type="dxa"/>
            <w:vAlign w:val="center"/>
          </w:tcPr>
          <w:p>
            <w:pPr>
              <w:spacing w:line="440" w:lineRule="exact"/>
              <w:ind w:left="218" w:leftChars="99"/>
              <w:rPr>
                <w:color w:val="auto"/>
                <w:highlight w:val="none"/>
              </w:rPr>
            </w:pPr>
            <w:r>
              <w:rPr>
                <w:rFonts w:hint="eastAsia"/>
                <w:color w:val="auto"/>
                <w:highlight w:val="none"/>
              </w:rPr>
              <w:t>资质证书号</w:t>
            </w:r>
          </w:p>
        </w:tc>
        <w:tc>
          <w:tcPr>
            <w:tcW w:w="2893" w:type="dxa"/>
            <w:vAlign w:val="center"/>
          </w:tcPr>
          <w:p>
            <w:pPr>
              <w:adjustRightInd w:val="0"/>
              <w:spacing w:line="440" w:lineRule="exact"/>
              <w:ind w:left="44" w:leftChars="20" w:right="44" w:rightChars="20"/>
              <w:rPr>
                <w:color w:val="auto"/>
                <w:highlight w:val="none"/>
              </w:rPr>
            </w:pPr>
            <w:r>
              <w:rPr>
                <w:rFonts w:hint="eastAsia"/>
                <w:color w:val="auto"/>
                <w:highlight w:val="none"/>
              </w:rPr>
              <w:t>资质证书号：</w:t>
            </w:r>
          </w:p>
        </w:tc>
        <w:tc>
          <w:tcPr>
            <w:tcW w:w="1881" w:type="dxa"/>
            <w:vAlign w:val="center"/>
          </w:tcPr>
          <w:p>
            <w:pPr>
              <w:pStyle w:val="27"/>
              <w:spacing w:line="360" w:lineRule="auto"/>
              <w:jc w:val="center"/>
              <w:rPr>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75" w:type="dxa"/>
            <w:vAlign w:val="center"/>
          </w:tcPr>
          <w:p>
            <w:pPr>
              <w:pStyle w:val="27"/>
              <w:spacing w:line="360" w:lineRule="auto"/>
              <w:ind w:left="446" w:right="439"/>
              <w:jc w:val="center"/>
              <w:rPr>
                <w:color w:val="auto"/>
                <w:sz w:val="21"/>
                <w:highlight w:val="none"/>
                <w:lang w:val="en-US"/>
              </w:rPr>
            </w:pPr>
            <w:r>
              <w:rPr>
                <w:rFonts w:hint="eastAsia"/>
                <w:color w:val="auto"/>
                <w:sz w:val="21"/>
                <w:highlight w:val="none"/>
                <w:lang w:val="en-US"/>
              </w:rPr>
              <w:t>9</w:t>
            </w:r>
          </w:p>
        </w:tc>
        <w:tc>
          <w:tcPr>
            <w:tcW w:w="3109" w:type="dxa"/>
            <w:vAlign w:val="center"/>
          </w:tcPr>
          <w:p>
            <w:pPr>
              <w:spacing w:line="440" w:lineRule="exact"/>
              <w:ind w:left="218" w:leftChars="99"/>
              <w:rPr>
                <w:color w:val="auto"/>
                <w:highlight w:val="none"/>
              </w:rPr>
            </w:pPr>
            <w:r>
              <w:rPr>
                <w:rFonts w:hint="eastAsia"/>
                <w:color w:val="auto"/>
                <w:highlight w:val="none"/>
              </w:rPr>
              <w:t>投标有效期</w:t>
            </w:r>
          </w:p>
        </w:tc>
        <w:tc>
          <w:tcPr>
            <w:tcW w:w="2893" w:type="dxa"/>
            <w:vAlign w:val="center"/>
          </w:tcPr>
          <w:p>
            <w:pPr>
              <w:adjustRightInd w:val="0"/>
              <w:spacing w:line="440" w:lineRule="exact"/>
              <w:ind w:left="44" w:leftChars="20" w:right="44" w:rightChars="20"/>
              <w:rPr>
                <w:color w:val="auto"/>
                <w:highlight w:val="none"/>
              </w:rPr>
            </w:pPr>
            <w:r>
              <w:rPr>
                <w:rFonts w:hint="eastAsia"/>
                <w:color w:val="auto"/>
                <w:highlight w:val="none"/>
              </w:rPr>
              <w:t>按招标文件要求</w:t>
            </w:r>
          </w:p>
        </w:tc>
        <w:tc>
          <w:tcPr>
            <w:tcW w:w="1881" w:type="dxa"/>
            <w:vAlign w:val="center"/>
          </w:tcPr>
          <w:p>
            <w:pPr>
              <w:pStyle w:val="27"/>
              <w:spacing w:line="360" w:lineRule="auto"/>
              <w:jc w:val="center"/>
              <w:rPr>
                <w:color w:val="auto"/>
                <w:sz w:val="20"/>
                <w:highlight w:val="none"/>
              </w:rPr>
            </w:pPr>
          </w:p>
        </w:tc>
      </w:tr>
    </w:tbl>
    <w:p>
      <w:pPr>
        <w:pStyle w:val="11"/>
        <w:spacing w:line="360" w:lineRule="auto"/>
        <w:rPr>
          <w:color w:val="auto"/>
          <w:sz w:val="20"/>
          <w:highlight w:val="none"/>
        </w:rPr>
      </w:pPr>
    </w:p>
    <w:p>
      <w:pPr>
        <w:pStyle w:val="11"/>
        <w:spacing w:before="4" w:line="360" w:lineRule="auto"/>
        <w:rPr>
          <w:color w:val="auto"/>
          <w:sz w:val="19"/>
          <w:highlight w:val="none"/>
        </w:rPr>
      </w:pPr>
    </w:p>
    <w:p>
      <w:pPr>
        <w:pStyle w:val="11"/>
        <w:tabs>
          <w:tab w:val="left" w:pos="7381"/>
        </w:tabs>
        <w:spacing w:before="78" w:line="360" w:lineRule="auto"/>
        <w:ind w:left="2761"/>
        <w:rPr>
          <w:color w:val="auto"/>
          <w:highlight w:val="none"/>
        </w:rPr>
      </w:pPr>
      <w:r>
        <w:rPr>
          <w:rFonts w:hint="eastAsia"/>
          <w:color w:val="auto"/>
          <w:highlight w:val="none"/>
        </w:rPr>
        <w:t>投 标 人</w:t>
      </w:r>
      <w:r>
        <w:rPr>
          <w:rFonts w:hint="eastAsia"/>
          <w:color w:val="auto"/>
          <w:spacing w:val="-3"/>
          <w:highlight w:val="none"/>
        </w:rPr>
        <w:t>：</w:t>
      </w:r>
      <w:r>
        <w:rPr>
          <w:rFonts w:hint="eastAsia"/>
          <w:color w:val="auto"/>
          <w:spacing w:val="-3"/>
          <w:highlight w:val="none"/>
          <w:u w:val="single"/>
        </w:rPr>
        <w:t xml:space="preserve"> </w:t>
      </w:r>
      <w:r>
        <w:rPr>
          <w:rFonts w:hint="eastAsia"/>
          <w:color w:val="auto"/>
          <w:spacing w:val="-3"/>
          <w:highlight w:val="none"/>
          <w:u w:val="single"/>
        </w:rPr>
        <w:tab/>
      </w:r>
      <w:r>
        <w:rPr>
          <w:rFonts w:hint="eastAsia"/>
          <w:color w:val="auto"/>
          <w:highlight w:val="none"/>
        </w:rPr>
        <w:t>（盖</w:t>
      </w:r>
      <w:r>
        <w:rPr>
          <w:rFonts w:hint="eastAsia"/>
          <w:color w:val="auto"/>
          <w:spacing w:val="-3"/>
          <w:highlight w:val="none"/>
        </w:rPr>
        <w:t>单</w:t>
      </w:r>
      <w:r>
        <w:rPr>
          <w:rFonts w:hint="eastAsia"/>
          <w:color w:val="auto"/>
          <w:highlight w:val="none"/>
        </w:rPr>
        <w:t>位</w:t>
      </w:r>
      <w:r>
        <w:rPr>
          <w:rFonts w:hint="eastAsia"/>
          <w:color w:val="auto"/>
          <w:spacing w:val="-3"/>
          <w:highlight w:val="none"/>
        </w:rPr>
        <w:t>章</w:t>
      </w:r>
      <w:r>
        <w:rPr>
          <w:rFonts w:hint="eastAsia"/>
          <w:color w:val="auto"/>
          <w:highlight w:val="none"/>
        </w:rPr>
        <w:t>）</w:t>
      </w:r>
    </w:p>
    <w:p>
      <w:pPr>
        <w:pStyle w:val="11"/>
        <w:tabs>
          <w:tab w:val="left" w:pos="6541"/>
        </w:tabs>
        <w:spacing w:before="173" w:line="360" w:lineRule="auto"/>
        <w:ind w:left="2761"/>
        <w:rPr>
          <w:color w:val="auto"/>
          <w:highlight w:val="none"/>
        </w:rPr>
      </w:pPr>
      <w:r>
        <w:rPr>
          <w:rFonts w:hint="eastAsia"/>
          <w:color w:val="auto"/>
          <w:highlight w:val="none"/>
        </w:rPr>
        <w:t>法</w:t>
      </w:r>
      <w:r>
        <w:rPr>
          <w:rFonts w:hint="eastAsia"/>
          <w:color w:val="auto"/>
          <w:spacing w:val="-3"/>
          <w:highlight w:val="none"/>
        </w:rPr>
        <w:t>定</w:t>
      </w:r>
      <w:r>
        <w:rPr>
          <w:rFonts w:hint="eastAsia"/>
          <w:color w:val="auto"/>
          <w:highlight w:val="none"/>
        </w:rPr>
        <w:t>代</w:t>
      </w:r>
      <w:r>
        <w:rPr>
          <w:rFonts w:hint="eastAsia"/>
          <w:color w:val="auto"/>
          <w:spacing w:val="-3"/>
          <w:highlight w:val="none"/>
        </w:rPr>
        <w:t>表</w:t>
      </w:r>
      <w:r>
        <w:rPr>
          <w:rFonts w:hint="eastAsia"/>
          <w:color w:val="auto"/>
          <w:highlight w:val="none"/>
        </w:rPr>
        <w:t>人</w:t>
      </w:r>
      <w:r>
        <w:rPr>
          <w:rFonts w:hint="eastAsia"/>
          <w:color w:val="auto"/>
          <w:spacing w:val="-3"/>
          <w:highlight w:val="none"/>
        </w:rPr>
        <w:t>或</w:t>
      </w:r>
      <w:r>
        <w:rPr>
          <w:rFonts w:hint="eastAsia"/>
          <w:color w:val="auto"/>
          <w:highlight w:val="none"/>
        </w:rPr>
        <w:t>其</w:t>
      </w:r>
      <w:r>
        <w:rPr>
          <w:rFonts w:hint="eastAsia"/>
          <w:color w:val="auto"/>
          <w:spacing w:val="-3"/>
          <w:highlight w:val="none"/>
        </w:rPr>
        <w:t>委</w:t>
      </w:r>
      <w:r>
        <w:rPr>
          <w:rFonts w:hint="eastAsia"/>
          <w:color w:val="auto"/>
          <w:highlight w:val="none"/>
        </w:rPr>
        <w:t>托</w:t>
      </w:r>
      <w:r>
        <w:rPr>
          <w:rFonts w:hint="eastAsia"/>
          <w:color w:val="auto"/>
          <w:spacing w:val="-3"/>
          <w:highlight w:val="none"/>
        </w:rPr>
        <w:t>代理</w:t>
      </w:r>
      <w:r>
        <w:rPr>
          <w:rFonts w:hint="eastAsia"/>
          <w:color w:val="auto"/>
          <w:highlight w:val="none"/>
        </w:rPr>
        <w:t>人：</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（签</w:t>
      </w:r>
      <w:r>
        <w:rPr>
          <w:rFonts w:hint="eastAsia"/>
          <w:color w:val="auto"/>
          <w:spacing w:val="-3"/>
          <w:highlight w:val="none"/>
        </w:rPr>
        <w:t>字</w:t>
      </w:r>
      <w:r>
        <w:rPr>
          <w:rFonts w:hint="eastAsia"/>
          <w:color w:val="auto"/>
          <w:highlight w:val="none"/>
        </w:rPr>
        <w:t>）</w:t>
      </w:r>
    </w:p>
    <w:p>
      <w:pPr>
        <w:pStyle w:val="11"/>
        <w:tabs>
          <w:tab w:val="left" w:pos="6990"/>
          <w:tab w:val="left" w:pos="7830"/>
          <w:tab w:val="left" w:pos="8670"/>
        </w:tabs>
        <w:spacing w:before="170" w:line="360" w:lineRule="auto"/>
        <w:ind w:left="6359"/>
        <w:rPr>
          <w:color w:val="auto"/>
          <w:highlight w:val="none"/>
        </w:rPr>
      </w:pPr>
      <w:r>
        <w:rPr>
          <w:rFonts w:hint="eastAsia"/>
          <w:color w:val="auto"/>
          <w:highlight w:val="none"/>
          <w:u w:val="single"/>
        </w:rPr>
        <w:t xml:space="preserve"> </w:t>
      </w:r>
      <w:r>
        <w:rPr>
          <w:rFonts w:hint="eastAsia"/>
          <w:color w:val="auto"/>
          <w:highlight w:val="none"/>
          <w:u w:val="single"/>
        </w:rPr>
        <w:tab/>
      </w:r>
      <w:r>
        <w:rPr>
          <w:rFonts w:hint="eastAsia"/>
          <w:color w:val="auto"/>
          <w:highlight w:val="none"/>
        </w:rPr>
        <w:t>年</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月</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日</w:t>
      </w:r>
    </w:p>
    <w:p>
      <w:pPr>
        <w:spacing w:line="360" w:lineRule="auto"/>
        <w:rPr>
          <w:color w:val="auto"/>
          <w:highlight w:val="none"/>
        </w:rPr>
        <w:sectPr>
          <w:pgSz w:w="11906" w:h="16838"/>
          <w:pgMar w:top="1400" w:right="1100" w:bottom="1120" w:left="1560" w:header="0" w:footer="841" w:gutter="0"/>
          <w:cols w:space="720" w:num="1"/>
        </w:sectPr>
      </w:pPr>
    </w:p>
    <w:p>
      <w:pPr>
        <w:spacing w:line="360" w:lineRule="auto"/>
        <w:ind w:right="457"/>
        <w:jc w:val="center"/>
        <w:rPr>
          <w:b/>
          <w:color w:val="auto"/>
          <w:sz w:val="32"/>
          <w:highlight w:val="none"/>
        </w:rPr>
      </w:pPr>
      <w:bookmarkStart w:id="40" w:name="_bookmark179"/>
      <w:bookmarkEnd w:id="40"/>
      <w:r>
        <w:rPr>
          <w:rFonts w:hint="eastAsia"/>
          <w:b/>
          <w:color w:val="auto"/>
          <w:sz w:val="32"/>
          <w:highlight w:val="none"/>
        </w:rPr>
        <w:t>二、法定代表人身份证明（格式可自拟）</w:t>
      </w:r>
    </w:p>
    <w:p>
      <w:pPr>
        <w:pStyle w:val="11"/>
        <w:spacing w:line="360" w:lineRule="auto"/>
        <w:rPr>
          <w:b/>
          <w:color w:val="auto"/>
          <w:sz w:val="32"/>
          <w:highlight w:val="none"/>
        </w:rPr>
      </w:pPr>
    </w:p>
    <w:p>
      <w:pPr>
        <w:pStyle w:val="11"/>
        <w:spacing w:line="360" w:lineRule="auto"/>
        <w:rPr>
          <w:b/>
          <w:color w:val="auto"/>
          <w:sz w:val="32"/>
          <w:highlight w:val="none"/>
        </w:rPr>
      </w:pPr>
    </w:p>
    <w:p>
      <w:pPr>
        <w:pStyle w:val="11"/>
        <w:spacing w:before="3" w:line="360" w:lineRule="auto"/>
        <w:rPr>
          <w:b/>
          <w:color w:val="auto"/>
          <w:sz w:val="18"/>
          <w:highlight w:val="none"/>
        </w:rPr>
      </w:pPr>
    </w:p>
    <w:p>
      <w:pPr>
        <w:pStyle w:val="11"/>
        <w:tabs>
          <w:tab w:val="left" w:pos="4068"/>
        </w:tabs>
        <w:spacing w:line="360" w:lineRule="auto"/>
        <w:ind w:left="240"/>
        <w:rPr>
          <w:color w:val="auto"/>
          <w:highlight w:val="none"/>
        </w:rPr>
      </w:pPr>
      <w:r>
        <w:rPr>
          <w:rFonts w:hint="eastAsia"/>
          <w:color w:val="auto"/>
          <w:spacing w:val="-1"/>
          <w:highlight w:val="none"/>
        </w:rPr>
        <w:t>投</w:t>
      </w:r>
      <w:r>
        <w:rPr>
          <w:rFonts w:hint="eastAsia"/>
          <w:color w:val="auto"/>
          <w:highlight w:val="none"/>
        </w:rPr>
        <w:t>标</w:t>
      </w:r>
      <w:r>
        <w:rPr>
          <w:rFonts w:hint="eastAsia"/>
          <w:color w:val="auto"/>
          <w:spacing w:val="-3"/>
          <w:highlight w:val="none"/>
        </w:rPr>
        <w:t>人</w:t>
      </w:r>
      <w:r>
        <w:rPr>
          <w:rFonts w:hint="eastAsia"/>
          <w:color w:val="auto"/>
          <w:highlight w:val="none"/>
        </w:rPr>
        <w:t>名</w:t>
      </w:r>
      <w:r>
        <w:rPr>
          <w:rFonts w:hint="eastAsia"/>
          <w:color w:val="auto"/>
          <w:spacing w:val="-3"/>
          <w:highlight w:val="none"/>
        </w:rPr>
        <w:t>称</w:t>
      </w:r>
      <w:r>
        <w:rPr>
          <w:rFonts w:hint="eastAsia"/>
          <w:color w:val="auto"/>
          <w:highlight w:val="none"/>
        </w:rPr>
        <w:t>：</w:t>
      </w:r>
      <w:r>
        <w:rPr>
          <w:rFonts w:hint="eastAsia"/>
          <w:color w:val="auto"/>
          <w:highlight w:val="none"/>
          <w:u w:val="single"/>
        </w:rPr>
        <w:t xml:space="preserve"> </w:t>
      </w:r>
      <w:r>
        <w:rPr>
          <w:rFonts w:hint="eastAsia"/>
          <w:color w:val="auto"/>
          <w:highlight w:val="none"/>
          <w:u w:val="single"/>
        </w:rPr>
        <w:tab/>
      </w:r>
    </w:p>
    <w:p>
      <w:pPr>
        <w:pStyle w:val="11"/>
        <w:tabs>
          <w:tab w:val="left" w:pos="2552"/>
          <w:tab w:val="left" w:pos="4023"/>
          <w:tab w:val="left" w:pos="5492"/>
          <w:tab w:val="left" w:pos="7009"/>
        </w:tabs>
        <w:spacing w:before="170" w:line="360" w:lineRule="auto"/>
        <w:ind w:left="240"/>
        <w:rPr>
          <w:color w:val="auto"/>
          <w:highlight w:val="none"/>
        </w:rPr>
      </w:pPr>
      <w:r>
        <w:rPr>
          <w:rFonts w:hint="eastAsia"/>
          <w:color w:val="auto"/>
          <w:highlight w:val="none"/>
        </w:rPr>
        <w:t>姓名</w:t>
      </w:r>
      <w:r>
        <w:rPr>
          <w:rFonts w:hint="eastAsia"/>
          <w:color w:val="auto"/>
          <w:spacing w:val="-3"/>
          <w:highlight w:val="none"/>
        </w:rPr>
        <w:t>：</w:t>
      </w:r>
      <w:r>
        <w:rPr>
          <w:rFonts w:hint="eastAsia"/>
          <w:color w:val="auto"/>
          <w:spacing w:val="-3"/>
          <w:highlight w:val="none"/>
          <w:u w:val="single"/>
        </w:rPr>
        <w:t xml:space="preserve"> </w:t>
      </w:r>
      <w:r>
        <w:rPr>
          <w:rFonts w:hint="eastAsia"/>
          <w:color w:val="auto"/>
          <w:spacing w:val="-3"/>
          <w:highlight w:val="none"/>
          <w:u w:val="single"/>
        </w:rPr>
        <w:tab/>
      </w:r>
      <w:r>
        <w:rPr>
          <w:rFonts w:hint="eastAsia"/>
          <w:color w:val="auto"/>
          <w:highlight w:val="none"/>
        </w:rPr>
        <w:t>性别</w:t>
      </w:r>
      <w:r>
        <w:rPr>
          <w:rFonts w:hint="eastAsia"/>
          <w:color w:val="auto"/>
          <w:spacing w:val="-3"/>
          <w:highlight w:val="none"/>
        </w:rPr>
        <w:t>：</w:t>
      </w:r>
      <w:r>
        <w:rPr>
          <w:rFonts w:hint="eastAsia"/>
          <w:color w:val="auto"/>
          <w:spacing w:val="-3"/>
          <w:highlight w:val="none"/>
          <w:u w:val="single"/>
        </w:rPr>
        <w:t xml:space="preserve"> </w:t>
      </w:r>
      <w:r>
        <w:rPr>
          <w:rFonts w:hint="eastAsia"/>
          <w:color w:val="auto"/>
          <w:spacing w:val="-3"/>
          <w:highlight w:val="none"/>
          <w:u w:val="single"/>
        </w:rPr>
        <w:tab/>
      </w:r>
      <w:r>
        <w:rPr>
          <w:rFonts w:hint="eastAsia"/>
          <w:color w:val="auto"/>
          <w:highlight w:val="none"/>
        </w:rPr>
        <w:t>年</w:t>
      </w:r>
      <w:r>
        <w:rPr>
          <w:rFonts w:hint="eastAsia"/>
          <w:color w:val="auto"/>
          <w:spacing w:val="-3"/>
          <w:highlight w:val="none"/>
        </w:rPr>
        <w:t>龄</w:t>
      </w:r>
      <w:r>
        <w:rPr>
          <w:rFonts w:hint="eastAsia"/>
          <w:color w:val="auto"/>
          <w:highlight w:val="none"/>
        </w:rPr>
        <w:t>：</w:t>
      </w:r>
      <w:r>
        <w:rPr>
          <w:rFonts w:hint="eastAsia"/>
          <w:color w:val="auto"/>
          <w:highlight w:val="none"/>
          <w:u w:val="single"/>
        </w:rPr>
        <w:t xml:space="preserve"> </w:t>
      </w:r>
      <w:r>
        <w:rPr>
          <w:rFonts w:hint="eastAsia"/>
          <w:color w:val="auto"/>
          <w:highlight w:val="none"/>
          <w:u w:val="single"/>
        </w:rPr>
        <w:tab/>
      </w:r>
      <w:r>
        <w:rPr>
          <w:rFonts w:hint="eastAsia"/>
          <w:color w:val="auto"/>
          <w:spacing w:val="-1"/>
          <w:highlight w:val="none"/>
        </w:rPr>
        <w:t>职</w:t>
      </w:r>
      <w:r>
        <w:rPr>
          <w:rFonts w:hint="eastAsia"/>
          <w:color w:val="auto"/>
          <w:spacing w:val="-3"/>
          <w:highlight w:val="none"/>
        </w:rPr>
        <w:t>务</w:t>
      </w:r>
      <w:r>
        <w:rPr>
          <w:rFonts w:hint="eastAsia"/>
          <w:color w:val="auto"/>
          <w:highlight w:val="none"/>
        </w:rPr>
        <w:t>：</w:t>
      </w:r>
      <w:r>
        <w:rPr>
          <w:rFonts w:hint="eastAsia"/>
          <w:color w:val="auto"/>
          <w:highlight w:val="none"/>
          <w:u w:val="single"/>
        </w:rPr>
        <w:t xml:space="preserve"> </w:t>
      </w:r>
      <w:r>
        <w:rPr>
          <w:rFonts w:hint="eastAsia"/>
          <w:color w:val="auto"/>
          <w:highlight w:val="none"/>
          <w:u w:val="single"/>
        </w:rPr>
        <w:tab/>
      </w:r>
    </w:p>
    <w:p>
      <w:pPr>
        <w:pStyle w:val="11"/>
        <w:tabs>
          <w:tab w:val="left" w:pos="2972"/>
        </w:tabs>
        <w:spacing w:before="173" w:line="360" w:lineRule="auto"/>
        <w:ind w:left="240"/>
        <w:rPr>
          <w:color w:val="auto"/>
          <w:highlight w:val="none"/>
        </w:rPr>
      </w:pPr>
      <w:r>
        <w:rPr>
          <w:rFonts w:hint="eastAsia"/>
          <w:color w:val="auto"/>
          <w:highlight w:val="none"/>
        </w:rPr>
        <w:t>系</w:t>
      </w:r>
      <w:r>
        <w:rPr>
          <w:rFonts w:hint="eastAsia"/>
          <w:color w:val="auto"/>
          <w:highlight w:val="none"/>
          <w:u w:val="single"/>
        </w:rPr>
        <w:t xml:space="preserve"> </w:t>
      </w:r>
      <w:r>
        <w:rPr>
          <w:rFonts w:hint="eastAsia"/>
          <w:color w:val="auto"/>
          <w:highlight w:val="none"/>
          <w:u w:val="single"/>
        </w:rPr>
        <w:tab/>
      </w:r>
      <w:r>
        <w:rPr>
          <w:rFonts w:hint="eastAsia"/>
          <w:color w:val="auto"/>
          <w:spacing w:val="-3"/>
          <w:highlight w:val="none"/>
        </w:rPr>
        <w:t>（</w:t>
      </w:r>
      <w:r>
        <w:rPr>
          <w:rFonts w:hint="eastAsia"/>
          <w:color w:val="auto"/>
          <w:highlight w:val="none"/>
        </w:rPr>
        <w:t>投</w:t>
      </w:r>
      <w:r>
        <w:rPr>
          <w:rFonts w:hint="eastAsia"/>
          <w:color w:val="auto"/>
          <w:spacing w:val="-3"/>
          <w:highlight w:val="none"/>
        </w:rPr>
        <w:t>标</w:t>
      </w:r>
      <w:r>
        <w:rPr>
          <w:rFonts w:hint="eastAsia"/>
          <w:color w:val="auto"/>
          <w:highlight w:val="none"/>
        </w:rPr>
        <w:t>人</w:t>
      </w:r>
      <w:r>
        <w:rPr>
          <w:rFonts w:hint="eastAsia"/>
          <w:color w:val="auto"/>
          <w:spacing w:val="-3"/>
          <w:highlight w:val="none"/>
        </w:rPr>
        <w:t>名</w:t>
      </w:r>
      <w:r>
        <w:rPr>
          <w:rFonts w:hint="eastAsia"/>
          <w:color w:val="auto"/>
          <w:highlight w:val="none"/>
        </w:rPr>
        <w:t>称</w:t>
      </w:r>
      <w:r>
        <w:rPr>
          <w:rFonts w:hint="eastAsia"/>
          <w:color w:val="auto"/>
          <w:spacing w:val="-3"/>
          <w:highlight w:val="none"/>
        </w:rPr>
        <w:t>）</w:t>
      </w:r>
      <w:r>
        <w:rPr>
          <w:rFonts w:hint="eastAsia"/>
          <w:color w:val="auto"/>
          <w:highlight w:val="none"/>
        </w:rPr>
        <w:t>的</w:t>
      </w:r>
      <w:r>
        <w:rPr>
          <w:rFonts w:hint="eastAsia"/>
          <w:color w:val="auto"/>
          <w:spacing w:val="-3"/>
          <w:highlight w:val="none"/>
        </w:rPr>
        <w:t>法定</w:t>
      </w:r>
      <w:r>
        <w:rPr>
          <w:rFonts w:hint="eastAsia"/>
          <w:color w:val="auto"/>
          <w:highlight w:val="none"/>
        </w:rPr>
        <w:t>代表</w:t>
      </w:r>
      <w:r>
        <w:rPr>
          <w:rFonts w:hint="eastAsia"/>
          <w:color w:val="auto"/>
          <w:spacing w:val="-3"/>
          <w:highlight w:val="none"/>
        </w:rPr>
        <w:t>人</w:t>
      </w:r>
      <w:r>
        <w:rPr>
          <w:rFonts w:hint="eastAsia"/>
          <w:color w:val="auto"/>
          <w:highlight w:val="none"/>
        </w:rPr>
        <w:t>。</w:t>
      </w:r>
    </w:p>
    <w:p>
      <w:pPr>
        <w:pStyle w:val="11"/>
        <w:spacing w:before="170" w:line="360" w:lineRule="auto"/>
        <w:ind w:left="660"/>
        <w:rPr>
          <w:color w:val="auto"/>
          <w:highlight w:val="none"/>
        </w:rPr>
      </w:pPr>
      <w:r>
        <w:rPr>
          <w:rFonts w:hint="eastAsia"/>
          <w:color w:val="auto"/>
          <w:highlight w:val="none"/>
        </w:rPr>
        <w:t>特此证明。</w:t>
      </w:r>
    </w:p>
    <w:p>
      <w:pPr>
        <w:pStyle w:val="11"/>
        <w:spacing w:line="360" w:lineRule="auto"/>
        <w:rPr>
          <w:color w:val="auto"/>
          <w:sz w:val="20"/>
          <w:highlight w:val="none"/>
        </w:rPr>
      </w:pPr>
    </w:p>
    <w:p>
      <w:pPr>
        <w:pStyle w:val="11"/>
        <w:spacing w:before="10" w:line="360" w:lineRule="auto"/>
        <w:rPr>
          <w:color w:val="auto"/>
          <w:sz w:val="27"/>
          <w:highlight w:val="none"/>
        </w:rPr>
      </w:pPr>
    </w:p>
    <w:p>
      <w:pPr>
        <w:pStyle w:val="11"/>
        <w:spacing w:line="360" w:lineRule="auto"/>
        <w:ind w:left="240"/>
        <w:rPr>
          <w:color w:val="auto"/>
          <w:highlight w:val="none"/>
        </w:rPr>
      </w:pPr>
      <w:r>
        <w:rPr>
          <w:rFonts w:hint="eastAsia"/>
          <w:color w:val="auto"/>
          <w:highlight w:val="none"/>
        </w:rPr>
        <w:t>附：法定代表人身份证复印件。</w:t>
      </w:r>
    </w:p>
    <w:p>
      <w:pPr>
        <w:pStyle w:val="11"/>
        <w:spacing w:line="360" w:lineRule="auto"/>
        <w:rPr>
          <w:color w:val="auto"/>
          <w:sz w:val="20"/>
          <w:highlight w:val="none"/>
        </w:rPr>
      </w:pPr>
    </w:p>
    <w:p>
      <w:pPr>
        <w:pStyle w:val="11"/>
        <w:spacing w:before="7" w:line="360" w:lineRule="auto"/>
        <w:rPr>
          <w:color w:val="auto"/>
          <w:sz w:val="27"/>
          <w:highlight w:val="none"/>
        </w:rPr>
      </w:pPr>
    </w:p>
    <w:p>
      <w:pPr>
        <w:pStyle w:val="11"/>
        <w:spacing w:line="360" w:lineRule="auto"/>
        <w:ind w:left="240"/>
        <w:rPr>
          <w:color w:val="auto"/>
          <w:highlight w:val="none"/>
        </w:rPr>
      </w:pPr>
      <w:r>
        <w:rPr>
          <w:rFonts w:hint="eastAsia"/>
          <w:color w:val="auto"/>
          <w:highlight w:val="none"/>
        </w:rPr>
        <w:t>注：本身份证明需由投标人加盖单位公章。</w:t>
      </w:r>
    </w:p>
    <w:p>
      <w:pPr>
        <w:pStyle w:val="11"/>
        <w:spacing w:line="360" w:lineRule="auto"/>
        <w:rPr>
          <w:color w:val="auto"/>
          <w:sz w:val="20"/>
          <w:highlight w:val="none"/>
        </w:rPr>
      </w:pPr>
    </w:p>
    <w:p>
      <w:pPr>
        <w:pStyle w:val="11"/>
        <w:spacing w:line="360" w:lineRule="auto"/>
        <w:rPr>
          <w:color w:val="auto"/>
          <w:sz w:val="20"/>
          <w:highlight w:val="none"/>
        </w:rPr>
      </w:pPr>
    </w:p>
    <w:p>
      <w:pPr>
        <w:pStyle w:val="11"/>
        <w:spacing w:line="360" w:lineRule="auto"/>
        <w:rPr>
          <w:color w:val="auto"/>
          <w:sz w:val="20"/>
          <w:highlight w:val="none"/>
        </w:rPr>
      </w:pPr>
    </w:p>
    <w:p>
      <w:pPr>
        <w:pStyle w:val="11"/>
        <w:spacing w:before="12" w:line="360" w:lineRule="auto"/>
        <w:rPr>
          <w:color w:val="auto"/>
          <w:sz w:val="15"/>
          <w:highlight w:val="none"/>
        </w:rPr>
      </w:pPr>
    </w:p>
    <w:p>
      <w:pPr>
        <w:pStyle w:val="11"/>
        <w:tabs>
          <w:tab w:val="left" w:pos="6661"/>
        </w:tabs>
        <w:spacing w:before="79" w:line="360" w:lineRule="auto"/>
        <w:ind w:left="4352"/>
        <w:rPr>
          <w:color w:val="auto"/>
          <w:highlight w:val="none"/>
        </w:rPr>
      </w:pPr>
      <w:r>
        <w:rPr>
          <w:rFonts w:hint="eastAsia"/>
          <w:color w:val="auto"/>
          <w:spacing w:val="-3"/>
          <w:highlight w:val="none"/>
        </w:rPr>
        <w:t>投</w:t>
      </w:r>
      <w:r>
        <w:rPr>
          <w:rFonts w:hint="eastAsia"/>
          <w:color w:val="auto"/>
          <w:highlight w:val="none"/>
        </w:rPr>
        <w:t>标</w:t>
      </w:r>
      <w:r>
        <w:rPr>
          <w:rFonts w:hint="eastAsia"/>
          <w:color w:val="auto"/>
          <w:spacing w:val="-3"/>
          <w:highlight w:val="none"/>
        </w:rPr>
        <w:t>人</w:t>
      </w:r>
      <w:r>
        <w:rPr>
          <w:rFonts w:hint="eastAsia"/>
          <w:color w:val="auto"/>
          <w:highlight w:val="none"/>
        </w:rPr>
        <w:t>：</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（盖</w:t>
      </w:r>
      <w:r>
        <w:rPr>
          <w:rFonts w:hint="eastAsia"/>
          <w:color w:val="auto"/>
          <w:spacing w:val="-3"/>
          <w:highlight w:val="none"/>
        </w:rPr>
        <w:t>单</w:t>
      </w:r>
      <w:r>
        <w:rPr>
          <w:rFonts w:hint="eastAsia"/>
          <w:color w:val="auto"/>
          <w:highlight w:val="none"/>
        </w:rPr>
        <w:t>位</w:t>
      </w:r>
      <w:r>
        <w:rPr>
          <w:rFonts w:hint="eastAsia"/>
          <w:color w:val="auto"/>
          <w:spacing w:val="-3"/>
          <w:highlight w:val="none"/>
        </w:rPr>
        <w:t>章</w:t>
      </w:r>
      <w:r>
        <w:rPr>
          <w:rFonts w:hint="eastAsia"/>
          <w:color w:val="auto"/>
          <w:highlight w:val="none"/>
        </w:rPr>
        <w:t>）</w:t>
      </w:r>
    </w:p>
    <w:p>
      <w:pPr>
        <w:pStyle w:val="11"/>
        <w:spacing w:line="360" w:lineRule="auto"/>
        <w:rPr>
          <w:color w:val="auto"/>
          <w:sz w:val="20"/>
          <w:highlight w:val="none"/>
        </w:rPr>
      </w:pPr>
    </w:p>
    <w:p>
      <w:pPr>
        <w:pStyle w:val="11"/>
        <w:spacing w:before="1" w:line="360" w:lineRule="auto"/>
        <w:rPr>
          <w:color w:val="auto"/>
          <w:sz w:val="22"/>
          <w:highlight w:val="none"/>
        </w:rPr>
      </w:pPr>
    </w:p>
    <w:p>
      <w:pPr>
        <w:pStyle w:val="11"/>
        <w:tabs>
          <w:tab w:val="left" w:pos="5492"/>
          <w:tab w:val="left" w:pos="6332"/>
          <w:tab w:val="left" w:pos="7172"/>
        </w:tabs>
        <w:spacing w:before="72" w:line="360" w:lineRule="auto"/>
        <w:ind w:left="4861"/>
        <w:rPr>
          <w:color w:val="auto"/>
          <w:highlight w:val="none"/>
        </w:rPr>
      </w:pPr>
      <w:r>
        <w:rPr>
          <w:rFonts w:hint="eastAsia"/>
          <w:color w:val="auto"/>
          <w:highlight w:val="none"/>
          <w:u w:val="single"/>
        </w:rPr>
        <w:t xml:space="preserve"> </w:t>
      </w:r>
      <w:r>
        <w:rPr>
          <w:rFonts w:hint="eastAsia"/>
          <w:color w:val="auto"/>
          <w:highlight w:val="none"/>
          <w:u w:val="single"/>
        </w:rPr>
        <w:tab/>
      </w:r>
      <w:r>
        <w:rPr>
          <w:rFonts w:hint="eastAsia"/>
          <w:color w:val="auto"/>
          <w:highlight w:val="none"/>
        </w:rPr>
        <w:t>年</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月</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日</w:t>
      </w:r>
    </w:p>
    <w:p>
      <w:pPr>
        <w:spacing w:line="360" w:lineRule="auto"/>
        <w:rPr>
          <w:color w:val="auto"/>
          <w:highlight w:val="none"/>
        </w:rPr>
        <w:sectPr>
          <w:pgSz w:w="11906" w:h="16838"/>
          <w:pgMar w:top="1400" w:right="1100" w:bottom="1120" w:left="1560" w:header="0" w:footer="841" w:gutter="0"/>
          <w:cols w:space="720" w:num="1"/>
        </w:sectPr>
      </w:pPr>
    </w:p>
    <w:p>
      <w:pPr>
        <w:spacing w:line="360" w:lineRule="auto"/>
        <w:ind w:right="459"/>
        <w:jc w:val="center"/>
        <w:rPr>
          <w:b/>
          <w:color w:val="auto"/>
          <w:sz w:val="32"/>
          <w:highlight w:val="none"/>
        </w:rPr>
      </w:pPr>
      <w:bookmarkStart w:id="41" w:name="_bookmark180"/>
      <w:bookmarkEnd w:id="41"/>
      <w:r>
        <w:rPr>
          <w:rFonts w:hint="eastAsia"/>
          <w:b/>
          <w:color w:val="auto"/>
          <w:sz w:val="32"/>
          <w:highlight w:val="none"/>
        </w:rPr>
        <w:t>三、授权委托书（格式可自拟）</w:t>
      </w:r>
    </w:p>
    <w:p>
      <w:pPr>
        <w:pStyle w:val="11"/>
        <w:spacing w:line="360" w:lineRule="auto"/>
        <w:rPr>
          <w:b/>
          <w:color w:val="auto"/>
          <w:sz w:val="32"/>
          <w:highlight w:val="none"/>
        </w:rPr>
      </w:pPr>
    </w:p>
    <w:p>
      <w:pPr>
        <w:pStyle w:val="11"/>
        <w:spacing w:before="5" w:line="360" w:lineRule="auto"/>
        <w:rPr>
          <w:b/>
          <w:color w:val="auto"/>
          <w:sz w:val="26"/>
          <w:highlight w:val="none"/>
        </w:rPr>
      </w:pPr>
    </w:p>
    <w:p>
      <w:pPr>
        <w:pStyle w:val="11"/>
        <w:tabs>
          <w:tab w:val="left" w:pos="2561"/>
          <w:tab w:val="left" w:pos="5725"/>
        </w:tabs>
        <w:spacing w:line="400" w:lineRule="exact"/>
        <w:ind w:left="660"/>
        <w:rPr>
          <w:color w:val="auto"/>
          <w:highlight w:val="none"/>
        </w:rPr>
      </w:pPr>
      <w:r>
        <w:rPr>
          <w:rFonts w:hint="eastAsia"/>
          <w:color w:val="auto"/>
          <w:highlight w:val="none"/>
        </w:rPr>
        <w:t>本人</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w:t>
      </w:r>
      <w:r>
        <w:rPr>
          <w:rFonts w:hint="eastAsia"/>
          <w:color w:val="auto"/>
          <w:spacing w:val="-3"/>
          <w:highlight w:val="none"/>
        </w:rPr>
        <w:t>姓</w:t>
      </w:r>
      <w:r>
        <w:rPr>
          <w:rFonts w:hint="eastAsia"/>
          <w:color w:val="auto"/>
          <w:highlight w:val="none"/>
        </w:rPr>
        <w:t>名）系</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（投标人</w:t>
      </w:r>
      <w:r>
        <w:rPr>
          <w:rFonts w:hint="eastAsia"/>
          <w:color w:val="auto"/>
          <w:spacing w:val="-3"/>
          <w:highlight w:val="none"/>
        </w:rPr>
        <w:t>名</w:t>
      </w:r>
      <w:r>
        <w:rPr>
          <w:rFonts w:hint="eastAsia"/>
          <w:color w:val="auto"/>
          <w:highlight w:val="none"/>
        </w:rPr>
        <w:t>称）的</w:t>
      </w:r>
      <w:r>
        <w:rPr>
          <w:rFonts w:hint="eastAsia"/>
          <w:color w:val="auto"/>
          <w:spacing w:val="-3"/>
          <w:highlight w:val="none"/>
        </w:rPr>
        <w:t>法定</w:t>
      </w:r>
      <w:r>
        <w:rPr>
          <w:rFonts w:hint="eastAsia"/>
          <w:color w:val="auto"/>
          <w:highlight w:val="none"/>
        </w:rPr>
        <w:t>代表人</w:t>
      </w:r>
      <w:r>
        <w:rPr>
          <w:rFonts w:hint="eastAsia"/>
          <w:color w:val="auto"/>
          <w:spacing w:val="-3"/>
          <w:highlight w:val="none"/>
        </w:rPr>
        <w:t>，</w:t>
      </w:r>
      <w:r>
        <w:rPr>
          <w:rFonts w:hint="eastAsia"/>
          <w:color w:val="auto"/>
          <w:highlight w:val="none"/>
        </w:rPr>
        <w:t>现</w:t>
      </w:r>
    </w:p>
    <w:p>
      <w:pPr>
        <w:pStyle w:val="11"/>
        <w:tabs>
          <w:tab w:val="left" w:pos="1929"/>
        </w:tabs>
        <w:spacing w:line="400" w:lineRule="exact"/>
        <w:ind w:left="240"/>
        <w:rPr>
          <w:color w:val="auto"/>
          <w:highlight w:val="none"/>
        </w:rPr>
      </w:pPr>
      <w:r>
        <w:rPr>
          <w:rFonts w:hint="eastAsia"/>
          <w:color w:val="auto"/>
          <w:highlight w:val="none"/>
        </w:rPr>
        <w:t>委托</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（姓</w:t>
      </w:r>
      <w:r>
        <w:rPr>
          <w:rFonts w:hint="eastAsia"/>
          <w:color w:val="auto"/>
          <w:spacing w:val="-3"/>
          <w:highlight w:val="none"/>
        </w:rPr>
        <w:t>名</w:t>
      </w:r>
      <w:r>
        <w:rPr>
          <w:rFonts w:hint="eastAsia"/>
          <w:color w:val="auto"/>
          <w:highlight w:val="none"/>
        </w:rPr>
        <w:t>）为我方代</w:t>
      </w:r>
      <w:r>
        <w:rPr>
          <w:rFonts w:hint="eastAsia"/>
          <w:color w:val="auto"/>
          <w:spacing w:val="-3"/>
          <w:highlight w:val="none"/>
        </w:rPr>
        <w:t>理</w:t>
      </w:r>
      <w:r>
        <w:rPr>
          <w:rFonts w:hint="eastAsia"/>
          <w:color w:val="auto"/>
          <w:highlight w:val="none"/>
        </w:rPr>
        <w:t>人。代理</w:t>
      </w:r>
      <w:r>
        <w:rPr>
          <w:rFonts w:hint="eastAsia"/>
          <w:color w:val="auto"/>
          <w:spacing w:val="-3"/>
          <w:highlight w:val="none"/>
        </w:rPr>
        <w:t>人</w:t>
      </w:r>
      <w:r>
        <w:rPr>
          <w:rFonts w:hint="eastAsia"/>
          <w:color w:val="auto"/>
          <w:highlight w:val="none"/>
        </w:rPr>
        <w:t>根据授权，</w:t>
      </w:r>
      <w:r>
        <w:rPr>
          <w:rFonts w:hint="eastAsia"/>
          <w:color w:val="auto"/>
          <w:spacing w:val="-3"/>
          <w:highlight w:val="none"/>
        </w:rPr>
        <w:t>以</w:t>
      </w:r>
      <w:r>
        <w:rPr>
          <w:rFonts w:hint="eastAsia"/>
          <w:color w:val="auto"/>
          <w:highlight w:val="none"/>
        </w:rPr>
        <w:t>我方名义</w:t>
      </w:r>
      <w:r>
        <w:rPr>
          <w:rFonts w:hint="eastAsia"/>
          <w:color w:val="auto"/>
          <w:spacing w:val="-3"/>
          <w:highlight w:val="none"/>
        </w:rPr>
        <w:t>签</w:t>
      </w:r>
      <w:r>
        <w:rPr>
          <w:rFonts w:hint="eastAsia"/>
          <w:color w:val="auto"/>
          <w:highlight w:val="none"/>
        </w:rPr>
        <w:t>署、澄清确</w:t>
      </w:r>
      <w:r>
        <w:rPr>
          <w:rFonts w:hint="eastAsia"/>
          <w:color w:val="auto"/>
          <w:spacing w:val="-3"/>
          <w:highlight w:val="none"/>
        </w:rPr>
        <w:t>认</w:t>
      </w:r>
      <w:r>
        <w:rPr>
          <w:rFonts w:hint="eastAsia"/>
          <w:color w:val="auto"/>
          <w:highlight w:val="none"/>
        </w:rPr>
        <w:t>、递</w:t>
      </w:r>
    </w:p>
    <w:p>
      <w:pPr>
        <w:pStyle w:val="11"/>
        <w:tabs>
          <w:tab w:val="left" w:pos="3706"/>
        </w:tabs>
        <w:spacing w:line="400" w:lineRule="exact"/>
        <w:ind w:left="240" w:right="720"/>
        <w:rPr>
          <w:color w:val="auto"/>
          <w:highlight w:val="none"/>
        </w:rPr>
      </w:pPr>
      <w:r>
        <w:rPr>
          <w:rFonts w:hint="eastAsia"/>
          <w:color w:val="auto"/>
          <w:highlight w:val="none"/>
        </w:rPr>
        <w:t>交、</w:t>
      </w:r>
      <w:r>
        <w:rPr>
          <w:rFonts w:hint="eastAsia"/>
          <w:color w:val="auto"/>
          <w:spacing w:val="-3"/>
          <w:highlight w:val="none"/>
        </w:rPr>
        <w:t>撤</w:t>
      </w:r>
      <w:r>
        <w:rPr>
          <w:rFonts w:hint="eastAsia"/>
          <w:color w:val="auto"/>
          <w:highlight w:val="none"/>
        </w:rPr>
        <w:t>回</w:t>
      </w:r>
      <w:r>
        <w:rPr>
          <w:rFonts w:hint="eastAsia"/>
          <w:color w:val="auto"/>
          <w:spacing w:val="-3"/>
          <w:highlight w:val="none"/>
        </w:rPr>
        <w:t>、</w:t>
      </w:r>
      <w:r>
        <w:rPr>
          <w:rFonts w:hint="eastAsia"/>
          <w:color w:val="auto"/>
          <w:highlight w:val="none"/>
        </w:rPr>
        <w:t>修</w:t>
      </w:r>
      <w:r>
        <w:rPr>
          <w:rFonts w:hint="eastAsia"/>
          <w:color w:val="auto"/>
          <w:spacing w:val="-3"/>
          <w:highlight w:val="none"/>
        </w:rPr>
        <w:t>改</w:t>
      </w:r>
      <w:r>
        <w:rPr>
          <w:rFonts w:hint="eastAsia"/>
          <w:color w:val="auto"/>
          <w:spacing w:val="-3"/>
          <w:highlight w:val="none"/>
          <w:lang w:val="en-US"/>
        </w:rPr>
        <w:t>本房屋鉴定</w:t>
      </w:r>
      <w:r>
        <w:rPr>
          <w:rFonts w:hint="eastAsia"/>
          <w:color w:val="auto"/>
          <w:highlight w:val="none"/>
        </w:rPr>
        <w:t>招</w:t>
      </w:r>
      <w:r>
        <w:rPr>
          <w:rFonts w:hint="eastAsia"/>
          <w:color w:val="auto"/>
          <w:spacing w:val="-3"/>
          <w:highlight w:val="none"/>
        </w:rPr>
        <w:t>标</w:t>
      </w:r>
      <w:r>
        <w:rPr>
          <w:rFonts w:hint="eastAsia"/>
          <w:color w:val="auto"/>
          <w:highlight w:val="none"/>
        </w:rPr>
        <w:t>项目</w:t>
      </w:r>
      <w:r>
        <w:rPr>
          <w:rFonts w:hint="eastAsia"/>
          <w:color w:val="auto"/>
          <w:spacing w:val="-3"/>
          <w:highlight w:val="none"/>
        </w:rPr>
        <w:t>投</w:t>
      </w:r>
      <w:r>
        <w:rPr>
          <w:rFonts w:hint="eastAsia"/>
          <w:color w:val="auto"/>
          <w:highlight w:val="none"/>
        </w:rPr>
        <w:t>标</w:t>
      </w:r>
      <w:r>
        <w:rPr>
          <w:rFonts w:hint="eastAsia"/>
          <w:color w:val="auto"/>
          <w:spacing w:val="-3"/>
          <w:highlight w:val="none"/>
        </w:rPr>
        <w:t>文</w:t>
      </w:r>
      <w:r>
        <w:rPr>
          <w:rFonts w:hint="eastAsia"/>
          <w:color w:val="auto"/>
          <w:highlight w:val="none"/>
        </w:rPr>
        <w:t>件</w:t>
      </w:r>
      <w:r>
        <w:rPr>
          <w:rFonts w:hint="eastAsia"/>
          <w:color w:val="auto"/>
          <w:spacing w:val="-3"/>
          <w:highlight w:val="none"/>
        </w:rPr>
        <w:t>、</w:t>
      </w:r>
      <w:r>
        <w:rPr>
          <w:rFonts w:hint="eastAsia"/>
          <w:color w:val="auto"/>
          <w:highlight w:val="none"/>
        </w:rPr>
        <w:t>签</w:t>
      </w:r>
      <w:r>
        <w:rPr>
          <w:rFonts w:hint="eastAsia"/>
          <w:color w:val="auto"/>
          <w:spacing w:val="-3"/>
          <w:highlight w:val="none"/>
        </w:rPr>
        <w:t>订</w:t>
      </w:r>
      <w:r>
        <w:rPr>
          <w:rFonts w:hint="eastAsia"/>
          <w:color w:val="auto"/>
          <w:highlight w:val="none"/>
        </w:rPr>
        <w:t>合</w:t>
      </w:r>
      <w:r>
        <w:rPr>
          <w:rFonts w:hint="eastAsia"/>
          <w:color w:val="auto"/>
          <w:spacing w:val="-3"/>
          <w:highlight w:val="none"/>
        </w:rPr>
        <w:t>同</w:t>
      </w:r>
      <w:r>
        <w:rPr>
          <w:rFonts w:hint="eastAsia"/>
          <w:color w:val="auto"/>
          <w:highlight w:val="none"/>
        </w:rPr>
        <w:t>和处</w:t>
      </w:r>
      <w:r>
        <w:rPr>
          <w:rFonts w:hint="eastAsia"/>
          <w:color w:val="auto"/>
          <w:spacing w:val="-3"/>
          <w:highlight w:val="none"/>
        </w:rPr>
        <w:t>理</w:t>
      </w:r>
      <w:r>
        <w:rPr>
          <w:rFonts w:hint="eastAsia"/>
          <w:color w:val="auto"/>
          <w:highlight w:val="none"/>
        </w:rPr>
        <w:t>有</w:t>
      </w:r>
      <w:r>
        <w:rPr>
          <w:rFonts w:hint="eastAsia"/>
          <w:color w:val="auto"/>
          <w:spacing w:val="-3"/>
          <w:highlight w:val="none"/>
        </w:rPr>
        <w:t>关</w:t>
      </w:r>
      <w:r>
        <w:rPr>
          <w:rFonts w:hint="eastAsia"/>
          <w:color w:val="auto"/>
          <w:highlight w:val="none"/>
        </w:rPr>
        <w:t>事</w:t>
      </w:r>
      <w:r>
        <w:rPr>
          <w:rFonts w:hint="eastAsia"/>
          <w:color w:val="auto"/>
          <w:spacing w:val="-3"/>
          <w:highlight w:val="none"/>
        </w:rPr>
        <w:t>宜</w:t>
      </w:r>
      <w:r>
        <w:rPr>
          <w:rFonts w:hint="eastAsia"/>
          <w:color w:val="auto"/>
          <w:highlight w:val="none"/>
        </w:rPr>
        <w:t>，</w:t>
      </w:r>
      <w:r>
        <w:rPr>
          <w:rFonts w:hint="eastAsia"/>
          <w:color w:val="auto"/>
          <w:spacing w:val="-3"/>
          <w:highlight w:val="none"/>
        </w:rPr>
        <w:t>其</w:t>
      </w:r>
      <w:r>
        <w:rPr>
          <w:rFonts w:hint="eastAsia"/>
          <w:color w:val="auto"/>
          <w:highlight w:val="none"/>
        </w:rPr>
        <w:t>法</w:t>
      </w:r>
      <w:r>
        <w:rPr>
          <w:rFonts w:hint="eastAsia"/>
          <w:color w:val="auto"/>
          <w:spacing w:val="-3"/>
          <w:highlight w:val="none"/>
        </w:rPr>
        <w:t>律</w:t>
      </w:r>
      <w:r>
        <w:rPr>
          <w:rFonts w:hint="eastAsia"/>
          <w:color w:val="auto"/>
          <w:highlight w:val="none"/>
        </w:rPr>
        <w:t>后果</w:t>
      </w:r>
      <w:r>
        <w:rPr>
          <w:rFonts w:hint="eastAsia"/>
          <w:color w:val="auto"/>
          <w:spacing w:val="-3"/>
          <w:highlight w:val="none"/>
        </w:rPr>
        <w:t>由</w:t>
      </w:r>
      <w:r>
        <w:rPr>
          <w:rFonts w:hint="eastAsia"/>
          <w:color w:val="auto"/>
          <w:highlight w:val="none"/>
        </w:rPr>
        <w:t>我</w:t>
      </w:r>
      <w:r>
        <w:rPr>
          <w:rFonts w:hint="eastAsia"/>
          <w:color w:val="auto"/>
          <w:spacing w:val="-3"/>
          <w:highlight w:val="none"/>
        </w:rPr>
        <w:t>方</w:t>
      </w:r>
      <w:r>
        <w:rPr>
          <w:rFonts w:hint="eastAsia"/>
          <w:color w:val="auto"/>
          <w:highlight w:val="none"/>
        </w:rPr>
        <w:t>承</w:t>
      </w:r>
      <w:r>
        <w:rPr>
          <w:rFonts w:hint="eastAsia"/>
          <w:color w:val="auto"/>
          <w:spacing w:val="-3"/>
          <w:highlight w:val="none"/>
        </w:rPr>
        <w:t>担</w:t>
      </w:r>
      <w:r>
        <w:rPr>
          <w:rFonts w:hint="eastAsia"/>
          <w:color w:val="auto"/>
          <w:highlight w:val="none"/>
        </w:rPr>
        <w:t>。委托</w:t>
      </w:r>
      <w:r>
        <w:rPr>
          <w:rFonts w:hint="eastAsia"/>
          <w:color w:val="auto"/>
          <w:spacing w:val="-3"/>
          <w:highlight w:val="none"/>
        </w:rPr>
        <w:t>期</w:t>
      </w:r>
      <w:r>
        <w:rPr>
          <w:rFonts w:hint="eastAsia"/>
          <w:color w:val="auto"/>
          <w:highlight w:val="none"/>
        </w:rPr>
        <w:t>限</w:t>
      </w:r>
      <w:r>
        <w:rPr>
          <w:rFonts w:hint="eastAsia"/>
          <w:color w:val="auto"/>
          <w:spacing w:val="-3"/>
          <w:highlight w:val="none"/>
        </w:rPr>
        <w:t>：</w:t>
      </w:r>
      <w:r>
        <w:rPr>
          <w:rFonts w:hint="eastAsia"/>
          <w:color w:val="auto"/>
          <w:spacing w:val="-3"/>
          <w:highlight w:val="none"/>
          <w:u w:val="single"/>
        </w:rPr>
        <w:t xml:space="preserve"> </w:t>
      </w:r>
      <w:r>
        <w:rPr>
          <w:rFonts w:hint="eastAsia"/>
          <w:color w:val="auto"/>
          <w:spacing w:val="-3"/>
          <w:highlight w:val="none"/>
          <w:u w:val="single"/>
        </w:rPr>
        <w:tab/>
      </w:r>
      <w:r>
        <w:rPr>
          <w:rFonts w:hint="eastAsia"/>
          <w:color w:val="auto"/>
          <w:highlight w:val="none"/>
        </w:rPr>
        <w:t>。</w:t>
      </w:r>
    </w:p>
    <w:p>
      <w:pPr>
        <w:pStyle w:val="11"/>
        <w:spacing w:line="400" w:lineRule="exact"/>
        <w:ind w:left="660"/>
        <w:rPr>
          <w:color w:val="auto"/>
          <w:highlight w:val="none"/>
        </w:rPr>
      </w:pPr>
      <w:r>
        <w:rPr>
          <w:rFonts w:hint="eastAsia"/>
          <w:color w:val="auto"/>
          <w:highlight w:val="none"/>
        </w:rPr>
        <w:t>代理人无转委托权。</w:t>
      </w:r>
    </w:p>
    <w:p>
      <w:pPr>
        <w:pStyle w:val="11"/>
        <w:spacing w:line="360" w:lineRule="auto"/>
        <w:rPr>
          <w:color w:val="auto"/>
          <w:sz w:val="20"/>
          <w:highlight w:val="none"/>
        </w:rPr>
      </w:pPr>
    </w:p>
    <w:p>
      <w:pPr>
        <w:pStyle w:val="11"/>
        <w:spacing w:before="9" w:line="360" w:lineRule="auto"/>
        <w:rPr>
          <w:color w:val="auto"/>
          <w:sz w:val="27"/>
          <w:highlight w:val="none"/>
        </w:rPr>
      </w:pPr>
    </w:p>
    <w:p>
      <w:pPr>
        <w:pStyle w:val="11"/>
        <w:spacing w:line="360" w:lineRule="auto"/>
        <w:ind w:left="240"/>
        <w:rPr>
          <w:color w:val="auto"/>
          <w:highlight w:val="none"/>
        </w:rPr>
      </w:pPr>
      <w:r>
        <w:rPr>
          <w:rFonts w:hint="eastAsia"/>
          <w:color w:val="auto"/>
          <w:highlight w:val="none"/>
        </w:rPr>
        <w:t>附：法定代表人身份证复印件及委托代理人身份证复印件</w:t>
      </w:r>
    </w:p>
    <w:p>
      <w:pPr>
        <w:pStyle w:val="11"/>
        <w:spacing w:line="360" w:lineRule="auto"/>
        <w:rPr>
          <w:color w:val="auto"/>
          <w:sz w:val="20"/>
          <w:highlight w:val="none"/>
        </w:rPr>
      </w:pPr>
    </w:p>
    <w:p>
      <w:pPr>
        <w:pStyle w:val="11"/>
        <w:spacing w:before="7" w:line="360" w:lineRule="auto"/>
        <w:rPr>
          <w:color w:val="auto"/>
          <w:sz w:val="27"/>
          <w:highlight w:val="none"/>
        </w:rPr>
      </w:pPr>
    </w:p>
    <w:p>
      <w:pPr>
        <w:pStyle w:val="11"/>
        <w:spacing w:line="360" w:lineRule="auto"/>
        <w:ind w:left="240"/>
        <w:rPr>
          <w:color w:val="auto"/>
          <w:highlight w:val="none"/>
        </w:rPr>
      </w:pPr>
      <w:r>
        <w:rPr>
          <w:rFonts w:hint="eastAsia"/>
          <w:color w:val="auto"/>
          <w:highlight w:val="none"/>
        </w:rPr>
        <w:t>注：本授权委托书需由投标人加盖单位公章并由其法定代表人和委托代理人签字。</w:t>
      </w:r>
    </w:p>
    <w:p>
      <w:pPr>
        <w:pStyle w:val="11"/>
        <w:spacing w:line="360" w:lineRule="auto"/>
        <w:rPr>
          <w:color w:val="auto"/>
          <w:sz w:val="20"/>
          <w:highlight w:val="none"/>
        </w:rPr>
      </w:pPr>
    </w:p>
    <w:p>
      <w:pPr>
        <w:pStyle w:val="11"/>
        <w:spacing w:before="10" w:line="360" w:lineRule="auto"/>
        <w:rPr>
          <w:color w:val="auto"/>
          <w:sz w:val="27"/>
          <w:highlight w:val="none"/>
        </w:rPr>
      </w:pPr>
    </w:p>
    <w:p>
      <w:pPr>
        <w:pStyle w:val="11"/>
        <w:tabs>
          <w:tab w:val="left" w:pos="3356"/>
          <w:tab w:val="left" w:pos="3776"/>
          <w:tab w:val="left" w:pos="7381"/>
        </w:tabs>
        <w:spacing w:line="360" w:lineRule="auto"/>
        <w:ind w:left="2933"/>
        <w:rPr>
          <w:color w:val="auto"/>
          <w:highlight w:val="none"/>
        </w:rPr>
      </w:pPr>
      <w:r>
        <w:rPr>
          <w:rFonts w:hint="eastAsia"/>
          <w:color w:val="auto"/>
          <w:highlight w:val="none"/>
        </w:rPr>
        <w:t>投</w:t>
      </w:r>
      <w:r>
        <w:rPr>
          <w:rFonts w:hint="eastAsia"/>
          <w:color w:val="auto"/>
          <w:highlight w:val="none"/>
        </w:rPr>
        <w:tab/>
      </w:r>
      <w:r>
        <w:rPr>
          <w:rFonts w:hint="eastAsia"/>
          <w:color w:val="auto"/>
          <w:highlight w:val="none"/>
        </w:rPr>
        <w:t>标</w:t>
      </w:r>
      <w:r>
        <w:rPr>
          <w:rFonts w:hint="eastAsia"/>
          <w:color w:val="auto"/>
          <w:highlight w:val="none"/>
        </w:rPr>
        <w:tab/>
      </w:r>
      <w:r>
        <w:rPr>
          <w:rFonts w:hint="eastAsia"/>
          <w:color w:val="auto"/>
          <w:spacing w:val="-3"/>
          <w:highlight w:val="none"/>
        </w:rPr>
        <w:t>人：</w:t>
      </w:r>
      <w:r>
        <w:rPr>
          <w:rFonts w:hint="eastAsia"/>
          <w:color w:val="auto"/>
          <w:spacing w:val="-3"/>
          <w:highlight w:val="none"/>
          <w:u w:val="single"/>
        </w:rPr>
        <w:t xml:space="preserve"> </w:t>
      </w:r>
      <w:r>
        <w:rPr>
          <w:rFonts w:hint="eastAsia"/>
          <w:color w:val="auto"/>
          <w:spacing w:val="-3"/>
          <w:highlight w:val="none"/>
          <w:u w:val="single"/>
        </w:rPr>
        <w:tab/>
      </w:r>
      <w:r>
        <w:rPr>
          <w:rFonts w:hint="eastAsia"/>
          <w:color w:val="auto"/>
          <w:highlight w:val="none"/>
        </w:rPr>
        <w:t>（盖</w:t>
      </w:r>
      <w:r>
        <w:rPr>
          <w:rFonts w:hint="eastAsia"/>
          <w:color w:val="auto"/>
          <w:spacing w:val="-3"/>
          <w:highlight w:val="none"/>
        </w:rPr>
        <w:t>单</w:t>
      </w:r>
      <w:r>
        <w:rPr>
          <w:rFonts w:hint="eastAsia"/>
          <w:color w:val="auto"/>
          <w:highlight w:val="none"/>
        </w:rPr>
        <w:t>位</w:t>
      </w:r>
      <w:r>
        <w:rPr>
          <w:rFonts w:hint="eastAsia"/>
          <w:color w:val="auto"/>
          <w:spacing w:val="-3"/>
          <w:highlight w:val="none"/>
        </w:rPr>
        <w:t>章</w:t>
      </w:r>
      <w:r>
        <w:rPr>
          <w:rFonts w:hint="eastAsia"/>
          <w:color w:val="auto"/>
          <w:highlight w:val="none"/>
        </w:rPr>
        <w:t>）</w:t>
      </w:r>
    </w:p>
    <w:p>
      <w:pPr>
        <w:pStyle w:val="11"/>
        <w:tabs>
          <w:tab w:val="left" w:pos="6541"/>
        </w:tabs>
        <w:spacing w:before="79" w:line="360" w:lineRule="auto"/>
        <w:ind w:left="2931"/>
        <w:rPr>
          <w:color w:val="auto"/>
          <w:highlight w:val="none"/>
        </w:rPr>
      </w:pPr>
      <w:r>
        <w:rPr>
          <w:rFonts w:hint="eastAsia"/>
          <w:color w:val="auto"/>
          <w:highlight w:val="none"/>
        </w:rPr>
        <w:t>法定</w:t>
      </w:r>
      <w:r>
        <w:rPr>
          <w:rFonts w:hint="eastAsia"/>
          <w:color w:val="auto"/>
          <w:spacing w:val="-3"/>
          <w:highlight w:val="none"/>
        </w:rPr>
        <w:t>代</w:t>
      </w:r>
      <w:r>
        <w:rPr>
          <w:rFonts w:hint="eastAsia"/>
          <w:color w:val="auto"/>
          <w:highlight w:val="none"/>
        </w:rPr>
        <w:t>表</w:t>
      </w:r>
      <w:r>
        <w:rPr>
          <w:rFonts w:hint="eastAsia"/>
          <w:color w:val="auto"/>
          <w:spacing w:val="-3"/>
          <w:highlight w:val="none"/>
        </w:rPr>
        <w:t>人：</w:t>
      </w:r>
      <w:r>
        <w:rPr>
          <w:rFonts w:hint="eastAsia"/>
          <w:color w:val="auto"/>
          <w:spacing w:val="-3"/>
          <w:highlight w:val="none"/>
          <w:u w:val="single"/>
        </w:rPr>
        <w:t xml:space="preserve"> </w:t>
      </w:r>
      <w:r>
        <w:rPr>
          <w:rFonts w:hint="eastAsia"/>
          <w:color w:val="auto"/>
          <w:spacing w:val="-3"/>
          <w:highlight w:val="none"/>
          <w:u w:val="single"/>
        </w:rPr>
        <w:tab/>
      </w:r>
      <w:r>
        <w:rPr>
          <w:rFonts w:hint="eastAsia"/>
          <w:color w:val="auto"/>
          <w:highlight w:val="none"/>
        </w:rPr>
        <w:t>（签</w:t>
      </w:r>
      <w:r>
        <w:rPr>
          <w:rFonts w:hint="eastAsia"/>
          <w:color w:val="auto"/>
          <w:spacing w:val="-3"/>
          <w:highlight w:val="none"/>
        </w:rPr>
        <w:t>字</w:t>
      </w:r>
      <w:r>
        <w:rPr>
          <w:rFonts w:hint="eastAsia"/>
          <w:color w:val="auto"/>
          <w:highlight w:val="none"/>
        </w:rPr>
        <w:t>）</w:t>
      </w:r>
    </w:p>
    <w:p>
      <w:pPr>
        <w:pStyle w:val="11"/>
        <w:tabs>
          <w:tab w:val="left" w:pos="8689"/>
        </w:tabs>
        <w:spacing w:before="79" w:line="360" w:lineRule="auto"/>
        <w:ind w:left="2933"/>
        <w:rPr>
          <w:color w:val="auto"/>
          <w:highlight w:val="none"/>
        </w:rPr>
      </w:pPr>
      <w:r>
        <w:rPr>
          <w:rFonts w:hint="eastAsia"/>
          <w:color w:val="auto"/>
          <w:highlight w:val="none"/>
        </w:rPr>
        <w:t>身份</w:t>
      </w:r>
      <w:r>
        <w:rPr>
          <w:rFonts w:hint="eastAsia"/>
          <w:color w:val="auto"/>
          <w:spacing w:val="-3"/>
          <w:highlight w:val="none"/>
        </w:rPr>
        <w:t>证</w:t>
      </w:r>
      <w:r>
        <w:rPr>
          <w:rFonts w:hint="eastAsia"/>
          <w:color w:val="auto"/>
          <w:highlight w:val="none"/>
        </w:rPr>
        <w:t>号</w:t>
      </w:r>
      <w:r>
        <w:rPr>
          <w:rFonts w:hint="eastAsia"/>
          <w:color w:val="auto"/>
          <w:spacing w:val="-3"/>
          <w:highlight w:val="none"/>
        </w:rPr>
        <w:t>码：</w:t>
      </w:r>
      <w:r>
        <w:rPr>
          <w:rFonts w:hint="eastAsia"/>
          <w:color w:val="auto"/>
          <w:highlight w:val="none"/>
          <w:u w:val="single"/>
        </w:rPr>
        <w:t xml:space="preserve"> </w:t>
      </w:r>
      <w:r>
        <w:rPr>
          <w:rFonts w:hint="eastAsia"/>
          <w:color w:val="auto"/>
          <w:highlight w:val="none"/>
          <w:u w:val="single"/>
        </w:rPr>
        <w:tab/>
      </w:r>
    </w:p>
    <w:p>
      <w:pPr>
        <w:pStyle w:val="11"/>
        <w:tabs>
          <w:tab w:val="left" w:pos="7801"/>
        </w:tabs>
        <w:spacing w:before="79" w:line="360" w:lineRule="auto"/>
        <w:ind w:left="2933"/>
        <w:rPr>
          <w:color w:val="auto"/>
          <w:highlight w:val="none"/>
        </w:rPr>
      </w:pPr>
      <w:r>
        <w:rPr>
          <w:rFonts w:hint="eastAsia"/>
          <w:color w:val="auto"/>
          <w:highlight w:val="none"/>
        </w:rPr>
        <w:t>委托</w:t>
      </w:r>
      <w:r>
        <w:rPr>
          <w:rFonts w:hint="eastAsia"/>
          <w:color w:val="auto"/>
          <w:spacing w:val="-3"/>
          <w:highlight w:val="none"/>
        </w:rPr>
        <w:t>代</w:t>
      </w:r>
      <w:r>
        <w:rPr>
          <w:rFonts w:hint="eastAsia"/>
          <w:color w:val="auto"/>
          <w:highlight w:val="none"/>
        </w:rPr>
        <w:t>理</w:t>
      </w:r>
      <w:r>
        <w:rPr>
          <w:rFonts w:hint="eastAsia"/>
          <w:color w:val="auto"/>
          <w:spacing w:val="-3"/>
          <w:highlight w:val="none"/>
        </w:rPr>
        <w:t>人：</w:t>
      </w:r>
      <w:r>
        <w:rPr>
          <w:rFonts w:hint="eastAsia"/>
          <w:color w:val="auto"/>
          <w:spacing w:val="-3"/>
          <w:highlight w:val="none"/>
          <w:u w:val="single"/>
        </w:rPr>
        <w:t xml:space="preserve"> </w:t>
      </w:r>
      <w:r>
        <w:rPr>
          <w:rFonts w:hint="eastAsia"/>
          <w:color w:val="auto"/>
          <w:spacing w:val="-3"/>
          <w:highlight w:val="none"/>
          <w:u w:val="single"/>
        </w:rPr>
        <w:tab/>
      </w:r>
      <w:r>
        <w:rPr>
          <w:rFonts w:hint="eastAsia"/>
          <w:color w:val="auto"/>
          <w:highlight w:val="none"/>
        </w:rPr>
        <w:t>（签</w:t>
      </w:r>
      <w:r>
        <w:rPr>
          <w:rFonts w:hint="eastAsia"/>
          <w:color w:val="auto"/>
          <w:spacing w:val="-3"/>
          <w:highlight w:val="none"/>
        </w:rPr>
        <w:t>字</w:t>
      </w:r>
      <w:r>
        <w:rPr>
          <w:rFonts w:hint="eastAsia"/>
          <w:color w:val="auto"/>
          <w:highlight w:val="none"/>
        </w:rPr>
        <w:t>）</w:t>
      </w:r>
    </w:p>
    <w:p>
      <w:pPr>
        <w:pStyle w:val="11"/>
        <w:tabs>
          <w:tab w:val="left" w:pos="8689"/>
        </w:tabs>
        <w:spacing w:before="79" w:line="360" w:lineRule="auto"/>
        <w:ind w:left="2933"/>
        <w:rPr>
          <w:color w:val="auto"/>
          <w:highlight w:val="none"/>
        </w:rPr>
      </w:pPr>
      <w:r>
        <w:rPr>
          <w:rFonts w:hint="eastAsia"/>
          <w:color w:val="auto"/>
          <w:highlight w:val="none"/>
        </w:rPr>
        <w:t>身份</w:t>
      </w:r>
      <w:r>
        <w:rPr>
          <w:rFonts w:hint="eastAsia"/>
          <w:color w:val="auto"/>
          <w:spacing w:val="-3"/>
          <w:highlight w:val="none"/>
        </w:rPr>
        <w:t>证</w:t>
      </w:r>
      <w:r>
        <w:rPr>
          <w:rFonts w:hint="eastAsia"/>
          <w:color w:val="auto"/>
          <w:highlight w:val="none"/>
        </w:rPr>
        <w:t>号</w:t>
      </w:r>
      <w:r>
        <w:rPr>
          <w:rFonts w:hint="eastAsia"/>
          <w:color w:val="auto"/>
          <w:spacing w:val="-3"/>
          <w:highlight w:val="none"/>
        </w:rPr>
        <w:t>码：</w:t>
      </w:r>
      <w:r>
        <w:rPr>
          <w:rFonts w:hint="eastAsia"/>
          <w:color w:val="auto"/>
          <w:highlight w:val="none"/>
          <w:u w:val="single"/>
        </w:rPr>
        <w:t xml:space="preserve"> </w:t>
      </w:r>
      <w:r>
        <w:rPr>
          <w:rFonts w:hint="eastAsia"/>
          <w:color w:val="auto"/>
          <w:highlight w:val="none"/>
          <w:u w:val="single"/>
        </w:rPr>
        <w:tab/>
      </w:r>
    </w:p>
    <w:p>
      <w:pPr>
        <w:pStyle w:val="11"/>
        <w:tabs>
          <w:tab w:val="left" w:pos="6783"/>
          <w:tab w:val="left" w:pos="7729"/>
          <w:tab w:val="left" w:pos="8673"/>
        </w:tabs>
        <w:spacing w:before="72" w:line="360" w:lineRule="auto"/>
        <w:ind w:left="6047"/>
        <w:rPr>
          <w:color w:val="auto"/>
          <w:highlight w:val="none"/>
        </w:rPr>
      </w:pPr>
      <w:r>
        <w:rPr>
          <w:rFonts w:hint="eastAsia"/>
          <w:color w:val="auto"/>
          <w:highlight w:val="none"/>
          <w:u w:val="single"/>
        </w:rPr>
        <w:t xml:space="preserve"> </w:t>
      </w:r>
      <w:r>
        <w:rPr>
          <w:rFonts w:hint="eastAsia"/>
          <w:color w:val="auto"/>
          <w:highlight w:val="none"/>
          <w:u w:val="single"/>
        </w:rPr>
        <w:tab/>
      </w:r>
      <w:r>
        <w:rPr>
          <w:rFonts w:hint="eastAsia"/>
          <w:color w:val="auto"/>
          <w:highlight w:val="none"/>
        </w:rPr>
        <w:t>年</w:t>
      </w:r>
      <w:r>
        <w:rPr>
          <w:rFonts w:hint="eastAsia"/>
          <w:color w:val="auto"/>
          <w:highlight w:val="none"/>
          <w:u w:val="single"/>
        </w:rPr>
        <w:t xml:space="preserve"> </w:t>
      </w:r>
      <w:r>
        <w:rPr>
          <w:rFonts w:hint="eastAsia"/>
          <w:color w:val="auto"/>
          <w:highlight w:val="none"/>
          <w:u w:val="single"/>
        </w:rPr>
        <w:tab/>
      </w:r>
      <w:r>
        <w:rPr>
          <w:rFonts w:hint="eastAsia"/>
          <w:color w:val="auto"/>
          <w:spacing w:val="-3"/>
          <w:highlight w:val="none"/>
        </w:rPr>
        <w:t>月</w:t>
      </w:r>
      <w:r>
        <w:rPr>
          <w:rFonts w:hint="eastAsia"/>
          <w:color w:val="auto"/>
          <w:spacing w:val="-3"/>
          <w:highlight w:val="none"/>
          <w:u w:val="single"/>
        </w:rPr>
        <w:t xml:space="preserve"> </w:t>
      </w:r>
      <w:r>
        <w:rPr>
          <w:rFonts w:hint="eastAsia"/>
          <w:color w:val="auto"/>
          <w:spacing w:val="-3"/>
          <w:highlight w:val="none"/>
          <w:u w:val="single"/>
        </w:rPr>
        <w:tab/>
      </w:r>
      <w:r>
        <w:rPr>
          <w:rFonts w:hint="eastAsia"/>
          <w:color w:val="auto"/>
          <w:highlight w:val="none"/>
        </w:rPr>
        <w:t>日</w:t>
      </w:r>
    </w:p>
    <w:p>
      <w:pPr>
        <w:spacing w:line="360" w:lineRule="auto"/>
        <w:rPr>
          <w:color w:val="auto"/>
          <w:highlight w:val="none"/>
        </w:rPr>
        <w:sectPr>
          <w:pgSz w:w="11906" w:h="16838"/>
          <w:pgMar w:top="1400" w:right="1100" w:bottom="1120" w:left="1560" w:header="0" w:footer="841" w:gutter="0"/>
          <w:cols w:space="720" w:num="1"/>
        </w:sectPr>
      </w:pPr>
    </w:p>
    <w:p>
      <w:pPr>
        <w:spacing w:line="360" w:lineRule="auto"/>
        <w:ind w:right="457"/>
        <w:jc w:val="center"/>
        <w:rPr>
          <w:b/>
          <w:color w:val="auto"/>
          <w:sz w:val="32"/>
          <w:highlight w:val="none"/>
        </w:rPr>
      </w:pPr>
      <w:bookmarkStart w:id="42" w:name="_bookmark181"/>
      <w:bookmarkEnd w:id="42"/>
      <w:bookmarkStart w:id="43" w:name="_bookmark182"/>
      <w:bookmarkEnd w:id="43"/>
      <w:r>
        <w:rPr>
          <w:rFonts w:hint="eastAsia"/>
          <w:b/>
          <w:color w:val="auto"/>
          <w:sz w:val="32"/>
          <w:highlight w:val="none"/>
          <w:lang w:val="en-US"/>
        </w:rPr>
        <w:t>四、</w:t>
      </w:r>
      <w:r>
        <w:rPr>
          <w:rFonts w:hint="eastAsia"/>
          <w:b/>
          <w:color w:val="auto"/>
          <w:sz w:val="32"/>
          <w:highlight w:val="none"/>
        </w:rPr>
        <w:t>投标保证金（格式可自拟）</w:t>
      </w:r>
    </w:p>
    <w:p>
      <w:pPr>
        <w:pStyle w:val="11"/>
        <w:spacing w:line="360" w:lineRule="auto"/>
        <w:ind w:right="3451"/>
        <w:rPr>
          <w:color w:val="auto"/>
          <w:highlight w:val="none"/>
        </w:rPr>
      </w:pPr>
    </w:p>
    <w:p>
      <w:pPr>
        <w:pStyle w:val="11"/>
        <w:spacing w:line="360" w:lineRule="auto"/>
        <w:rPr>
          <w:color w:val="auto"/>
          <w:sz w:val="20"/>
          <w:highlight w:val="none"/>
        </w:rPr>
      </w:pPr>
    </w:p>
    <w:p>
      <w:pPr>
        <w:pStyle w:val="11"/>
        <w:tabs>
          <w:tab w:val="left" w:pos="6574"/>
          <w:tab w:val="left" w:pos="7623"/>
          <w:tab w:val="left" w:pos="8673"/>
        </w:tabs>
        <w:spacing w:before="72" w:line="360" w:lineRule="auto"/>
        <w:ind w:left="5732"/>
        <w:rPr>
          <w:color w:val="auto"/>
          <w:highlight w:val="none"/>
        </w:rPr>
      </w:pPr>
    </w:p>
    <w:p>
      <w:pPr>
        <w:spacing w:line="360" w:lineRule="auto"/>
        <w:rPr>
          <w:color w:val="auto"/>
          <w:highlight w:val="none"/>
        </w:rPr>
        <w:sectPr>
          <w:pgSz w:w="11906" w:h="16838"/>
          <w:pgMar w:top="1400" w:right="1100" w:bottom="1120" w:left="1560" w:header="0" w:footer="841" w:gutter="0"/>
          <w:cols w:space="720" w:num="1"/>
        </w:sectPr>
      </w:pPr>
    </w:p>
    <w:p>
      <w:pPr>
        <w:spacing w:line="360" w:lineRule="auto"/>
        <w:ind w:right="458"/>
        <w:jc w:val="center"/>
        <w:rPr>
          <w:color w:val="auto"/>
          <w:sz w:val="32"/>
          <w:highlight w:val="none"/>
        </w:rPr>
      </w:pPr>
      <w:bookmarkStart w:id="44" w:name="_bookmark183"/>
      <w:bookmarkEnd w:id="44"/>
      <w:r>
        <w:rPr>
          <w:rFonts w:hint="eastAsia"/>
          <w:b/>
          <w:color w:val="auto"/>
          <w:sz w:val="32"/>
          <w:highlight w:val="none"/>
          <w:lang w:val="en-US"/>
        </w:rPr>
        <w:t>五</w:t>
      </w:r>
      <w:r>
        <w:rPr>
          <w:rFonts w:hint="eastAsia"/>
          <w:b/>
          <w:color w:val="auto"/>
          <w:sz w:val="32"/>
          <w:highlight w:val="none"/>
        </w:rPr>
        <w:t>、报酬清单（格式可自拟）</w:t>
      </w:r>
    </w:p>
    <w:p>
      <w:pPr>
        <w:pStyle w:val="11"/>
        <w:spacing w:line="360" w:lineRule="auto"/>
        <w:rPr>
          <w:color w:val="auto"/>
          <w:sz w:val="20"/>
          <w:highlight w:val="none"/>
        </w:rPr>
      </w:pPr>
    </w:p>
    <w:p>
      <w:pPr>
        <w:pStyle w:val="11"/>
        <w:spacing w:before="170" w:after="27" w:line="360" w:lineRule="auto"/>
        <w:ind w:right="694"/>
        <w:jc w:val="right"/>
        <w:rPr>
          <w:color w:val="auto"/>
          <w:highlight w:val="none"/>
        </w:rPr>
      </w:pPr>
    </w:p>
    <w:tbl>
      <w:tblPr>
        <w:tblStyle w:val="21"/>
        <w:tblW w:w="9192" w:type="dxa"/>
        <w:tblInd w:w="93" w:type="dxa"/>
        <w:tblLayout w:type="fixed"/>
        <w:tblCellMar>
          <w:top w:w="0" w:type="dxa"/>
          <w:left w:w="108" w:type="dxa"/>
          <w:bottom w:w="0" w:type="dxa"/>
          <w:right w:w="108" w:type="dxa"/>
        </w:tblCellMar>
      </w:tblPr>
      <w:tblGrid>
        <w:gridCol w:w="2209"/>
        <w:gridCol w:w="693"/>
        <w:gridCol w:w="1658"/>
        <w:gridCol w:w="322"/>
        <w:gridCol w:w="1420"/>
        <w:gridCol w:w="679"/>
        <w:gridCol w:w="656"/>
        <w:gridCol w:w="1555"/>
      </w:tblGrid>
      <w:tr>
        <w:tblPrEx>
          <w:tblCellMar>
            <w:top w:w="0" w:type="dxa"/>
            <w:left w:w="108" w:type="dxa"/>
            <w:bottom w:w="0" w:type="dxa"/>
            <w:right w:w="108" w:type="dxa"/>
          </w:tblCellMar>
        </w:tblPrEx>
        <w:trPr>
          <w:trHeight w:val="658" w:hRule="atLeast"/>
        </w:trPr>
        <w:tc>
          <w:tcPr>
            <w:tcW w:w="2902" w:type="dxa"/>
            <w:gridSpan w:val="2"/>
            <w:tcBorders>
              <w:top w:val="single" w:color="auto" w:sz="4" w:space="0"/>
              <w:left w:val="single" w:color="auto" w:sz="4" w:space="0"/>
              <w:bottom w:val="single" w:color="000000" w:sz="4" w:space="0"/>
              <w:right w:val="single" w:color="auto" w:sz="4" w:space="0"/>
            </w:tcBorders>
            <w:vAlign w:val="center"/>
          </w:tcPr>
          <w:p>
            <w:pPr>
              <w:autoSpaceDE/>
              <w:autoSpaceDN/>
              <w:jc w:val="center"/>
              <w:rPr>
                <w:rFonts w:cs="Times New Roman"/>
                <w:color w:val="auto"/>
                <w:kern w:val="2"/>
                <w:sz w:val="21"/>
                <w:highlight w:val="none"/>
                <w:lang w:val="en-US" w:bidi="ar-SA"/>
              </w:rPr>
            </w:pPr>
            <w:r>
              <w:rPr>
                <w:rFonts w:hint="eastAsia" w:cs="Times New Roman"/>
                <w:color w:val="auto"/>
                <w:kern w:val="2"/>
                <w:sz w:val="21"/>
                <w:highlight w:val="none"/>
                <w:lang w:val="en-US" w:bidi="ar-SA"/>
              </w:rPr>
              <w:t>项目名称</w:t>
            </w:r>
          </w:p>
        </w:tc>
        <w:tc>
          <w:tcPr>
            <w:tcW w:w="1980" w:type="dxa"/>
            <w:gridSpan w:val="2"/>
            <w:tcBorders>
              <w:top w:val="single" w:color="auto" w:sz="4" w:space="0"/>
              <w:left w:val="single" w:color="auto" w:sz="4" w:space="0"/>
              <w:bottom w:val="single" w:color="000000" w:sz="4" w:space="0"/>
              <w:right w:val="single" w:color="auto" w:sz="4" w:space="0"/>
            </w:tcBorders>
            <w:vAlign w:val="center"/>
          </w:tcPr>
          <w:p>
            <w:pPr>
              <w:autoSpaceDE/>
              <w:autoSpaceDN/>
              <w:jc w:val="center"/>
              <w:rPr>
                <w:rFonts w:cs="Times New Roman"/>
                <w:color w:val="auto"/>
                <w:kern w:val="2"/>
                <w:sz w:val="21"/>
                <w:highlight w:val="none"/>
                <w:lang w:val="en-US" w:bidi="ar-SA"/>
              </w:rPr>
            </w:pPr>
            <w:r>
              <w:rPr>
                <w:rFonts w:hint="eastAsia" w:cs="Times New Roman"/>
                <w:color w:val="auto"/>
                <w:kern w:val="2"/>
                <w:sz w:val="21"/>
                <w:highlight w:val="none"/>
                <w:lang w:val="en-US" w:bidi="ar-SA"/>
              </w:rPr>
              <w:t>房屋鉴定暂定面积</w:t>
            </w:r>
          </w:p>
          <w:p>
            <w:pPr>
              <w:autoSpaceDE/>
              <w:autoSpaceDN/>
              <w:jc w:val="center"/>
              <w:rPr>
                <w:rFonts w:cs="Times New Roman"/>
                <w:color w:val="auto"/>
                <w:kern w:val="2"/>
                <w:sz w:val="21"/>
                <w:highlight w:val="none"/>
                <w:lang w:val="en-US" w:bidi="ar-SA"/>
              </w:rPr>
            </w:pPr>
            <w:r>
              <w:rPr>
                <w:rFonts w:hint="eastAsia" w:cs="Times New Roman"/>
                <w:color w:val="auto"/>
                <w:kern w:val="2"/>
                <w:sz w:val="21"/>
                <w:highlight w:val="none"/>
                <w:lang w:val="en-US" w:bidi="ar-SA"/>
              </w:rPr>
              <w:t>（万平方米)</w:t>
            </w:r>
          </w:p>
        </w:tc>
        <w:tc>
          <w:tcPr>
            <w:tcW w:w="1420" w:type="dxa"/>
            <w:tcBorders>
              <w:top w:val="single" w:color="auto" w:sz="4" w:space="0"/>
              <w:left w:val="nil"/>
              <w:bottom w:val="single" w:color="auto" w:sz="4" w:space="0"/>
              <w:right w:val="single" w:color="auto" w:sz="4" w:space="0"/>
            </w:tcBorders>
            <w:vAlign w:val="center"/>
          </w:tcPr>
          <w:p>
            <w:pPr>
              <w:autoSpaceDE/>
              <w:autoSpaceDN/>
              <w:jc w:val="center"/>
              <w:rPr>
                <w:rFonts w:cs="Times New Roman"/>
                <w:color w:val="auto"/>
                <w:kern w:val="2"/>
                <w:sz w:val="21"/>
                <w:highlight w:val="none"/>
                <w:lang w:val="en-US" w:bidi="ar-SA"/>
              </w:rPr>
            </w:pPr>
            <w:r>
              <w:rPr>
                <w:rFonts w:hint="eastAsia" w:cs="Times New Roman"/>
                <w:color w:val="auto"/>
                <w:kern w:val="2"/>
                <w:sz w:val="21"/>
                <w:highlight w:val="none"/>
                <w:lang w:val="en-US" w:bidi="ar-SA"/>
              </w:rPr>
              <w:t>施工前鉴定单价</w:t>
            </w:r>
          </w:p>
          <w:p>
            <w:pPr>
              <w:autoSpaceDE/>
              <w:autoSpaceDN/>
              <w:jc w:val="center"/>
              <w:rPr>
                <w:rFonts w:cs="Times New Roman"/>
                <w:color w:val="auto"/>
                <w:kern w:val="2"/>
                <w:sz w:val="21"/>
                <w:highlight w:val="none"/>
                <w:lang w:val="en-US" w:bidi="ar-SA"/>
              </w:rPr>
            </w:pPr>
            <w:r>
              <w:rPr>
                <w:rFonts w:hint="eastAsia" w:cs="Times New Roman"/>
                <w:color w:val="auto"/>
                <w:kern w:val="2"/>
                <w:sz w:val="21"/>
                <w:highlight w:val="none"/>
                <w:lang w:val="en-US" w:bidi="ar-SA"/>
              </w:rPr>
              <w:t>（元/m</w:t>
            </w:r>
            <w:r>
              <w:rPr>
                <w:rFonts w:hint="eastAsia" w:cs="Times New Roman"/>
                <w:color w:val="auto"/>
                <w:kern w:val="2"/>
                <w:sz w:val="21"/>
                <w:szCs w:val="21"/>
                <w:highlight w:val="none"/>
                <w:vertAlign w:val="superscript"/>
                <w:lang w:val="en-US" w:bidi="ar-SA"/>
              </w:rPr>
              <w:t>2</w:t>
            </w:r>
            <w:r>
              <w:rPr>
                <w:rFonts w:hint="eastAsia" w:cs="Times New Roman"/>
                <w:color w:val="auto"/>
                <w:kern w:val="2"/>
                <w:sz w:val="21"/>
                <w:highlight w:val="none"/>
                <w:lang w:val="en-US" w:bidi="ar-SA"/>
              </w:rPr>
              <w:t>）</w:t>
            </w:r>
          </w:p>
        </w:tc>
        <w:tc>
          <w:tcPr>
            <w:tcW w:w="1335" w:type="dxa"/>
            <w:gridSpan w:val="2"/>
            <w:tcBorders>
              <w:top w:val="single" w:color="auto" w:sz="4" w:space="0"/>
              <w:left w:val="nil"/>
              <w:bottom w:val="single" w:color="auto" w:sz="4" w:space="0"/>
              <w:right w:val="single" w:color="auto" w:sz="4" w:space="0"/>
            </w:tcBorders>
            <w:vAlign w:val="center"/>
          </w:tcPr>
          <w:p>
            <w:pPr>
              <w:autoSpaceDE/>
              <w:autoSpaceDN/>
              <w:jc w:val="center"/>
              <w:rPr>
                <w:rFonts w:cs="Times New Roman"/>
                <w:color w:val="auto"/>
                <w:kern w:val="2"/>
                <w:sz w:val="21"/>
                <w:highlight w:val="none"/>
                <w:lang w:val="en-US" w:bidi="ar-SA"/>
              </w:rPr>
            </w:pPr>
            <w:r>
              <w:rPr>
                <w:rFonts w:hint="eastAsia" w:cs="Times New Roman"/>
                <w:color w:val="auto"/>
                <w:kern w:val="2"/>
                <w:sz w:val="21"/>
                <w:highlight w:val="none"/>
                <w:lang w:val="en-US" w:bidi="ar-SA"/>
              </w:rPr>
              <w:t>施工后鉴定单价</w:t>
            </w:r>
          </w:p>
          <w:p>
            <w:pPr>
              <w:autoSpaceDE/>
              <w:autoSpaceDN/>
              <w:jc w:val="center"/>
              <w:rPr>
                <w:rFonts w:cs="Times New Roman"/>
                <w:color w:val="auto"/>
                <w:kern w:val="2"/>
                <w:sz w:val="21"/>
                <w:highlight w:val="none"/>
                <w:lang w:val="en-US" w:bidi="ar-SA"/>
              </w:rPr>
            </w:pPr>
            <w:r>
              <w:rPr>
                <w:rFonts w:hint="eastAsia" w:cs="Times New Roman"/>
                <w:color w:val="auto"/>
                <w:kern w:val="2"/>
                <w:sz w:val="21"/>
                <w:highlight w:val="none"/>
                <w:lang w:val="en-US" w:bidi="ar-SA"/>
              </w:rPr>
              <w:t>（元/m</w:t>
            </w:r>
            <w:r>
              <w:rPr>
                <w:rFonts w:hint="eastAsia" w:cs="Times New Roman"/>
                <w:color w:val="auto"/>
                <w:kern w:val="2"/>
                <w:sz w:val="21"/>
                <w:szCs w:val="21"/>
                <w:highlight w:val="none"/>
                <w:vertAlign w:val="superscript"/>
                <w:lang w:val="en-US" w:bidi="ar-SA"/>
              </w:rPr>
              <w:t>2</w:t>
            </w:r>
            <w:r>
              <w:rPr>
                <w:rFonts w:hint="eastAsia" w:cs="Times New Roman"/>
                <w:color w:val="auto"/>
                <w:kern w:val="2"/>
                <w:sz w:val="21"/>
                <w:highlight w:val="none"/>
                <w:lang w:val="en-US" w:bidi="ar-SA"/>
              </w:rPr>
              <w:t>）</w:t>
            </w:r>
          </w:p>
        </w:tc>
        <w:tc>
          <w:tcPr>
            <w:tcW w:w="1555" w:type="dxa"/>
            <w:tcBorders>
              <w:top w:val="single" w:color="auto" w:sz="4" w:space="0"/>
              <w:left w:val="nil"/>
              <w:bottom w:val="single" w:color="auto" w:sz="4" w:space="0"/>
              <w:right w:val="single" w:color="auto" w:sz="4" w:space="0"/>
            </w:tcBorders>
            <w:vAlign w:val="center"/>
          </w:tcPr>
          <w:p>
            <w:pPr>
              <w:autoSpaceDE/>
              <w:autoSpaceDN/>
              <w:jc w:val="center"/>
              <w:rPr>
                <w:rFonts w:cs="Times New Roman"/>
                <w:color w:val="auto"/>
                <w:kern w:val="2"/>
                <w:sz w:val="21"/>
                <w:highlight w:val="none"/>
                <w:lang w:val="en-US" w:bidi="ar-SA"/>
              </w:rPr>
            </w:pPr>
            <w:r>
              <w:rPr>
                <w:rFonts w:hint="eastAsia" w:cs="Times New Roman"/>
                <w:color w:val="auto"/>
                <w:kern w:val="2"/>
                <w:sz w:val="21"/>
                <w:highlight w:val="none"/>
                <w:lang w:val="en-US" w:bidi="ar-SA"/>
              </w:rPr>
              <w:t>施工前及施工后两次鉴定的总价</w:t>
            </w:r>
          </w:p>
          <w:p>
            <w:pPr>
              <w:autoSpaceDE/>
              <w:autoSpaceDN/>
              <w:jc w:val="center"/>
              <w:rPr>
                <w:rFonts w:cs="Times New Roman"/>
                <w:color w:val="auto"/>
                <w:kern w:val="2"/>
                <w:sz w:val="21"/>
                <w:highlight w:val="none"/>
                <w:lang w:val="en-US" w:bidi="ar-SA"/>
              </w:rPr>
            </w:pPr>
            <w:r>
              <w:rPr>
                <w:rFonts w:hint="eastAsia" w:cs="Times New Roman"/>
                <w:color w:val="auto"/>
                <w:kern w:val="2"/>
                <w:sz w:val="21"/>
                <w:highlight w:val="none"/>
                <w:lang w:val="en-US" w:bidi="ar-SA"/>
              </w:rPr>
              <w:t>（万元）</w:t>
            </w:r>
          </w:p>
        </w:tc>
      </w:tr>
      <w:tr>
        <w:tblPrEx>
          <w:tblCellMar>
            <w:top w:w="0" w:type="dxa"/>
            <w:left w:w="108" w:type="dxa"/>
            <w:bottom w:w="0" w:type="dxa"/>
            <w:right w:w="108" w:type="dxa"/>
          </w:tblCellMar>
        </w:tblPrEx>
        <w:trPr>
          <w:trHeight w:val="1461" w:hRule="atLeast"/>
        </w:trPr>
        <w:tc>
          <w:tcPr>
            <w:tcW w:w="2902" w:type="dxa"/>
            <w:gridSpan w:val="2"/>
            <w:vMerge w:val="restart"/>
            <w:tcBorders>
              <w:top w:val="nil"/>
              <w:left w:val="single" w:color="auto" w:sz="4" w:space="0"/>
              <w:right w:val="single" w:color="auto" w:sz="4" w:space="0"/>
            </w:tcBorders>
            <w:vAlign w:val="center"/>
          </w:tcPr>
          <w:p>
            <w:pPr>
              <w:autoSpaceDE/>
              <w:autoSpaceDN/>
              <w:jc w:val="center"/>
              <w:rPr>
                <w:rFonts w:cs="Times New Roman"/>
                <w:color w:val="auto"/>
                <w:kern w:val="2"/>
                <w:sz w:val="21"/>
                <w:highlight w:val="none"/>
                <w:lang w:val="en-US" w:bidi="ar-SA"/>
              </w:rPr>
            </w:pPr>
            <w:r>
              <w:rPr>
                <w:rFonts w:hint="eastAsia" w:cs="Times New Roman"/>
                <w:color w:val="auto"/>
                <w:kern w:val="2"/>
                <w:sz w:val="21"/>
                <w:highlight w:val="none"/>
                <w:lang w:val="en-US" w:bidi="ar-SA"/>
              </w:rPr>
              <w:t>南源街风雨亭片区(风雨亭、和平南、源溪社区)微改造项目房屋鉴定服务</w:t>
            </w:r>
          </w:p>
        </w:tc>
        <w:tc>
          <w:tcPr>
            <w:tcW w:w="1980" w:type="dxa"/>
            <w:gridSpan w:val="2"/>
            <w:vMerge w:val="restart"/>
            <w:tcBorders>
              <w:top w:val="nil"/>
              <w:left w:val="nil"/>
              <w:right w:val="single" w:color="auto" w:sz="4" w:space="0"/>
            </w:tcBorders>
            <w:vAlign w:val="center"/>
          </w:tcPr>
          <w:p>
            <w:pPr>
              <w:autoSpaceDE/>
              <w:autoSpaceDN/>
              <w:jc w:val="center"/>
              <w:rPr>
                <w:rFonts w:cs="Times New Roman"/>
                <w:color w:val="auto"/>
                <w:kern w:val="2"/>
                <w:sz w:val="21"/>
                <w:highlight w:val="none"/>
                <w:lang w:val="en-US" w:bidi="ar-SA"/>
              </w:rPr>
            </w:pPr>
            <w:r>
              <w:rPr>
                <w:rFonts w:hint="eastAsia" w:cs="Times New Roman"/>
                <w:color w:val="auto"/>
                <w:kern w:val="2"/>
                <w:sz w:val="21"/>
                <w:highlight w:val="none"/>
                <w:lang w:val="en-US" w:bidi="ar-SA"/>
              </w:rPr>
              <w:t>3</w:t>
            </w:r>
          </w:p>
        </w:tc>
        <w:tc>
          <w:tcPr>
            <w:tcW w:w="1420" w:type="dxa"/>
            <w:vMerge w:val="restart"/>
            <w:tcBorders>
              <w:top w:val="nil"/>
              <w:left w:val="nil"/>
              <w:right w:val="single" w:color="auto" w:sz="4" w:space="0"/>
            </w:tcBorders>
            <w:vAlign w:val="center"/>
          </w:tcPr>
          <w:p>
            <w:pPr>
              <w:autoSpaceDE/>
              <w:autoSpaceDN/>
              <w:jc w:val="center"/>
              <w:rPr>
                <w:rFonts w:cs="Times New Roman"/>
                <w:color w:val="auto"/>
                <w:kern w:val="2"/>
                <w:sz w:val="21"/>
                <w:highlight w:val="none"/>
                <w:lang w:val="en-US" w:bidi="ar-SA"/>
              </w:rPr>
            </w:pPr>
          </w:p>
        </w:tc>
        <w:tc>
          <w:tcPr>
            <w:tcW w:w="1335" w:type="dxa"/>
            <w:gridSpan w:val="2"/>
            <w:vMerge w:val="restart"/>
            <w:tcBorders>
              <w:top w:val="nil"/>
              <w:left w:val="nil"/>
              <w:right w:val="single" w:color="auto" w:sz="4" w:space="0"/>
            </w:tcBorders>
            <w:vAlign w:val="center"/>
          </w:tcPr>
          <w:p>
            <w:pPr>
              <w:autoSpaceDE/>
              <w:autoSpaceDN/>
              <w:jc w:val="center"/>
              <w:rPr>
                <w:rFonts w:cs="Times New Roman"/>
                <w:color w:val="auto"/>
                <w:kern w:val="2"/>
                <w:sz w:val="21"/>
                <w:highlight w:val="none"/>
                <w:lang w:val="en-US" w:bidi="ar-SA"/>
              </w:rPr>
            </w:pPr>
          </w:p>
        </w:tc>
        <w:tc>
          <w:tcPr>
            <w:tcW w:w="1555" w:type="dxa"/>
            <w:tcBorders>
              <w:top w:val="nil"/>
              <w:left w:val="nil"/>
              <w:right w:val="single" w:color="auto" w:sz="4" w:space="0"/>
            </w:tcBorders>
            <w:vAlign w:val="center"/>
          </w:tcPr>
          <w:p>
            <w:pPr>
              <w:autoSpaceDE/>
              <w:autoSpaceDN/>
              <w:jc w:val="center"/>
              <w:rPr>
                <w:rFonts w:cs="Times New Roman"/>
                <w:color w:val="auto"/>
                <w:kern w:val="2"/>
                <w:sz w:val="21"/>
                <w:highlight w:val="none"/>
                <w:lang w:val="en-US" w:bidi="ar-SA"/>
              </w:rPr>
            </w:pPr>
          </w:p>
        </w:tc>
      </w:tr>
      <w:tr>
        <w:tblPrEx>
          <w:tblCellMar>
            <w:top w:w="0" w:type="dxa"/>
            <w:left w:w="108" w:type="dxa"/>
            <w:bottom w:w="0" w:type="dxa"/>
            <w:right w:w="108" w:type="dxa"/>
          </w:tblCellMar>
        </w:tblPrEx>
        <w:trPr>
          <w:trHeight w:val="63" w:hRule="atLeast"/>
        </w:trPr>
        <w:tc>
          <w:tcPr>
            <w:tcW w:w="2902" w:type="dxa"/>
            <w:gridSpan w:val="2"/>
            <w:vMerge w:val="continue"/>
            <w:tcBorders>
              <w:left w:val="single" w:color="auto" w:sz="4" w:space="0"/>
              <w:bottom w:val="single" w:color="auto" w:sz="4" w:space="0"/>
              <w:right w:val="single" w:color="auto" w:sz="4" w:space="0"/>
            </w:tcBorders>
            <w:vAlign w:val="center"/>
          </w:tcPr>
          <w:p>
            <w:pPr>
              <w:autoSpaceDE/>
              <w:autoSpaceDN/>
              <w:jc w:val="both"/>
              <w:rPr>
                <w:rFonts w:cs="Times New Roman"/>
                <w:color w:val="auto"/>
                <w:kern w:val="2"/>
                <w:sz w:val="21"/>
                <w:highlight w:val="none"/>
                <w:lang w:val="en-US" w:bidi="ar-SA"/>
              </w:rPr>
            </w:pPr>
          </w:p>
        </w:tc>
        <w:tc>
          <w:tcPr>
            <w:tcW w:w="1980" w:type="dxa"/>
            <w:gridSpan w:val="2"/>
            <w:vMerge w:val="continue"/>
            <w:tcBorders>
              <w:left w:val="nil"/>
              <w:bottom w:val="single" w:color="auto" w:sz="4" w:space="0"/>
              <w:right w:val="single" w:color="auto" w:sz="4" w:space="0"/>
            </w:tcBorders>
            <w:vAlign w:val="center"/>
          </w:tcPr>
          <w:p>
            <w:pPr>
              <w:autoSpaceDE/>
              <w:autoSpaceDN/>
              <w:jc w:val="center"/>
              <w:rPr>
                <w:rFonts w:cs="Times New Roman"/>
                <w:color w:val="auto"/>
                <w:kern w:val="2"/>
                <w:sz w:val="21"/>
                <w:highlight w:val="none"/>
                <w:lang w:val="en-US" w:bidi="ar-SA"/>
              </w:rPr>
            </w:pPr>
          </w:p>
        </w:tc>
        <w:tc>
          <w:tcPr>
            <w:tcW w:w="1420" w:type="dxa"/>
            <w:vMerge w:val="continue"/>
            <w:tcBorders>
              <w:left w:val="nil"/>
              <w:bottom w:val="single" w:color="auto" w:sz="4" w:space="0"/>
              <w:right w:val="single" w:color="auto" w:sz="4" w:space="0"/>
            </w:tcBorders>
            <w:vAlign w:val="center"/>
          </w:tcPr>
          <w:p>
            <w:pPr>
              <w:autoSpaceDE/>
              <w:autoSpaceDN/>
              <w:jc w:val="center"/>
              <w:rPr>
                <w:rFonts w:cs="Times New Roman"/>
                <w:color w:val="auto"/>
                <w:kern w:val="2"/>
                <w:sz w:val="21"/>
                <w:highlight w:val="none"/>
                <w:lang w:val="en-US" w:bidi="ar-SA"/>
              </w:rPr>
            </w:pPr>
          </w:p>
        </w:tc>
        <w:tc>
          <w:tcPr>
            <w:tcW w:w="1335" w:type="dxa"/>
            <w:gridSpan w:val="2"/>
            <w:vMerge w:val="continue"/>
            <w:tcBorders>
              <w:left w:val="nil"/>
              <w:bottom w:val="single" w:color="auto" w:sz="4" w:space="0"/>
              <w:right w:val="single" w:color="auto" w:sz="4" w:space="0"/>
            </w:tcBorders>
            <w:vAlign w:val="center"/>
          </w:tcPr>
          <w:p>
            <w:pPr>
              <w:autoSpaceDE/>
              <w:autoSpaceDN/>
              <w:jc w:val="center"/>
              <w:rPr>
                <w:rFonts w:cs="Times New Roman"/>
                <w:color w:val="auto"/>
                <w:kern w:val="2"/>
                <w:sz w:val="21"/>
                <w:highlight w:val="none"/>
                <w:lang w:val="en-US" w:bidi="ar-SA"/>
              </w:rPr>
            </w:pPr>
          </w:p>
        </w:tc>
        <w:tc>
          <w:tcPr>
            <w:tcW w:w="1555" w:type="dxa"/>
            <w:tcBorders>
              <w:top w:val="nil"/>
              <w:left w:val="nil"/>
              <w:bottom w:val="single" w:color="auto" w:sz="4" w:space="0"/>
              <w:right w:val="single" w:color="auto" w:sz="4" w:space="0"/>
            </w:tcBorders>
            <w:vAlign w:val="center"/>
          </w:tcPr>
          <w:p>
            <w:pPr>
              <w:autoSpaceDE/>
              <w:autoSpaceDN/>
              <w:jc w:val="center"/>
              <w:rPr>
                <w:rFonts w:cs="Times New Roman"/>
                <w:color w:val="auto"/>
                <w:kern w:val="2"/>
                <w:sz w:val="21"/>
                <w:highlight w:val="none"/>
                <w:lang w:val="en-US" w:bidi="ar-SA"/>
              </w:rPr>
            </w:pPr>
          </w:p>
        </w:tc>
      </w:tr>
      <w:tr>
        <w:tblPrEx>
          <w:tblCellMar>
            <w:top w:w="0" w:type="dxa"/>
            <w:left w:w="108" w:type="dxa"/>
            <w:bottom w:w="0" w:type="dxa"/>
            <w:right w:w="108" w:type="dxa"/>
          </w:tblCellMar>
        </w:tblPrEx>
        <w:trPr>
          <w:trHeight w:val="874" w:hRule="atLeast"/>
        </w:trPr>
        <w:tc>
          <w:tcPr>
            <w:tcW w:w="2902" w:type="dxa"/>
            <w:gridSpan w:val="2"/>
            <w:tcBorders>
              <w:top w:val="nil"/>
              <w:left w:val="single" w:color="auto" w:sz="4" w:space="0"/>
              <w:bottom w:val="single" w:color="auto" w:sz="4" w:space="0"/>
              <w:right w:val="single" w:color="auto" w:sz="4" w:space="0"/>
            </w:tcBorders>
            <w:vAlign w:val="center"/>
          </w:tcPr>
          <w:p>
            <w:pPr>
              <w:autoSpaceDE/>
              <w:autoSpaceDN/>
              <w:jc w:val="center"/>
              <w:rPr>
                <w:rFonts w:cs="Times New Roman"/>
                <w:color w:val="auto"/>
                <w:kern w:val="2"/>
                <w:sz w:val="21"/>
                <w:highlight w:val="none"/>
                <w:lang w:val="en-US" w:bidi="ar-SA"/>
              </w:rPr>
            </w:pPr>
            <w:r>
              <w:rPr>
                <w:rFonts w:hint="eastAsia" w:cs="Times New Roman"/>
                <w:b/>
                <w:color w:val="auto"/>
                <w:kern w:val="2"/>
                <w:sz w:val="21"/>
                <w:highlight w:val="none"/>
                <w:lang w:val="en-US" w:bidi="ar-SA"/>
              </w:rPr>
              <w:t>报价合计</w:t>
            </w:r>
          </w:p>
        </w:tc>
        <w:tc>
          <w:tcPr>
            <w:tcW w:w="6290" w:type="dxa"/>
            <w:gridSpan w:val="6"/>
            <w:tcBorders>
              <w:top w:val="nil"/>
              <w:left w:val="nil"/>
              <w:bottom w:val="single" w:color="auto" w:sz="4" w:space="0"/>
              <w:right w:val="single" w:color="auto" w:sz="4" w:space="0"/>
            </w:tcBorders>
            <w:vAlign w:val="center"/>
          </w:tcPr>
          <w:p>
            <w:pPr>
              <w:autoSpaceDE/>
              <w:autoSpaceDN/>
              <w:jc w:val="both"/>
              <w:rPr>
                <w:rFonts w:cs="Times New Roman"/>
                <w:color w:val="auto"/>
                <w:kern w:val="2"/>
                <w:sz w:val="21"/>
                <w:highlight w:val="none"/>
                <w:lang w:val="en-US" w:bidi="ar-SA"/>
              </w:rPr>
            </w:pPr>
            <w:r>
              <w:rPr>
                <w:rFonts w:hint="eastAsia" w:cs="Times New Roman"/>
                <w:b/>
                <w:color w:val="auto"/>
                <w:kern w:val="2"/>
                <w:sz w:val="21"/>
                <w:highlight w:val="none"/>
                <w:lang w:val="en-US" w:bidi="ar-SA"/>
              </w:rPr>
              <w:t>大写：人民币</w:t>
            </w:r>
            <w:r>
              <w:rPr>
                <w:rFonts w:hint="eastAsia" w:cs="Times New Roman"/>
                <w:b/>
                <w:color w:val="auto"/>
                <w:kern w:val="2"/>
                <w:sz w:val="21"/>
                <w:highlight w:val="none"/>
                <w:u w:val="single"/>
                <w:lang w:val="en-US" w:bidi="ar-SA"/>
              </w:rPr>
              <w:t xml:space="preserve">           </w:t>
            </w:r>
            <w:r>
              <w:rPr>
                <w:rFonts w:hint="eastAsia" w:cs="Times New Roman"/>
                <w:b/>
                <w:color w:val="auto"/>
                <w:kern w:val="2"/>
                <w:sz w:val="21"/>
                <w:highlight w:val="none"/>
                <w:lang w:val="en-US" w:bidi="ar-SA"/>
              </w:rPr>
              <w:t>。</w:t>
            </w:r>
          </w:p>
        </w:tc>
      </w:tr>
      <w:tr>
        <w:tblPrEx>
          <w:tblCellMar>
            <w:top w:w="0" w:type="dxa"/>
            <w:left w:w="108" w:type="dxa"/>
            <w:bottom w:w="0" w:type="dxa"/>
            <w:right w:w="108" w:type="dxa"/>
          </w:tblCellMar>
        </w:tblPrEx>
        <w:trPr>
          <w:trHeight w:val="1973" w:hRule="atLeast"/>
        </w:trPr>
        <w:tc>
          <w:tcPr>
            <w:tcW w:w="2209" w:type="dxa"/>
            <w:tcBorders>
              <w:top w:val="single" w:color="auto" w:sz="6" w:space="0"/>
              <w:left w:val="single" w:color="auto" w:sz="4" w:space="0"/>
              <w:bottom w:val="single" w:color="auto" w:sz="4" w:space="0"/>
              <w:right w:val="single" w:color="auto" w:sz="4" w:space="0"/>
            </w:tcBorders>
            <w:vAlign w:val="center"/>
          </w:tcPr>
          <w:p>
            <w:pPr>
              <w:autoSpaceDE/>
              <w:autoSpaceDN/>
              <w:spacing w:line="360" w:lineRule="auto"/>
              <w:ind w:left="75" w:leftChars="34"/>
              <w:jc w:val="center"/>
              <w:rPr>
                <w:rFonts w:cs="Times New Roman"/>
                <w:color w:val="auto"/>
                <w:kern w:val="2"/>
                <w:sz w:val="24"/>
                <w:highlight w:val="none"/>
                <w:lang w:val="en-US" w:bidi="ar-SA"/>
              </w:rPr>
            </w:pPr>
            <w:r>
              <w:rPr>
                <w:rFonts w:cs="Times New Roman"/>
                <w:color w:val="auto"/>
                <w:kern w:val="2"/>
                <w:sz w:val="24"/>
                <w:highlight w:val="none"/>
                <w:lang w:val="en-US" w:bidi="ar-SA"/>
              </w:rPr>
              <w:t xml:space="preserve">投 标 </w:t>
            </w:r>
            <w:r>
              <w:rPr>
                <w:rFonts w:hint="eastAsia" w:cs="Times New Roman"/>
                <w:color w:val="auto"/>
                <w:kern w:val="2"/>
                <w:sz w:val="24"/>
                <w:highlight w:val="none"/>
                <w:lang w:val="en-US" w:bidi="ar-SA"/>
              </w:rPr>
              <w:t>人</w:t>
            </w:r>
          </w:p>
          <w:p>
            <w:pPr>
              <w:autoSpaceDE/>
              <w:autoSpaceDN/>
              <w:jc w:val="center"/>
              <w:rPr>
                <w:rFonts w:cs="Times New Roman"/>
                <w:b/>
                <w:color w:val="auto"/>
                <w:kern w:val="2"/>
                <w:sz w:val="21"/>
                <w:highlight w:val="none"/>
                <w:lang w:val="en-US" w:bidi="ar-SA"/>
              </w:rPr>
            </w:pPr>
            <w:r>
              <w:rPr>
                <w:rFonts w:cs="Times New Roman"/>
                <w:color w:val="auto"/>
                <w:kern w:val="2"/>
                <w:sz w:val="24"/>
                <w:highlight w:val="none"/>
                <w:lang w:val="en-US" w:bidi="ar-SA"/>
              </w:rPr>
              <w:t>（盖章）</w:t>
            </w:r>
          </w:p>
        </w:tc>
        <w:tc>
          <w:tcPr>
            <w:tcW w:w="2351" w:type="dxa"/>
            <w:gridSpan w:val="2"/>
            <w:tcBorders>
              <w:top w:val="single" w:color="auto" w:sz="6" w:space="0"/>
              <w:left w:val="single" w:color="auto" w:sz="4" w:space="0"/>
              <w:bottom w:val="single" w:color="auto" w:sz="4" w:space="0"/>
              <w:right w:val="single" w:color="auto" w:sz="6" w:space="0"/>
            </w:tcBorders>
            <w:vAlign w:val="center"/>
          </w:tcPr>
          <w:p>
            <w:pPr>
              <w:autoSpaceDE/>
              <w:autoSpaceDN/>
              <w:jc w:val="center"/>
              <w:rPr>
                <w:rFonts w:cs="Times New Roman"/>
                <w:b/>
                <w:color w:val="auto"/>
                <w:kern w:val="2"/>
                <w:sz w:val="21"/>
                <w:highlight w:val="none"/>
                <w:lang w:val="en-US" w:bidi="ar-SA"/>
              </w:rPr>
            </w:pPr>
          </w:p>
        </w:tc>
        <w:tc>
          <w:tcPr>
            <w:tcW w:w="2421" w:type="dxa"/>
            <w:gridSpan w:val="3"/>
            <w:tcBorders>
              <w:top w:val="single" w:color="auto" w:sz="6" w:space="0"/>
              <w:left w:val="single" w:color="auto" w:sz="6" w:space="0"/>
              <w:bottom w:val="single" w:color="auto" w:sz="4" w:space="0"/>
              <w:right w:val="single" w:color="auto" w:sz="4" w:space="0"/>
            </w:tcBorders>
            <w:vAlign w:val="center"/>
          </w:tcPr>
          <w:p>
            <w:pPr>
              <w:autoSpaceDE/>
              <w:autoSpaceDN/>
              <w:jc w:val="center"/>
              <w:rPr>
                <w:rFonts w:cs="Times New Roman"/>
                <w:color w:val="auto"/>
                <w:kern w:val="2"/>
                <w:sz w:val="21"/>
                <w:highlight w:val="none"/>
                <w:lang w:val="en-US" w:bidi="ar-SA"/>
              </w:rPr>
            </w:pPr>
            <w:r>
              <w:rPr>
                <w:rFonts w:hint="eastAsia" w:cs="Times New Roman"/>
                <w:color w:val="auto"/>
                <w:kern w:val="2"/>
                <w:sz w:val="24"/>
                <w:highlight w:val="none"/>
                <w:lang w:val="en-US" w:bidi="ar-SA"/>
              </w:rPr>
              <w:t>法定代表人或委托代理人（签字或盖章）</w:t>
            </w:r>
          </w:p>
        </w:tc>
        <w:tc>
          <w:tcPr>
            <w:tcW w:w="2211" w:type="dxa"/>
            <w:gridSpan w:val="2"/>
            <w:tcBorders>
              <w:top w:val="single" w:color="auto" w:sz="6" w:space="0"/>
              <w:left w:val="single" w:color="auto" w:sz="4" w:space="0"/>
              <w:bottom w:val="single" w:color="auto" w:sz="4" w:space="0"/>
              <w:right w:val="single" w:color="auto" w:sz="4" w:space="0"/>
            </w:tcBorders>
            <w:vAlign w:val="center"/>
          </w:tcPr>
          <w:p>
            <w:pPr>
              <w:autoSpaceDE/>
              <w:autoSpaceDN/>
              <w:jc w:val="center"/>
              <w:rPr>
                <w:rFonts w:cs="Times New Roman"/>
                <w:color w:val="auto"/>
                <w:kern w:val="2"/>
                <w:sz w:val="21"/>
                <w:highlight w:val="none"/>
                <w:lang w:val="en-US" w:bidi="ar-SA"/>
              </w:rPr>
            </w:pPr>
          </w:p>
        </w:tc>
      </w:tr>
    </w:tbl>
    <w:p>
      <w:pPr>
        <w:spacing w:before="260" w:after="260" w:line="412" w:lineRule="auto"/>
        <w:jc w:val="right"/>
        <w:outlineLvl w:val="1"/>
        <w:rPr>
          <w:rFonts w:cs="Times New Roman"/>
          <w:color w:val="auto"/>
          <w:kern w:val="2"/>
          <w:sz w:val="24"/>
          <w:szCs w:val="20"/>
          <w:highlight w:val="none"/>
          <w:lang w:val="en-US" w:bidi="ar-SA"/>
        </w:rPr>
      </w:pPr>
      <w:r>
        <w:rPr>
          <w:rFonts w:hint="eastAsia" w:cs="Times New Roman"/>
          <w:color w:val="auto"/>
          <w:kern w:val="2"/>
          <w:sz w:val="24"/>
          <w:szCs w:val="20"/>
          <w:highlight w:val="none"/>
          <w:lang w:val="en-US" w:bidi="ar-SA"/>
        </w:rPr>
        <w:t>日    期：    年   月   日</w:t>
      </w:r>
    </w:p>
    <w:p>
      <w:pPr>
        <w:autoSpaceDE/>
        <w:autoSpaceDN/>
        <w:spacing w:line="360" w:lineRule="exact"/>
        <w:ind w:firstLine="210" w:firstLineChars="100"/>
        <w:jc w:val="both"/>
        <w:rPr>
          <w:rFonts w:cs="Times New Roman"/>
          <w:color w:val="auto"/>
          <w:kern w:val="2"/>
          <w:sz w:val="21"/>
          <w:highlight w:val="none"/>
          <w:lang w:val="en-US" w:bidi="ar-SA"/>
        </w:rPr>
      </w:pPr>
      <w:r>
        <w:rPr>
          <w:rFonts w:cs="Times New Roman"/>
          <w:color w:val="auto"/>
          <w:kern w:val="2"/>
          <w:sz w:val="21"/>
          <w:highlight w:val="none"/>
          <w:lang w:val="en-US" w:bidi="ar-SA"/>
        </w:rPr>
        <w:t>注：（1）投标</w:t>
      </w:r>
      <w:r>
        <w:rPr>
          <w:rFonts w:hint="eastAsia" w:cs="Times New Roman"/>
          <w:color w:val="auto"/>
          <w:kern w:val="2"/>
          <w:sz w:val="21"/>
          <w:highlight w:val="none"/>
          <w:lang w:val="en-US" w:bidi="ar-SA"/>
        </w:rPr>
        <w:t>报</w:t>
      </w:r>
      <w:r>
        <w:rPr>
          <w:rFonts w:cs="Times New Roman"/>
          <w:color w:val="auto"/>
          <w:kern w:val="2"/>
          <w:sz w:val="21"/>
          <w:highlight w:val="none"/>
          <w:lang w:val="en-US" w:bidi="ar-SA"/>
        </w:rPr>
        <w:t xml:space="preserve">价为人民币报价（保留小数点后二位，第三位小数四舍五入）。 </w:t>
      </w:r>
    </w:p>
    <w:p>
      <w:pPr>
        <w:autoSpaceDE/>
        <w:autoSpaceDN/>
        <w:spacing w:line="360" w:lineRule="exact"/>
        <w:ind w:firstLine="420" w:firstLineChars="200"/>
        <w:jc w:val="both"/>
        <w:rPr>
          <w:rFonts w:ascii="Times New Roman" w:hAnsi="Times New Roman" w:eastAsia="Times New Roman" w:cs="Times New Roman"/>
          <w:color w:val="auto"/>
          <w:kern w:val="2"/>
          <w:sz w:val="21"/>
          <w:highlight w:val="none"/>
          <w:lang w:val="en-US" w:bidi="ar-SA"/>
        </w:rPr>
      </w:pPr>
      <w:r>
        <w:rPr>
          <w:rFonts w:hint="eastAsia" w:cs="Times New Roman"/>
          <w:color w:val="auto"/>
          <w:kern w:val="2"/>
          <w:sz w:val="21"/>
          <w:highlight w:val="none"/>
          <w:lang w:val="en-US" w:bidi="ar-SA"/>
        </w:rPr>
        <w:t xml:space="preserve"> </w:t>
      </w:r>
      <w:r>
        <w:rPr>
          <w:rFonts w:cs="Times New Roman"/>
          <w:color w:val="auto"/>
          <w:kern w:val="2"/>
          <w:sz w:val="21"/>
          <w:highlight w:val="none"/>
          <w:lang w:val="en-US" w:bidi="ar-SA"/>
        </w:rPr>
        <w:t>（2）投标</w:t>
      </w:r>
      <w:r>
        <w:rPr>
          <w:rFonts w:hint="eastAsia" w:cs="Times New Roman"/>
          <w:color w:val="auto"/>
          <w:kern w:val="2"/>
          <w:sz w:val="21"/>
          <w:highlight w:val="none"/>
          <w:lang w:val="en-US" w:bidi="ar-SA"/>
        </w:rPr>
        <w:t>单</w:t>
      </w:r>
      <w:r>
        <w:rPr>
          <w:rFonts w:cs="Times New Roman"/>
          <w:color w:val="auto"/>
          <w:kern w:val="2"/>
          <w:sz w:val="21"/>
          <w:highlight w:val="none"/>
          <w:lang w:val="en-US" w:bidi="ar-SA"/>
        </w:rPr>
        <w:t>价应包括投标人履行本项目合同（如果中标）所必须的所有费用（包括但不限于所投入的全部人工成本（含驻场人员及后台支持人员）、研究调研费、专家费、技术资料费、现场管理费、 企业管理费、利润和税金等合同中所涉及的正常服务和附加服务费用）。</w:t>
      </w:r>
    </w:p>
    <w:p>
      <w:pPr>
        <w:spacing w:line="360" w:lineRule="auto"/>
        <w:rPr>
          <w:color w:val="auto"/>
          <w:highlight w:val="none"/>
        </w:rPr>
        <w:sectPr>
          <w:pgSz w:w="11906" w:h="16838"/>
          <w:pgMar w:top="1400" w:right="1100" w:bottom="1120" w:left="1560" w:header="0" w:footer="841" w:gutter="0"/>
          <w:cols w:space="720" w:num="1"/>
        </w:sectPr>
      </w:pPr>
    </w:p>
    <w:p>
      <w:pPr>
        <w:pStyle w:val="11"/>
        <w:spacing w:before="5" w:line="360" w:lineRule="auto"/>
        <w:rPr>
          <w:color w:val="auto"/>
          <w:sz w:val="11"/>
          <w:highlight w:val="none"/>
        </w:rPr>
      </w:pPr>
    </w:p>
    <w:p>
      <w:pPr>
        <w:spacing w:line="360" w:lineRule="auto"/>
        <w:ind w:right="461"/>
        <w:jc w:val="center"/>
        <w:rPr>
          <w:b/>
          <w:color w:val="auto"/>
          <w:sz w:val="32"/>
          <w:highlight w:val="none"/>
        </w:rPr>
      </w:pPr>
      <w:bookmarkStart w:id="45" w:name="_bookmark184"/>
      <w:bookmarkEnd w:id="45"/>
      <w:r>
        <w:rPr>
          <w:rFonts w:hint="eastAsia"/>
          <w:b/>
          <w:color w:val="auto"/>
          <w:sz w:val="32"/>
          <w:highlight w:val="none"/>
          <w:lang w:val="en-US"/>
        </w:rPr>
        <w:t>六</w:t>
      </w:r>
      <w:r>
        <w:rPr>
          <w:rFonts w:hint="eastAsia"/>
          <w:b/>
          <w:color w:val="auto"/>
          <w:sz w:val="32"/>
          <w:highlight w:val="none"/>
        </w:rPr>
        <w:t>、资格审查资料（格式可自拟）</w:t>
      </w:r>
    </w:p>
    <w:p>
      <w:pPr>
        <w:pStyle w:val="11"/>
        <w:spacing w:before="5" w:line="360" w:lineRule="auto"/>
        <w:rPr>
          <w:b/>
          <w:color w:val="auto"/>
          <w:sz w:val="10"/>
          <w:highlight w:val="none"/>
        </w:rPr>
      </w:pPr>
    </w:p>
    <w:p>
      <w:pPr>
        <w:spacing w:before="62" w:line="360" w:lineRule="auto"/>
        <w:ind w:left="377"/>
        <w:rPr>
          <w:color w:val="auto"/>
          <w:sz w:val="28"/>
          <w:highlight w:val="none"/>
        </w:rPr>
      </w:pPr>
      <w:bookmarkStart w:id="46" w:name="_bookmark185"/>
      <w:bookmarkEnd w:id="46"/>
      <w:r>
        <w:rPr>
          <w:rFonts w:hint="eastAsia"/>
          <w:color w:val="auto"/>
          <w:sz w:val="28"/>
          <w:highlight w:val="none"/>
        </w:rPr>
        <w:t>（一）基本情况表</w:t>
      </w:r>
    </w:p>
    <w:tbl>
      <w:tblPr>
        <w:tblStyle w:val="21"/>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4"/>
        <w:gridCol w:w="709"/>
        <w:gridCol w:w="992"/>
        <w:gridCol w:w="1122"/>
        <w:gridCol w:w="415"/>
        <w:gridCol w:w="871"/>
        <w:gridCol w:w="828"/>
        <w:gridCol w:w="286"/>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pPr>
              <w:pStyle w:val="27"/>
              <w:spacing w:before="142" w:line="360" w:lineRule="auto"/>
              <w:ind w:left="496"/>
              <w:rPr>
                <w:color w:val="auto"/>
                <w:sz w:val="21"/>
                <w:highlight w:val="none"/>
              </w:rPr>
            </w:pPr>
            <w:r>
              <w:rPr>
                <w:rFonts w:hint="eastAsia"/>
                <w:color w:val="auto"/>
                <w:sz w:val="21"/>
                <w:highlight w:val="none"/>
              </w:rPr>
              <w:t>投标人名称</w:t>
            </w:r>
          </w:p>
        </w:tc>
        <w:tc>
          <w:tcPr>
            <w:tcW w:w="6662" w:type="dxa"/>
            <w:gridSpan w:val="8"/>
          </w:tcPr>
          <w:p>
            <w:pPr>
              <w:pStyle w:val="27"/>
              <w:spacing w:line="360" w:lineRule="auto"/>
              <w:rPr>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434" w:type="dxa"/>
          </w:tcPr>
          <w:p>
            <w:pPr>
              <w:pStyle w:val="27"/>
              <w:spacing w:before="142" w:line="360" w:lineRule="auto"/>
              <w:ind w:left="602"/>
              <w:rPr>
                <w:color w:val="auto"/>
                <w:sz w:val="21"/>
                <w:highlight w:val="none"/>
              </w:rPr>
            </w:pPr>
            <w:r>
              <w:rPr>
                <w:rFonts w:hint="eastAsia"/>
                <w:color w:val="auto"/>
                <w:sz w:val="21"/>
                <w:highlight w:val="none"/>
              </w:rPr>
              <w:t>注册地址</w:t>
            </w:r>
          </w:p>
        </w:tc>
        <w:tc>
          <w:tcPr>
            <w:tcW w:w="2823" w:type="dxa"/>
            <w:gridSpan w:val="3"/>
          </w:tcPr>
          <w:p>
            <w:pPr>
              <w:pStyle w:val="27"/>
              <w:spacing w:line="360" w:lineRule="auto"/>
              <w:rPr>
                <w:color w:val="auto"/>
                <w:sz w:val="20"/>
                <w:highlight w:val="none"/>
              </w:rPr>
            </w:pPr>
          </w:p>
        </w:tc>
        <w:tc>
          <w:tcPr>
            <w:tcW w:w="1286" w:type="dxa"/>
            <w:gridSpan w:val="2"/>
          </w:tcPr>
          <w:p>
            <w:pPr>
              <w:pStyle w:val="27"/>
              <w:spacing w:before="142" w:line="360" w:lineRule="auto"/>
              <w:ind w:left="222"/>
              <w:rPr>
                <w:color w:val="auto"/>
                <w:sz w:val="21"/>
                <w:highlight w:val="none"/>
              </w:rPr>
            </w:pPr>
            <w:r>
              <w:rPr>
                <w:rFonts w:hint="eastAsia"/>
                <w:color w:val="auto"/>
                <w:sz w:val="21"/>
                <w:highlight w:val="none"/>
              </w:rPr>
              <w:t>邮政编码</w:t>
            </w:r>
          </w:p>
        </w:tc>
        <w:tc>
          <w:tcPr>
            <w:tcW w:w="2553" w:type="dxa"/>
            <w:gridSpan w:val="3"/>
          </w:tcPr>
          <w:p>
            <w:pPr>
              <w:pStyle w:val="27"/>
              <w:spacing w:line="360" w:lineRule="auto"/>
              <w:rPr>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vMerge w:val="restart"/>
          </w:tcPr>
          <w:p>
            <w:pPr>
              <w:pStyle w:val="27"/>
              <w:spacing w:before="10" w:line="360" w:lineRule="auto"/>
              <w:rPr>
                <w:color w:val="auto"/>
                <w:sz w:val="28"/>
                <w:highlight w:val="none"/>
              </w:rPr>
            </w:pPr>
          </w:p>
          <w:p>
            <w:pPr>
              <w:pStyle w:val="27"/>
              <w:spacing w:line="360" w:lineRule="auto"/>
              <w:ind w:left="602"/>
              <w:rPr>
                <w:color w:val="auto"/>
                <w:sz w:val="21"/>
                <w:highlight w:val="none"/>
              </w:rPr>
            </w:pPr>
            <w:r>
              <w:rPr>
                <w:rFonts w:hint="eastAsia"/>
                <w:color w:val="auto"/>
                <w:sz w:val="21"/>
                <w:highlight w:val="none"/>
              </w:rPr>
              <w:t>联系方式</w:t>
            </w:r>
          </w:p>
        </w:tc>
        <w:tc>
          <w:tcPr>
            <w:tcW w:w="709" w:type="dxa"/>
          </w:tcPr>
          <w:p>
            <w:pPr>
              <w:pStyle w:val="27"/>
              <w:spacing w:before="142" w:line="360" w:lineRule="auto"/>
              <w:ind w:left="8"/>
              <w:jc w:val="center"/>
              <w:rPr>
                <w:color w:val="auto"/>
                <w:sz w:val="21"/>
                <w:highlight w:val="none"/>
              </w:rPr>
            </w:pPr>
            <w:r>
              <w:rPr>
                <w:rFonts w:hint="eastAsia"/>
                <w:color w:val="auto"/>
                <w:sz w:val="21"/>
                <w:highlight w:val="none"/>
              </w:rPr>
              <w:t>联系人</w:t>
            </w:r>
          </w:p>
        </w:tc>
        <w:tc>
          <w:tcPr>
            <w:tcW w:w="2114" w:type="dxa"/>
            <w:gridSpan w:val="2"/>
          </w:tcPr>
          <w:p>
            <w:pPr>
              <w:pStyle w:val="27"/>
              <w:spacing w:line="360" w:lineRule="auto"/>
              <w:rPr>
                <w:color w:val="auto"/>
                <w:sz w:val="20"/>
                <w:highlight w:val="none"/>
              </w:rPr>
            </w:pPr>
          </w:p>
        </w:tc>
        <w:tc>
          <w:tcPr>
            <w:tcW w:w="1286" w:type="dxa"/>
            <w:gridSpan w:val="2"/>
          </w:tcPr>
          <w:p>
            <w:pPr>
              <w:pStyle w:val="27"/>
              <w:spacing w:before="142" w:line="360" w:lineRule="auto"/>
              <w:ind w:left="378"/>
              <w:rPr>
                <w:color w:val="auto"/>
                <w:sz w:val="21"/>
                <w:highlight w:val="none"/>
              </w:rPr>
            </w:pPr>
            <w:r>
              <w:rPr>
                <w:rFonts w:hint="eastAsia"/>
                <w:color w:val="auto"/>
                <w:sz w:val="21"/>
                <w:highlight w:val="none"/>
              </w:rPr>
              <w:t>电 话</w:t>
            </w:r>
          </w:p>
        </w:tc>
        <w:tc>
          <w:tcPr>
            <w:tcW w:w="2553" w:type="dxa"/>
            <w:gridSpan w:val="3"/>
          </w:tcPr>
          <w:p>
            <w:pPr>
              <w:pStyle w:val="27"/>
              <w:spacing w:line="360" w:lineRule="auto"/>
              <w:rPr>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434" w:type="dxa"/>
            <w:vMerge w:val="continue"/>
            <w:tcBorders>
              <w:top w:val="nil"/>
            </w:tcBorders>
          </w:tcPr>
          <w:p>
            <w:pPr>
              <w:spacing w:line="360" w:lineRule="auto"/>
              <w:rPr>
                <w:color w:val="auto"/>
                <w:sz w:val="2"/>
                <w:szCs w:val="2"/>
                <w:highlight w:val="none"/>
              </w:rPr>
            </w:pPr>
          </w:p>
        </w:tc>
        <w:tc>
          <w:tcPr>
            <w:tcW w:w="709" w:type="dxa"/>
          </w:tcPr>
          <w:p>
            <w:pPr>
              <w:pStyle w:val="27"/>
              <w:tabs>
                <w:tab w:val="left" w:pos="432"/>
              </w:tabs>
              <w:spacing w:before="143" w:line="360" w:lineRule="auto"/>
              <w:ind w:left="9"/>
              <w:jc w:val="center"/>
              <w:rPr>
                <w:color w:val="auto"/>
                <w:sz w:val="21"/>
                <w:highlight w:val="none"/>
              </w:rPr>
            </w:pPr>
            <w:r>
              <w:rPr>
                <w:rFonts w:hint="eastAsia"/>
                <w:color w:val="auto"/>
                <w:sz w:val="21"/>
                <w:highlight w:val="none"/>
              </w:rPr>
              <w:t>传</w:t>
            </w:r>
            <w:r>
              <w:rPr>
                <w:rFonts w:hint="eastAsia"/>
                <w:color w:val="auto"/>
                <w:sz w:val="21"/>
                <w:highlight w:val="none"/>
              </w:rPr>
              <w:tab/>
            </w:r>
            <w:r>
              <w:rPr>
                <w:rFonts w:hint="eastAsia"/>
                <w:color w:val="auto"/>
                <w:sz w:val="21"/>
                <w:highlight w:val="none"/>
              </w:rPr>
              <w:t>真</w:t>
            </w:r>
          </w:p>
        </w:tc>
        <w:tc>
          <w:tcPr>
            <w:tcW w:w="2114" w:type="dxa"/>
            <w:gridSpan w:val="2"/>
          </w:tcPr>
          <w:p>
            <w:pPr>
              <w:pStyle w:val="27"/>
              <w:spacing w:line="360" w:lineRule="auto"/>
              <w:rPr>
                <w:color w:val="auto"/>
                <w:sz w:val="20"/>
                <w:highlight w:val="none"/>
              </w:rPr>
            </w:pPr>
          </w:p>
        </w:tc>
        <w:tc>
          <w:tcPr>
            <w:tcW w:w="1286" w:type="dxa"/>
            <w:gridSpan w:val="2"/>
          </w:tcPr>
          <w:p>
            <w:pPr>
              <w:pStyle w:val="27"/>
              <w:spacing w:before="143" w:line="360" w:lineRule="auto"/>
              <w:ind w:left="378"/>
              <w:rPr>
                <w:color w:val="auto"/>
                <w:sz w:val="21"/>
                <w:highlight w:val="none"/>
              </w:rPr>
            </w:pPr>
            <w:r>
              <w:rPr>
                <w:rFonts w:hint="eastAsia"/>
                <w:color w:val="auto"/>
                <w:sz w:val="21"/>
                <w:highlight w:val="none"/>
              </w:rPr>
              <w:t>网 址</w:t>
            </w:r>
          </w:p>
        </w:tc>
        <w:tc>
          <w:tcPr>
            <w:tcW w:w="2553" w:type="dxa"/>
            <w:gridSpan w:val="3"/>
          </w:tcPr>
          <w:p>
            <w:pPr>
              <w:pStyle w:val="27"/>
              <w:spacing w:line="360" w:lineRule="auto"/>
              <w:rPr>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pPr>
              <w:pStyle w:val="27"/>
              <w:spacing w:before="142" w:line="360" w:lineRule="auto"/>
              <w:ind w:left="496"/>
              <w:rPr>
                <w:color w:val="auto"/>
                <w:sz w:val="21"/>
                <w:highlight w:val="none"/>
              </w:rPr>
            </w:pPr>
            <w:r>
              <w:rPr>
                <w:rFonts w:hint="eastAsia"/>
                <w:color w:val="auto"/>
                <w:sz w:val="21"/>
                <w:highlight w:val="none"/>
              </w:rPr>
              <w:t>法定代表人</w:t>
            </w:r>
          </w:p>
        </w:tc>
        <w:tc>
          <w:tcPr>
            <w:tcW w:w="709" w:type="dxa"/>
          </w:tcPr>
          <w:p>
            <w:pPr>
              <w:pStyle w:val="27"/>
              <w:spacing w:before="142" w:line="360" w:lineRule="auto"/>
              <w:ind w:left="8"/>
              <w:jc w:val="center"/>
              <w:rPr>
                <w:color w:val="auto"/>
                <w:sz w:val="21"/>
                <w:highlight w:val="none"/>
              </w:rPr>
            </w:pPr>
            <w:r>
              <w:rPr>
                <w:rFonts w:hint="eastAsia"/>
                <w:color w:val="auto"/>
                <w:sz w:val="21"/>
                <w:highlight w:val="none"/>
              </w:rPr>
              <w:t>姓名</w:t>
            </w:r>
          </w:p>
        </w:tc>
        <w:tc>
          <w:tcPr>
            <w:tcW w:w="992" w:type="dxa"/>
          </w:tcPr>
          <w:p>
            <w:pPr>
              <w:pStyle w:val="27"/>
              <w:spacing w:line="360" w:lineRule="auto"/>
              <w:rPr>
                <w:color w:val="auto"/>
                <w:sz w:val="20"/>
                <w:highlight w:val="none"/>
              </w:rPr>
            </w:pPr>
          </w:p>
        </w:tc>
        <w:tc>
          <w:tcPr>
            <w:tcW w:w="1122" w:type="dxa"/>
          </w:tcPr>
          <w:p>
            <w:pPr>
              <w:pStyle w:val="27"/>
              <w:spacing w:before="142" w:line="360" w:lineRule="auto"/>
              <w:jc w:val="center"/>
              <w:rPr>
                <w:color w:val="auto"/>
                <w:sz w:val="21"/>
                <w:highlight w:val="none"/>
              </w:rPr>
            </w:pPr>
            <w:r>
              <w:rPr>
                <w:rFonts w:hint="eastAsia"/>
                <w:color w:val="auto"/>
                <w:sz w:val="21"/>
                <w:highlight w:val="none"/>
              </w:rPr>
              <w:t>技术职称</w:t>
            </w:r>
          </w:p>
        </w:tc>
        <w:tc>
          <w:tcPr>
            <w:tcW w:w="1286" w:type="dxa"/>
            <w:gridSpan w:val="2"/>
          </w:tcPr>
          <w:p>
            <w:pPr>
              <w:pStyle w:val="27"/>
              <w:spacing w:line="360" w:lineRule="auto"/>
              <w:rPr>
                <w:color w:val="auto"/>
                <w:sz w:val="20"/>
                <w:highlight w:val="none"/>
              </w:rPr>
            </w:pPr>
          </w:p>
        </w:tc>
        <w:tc>
          <w:tcPr>
            <w:tcW w:w="1114" w:type="dxa"/>
            <w:gridSpan w:val="2"/>
          </w:tcPr>
          <w:p>
            <w:pPr>
              <w:pStyle w:val="27"/>
              <w:spacing w:before="142" w:line="360" w:lineRule="auto"/>
              <w:ind w:left="345"/>
              <w:rPr>
                <w:color w:val="auto"/>
                <w:sz w:val="21"/>
                <w:highlight w:val="none"/>
              </w:rPr>
            </w:pPr>
            <w:r>
              <w:rPr>
                <w:rFonts w:hint="eastAsia"/>
                <w:color w:val="auto"/>
                <w:sz w:val="21"/>
                <w:highlight w:val="none"/>
              </w:rPr>
              <w:t>电话</w:t>
            </w:r>
          </w:p>
        </w:tc>
        <w:tc>
          <w:tcPr>
            <w:tcW w:w="1439" w:type="dxa"/>
          </w:tcPr>
          <w:p>
            <w:pPr>
              <w:pStyle w:val="27"/>
              <w:spacing w:line="360" w:lineRule="auto"/>
              <w:rPr>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8" w:hRule="atLeast"/>
        </w:trPr>
        <w:tc>
          <w:tcPr>
            <w:tcW w:w="2434" w:type="dxa"/>
          </w:tcPr>
          <w:p>
            <w:pPr>
              <w:pStyle w:val="27"/>
              <w:spacing w:before="142" w:line="360" w:lineRule="auto"/>
              <w:ind w:left="496"/>
              <w:rPr>
                <w:color w:val="auto"/>
                <w:sz w:val="21"/>
                <w:highlight w:val="none"/>
              </w:rPr>
            </w:pPr>
            <w:r>
              <w:rPr>
                <w:rFonts w:hint="eastAsia"/>
                <w:color w:val="auto"/>
                <w:sz w:val="21"/>
                <w:highlight w:val="none"/>
              </w:rPr>
              <w:t>技术负责人</w:t>
            </w:r>
          </w:p>
        </w:tc>
        <w:tc>
          <w:tcPr>
            <w:tcW w:w="709" w:type="dxa"/>
          </w:tcPr>
          <w:p>
            <w:pPr>
              <w:pStyle w:val="27"/>
              <w:spacing w:before="142" w:line="360" w:lineRule="auto"/>
              <w:ind w:left="8"/>
              <w:jc w:val="center"/>
              <w:rPr>
                <w:color w:val="auto"/>
                <w:sz w:val="21"/>
                <w:highlight w:val="none"/>
              </w:rPr>
            </w:pPr>
            <w:r>
              <w:rPr>
                <w:rFonts w:hint="eastAsia"/>
                <w:color w:val="auto"/>
                <w:sz w:val="21"/>
                <w:highlight w:val="none"/>
              </w:rPr>
              <w:t>姓名</w:t>
            </w:r>
          </w:p>
        </w:tc>
        <w:tc>
          <w:tcPr>
            <w:tcW w:w="992" w:type="dxa"/>
          </w:tcPr>
          <w:p>
            <w:pPr>
              <w:pStyle w:val="27"/>
              <w:spacing w:line="360" w:lineRule="auto"/>
              <w:rPr>
                <w:color w:val="auto"/>
                <w:sz w:val="20"/>
                <w:highlight w:val="none"/>
              </w:rPr>
            </w:pPr>
          </w:p>
        </w:tc>
        <w:tc>
          <w:tcPr>
            <w:tcW w:w="1122" w:type="dxa"/>
          </w:tcPr>
          <w:p>
            <w:pPr>
              <w:pStyle w:val="27"/>
              <w:spacing w:before="142" w:line="360" w:lineRule="auto"/>
              <w:jc w:val="center"/>
              <w:rPr>
                <w:color w:val="auto"/>
                <w:sz w:val="21"/>
                <w:highlight w:val="none"/>
              </w:rPr>
            </w:pPr>
            <w:r>
              <w:rPr>
                <w:rFonts w:hint="eastAsia"/>
                <w:color w:val="auto"/>
                <w:sz w:val="21"/>
                <w:highlight w:val="none"/>
              </w:rPr>
              <w:t>技术职称</w:t>
            </w:r>
          </w:p>
        </w:tc>
        <w:tc>
          <w:tcPr>
            <w:tcW w:w="1286" w:type="dxa"/>
            <w:gridSpan w:val="2"/>
          </w:tcPr>
          <w:p>
            <w:pPr>
              <w:pStyle w:val="27"/>
              <w:spacing w:line="360" w:lineRule="auto"/>
              <w:rPr>
                <w:color w:val="auto"/>
                <w:sz w:val="20"/>
                <w:highlight w:val="none"/>
              </w:rPr>
            </w:pPr>
          </w:p>
        </w:tc>
        <w:tc>
          <w:tcPr>
            <w:tcW w:w="1114" w:type="dxa"/>
            <w:gridSpan w:val="2"/>
          </w:tcPr>
          <w:p>
            <w:pPr>
              <w:pStyle w:val="27"/>
              <w:spacing w:before="142" w:line="360" w:lineRule="auto"/>
              <w:ind w:left="345"/>
              <w:rPr>
                <w:color w:val="auto"/>
                <w:sz w:val="21"/>
                <w:highlight w:val="none"/>
              </w:rPr>
            </w:pPr>
            <w:r>
              <w:rPr>
                <w:rFonts w:hint="eastAsia"/>
                <w:color w:val="auto"/>
                <w:sz w:val="21"/>
                <w:highlight w:val="none"/>
              </w:rPr>
              <w:t>电话</w:t>
            </w:r>
          </w:p>
        </w:tc>
        <w:tc>
          <w:tcPr>
            <w:tcW w:w="1439" w:type="dxa"/>
          </w:tcPr>
          <w:p>
            <w:pPr>
              <w:pStyle w:val="27"/>
              <w:spacing w:line="360" w:lineRule="auto"/>
              <w:rPr>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pPr>
              <w:pStyle w:val="27"/>
              <w:spacing w:before="142" w:line="360" w:lineRule="auto"/>
              <w:ind w:left="182"/>
              <w:rPr>
                <w:color w:val="auto"/>
                <w:sz w:val="21"/>
                <w:highlight w:val="none"/>
              </w:rPr>
            </w:pPr>
            <w:r>
              <w:rPr>
                <w:rFonts w:hint="eastAsia"/>
                <w:color w:val="auto"/>
                <w:sz w:val="21"/>
                <w:highlight w:val="none"/>
              </w:rPr>
              <w:t>企业资质证书</w:t>
            </w:r>
          </w:p>
        </w:tc>
        <w:tc>
          <w:tcPr>
            <w:tcW w:w="6662" w:type="dxa"/>
            <w:gridSpan w:val="8"/>
          </w:tcPr>
          <w:p>
            <w:pPr>
              <w:pStyle w:val="27"/>
              <w:tabs>
                <w:tab w:val="left" w:pos="2848"/>
                <w:tab w:val="left" w:pos="4108"/>
              </w:tabs>
              <w:spacing w:before="142" w:line="360" w:lineRule="auto"/>
              <w:ind w:left="116"/>
              <w:jc w:val="center"/>
              <w:rPr>
                <w:color w:val="auto"/>
                <w:sz w:val="21"/>
                <w:highlight w:val="none"/>
              </w:rPr>
            </w:pPr>
            <w:r>
              <w:rPr>
                <w:rFonts w:hint="eastAsia"/>
                <w:color w:val="auto"/>
                <w:sz w:val="21"/>
                <w:highlight w:val="none"/>
              </w:rPr>
              <w:t>类型：</w:t>
            </w:r>
            <w:r>
              <w:rPr>
                <w:rFonts w:hint="eastAsia"/>
                <w:color w:val="auto"/>
                <w:sz w:val="21"/>
                <w:highlight w:val="none"/>
              </w:rPr>
              <w:tab/>
            </w:r>
            <w:r>
              <w:rPr>
                <w:rFonts w:hint="eastAsia"/>
                <w:color w:val="auto"/>
                <w:sz w:val="21"/>
                <w:highlight w:val="none"/>
              </w:rPr>
              <w:tab/>
            </w:r>
            <w:r>
              <w:rPr>
                <w:rFonts w:hint="eastAsia"/>
                <w:color w:val="auto"/>
                <w:spacing w:val="-3"/>
                <w:sz w:val="21"/>
                <w:highlight w:val="none"/>
              </w:rPr>
              <w:t>证</w:t>
            </w:r>
            <w:r>
              <w:rPr>
                <w:rFonts w:hint="eastAsia"/>
                <w:color w:val="auto"/>
                <w:sz w:val="21"/>
                <w:highlight w:val="none"/>
              </w:rPr>
              <w:t>书</w:t>
            </w:r>
            <w:r>
              <w:rPr>
                <w:rFonts w:hint="eastAsia"/>
                <w:color w:val="auto"/>
                <w:spacing w:val="-3"/>
                <w:sz w:val="21"/>
                <w:highlight w:val="none"/>
              </w:rPr>
              <w:t>号</w:t>
            </w:r>
            <w:r>
              <w:rPr>
                <w:rFonts w:hint="eastAsia"/>
                <w:color w:val="auto"/>
                <w:sz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434" w:type="dxa"/>
          </w:tcPr>
          <w:p>
            <w:pPr>
              <w:pStyle w:val="27"/>
              <w:spacing w:before="142"/>
              <w:ind w:left="182"/>
              <w:rPr>
                <w:color w:val="auto"/>
                <w:sz w:val="21"/>
                <w:highlight w:val="none"/>
              </w:rPr>
            </w:pPr>
            <w:r>
              <w:rPr>
                <w:rFonts w:hint="eastAsia"/>
                <w:color w:val="auto"/>
                <w:sz w:val="21"/>
                <w:highlight w:val="none"/>
              </w:rPr>
              <w:t>质量管理体系证书</w:t>
            </w:r>
          </w:p>
          <w:p>
            <w:pPr>
              <w:pStyle w:val="27"/>
              <w:spacing w:before="170"/>
              <w:ind w:left="549"/>
              <w:rPr>
                <w:color w:val="auto"/>
                <w:sz w:val="21"/>
                <w:highlight w:val="none"/>
              </w:rPr>
            </w:pPr>
            <w:r>
              <w:rPr>
                <w:rFonts w:hint="eastAsia"/>
                <w:color w:val="auto"/>
                <w:sz w:val="21"/>
                <w:highlight w:val="none"/>
              </w:rPr>
              <w:t>（如有）</w:t>
            </w:r>
          </w:p>
        </w:tc>
        <w:tc>
          <w:tcPr>
            <w:tcW w:w="6662" w:type="dxa"/>
            <w:gridSpan w:val="8"/>
          </w:tcPr>
          <w:p>
            <w:pPr>
              <w:pStyle w:val="27"/>
              <w:spacing w:before="4" w:line="360" w:lineRule="auto"/>
              <w:rPr>
                <w:color w:val="auto"/>
                <w:sz w:val="28"/>
                <w:highlight w:val="none"/>
              </w:rPr>
            </w:pPr>
          </w:p>
          <w:p>
            <w:pPr>
              <w:pStyle w:val="27"/>
              <w:tabs>
                <w:tab w:val="left" w:pos="2848"/>
                <w:tab w:val="left" w:pos="4108"/>
              </w:tabs>
              <w:spacing w:line="360" w:lineRule="auto"/>
              <w:ind w:left="116"/>
              <w:jc w:val="center"/>
              <w:rPr>
                <w:color w:val="auto"/>
                <w:sz w:val="21"/>
                <w:highlight w:val="none"/>
              </w:rPr>
            </w:pPr>
            <w:r>
              <w:rPr>
                <w:rFonts w:hint="eastAsia"/>
                <w:color w:val="auto"/>
                <w:sz w:val="21"/>
                <w:highlight w:val="none"/>
              </w:rPr>
              <w:t>类型：</w:t>
            </w:r>
            <w:r>
              <w:rPr>
                <w:rFonts w:hint="eastAsia"/>
                <w:color w:val="auto"/>
                <w:sz w:val="21"/>
                <w:highlight w:val="none"/>
              </w:rPr>
              <w:tab/>
            </w:r>
            <w:r>
              <w:rPr>
                <w:rFonts w:hint="eastAsia"/>
                <w:color w:val="auto"/>
                <w:spacing w:val="-3"/>
                <w:sz w:val="21"/>
                <w:highlight w:val="none"/>
              </w:rPr>
              <w:t>等</w:t>
            </w:r>
            <w:r>
              <w:rPr>
                <w:rFonts w:hint="eastAsia"/>
                <w:color w:val="auto"/>
                <w:sz w:val="21"/>
                <w:highlight w:val="none"/>
              </w:rPr>
              <w:t>级：</w:t>
            </w:r>
            <w:r>
              <w:rPr>
                <w:rFonts w:hint="eastAsia"/>
                <w:color w:val="auto"/>
                <w:sz w:val="21"/>
                <w:highlight w:val="none"/>
              </w:rPr>
              <w:tab/>
            </w:r>
            <w:r>
              <w:rPr>
                <w:rFonts w:hint="eastAsia"/>
                <w:color w:val="auto"/>
                <w:spacing w:val="-3"/>
                <w:sz w:val="21"/>
                <w:highlight w:val="none"/>
              </w:rPr>
              <w:t>证</w:t>
            </w:r>
            <w:r>
              <w:rPr>
                <w:rFonts w:hint="eastAsia"/>
                <w:color w:val="auto"/>
                <w:sz w:val="21"/>
                <w:highlight w:val="none"/>
              </w:rPr>
              <w:t>书</w:t>
            </w:r>
            <w:r>
              <w:rPr>
                <w:rFonts w:hint="eastAsia"/>
                <w:color w:val="auto"/>
                <w:spacing w:val="-3"/>
                <w:sz w:val="21"/>
                <w:highlight w:val="none"/>
              </w:rPr>
              <w:t>号</w:t>
            </w:r>
            <w:r>
              <w:rPr>
                <w:rFonts w:hint="eastAsia"/>
                <w:color w:val="auto"/>
                <w:sz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434" w:type="dxa"/>
          </w:tcPr>
          <w:p>
            <w:pPr>
              <w:pStyle w:val="27"/>
              <w:spacing w:before="142" w:line="360" w:lineRule="auto"/>
              <w:ind w:left="496"/>
              <w:rPr>
                <w:color w:val="auto"/>
                <w:sz w:val="21"/>
                <w:highlight w:val="none"/>
              </w:rPr>
            </w:pPr>
            <w:r>
              <w:rPr>
                <w:rFonts w:hint="eastAsia"/>
                <w:color w:val="auto"/>
                <w:sz w:val="21"/>
                <w:highlight w:val="none"/>
              </w:rPr>
              <w:t>营业执照号</w:t>
            </w:r>
          </w:p>
        </w:tc>
        <w:tc>
          <w:tcPr>
            <w:tcW w:w="2823" w:type="dxa"/>
            <w:gridSpan w:val="3"/>
          </w:tcPr>
          <w:p>
            <w:pPr>
              <w:pStyle w:val="27"/>
              <w:spacing w:line="360" w:lineRule="auto"/>
              <w:rPr>
                <w:color w:val="auto"/>
                <w:sz w:val="20"/>
                <w:highlight w:val="none"/>
              </w:rPr>
            </w:pPr>
          </w:p>
        </w:tc>
        <w:tc>
          <w:tcPr>
            <w:tcW w:w="3839" w:type="dxa"/>
            <w:gridSpan w:val="5"/>
          </w:tcPr>
          <w:p>
            <w:pPr>
              <w:pStyle w:val="27"/>
              <w:spacing w:before="142" w:line="360" w:lineRule="auto"/>
              <w:ind w:left="1182"/>
              <w:rPr>
                <w:color w:val="auto"/>
                <w:sz w:val="21"/>
                <w:highlight w:val="none"/>
              </w:rPr>
            </w:pPr>
            <w:r>
              <w:rPr>
                <w:rFonts w:hint="eastAsia"/>
                <w:color w:val="auto"/>
                <w:sz w:val="21"/>
                <w:highlight w:val="none"/>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pPr>
              <w:pStyle w:val="27"/>
              <w:spacing w:before="142" w:line="360" w:lineRule="auto"/>
              <w:ind w:left="602"/>
              <w:rPr>
                <w:color w:val="auto"/>
                <w:sz w:val="21"/>
                <w:highlight w:val="none"/>
              </w:rPr>
            </w:pPr>
            <w:r>
              <w:rPr>
                <w:rFonts w:hint="eastAsia"/>
                <w:color w:val="auto"/>
                <w:sz w:val="21"/>
                <w:highlight w:val="none"/>
              </w:rPr>
              <w:t>注册资本</w:t>
            </w:r>
          </w:p>
        </w:tc>
        <w:tc>
          <w:tcPr>
            <w:tcW w:w="2823" w:type="dxa"/>
            <w:gridSpan w:val="3"/>
          </w:tcPr>
          <w:p>
            <w:pPr>
              <w:pStyle w:val="27"/>
              <w:spacing w:line="360" w:lineRule="auto"/>
              <w:rPr>
                <w:color w:val="auto"/>
                <w:sz w:val="20"/>
                <w:highlight w:val="none"/>
              </w:rPr>
            </w:pPr>
          </w:p>
        </w:tc>
        <w:tc>
          <w:tcPr>
            <w:tcW w:w="415" w:type="dxa"/>
            <w:vMerge w:val="restart"/>
          </w:tcPr>
          <w:p>
            <w:pPr>
              <w:pStyle w:val="27"/>
              <w:spacing w:line="360" w:lineRule="auto"/>
              <w:rPr>
                <w:color w:val="auto"/>
                <w:sz w:val="20"/>
                <w:highlight w:val="none"/>
              </w:rPr>
            </w:pPr>
          </w:p>
          <w:p>
            <w:pPr>
              <w:pStyle w:val="27"/>
              <w:spacing w:before="9" w:line="360" w:lineRule="auto"/>
              <w:rPr>
                <w:color w:val="auto"/>
                <w:sz w:val="26"/>
                <w:highlight w:val="none"/>
              </w:rPr>
            </w:pPr>
          </w:p>
          <w:p>
            <w:pPr>
              <w:pStyle w:val="27"/>
              <w:spacing w:line="360" w:lineRule="auto"/>
              <w:ind w:left="107" w:right="84"/>
              <w:rPr>
                <w:color w:val="auto"/>
                <w:sz w:val="21"/>
                <w:highlight w:val="none"/>
              </w:rPr>
            </w:pPr>
            <w:r>
              <w:rPr>
                <w:rFonts w:hint="eastAsia"/>
                <w:color w:val="auto"/>
                <w:sz w:val="21"/>
                <w:highlight w:val="none"/>
              </w:rPr>
              <w:t>其中</w:t>
            </w:r>
          </w:p>
        </w:tc>
        <w:tc>
          <w:tcPr>
            <w:tcW w:w="1699" w:type="dxa"/>
            <w:gridSpan w:val="2"/>
          </w:tcPr>
          <w:p>
            <w:pPr>
              <w:pStyle w:val="27"/>
              <w:spacing w:before="142" w:line="360" w:lineRule="auto"/>
              <w:ind w:left="220"/>
              <w:rPr>
                <w:color w:val="auto"/>
                <w:sz w:val="21"/>
                <w:highlight w:val="none"/>
              </w:rPr>
            </w:pPr>
            <w:r>
              <w:rPr>
                <w:rFonts w:hint="eastAsia"/>
                <w:color w:val="auto"/>
                <w:sz w:val="21"/>
                <w:highlight w:val="none"/>
              </w:rPr>
              <w:t>高级职称人员</w:t>
            </w:r>
          </w:p>
        </w:tc>
        <w:tc>
          <w:tcPr>
            <w:tcW w:w="1725" w:type="dxa"/>
            <w:gridSpan w:val="2"/>
          </w:tcPr>
          <w:p>
            <w:pPr>
              <w:pStyle w:val="27"/>
              <w:spacing w:line="360" w:lineRule="auto"/>
              <w:rPr>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434" w:type="dxa"/>
          </w:tcPr>
          <w:p>
            <w:pPr>
              <w:pStyle w:val="27"/>
              <w:spacing w:before="142" w:line="360" w:lineRule="auto"/>
              <w:ind w:left="602"/>
              <w:rPr>
                <w:color w:val="auto"/>
                <w:sz w:val="21"/>
                <w:highlight w:val="none"/>
              </w:rPr>
            </w:pPr>
            <w:r>
              <w:rPr>
                <w:rFonts w:hint="eastAsia"/>
                <w:color w:val="auto"/>
                <w:sz w:val="21"/>
                <w:highlight w:val="none"/>
              </w:rPr>
              <w:t>成立日期</w:t>
            </w:r>
          </w:p>
        </w:tc>
        <w:tc>
          <w:tcPr>
            <w:tcW w:w="2823" w:type="dxa"/>
            <w:gridSpan w:val="3"/>
          </w:tcPr>
          <w:p>
            <w:pPr>
              <w:pStyle w:val="27"/>
              <w:spacing w:line="360" w:lineRule="auto"/>
              <w:rPr>
                <w:color w:val="auto"/>
                <w:sz w:val="20"/>
                <w:highlight w:val="none"/>
              </w:rPr>
            </w:pPr>
          </w:p>
        </w:tc>
        <w:tc>
          <w:tcPr>
            <w:tcW w:w="415" w:type="dxa"/>
            <w:vMerge w:val="continue"/>
            <w:tcBorders>
              <w:top w:val="nil"/>
            </w:tcBorders>
          </w:tcPr>
          <w:p>
            <w:pPr>
              <w:spacing w:line="360" w:lineRule="auto"/>
              <w:rPr>
                <w:color w:val="auto"/>
                <w:sz w:val="2"/>
                <w:szCs w:val="2"/>
                <w:highlight w:val="none"/>
              </w:rPr>
            </w:pPr>
          </w:p>
        </w:tc>
        <w:tc>
          <w:tcPr>
            <w:tcW w:w="1699" w:type="dxa"/>
            <w:gridSpan w:val="2"/>
          </w:tcPr>
          <w:p>
            <w:pPr>
              <w:pStyle w:val="27"/>
              <w:spacing w:before="142" w:line="360" w:lineRule="auto"/>
              <w:ind w:left="220"/>
              <w:rPr>
                <w:color w:val="auto"/>
                <w:sz w:val="21"/>
                <w:highlight w:val="none"/>
              </w:rPr>
            </w:pPr>
            <w:r>
              <w:rPr>
                <w:rFonts w:hint="eastAsia"/>
                <w:color w:val="auto"/>
                <w:sz w:val="21"/>
                <w:highlight w:val="none"/>
              </w:rPr>
              <w:t>中级职称人员</w:t>
            </w:r>
          </w:p>
        </w:tc>
        <w:tc>
          <w:tcPr>
            <w:tcW w:w="1725" w:type="dxa"/>
            <w:gridSpan w:val="2"/>
          </w:tcPr>
          <w:p>
            <w:pPr>
              <w:pStyle w:val="27"/>
              <w:spacing w:line="360" w:lineRule="auto"/>
              <w:rPr>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pPr>
              <w:pStyle w:val="27"/>
              <w:spacing w:before="142" w:line="360" w:lineRule="auto"/>
              <w:ind w:left="182"/>
              <w:rPr>
                <w:color w:val="auto"/>
                <w:sz w:val="21"/>
                <w:highlight w:val="none"/>
              </w:rPr>
            </w:pPr>
            <w:r>
              <w:rPr>
                <w:rFonts w:hint="eastAsia"/>
                <w:color w:val="auto"/>
                <w:sz w:val="21"/>
                <w:highlight w:val="none"/>
              </w:rPr>
              <w:t>基本账户开户银行</w:t>
            </w:r>
          </w:p>
        </w:tc>
        <w:tc>
          <w:tcPr>
            <w:tcW w:w="2823" w:type="dxa"/>
            <w:gridSpan w:val="3"/>
          </w:tcPr>
          <w:p>
            <w:pPr>
              <w:pStyle w:val="27"/>
              <w:spacing w:line="360" w:lineRule="auto"/>
              <w:rPr>
                <w:color w:val="auto"/>
                <w:sz w:val="20"/>
                <w:highlight w:val="none"/>
              </w:rPr>
            </w:pPr>
          </w:p>
        </w:tc>
        <w:tc>
          <w:tcPr>
            <w:tcW w:w="415" w:type="dxa"/>
            <w:vMerge w:val="continue"/>
            <w:tcBorders>
              <w:top w:val="nil"/>
            </w:tcBorders>
          </w:tcPr>
          <w:p>
            <w:pPr>
              <w:spacing w:line="360" w:lineRule="auto"/>
              <w:rPr>
                <w:color w:val="auto"/>
                <w:sz w:val="2"/>
                <w:szCs w:val="2"/>
                <w:highlight w:val="none"/>
              </w:rPr>
            </w:pPr>
          </w:p>
        </w:tc>
        <w:tc>
          <w:tcPr>
            <w:tcW w:w="1699" w:type="dxa"/>
            <w:gridSpan w:val="2"/>
          </w:tcPr>
          <w:p>
            <w:pPr>
              <w:pStyle w:val="27"/>
              <w:spacing w:before="142" w:line="360" w:lineRule="auto"/>
              <w:ind w:left="220"/>
              <w:rPr>
                <w:color w:val="auto"/>
                <w:sz w:val="21"/>
                <w:highlight w:val="none"/>
              </w:rPr>
            </w:pPr>
            <w:r>
              <w:rPr>
                <w:rFonts w:hint="eastAsia"/>
                <w:color w:val="auto"/>
                <w:sz w:val="21"/>
                <w:highlight w:val="none"/>
              </w:rPr>
              <w:t>技术人员数量</w:t>
            </w:r>
          </w:p>
        </w:tc>
        <w:tc>
          <w:tcPr>
            <w:tcW w:w="1725" w:type="dxa"/>
            <w:gridSpan w:val="2"/>
          </w:tcPr>
          <w:p>
            <w:pPr>
              <w:pStyle w:val="27"/>
              <w:spacing w:line="360" w:lineRule="auto"/>
              <w:rPr>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434" w:type="dxa"/>
          </w:tcPr>
          <w:p>
            <w:pPr>
              <w:pStyle w:val="27"/>
              <w:spacing w:before="142" w:line="360" w:lineRule="auto"/>
              <w:ind w:left="182"/>
              <w:rPr>
                <w:color w:val="auto"/>
                <w:sz w:val="21"/>
                <w:highlight w:val="none"/>
              </w:rPr>
            </w:pPr>
            <w:r>
              <w:rPr>
                <w:rFonts w:hint="eastAsia"/>
                <w:color w:val="auto"/>
                <w:sz w:val="21"/>
                <w:highlight w:val="none"/>
              </w:rPr>
              <w:t>基本账户银行账号</w:t>
            </w:r>
          </w:p>
        </w:tc>
        <w:tc>
          <w:tcPr>
            <w:tcW w:w="2823" w:type="dxa"/>
            <w:gridSpan w:val="3"/>
          </w:tcPr>
          <w:p>
            <w:pPr>
              <w:pStyle w:val="27"/>
              <w:spacing w:line="360" w:lineRule="auto"/>
              <w:rPr>
                <w:color w:val="auto"/>
                <w:sz w:val="20"/>
                <w:highlight w:val="none"/>
              </w:rPr>
            </w:pPr>
          </w:p>
        </w:tc>
        <w:tc>
          <w:tcPr>
            <w:tcW w:w="415" w:type="dxa"/>
            <w:vMerge w:val="continue"/>
            <w:tcBorders>
              <w:top w:val="nil"/>
            </w:tcBorders>
          </w:tcPr>
          <w:p>
            <w:pPr>
              <w:spacing w:line="360" w:lineRule="auto"/>
              <w:rPr>
                <w:color w:val="auto"/>
                <w:sz w:val="2"/>
                <w:szCs w:val="2"/>
                <w:highlight w:val="none"/>
              </w:rPr>
            </w:pPr>
          </w:p>
        </w:tc>
        <w:tc>
          <w:tcPr>
            <w:tcW w:w="1699" w:type="dxa"/>
            <w:gridSpan w:val="2"/>
          </w:tcPr>
          <w:p>
            <w:pPr>
              <w:pStyle w:val="27"/>
              <w:spacing w:before="142" w:line="360" w:lineRule="auto"/>
              <w:ind w:left="220"/>
              <w:rPr>
                <w:color w:val="auto"/>
                <w:sz w:val="21"/>
                <w:highlight w:val="none"/>
              </w:rPr>
            </w:pPr>
            <w:r>
              <w:rPr>
                <w:rFonts w:hint="eastAsia"/>
                <w:color w:val="auto"/>
                <w:sz w:val="21"/>
                <w:highlight w:val="none"/>
              </w:rPr>
              <w:t>各类注册人员</w:t>
            </w:r>
          </w:p>
        </w:tc>
        <w:tc>
          <w:tcPr>
            <w:tcW w:w="1725" w:type="dxa"/>
            <w:gridSpan w:val="2"/>
          </w:tcPr>
          <w:p>
            <w:pPr>
              <w:pStyle w:val="27"/>
              <w:spacing w:line="360" w:lineRule="auto"/>
              <w:rPr>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pPr>
              <w:pStyle w:val="27"/>
              <w:spacing w:before="142" w:line="360" w:lineRule="auto"/>
              <w:ind w:left="707"/>
              <w:rPr>
                <w:color w:val="auto"/>
                <w:sz w:val="21"/>
                <w:highlight w:val="none"/>
              </w:rPr>
            </w:pPr>
            <w:r>
              <w:rPr>
                <w:rFonts w:hint="eastAsia"/>
                <w:color w:val="auto"/>
                <w:sz w:val="21"/>
                <w:highlight w:val="none"/>
              </w:rPr>
              <w:t>经营范围</w:t>
            </w:r>
          </w:p>
        </w:tc>
        <w:tc>
          <w:tcPr>
            <w:tcW w:w="6662" w:type="dxa"/>
            <w:gridSpan w:val="8"/>
          </w:tcPr>
          <w:p>
            <w:pPr>
              <w:pStyle w:val="27"/>
              <w:spacing w:line="360" w:lineRule="auto"/>
              <w:rPr>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trPr>
        <w:tc>
          <w:tcPr>
            <w:tcW w:w="2434" w:type="dxa"/>
          </w:tcPr>
          <w:p>
            <w:pPr>
              <w:pStyle w:val="27"/>
              <w:spacing w:before="142"/>
              <w:ind w:left="108" w:right="91" w:hanging="6"/>
              <w:rPr>
                <w:color w:val="auto"/>
                <w:sz w:val="21"/>
                <w:highlight w:val="none"/>
              </w:rPr>
            </w:pPr>
            <w:r>
              <w:rPr>
                <w:rFonts w:hint="eastAsia"/>
                <w:color w:val="auto"/>
                <w:spacing w:val="-3"/>
                <w:sz w:val="21"/>
                <w:highlight w:val="none"/>
              </w:rPr>
              <w:t>投标人关联企业情</w:t>
            </w:r>
            <w:r>
              <w:rPr>
                <w:rFonts w:hint="eastAsia"/>
                <w:color w:val="auto"/>
                <w:spacing w:val="-60"/>
                <w:sz w:val="21"/>
                <w:highlight w:val="none"/>
              </w:rPr>
              <w:t>况</w:t>
            </w:r>
            <w:r>
              <w:rPr>
                <w:rFonts w:hint="eastAsia"/>
                <w:color w:val="auto"/>
                <w:sz w:val="21"/>
                <w:highlight w:val="none"/>
              </w:rPr>
              <w:t>（</w:t>
            </w:r>
            <w:r>
              <w:rPr>
                <w:rFonts w:hint="eastAsia"/>
                <w:color w:val="auto"/>
                <w:spacing w:val="-5"/>
                <w:sz w:val="21"/>
                <w:highlight w:val="none"/>
              </w:rPr>
              <w:t>包括但不限于与</w:t>
            </w:r>
            <w:r>
              <w:rPr>
                <w:rFonts w:hint="eastAsia"/>
                <w:color w:val="auto"/>
                <w:spacing w:val="-3"/>
                <w:sz w:val="21"/>
                <w:highlight w:val="none"/>
              </w:rPr>
              <w:t>投标人法定代表人为同一人或者存在</w:t>
            </w:r>
            <w:r>
              <w:rPr>
                <w:rFonts w:hint="eastAsia"/>
                <w:color w:val="auto"/>
                <w:spacing w:val="-12"/>
                <w:sz w:val="21"/>
                <w:highlight w:val="none"/>
              </w:rPr>
              <w:t>控股、管理关系的不</w:t>
            </w:r>
            <w:r>
              <w:rPr>
                <w:rFonts w:hint="eastAsia"/>
                <w:color w:val="auto"/>
                <w:sz w:val="21"/>
                <w:highlight w:val="none"/>
              </w:rPr>
              <w:t>同单位）</w:t>
            </w:r>
          </w:p>
        </w:tc>
        <w:tc>
          <w:tcPr>
            <w:tcW w:w="6662" w:type="dxa"/>
            <w:gridSpan w:val="8"/>
          </w:tcPr>
          <w:p>
            <w:pPr>
              <w:pStyle w:val="27"/>
              <w:spacing w:line="360" w:lineRule="auto"/>
              <w:rPr>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434" w:type="dxa"/>
          </w:tcPr>
          <w:p>
            <w:pPr>
              <w:pStyle w:val="27"/>
              <w:spacing w:before="142" w:line="360" w:lineRule="auto"/>
              <w:ind w:left="583" w:right="569"/>
              <w:jc w:val="center"/>
              <w:rPr>
                <w:color w:val="auto"/>
                <w:sz w:val="21"/>
                <w:highlight w:val="none"/>
              </w:rPr>
            </w:pPr>
            <w:r>
              <w:rPr>
                <w:rFonts w:hint="eastAsia"/>
                <w:color w:val="auto"/>
                <w:sz w:val="21"/>
                <w:highlight w:val="none"/>
              </w:rPr>
              <w:t>备注</w:t>
            </w:r>
          </w:p>
        </w:tc>
        <w:tc>
          <w:tcPr>
            <w:tcW w:w="6662" w:type="dxa"/>
            <w:gridSpan w:val="8"/>
          </w:tcPr>
          <w:p>
            <w:pPr>
              <w:pStyle w:val="27"/>
              <w:spacing w:line="360" w:lineRule="auto"/>
              <w:rPr>
                <w:color w:val="auto"/>
                <w:sz w:val="20"/>
                <w:highlight w:val="none"/>
              </w:rPr>
            </w:pPr>
          </w:p>
        </w:tc>
      </w:tr>
    </w:tbl>
    <w:p>
      <w:pPr>
        <w:pStyle w:val="11"/>
        <w:spacing w:before="109" w:line="360" w:lineRule="auto"/>
        <w:ind w:left="240" w:right="366"/>
        <w:rPr>
          <w:color w:val="auto"/>
          <w:highlight w:val="none"/>
        </w:rPr>
      </w:pPr>
      <w:r>
        <w:rPr>
          <w:rFonts w:hint="eastAsia"/>
          <w:color w:val="auto"/>
          <w:spacing w:val="-10"/>
          <w:highlight w:val="none"/>
        </w:rPr>
        <w:t xml:space="preserve">注：投标人应根据投标人须知第 </w:t>
      </w:r>
      <w:r>
        <w:rPr>
          <w:rFonts w:hint="eastAsia"/>
          <w:color w:val="auto"/>
          <w:highlight w:val="none"/>
        </w:rPr>
        <w:t xml:space="preserve">3.5.1 </w:t>
      </w:r>
      <w:r>
        <w:rPr>
          <w:rFonts w:hint="eastAsia"/>
          <w:color w:val="auto"/>
          <w:spacing w:val="-6"/>
          <w:highlight w:val="none"/>
        </w:rPr>
        <w:t>项的要求在本表后附相关证明材料</w:t>
      </w:r>
      <w:r>
        <w:rPr>
          <w:rFonts w:hint="eastAsia" w:ascii="Times New Roman" w:hAnsi="Times New Roman"/>
          <w:color w:val="auto"/>
          <w:highlight w:val="none"/>
        </w:rPr>
        <w:t>。</w:t>
      </w:r>
    </w:p>
    <w:p>
      <w:pPr>
        <w:spacing w:line="360" w:lineRule="auto"/>
        <w:ind w:right="366"/>
        <w:rPr>
          <w:color w:val="auto"/>
          <w:highlight w:val="none"/>
        </w:rPr>
        <w:sectPr>
          <w:pgSz w:w="11906" w:h="16838"/>
          <w:pgMar w:top="1500" w:right="1100" w:bottom="1120" w:left="1560" w:header="0" w:footer="841" w:gutter="0"/>
          <w:cols w:space="720" w:num="1"/>
        </w:sectPr>
      </w:pPr>
    </w:p>
    <w:p>
      <w:pPr>
        <w:spacing w:before="43" w:line="360" w:lineRule="auto"/>
        <w:ind w:left="377"/>
        <w:rPr>
          <w:color w:val="auto"/>
          <w:sz w:val="28"/>
          <w:highlight w:val="none"/>
        </w:rPr>
      </w:pPr>
      <w:bookmarkStart w:id="47" w:name="_bookmark186"/>
      <w:bookmarkEnd w:id="47"/>
      <w:r>
        <w:rPr>
          <w:rFonts w:hint="eastAsia"/>
          <w:color w:val="auto"/>
          <w:sz w:val="28"/>
          <w:highlight w:val="none"/>
        </w:rPr>
        <w:t>（二）近年财务状况表</w:t>
      </w:r>
    </w:p>
    <w:p>
      <w:pPr>
        <w:pStyle w:val="11"/>
        <w:spacing w:line="360" w:lineRule="auto"/>
        <w:ind w:left="426"/>
        <w:rPr>
          <w:color w:val="auto"/>
          <w:highlight w:val="none"/>
        </w:rPr>
      </w:pPr>
      <w:r>
        <w:rPr>
          <w:rFonts w:hint="eastAsia"/>
          <w:color w:val="auto"/>
          <w:highlight w:val="none"/>
        </w:rPr>
        <w:t>注：本招标项目的资格审查资料不需要提供此项内容。如投标人认为有需要提供，</w:t>
      </w:r>
      <w:r>
        <w:rPr>
          <w:color w:val="auto"/>
          <w:highlight w:val="none"/>
        </w:rPr>
        <w:t>应根据投标人须知第3.5.2项的要求在本表后附相关证明材料。</w:t>
      </w:r>
    </w:p>
    <w:p>
      <w:pPr>
        <w:spacing w:line="360" w:lineRule="auto"/>
        <w:ind w:left="426"/>
        <w:rPr>
          <w:color w:val="auto"/>
          <w:highlight w:val="none"/>
        </w:rPr>
        <w:sectPr>
          <w:pgSz w:w="11906" w:h="16838"/>
          <w:pgMar w:top="1400" w:right="1100" w:bottom="1120" w:left="1560" w:header="0" w:footer="841" w:gutter="0"/>
          <w:cols w:space="720" w:num="1"/>
        </w:sectPr>
      </w:pPr>
    </w:p>
    <w:p>
      <w:pPr>
        <w:spacing w:before="43" w:line="360" w:lineRule="auto"/>
        <w:ind w:left="377"/>
        <w:rPr>
          <w:color w:val="auto"/>
          <w:sz w:val="28"/>
          <w:highlight w:val="none"/>
        </w:rPr>
      </w:pPr>
      <w:bookmarkStart w:id="48" w:name="_bookmark187"/>
      <w:bookmarkEnd w:id="48"/>
      <w:r>
        <w:rPr>
          <w:rFonts w:hint="eastAsia"/>
          <w:color w:val="auto"/>
          <w:sz w:val="28"/>
          <w:highlight w:val="none"/>
        </w:rPr>
        <w:t>（三）近年完成的类似项目情况表（格式可自拟）</w:t>
      </w:r>
    </w:p>
    <w:p>
      <w:pPr>
        <w:pStyle w:val="11"/>
        <w:spacing w:line="360" w:lineRule="auto"/>
        <w:ind w:left="426"/>
        <w:rPr>
          <w:color w:val="auto"/>
          <w:highlight w:val="none"/>
        </w:rPr>
        <w:sectPr>
          <w:pgSz w:w="11906" w:h="16838"/>
          <w:pgMar w:top="1400" w:right="1100" w:bottom="1120" w:left="1560" w:header="0" w:footer="841" w:gutter="0"/>
          <w:cols w:space="720" w:num="1"/>
        </w:sectPr>
      </w:pPr>
      <w:r>
        <w:rPr>
          <w:rFonts w:hint="eastAsia"/>
          <w:color w:val="auto"/>
          <w:highlight w:val="none"/>
        </w:rPr>
        <w:t>注：本招标项目的资格审查资料不需要提供此项内容。如投标人认为有需要提供，</w:t>
      </w:r>
      <w:r>
        <w:rPr>
          <w:color w:val="auto"/>
          <w:highlight w:val="none"/>
        </w:rPr>
        <w:t>应根据投标人须知第</w:t>
      </w:r>
      <w:r>
        <w:rPr>
          <w:rFonts w:hint="eastAsia"/>
          <w:color w:val="auto"/>
          <w:highlight w:val="none"/>
        </w:rPr>
        <w:t>3.5.3 项的要求在本表后附相关证明材料。</w:t>
      </w:r>
    </w:p>
    <w:p>
      <w:pPr>
        <w:spacing w:before="43" w:line="360" w:lineRule="auto"/>
        <w:ind w:left="377"/>
        <w:rPr>
          <w:color w:val="auto"/>
          <w:sz w:val="28"/>
          <w:highlight w:val="none"/>
        </w:rPr>
      </w:pPr>
      <w:bookmarkStart w:id="49" w:name="_bookmark188"/>
      <w:bookmarkEnd w:id="49"/>
      <w:r>
        <w:rPr>
          <w:rFonts w:hint="eastAsia"/>
          <w:color w:val="auto"/>
          <w:sz w:val="28"/>
          <w:highlight w:val="none"/>
        </w:rPr>
        <w:t>（四）正在</w:t>
      </w:r>
      <w:r>
        <w:rPr>
          <w:rFonts w:hint="eastAsia"/>
          <w:color w:val="auto"/>
          <w:sz w:val="28"/>
          <w:highlight w:val="none"/>
          <w:lang w:val="en-US"/>
        </w:rPr>
        <w:t>进行</w:t>
      </w:r>
      <w:r>
        <w:rPr>
          <w:rFonts w:hint="eastAsia"/>
          <w:color w:val="auto"/>
          <w:sz w:val="28"/>
          <w:highlight w:val="none"/>
        </w:rPr>
        <w:t>和新承接的项目情况表（格式可自拟）</w:t>
      </w:r>
    </w:p>
    <w:p>
      <w:pPr>
        <w:pStyle w:val="11"/>
        <w:spacing w:before="142" w:line="360" w:lineRule="auto"/>
        <w:ind w:left="240"/>
        <w:rPr>
          <w:color w:val="auto"/>
          <w:highlight w:val="none"/>
        </w:rPr>
      </w:pPr>
      <w:r>
        <w:rPr>
          <w:rFonts w:hint="eastAsia"/>
          <w:color w:val="auto"/>
          <w:highlight w:val="none"/>
        </w:rPr>
        <w:t>注：本招标项目的资格审查资料不需要提供此项内容。如投标人认为有需要提供，应根据投标人须知第 3.5.4 项的要求在本表后附相关证明材料。</w:t>
      </w:r>
    </w:p>
    <w:p>
      <w:pPr>
        <w:spacing w:line="360" w:lineRule="auto"/>
        <w:rPr>
          <w:color w:val="auto"/>
          <w:highlight w:val="none"/>
        </w:rPr>
        <w:sectPr>
          <w:pgSz w:w="11906" w:h="16838"/>
          <w:pgMar w:top="1400" w:right="1100" w:bottom="1120" w:left="1560" w:header="0" w:footer="841" w:gutter="0"/>
          <w:cols w:space="720" w:num="1"/>
        </w:sectPr>
      </w:pPr>
    </w:p>
    <w:p>
      <w:pPr>
        <w:spacing w:before="35" w:line="360" w:lineRule="auto"/>
        <w:ind w:left="377"/>
        <w:rPr>
          <w:color w:val="auto"/>
          <w:sz w:val="28"/>
          <w:highlight w:val="none"/>
        </w:rPr>
      </w:pPr>
      <w:bookmarkStart w:id="50" w:name="_bookmark189"/>
      <w:bookmarkEnd w:id="50"/>
      <w:r>
        <w:rPr>
          <w:rFonts w:hint="eastAsia"/>
          <w:color w:val="auto"/>
          <w:sz w:val="28"/>
          <w:highlight w:val="none"/>
        </w:rPr>
        <w:t>（五）近年发生的诉讼及仲裁情况</w:t>
      </w:r>
    </w:p>
    <w:p>
      <w:pPr>
        <w:pStyle w:val="11"/>
        <w:spacing w:line="360" w:lineRule="auto"/>
        <w:ind w:left="240"/>
        <w:rPr>
          <w:color w:val="auto"/>
          <w:highlight w:val="none"/>
        </w:rPr>
      </w:pPr>
      <w:r>
        <w:rPr>
          <w:rFonts w:hint="eastAsia"/>
          <w:color w:val="auto"/>
          <w:highlight w:val="none"/>
        </w:rPr>
        <w:t>注：本招标项目的资格审查资料不需要提供此项内容。如投标人认为有需要提供，投标人应根据投标人须知第3.5.5项的要求附相关证明材料。</w:t>
      </w:r>
    </w:p>
    <w:p>
      <w:pPr>
        <w:spacing w:line="360" w:lineRule="auto"/>
        <w:rPr>
          <w:color w:val="auto"/>
          <w:highlight w:val="none"/>
        </w:rPr>
        <w:sectPr>
          <w:pgSz w:w="11906" w:h="16838"/>
          <w:pgMar w:top="1480" w:right="1100" w:bottom="1120" w:left="1560" w:header="0" w:footer="841" w:gutter="0"/>
          <w:cols w:space="720" w:num="1"/>
        </w:sectPr>
      </w:pPr>
    </w:p>
    <w:p>
      <w:pPr>
        <w:spacing w:line="360" w:lineRule="auto"/>
        <w:ind w:right="461"/>
        <w:jc w:val="center"/>
        <w:rPr>
          <w:b/>
          <w:color w:val="auto"/>
          <w:sz w:val="32"/>
          <w:highlight w:val="none"/>
        </w:rPr>
      </w:pPr>
      <w:bookmarkStart w:id="51" w:name="_bookmark190"/>
      <w:bookmarkEnd w:id="51"/>
      <w:r>
        <w:rPr>
          <w:rFonts w:hint="eastAsia"/>
          <w:b/>
          <w:color w:val="auto"/>
          <w:sz w:val="32"/>
          <w:highlight w:val="none"/>
          <w:lang w:val="en-US"/>
        </w:rPr>
        <w:t>七</w:t>
      </w:r>
      <w:r>
        <w:rPr>
          <w:rFonts w:hint="eastAsia"/>
          <w:b/>
          <w:color w:val="auto"/>
          <w:sz w:val="32"/>
          <w:highlight w:val="none"/>
        </w:rPr>
        <w:t>、拟委任的主要人员汇总表（格式可自拟）</w:t>
      </w:r>
    </w:p>
    <w:p>
      <w:pPr>
        <w:pStyle w:val="11"/>
        <w:spacing w:before="9" w:line="360" w:lineRule="auto"/>
        <w:rPr>
          <w:color w:val="auto"/>
          <w:sz w:val="20"/>
          <w:highlight w:val="none"/>
        </w:rPr>
      </w:pP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783"/>
        <w:gridCol w:w="1783"/>
        <w:gridCol w:w="1783"/>
        <w:gridCol w:w="3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40" w:type="pct"/>
            <w:vAlign w:val="center"/>
          </w:tcPr>
          <w:p>
            <w:pPr>
              <w:widowControl/>
              <w:jc w:val="center"/>
              <w:rPr>
                <w:b/>
                <w:bCs/>
                <w:color w:val="auto"/>
                <w:szCs w:val="21"/>
                <w:highlight w:val="none"/>
              </w:rPr>
            </w:pPr>
            <w:r>
              <w:rPr>
                <w:rFonts w:hint="eastAsia"/>
                <w:b/>
                <w:bCs/>
                <w:color w:val="auto"/>
                <w:szCs w:val="21"/>
                <w:highlight w:val="none"/>
              </w:rPr>
              <w:t>序号</w:t>
            </w:r>
          </w:p>
        </w:tc>
        <w:tc>
          <w:tcPr>
            <w:tcW w:w="942" w:type="pct"/>
            <w:vAlign w:val="center"/>
          </w:tcPr>
          <w:p>
            <w:pPr>
              <w:widowControl/>
              <w:jc w:val="center"/>
              <w:rPr>
                <w:b/>
                <w:bCs/>
                <w:color w:val="auto"/>
                <w:szCs w:val="21"/>
                <w:highlight w:val="none"/>
              </w:rPr>
            </w:pPr>
            <w:r>
              <w:rPr>
                <w:rFonts w:hint="eastAsia"/>
                <w:b/>
                <w:bCs/>
                <w:color w:val="auto"/>
                <w:szCs w:val="21"/>
                <w:highlight w:val="none"/>
              </w:rPr>
              <w:t>姓名</w:t>
            </w:r>
          </w:p>
        </w:tc>
        <w:tc>
          <w:tcPr>
            <w:tcW w:w="942" w:type="pct"/>
            <w:vAlign w:val="center"/>
          </w:tcPr>
          <w:p>
            <w:pPr>
              <w:widowControl/>
              <w:jc w:val="center"/>
              <w:rPr>
                <w:b/>
                <w:bCs/>
                <w:color w:val="auto"/>
                <w:szCs w:val="21"/>
                <w:highlight w:val="none"/>
              </w:rPr>
            </w:pPr>
            <w:r>
              <w:rPr>
                <w:rFonts w:hint="eastAsia"/>
                <w:b/>
                <w:bCs/>
                <w:color w:val="auto"/>
                <w:szCs w:val="21"/>
                <w:highlight w:val="none"/>
              </w:rPr>
              <w:t>岗位</w:t>
            </w:r>
          </w:p>
        </w:tc>
        <w:tc>
          <w:tcPr>
            <w:tcW w:w="942" w:type="pct"/>
            <w:vAlign w:val="center"/>
          </w:tcPr>
          <w:p>
            <w:pPr>
              <w:widowControl/>
              <w:jc w:val="center"/>
              <w:rPr>
                <w:b/>
                <w:bCs/>
                <w:color w:val="auto"/>
                <w:szCs w:val="21"/>
                <w:highlight w:val="none"/>
              </w:rPr>
            </w:pPr>
            <w:r>
              <w:rPr>
                <w:rFonts w:hint="eastAsia"/>
                <w:b/>
                <w:bCs/>
                <w:color w:val="auto"/>
                <w:szCs w:val="21"/>
                <w:highlight w:val="none"/>
              </w:rPr>
              <w:t>职称</w:t>
            </w:r>
          </w:p>
        </w:tc>
        <w:tc>
          <w:tcPr>
            <w:tcW w:w="1734" w:type="pct"/>
            <w:vAlign w:val="center"/>
          </w:tcPr>
          <w:p>
            <w:pPr>
              <w:widowControl/>
              <w:jc w:val="center"/>
              <w:rPr>
                <w:b/>
                <w:bCs/>
                <w:color w:val="auto"/>
                <w:szCs w:val="21"/>
                <w:highlight w:val="none"/>
              </w:rPr>
            </w:pPr>
            <w:r>
              <w:rPr>
                <w:rFonts w:hint="eastAsia"/>
                <w:b/>
                <w:bCs/>
                <w:color w:val="auto"/>
                <w:szCs w:val="21"/>
                <w:highlight w:val="none"/>
              </w:rPr>
              <w:t>职称证书或资格证书编号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color w:val="auto"/>
                <w:szCs w:val="21"/>
                <w:highlight w:val="none"/>
              </w:rPr>
            </w:pPr>
            <w:r>
              <w:rPr>
                <w:rFonts w:hint="eastAsia"/>
                <w:color w:val="auto"/>
                <w:szCs w:val="21"/>
                <w:highlight w:val="none"/>
              </w:rPr>
              <w:t>1</w:t>
            </w:r>
          </w:p>
        </w:tc>
        <w:tc>
          <w:tcPr>
            <w:tcW w:w="942" w:type="pct"/>
            <w:noWrap/>
            <w:vAlign w:val="center"/>
          </w:tcPr>
          <w:p>
            <w:pPr>
              <w:widowControl/>
              <w:jc w:val="center"/>
              <w:rPr>
                <w:color w:val="auto"/>
                <w:szCs w:val="21"/>
                <w:highlight w:val="none"/>
              </w:rPr>
            </w:pPr>
            <w:r>
              <w:rPr>
                <w:rFonts w:hint="eastAsia"/>
                <w:color w:val="auto"/>
                <w:szCs w:val="21"/>
                <w:highlight w:val="none"/>
              </w:rPr>
              <w:t>　</w:t>
            </w:r>
          </w:p>
        </w:tc>
        <w:tc>
          <w:tcPr>
            <w:tcW w:w="942" w:type="pct"/>
            <w:noWrap/>
            <w:vAlign w:val="center"/>
          </w:tcPr>
          <w:p>
            <w:pPr>
              <w:widowControl/>
              <w:jc w:val="center"/>
              <w:rPr>
                <w:color w:val="auto"/>
                <w:szCs w:val="21"/>
                <w:highlight w:val="none"/>
              </w:rPr>
            </w:pPr>
            <w:r>
              <w:rPr>
                <w:rFonts w:hint="eastAsia"/>
                <w:color w:val="auto"/>
                <w:szCs w:val="21"/>
                <w:highlight w:val="none"/>
              </w:rPr>
              <w:t>　</w:t>
            </w:r>
          </w:p>
        </w:tc>
        <w:tc>
          <w:tcPr>
            <w:tcW w:w="942" w:type="pct"/>
            <w:noWrap/>
            <w:vAlign w:val="center"/>
          </w:tcPr>
          <w:p>
            <w:pPr>
              <w:widowControl/>
              <w:jc w:val="center"/>
              <w:rPr>
                <w:color w:val="auto"/>
                <w:szCs w:val="21"/>
                <w:highlight w:val="none"/>
              </w:rPr>
            </w:pPr>
            <w:r>
              <w:rPr>
                <w:rFonts w:hint="eastAsia"/>
                <w:color w:val="auto"/>
                <w:szCs w:val="21"/>
                <w:highlight w:val="none"/>
              </w:rPr>
              <w:t>　</w:t>
            </w:r>
          </w:p>
        </w:tc>
        <w:tc>
          <w:tcPr>
            <w:tcW w:w="1734" w:type="pct"/>
            <w:noWrap/>
            <w:vAlign w:val="center"/>
          </w:tcPr>
          <w:p>
            <w:pPr>
              <w:widowControl/>
              <w:jc w:val="center"/>
              <w:rPr>
                <w:color w:val="auto"/>
                <w:szCs w:val="21"/>
                <w:highlight w:val="none"/>
              </w:rPr>
            </w:pPr>
            <w:r>
              <w:rPr>
                <w:rFonts w:hint="eastAsia"/>
                <w:color w:val="auto"/>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color w:val="auto"/>
                <w:szCs w:val="21"/>
                <w:highlight w:val="none"/>
              </w:rPr>
            </w:pPr>
            <w:r>
              <w:rPr>
                <w:rFonts w:hint="eastAsia"/>
                <w:color w:val="auto"/>
                <w:szCs w:val="21"/>
                <w:highlight w:val="none"/>
              </w:rPr>
              <w:t>2</w:t>
            </w:r>
          </w:p>
        </w:tc>
        <w:tc>
          <w:tcPr>
            <w:tcW w:w="942" w:type="pct"/>
            <w:noWrap/>
            <w:vAlign w:val="center"/>
          </w:tcPr>
          <w:p>
            <w:pPr>
              <w:widowControl/>
              <w:jc w:val="center"/>
              <w:rPr>
                <w:color w:val="auto"/>
                <w:szCs w:val="21"/>
                <w:highlight w:val="none"/>
              </w:rPr>
            </w:pPr>
            <w:r>
              <w:rPr>
                <w:rFonts w:hint="eastAsia"/>
                <w:color w:val="auto"/>
                <w:szCs w:val="21"/>
                <w:highlight w:val="none"/>
              </w:rPr>
              <w:t>　</w:t>
            </w:r>
          </w:p>
        </w:tc>
        <w:tc>
          <w:tcPr>
            <w:tcW w:w="942" w:type="pct"/>
            <w:noWrap/>
            <w:vAlign w:val="center"/>
          </w:tcPr>
          <w:p>
            <w:pPr>
              <w:widowControl/>
              <w:jc w:val="center"/>
              <w:rPr>
                <w:color w:val="auto"/>
                <w:szCs w:val="21"/>
                <w:highlight w:val="none"/>
              </w:rPr>
            </w:pPr>
            <w:r>
              <w:rPr>
                <w:rFonts w:hint="eastAsia"/>
                <w:color w:val="auto"/>
                <w:szCs w:val="21"/>
                <w:highlight w:val="none"/>
              </w:rPr>
              <w:t>　</w:t>
            </w:r>
          </w:p>
        </w:tc>
        <w:tc>
          <w:tcPr>
            <w:tcW w:w="942" w:type="pct"/>
            <w:noWrap/>
            <w:vAlign w:val="center"/>
          </w:tcPr>
          <w:p>
            <w:pPr>
              <w:widowControl/>
              <w:jc w:val="center"/>
              <w:rPr>
                <w:color w:val="auto"/>
                <w:szCs w:val="21"/>
                <w:highlight w:val="none"/>
              </w:rPr>
            </w:pPr>
            <w:r>
              <w:rPr>
                <w:rFonts w:hint="eastAsia"/>
                <w:color w:val="auto"/>
                <w:szCs w:val="21"/>
                <w:highlight w:val="none"/>
              </w:rPr>
              <w:t>　</w:t>
            </w:r>
          </w:p>
        </w:tc>
        <w:tc>
          <w:tcPr>
            <w:tcW w:w="1734" w:type="pct"/>
            <w:noWrap/>
            <w:vAlign w:val="center"/>
          </w:tcPr>
          <w:p>
            <w:pPr>
              <w:widowControl/>
              <w:jc w:val="center"/>
              <w:rPr>
                <w:color w:val="auto"/>
                <w:szCs w:val="21"/>
                <w:highlight w:val="none"/>
              </w:rPr>
            </w:pPr>
            <w:r>
              <w:rPr>
                <w:rFonts w:hint="eastAsia"/>
                <w:color w:val="auto"/>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color w:val="auto"/>
                <w:szCs w:val="21"/>
                <w:highlight w:val="none"/>
              </w:rPr>
            </w:pPr>
            <w:r>
              <w:rPr>
                <w:rFonts w:hint="eastAsia"/>
                <w:color w:val="auto"/>
                <w:szCs w:val="21"/>
                <w:highlight w:val="none"/>
              </w:rPr>
              <w:t>3</w:t>
            </w:r>
          </w:p>
        </w:tc>
        <w:tc>
          <w:tcPr>
            <w:tcW w:w="942" w:type="pct"/>
            <w:noWrap/>
            <w:vAlign w:val="center"/>
          </w:tcPr>
          <w:p>
            <w:pPr>
              <w:widowControl/>
              <w:jc w:val="center"/>
              <w:rPr>
                <w:color w:val="auto"/>
                <w:szCs w:val="21"/>
                <w:highlight w:val="none"/>
              </w:rPr>
            </w:pPr>
            <w:r>
              <w:rPr>
                <w:rFonts w:hint="eastAsia"/>
                <w:color w:val="auto"/>
                <w:szCs w:val="21"/>
                <w:highlight w:val="none"/>
              </w:rPr>
              <w:t>　</w:t>
            </w:r>
          </w:p>
        </w:tc>
        <w:tc>
          <w:tcPr>
            <w:tcW w:w="942" w:type="pct"/>
            <w:noWrap/>
            <w:vAlign w:val="center"/>
          </w:tcPr>
          <w:p>
            <w:pPr>
              <w:widowControl/>
              <w:jc w:val="center"/>
              <w:rPr>
                <w:color w:val="auto"/>
                <w:szCs w:val="21"/>
                <w:highlight w:val="none"/>
              </w:rPr>
            </w:pPr>
            <w:r>
              <w:rPr>
                <w:rFonts w:hint="eastAsia"/>
                <w:color w:val="auto"/>
                <w:szCs w:val="21"/>
                <w:highlight w:val="none"/>
              </w:rPr>
              <w:t>　</w:t>
            </w:r>
          </w:p>
        </w:tc>
        <w:tc>
          <w:tcPr>
            <w:tcW w:w="942" w:type="pct"/>
            <w:noWrap/>
            <w:vAlign w:val="center"/>
          </w:tcPr>
          <w:p>
            <w:pPr>
              <w:widowControl/>
              <w:jc w:val="center"/>
              <w:rPr>
                <w:color w:val="auto"/>
                <w:szCs w:val="21"/>
                <w:highlight w:val="none"/>
              </w:rPr>
            </w:pPr>
            <w:r>
              <w:rPr>
                <w:rFonts w:hint="eastAsia"/>
                <w:color w:val="auto"/>
                <w:szCs w:val="21"/>
                <w:highlight w:val="none"/>
              </w:rPr>
              <w:t>　</w:t>
            </w:r>
          </w:p>
        </w:tc>
        <w:tc>
          <w:tcPr>
            <w:tcW w:w="1734" w:type="pct"/>
            <w:noWrap/>
            <w:vAlign w:val="center"/>
          </w:tcPr>
          <w:p>
            <w:pPr>
              <w:widowControl/>
              <w:jc w:val="center"/>
              <w:rPr>
                <w:color w:val="auto"/>
                <w:szCs w:val="21"/>
                <w:highlight w:val="none"/>
              </w:rPr>
            </w:pPr>
            <w:r>
              <w:rPr>
                <w:rFonts w:hint="eastAsia"/>
                <w:color w:val="auto"/>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color w:val="auto"/>
                <w:szCs w:val="21"/>
                <w:highlight w:val="none"/>
              </w:rPr>
            </w:pPr>
            <w:r>
              <w:rPr>
                <w:rFonts w:hint="eastAsia"/>
                <w:color w:val="auto"/>
                <w:szCs w:val="21"/>
                <w:highlight w:val="none"/>
              </w:rPr>
              <w:t>4</w:t>
            </w:r>
          </w:p>
        </w:tc>
        <w:tc>
          <w:tcPr>
            <w:tcW w:w="942" w:type="pct"/>
            <w:noWrap/>
            <w:vAlign w:val="center"/>
          </w:tcPr>
          <w:p>
            <w:pPr>
              <w:widowControl/>
              <w:jc w:val="center"/>
              <w:rPr>
                <w:color w:val="auto"/>
                <w:szCs w:val="21"/>
                <w:highlight w:val="none"/>
              </w:rPr>
            </w:pPr>
            <w:r>
              <w:rPr>
                <w:rFonts w:hint="eastAsia"/>
                <w:color w:val="auto"/>
                <w:szCs w:val="21"/>
                <w:highlight w:val="none"/>
              </w:rPr>
              <w:t>　</w:t>
            </w:r>
          </w:p>
        </w:tc>
        <w:tc>
          <w:tcPr>
            <w:tcW w:w="942" w:type="pct"/>
            <w:noWrap/>
            <w:vAlign w:val="center"/>
          </w:tcPr>
          <w:p>
            <w:pPr>
              <w:widowControl/>
              <w:jc w:val="center"/>
              <w:rPr>
                <w:color w:val="auto"/>
                <w:szCs w:val="21"/>
                <w:highlight w:val="none"/>
              </w:rPr>
            </w:pPr>
            <w:r>
              <w:rPr>
                <w:rFonts w:hint="eastAsia"/>
                <w:color w:val="auto"/>
                <w:szCs w:val="21"/>
                <w:highlight w:val="none"/>
              </w:rPr>
              <w:t>　</w:t>
            </w:r>
          </w:p>
        </w:tc>
        <w:tc>
          <w:tcPr>
            <w:tcW w:w="942" w:type="pct"/>
            <w:noWrap/>
            <w:vAlign w:val="center"/>
          </w:tcPr>
          <w:p>
            <w:pPr>
              <w:widowControl/>
              <w:jc w:val="center"/>
              <w:rPr>
                <w:color w:val="auto"/>
                <w:szCs w:val="21"/>
                <w:highlight w:val="none"/>
              </w:rPr>
            </w:pPr>
            <w:r>
              <w:rPr>
                <w:rFonts w:hint="eastAsia"/>
                <w:color w:val="auto"/>
                <w:szCs w:val="21"/>
                <w:highlight w:val="none"/>
              </w:rPr>
              <w:t>　</w:t>
            </w:r>
          </w:p>
        </w:tc>
        <w:tc>
          <w:tcPr>
            <w:tcW w:w="1734" w:type="pct"/>
            <w:noWrap/>
            <w:vAlign w:val="center"/>
          </w:tcPr>
          <w:p>
            <w:pPr>
              <w:widowControl/>
              <w:jc w:val="center"/>
              <w:rPr>
                <w:color w:val="auto"/>
                <w:szCs w:val="21"/>
                <w:highlight w:val="none"/>
              </w:rPr>
            </w:pPr>
            <w:r>
              <w:rPr>
                <w:rFonts w:hint="eastAsia"/>
                <w:color w:val="auto"/>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color w:val="auto"/>
                <w:szCs w:val="21"/>
                <w:highlight w:val="none"/>
              </w:rPr>
            </w:pPr>
            <w:r>
              <w:rPr>
                <w:rFonts w:hint="eastAsia"/>
                <w:color w:val="auto"/>
                <w:szCs w:val="21"/>
                <w:highlight w:val="none"/>
              </w:rPr>
              <w:t>……</w:t>
            </w:r>
          </w:p>
        </w:tc>
        <w:tc>
          <w:tcPr>
            <w:tcW w:w="942" w:type="pct"/>
            <w:noWrap/>
            <w:vAlign w:val="center"/>
          </w:tcPr>
          <w:p>
            <w:pPr>
              <w:widowControl/>
              <w:jc w:val="center"/>
              <w:rPr>
                <w:color w:val="auto"/>
                <w:szCs w:val="21"/>
                <w:highlight w:val="none"/>
              </w:rPr>
            </w:pPr>
            <w:r>
              <w:rPr>
                <w:rFonts w:hint="eastAsia"/>
                <w:color w:val="auto"/>
                <w:szCs w:val="21"/>
                <w:highlight w:val="none"/>
              </w:rPr>
              <w:t>　</w:t>
            </w:r>
          </w:p>
        </w:tc>
        <w:tc>
          <w:tcPr>
            <w:tcW w:w="942" w:type="pct"/>
            <w:noWrap/>
            <w:vAlign w:val="center"/>
          </w:tcPr>
          <w:p>
            <w:pPr>
              <w:widowControl/>
              <w:jc w:val="center"/>
              <w:rPr>
                <w:color w:val="auto"/>
                <w:szCs w:val="21"/>
                <w:highlight w:val="none"/>
              </w:rPr>
            </w:pPr>
            <w:r>
              <w:rPr>
                <w:rFonts w:hint="eastAsia"/>
                <w:color w:val="auto"/>
                <w:szCs w:val="21"/>
                <w:highlight w:val="none"/>
              </w:rPr>
              <w:t>　</w:t>
            </w:r>
          </w:p>
        </w:tc>
        <w:tc>
          <w:tcPr>
            <w:tcW w:w="942" w:type="pct"/>
            <w:noWrap/>
            <w:vAlign w:val="center"/>
          </w:tcPr>
          <w:p>
            <w:pPr>
              <w:widowControl/>
              <w:jc w:val="center"/>
              <w:rPr>
                <w:color w:val="auto"/>
                <w:szCs w:val="21"/>
                <w:highlight w:val="none"/>
              </w:rPr>
            </w:pPr>
            <w:r>
              <w:rPr>
                <w:rFonts w:hint="eastAsia"/>
                <w:color w:val="auto"/>
                <w:szCs w:val="21"/>
                <w:highlight w:val="none"/>
              </w:rPr>
              <w:t>　</w:t>
            </w:r>
          </w:p>
        </w:tc>
        <w:tc>
          <w:tcPr>
            <w:tcW w:w="1734" w:type="pct"/>
            <w:noWrap/>
            <w:vAlign w:val="center"/>
          </w:tcPr>
          <w:p>
            <w:pPr>
              <w:widowControl/>
              <w:jc w:val="center"/>
              <w:rPr>
                <w:color w:val="auto"/>
                <w:szCs w:val="21"/>
                <w:highlight w:val="none"/>
              </w:rPr>
            </w:pPr>
            <w:r>
              <w:rPr>
                <w:rFonts w:hint="eastAsia"/>
                <w:color w:val="auto"/>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color w:val="auto"/>
                <w:szCs w:val="21"/>
                <w:highlight w:val="none"/>
              </w:rPr>
            </w:pPr>
            <w:r>
              <w:rPr>
                <w:rFonts w:hint="eastAsia"/>
                <w:color w:val="auto"/>
                <w:szCs w:val="21"/>
                <w:highlight w:val="none"/>
              </w:rPr>
              <w:t>　</w:t>
            </w:r>
          </w:p>
        </w:tc>
        <w:tc>
          <w:tcPr>
            <w:tcW w:w="942" w:type="pct"/>
            <w:noWrap/>
            <w:vAlign w:val="center"/>
          </w:tcPr>
          <w:p>
            <w:pPr>
              <w:widowControl/>
              <w:jc w:val="center"/>
              <w:rPr>
                <w:color w:val="auto"/>
                <w:szCs w:val="21"/>
                <w:highlight w:val="none"/>
              </w:rPr>
            </w:pPr>
            <w:r>
              <w:rPr>
                <w:rFonts w:hint="eastAsia"/>
                <w:color w:val="auto"/>
                <w:szCs w:val="21"/>
                <w:highlight w:val="none"/>
              </w:rPr>
              <w:t>　</w:t>
            </w:r>
          </w:p>
        </w:tc>
        <w:tc>
          <w:tcPr>
            <w:tcW w:w="942" w:type="pct"/>
            <w:noWrap/>
            <w:vAlign w:val="center"/>
          </w:tcPr>
          <w:p>
            <w:pPr>
              <w:widowControl/>
              <w:jc w:val="center"/>
              <w:rPr>
                <w:color w:val="auto"/>
                <w:szCs w:val="21"/>
                <w:highlight w:val="none"/>
              </w:rPr>
            </w:pPr>
            <w:r>
              <w:rPr>
                <w:rFonts w:hint="eastAsia"/>
                <w:color w:val="auto"/>
                <w:szCs w:val="21"/>
                <w:highlight w:val="none"/>
              </w:rPr>
              <w:t>　</w:t>
            </w:r>
          </w:p>
        </w:tc>
        <w:tc>
          <w:tcPr>
            <w:tcW w:w="942" w:type="pct"/>
            <w:noWrap/>
            <w:vAlign w:val="center"/>
          </w:tcPr>
          <w:p>
            <w:pPr>
              <w:widowControl/>
              <w:jc w:val="center"/>
              <w:rPr>
                <w:color w:val="auto"/>
                <w:szCs w:val="21"/>
                <w:highlight w:val="none"/>
              </w:rPr>
            </w:pPr>
            <w:r>
              <w:rPr>
                <w:rFonts w:hint="eastAsia"/>
                <w:color w:val="auto"/>
                <w:szCs w:val="21"/>
                <w:highlight w:val="none"/>
              </w:rPr>
              <w:t>　</w:t>
            </w:r>
          </w:p>
        </w:tc>
        <w:tc>
          <w:tcPr>
            <w:tcW w:w="1734" w:type="pct"/>
            <w:noWrap/>
            <w:vAlign w:val="center"/>
          </w:tcPr>
          <w:p>
            <w:pPr>
              <w:widowControl/>
              <w:jc w:val="center"/>
              <w:rPr>
                <w:color w:val="auto"/>
                <w:szCs w:val="21"/>
                <w:highlight w:val="none"/>
              </w:rPr>
            </w:pPr>
            <w:r>
              <w:rPr>
                <w:rFonts w:hint="eastAsia"/>
                <w:color w:val="auto"/>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color w:val="auto"/>
                <w:szCs w:val="21"/>
                <w:highlight w:val="none"/>
              </w:rPr>
            </w:pPr>
            <w:r>
              <w:rPr>
                <w:rFonts w:hint="eastAsia"/>
                <w:color w:val="auto"/>
                <w:szCs w:val="21"/>
                <w:highlight w:val="none"/>
              </w:rPr>
              <w:t>　</w:t>
            </w:r>
          </w:p>
        </w:tc>
        <w:tc>
          <w:tcPr>
            <w:tcW w:w="942" w:type="pct"/>
            <w:noWrap/>
            <w:vAlign w:val="center"/>
          </w:tcPr>
          <w:p>
            <w:pPr>
              <w:widowControl/>
              <w:jc w:val="center"/>
              <w:rPr>
                <w:color w:val="auto"/>
                <w:szCs w:val="21"/>
                <w:highlight w:val="none"/>
              </w:rPr>
            </w:pPr>
            <w:r>
              <w:rPr>
                <w:rFonts w:hint="eastAsia"/>
                <w:color w:val="auto"/>
                <w:szCs w:val="21"/>
                <w:highlight w:val="none"/>
              </w:rPr>
              <w:t>　</w:t>
            </w:r>
          </w:p>
        </w:tc>
        <w:tc>
          <w:tcPr>
            <w:tcW w:w="942" w:type="pct"/>
            <w:noWrap/>
            <w:vAlign w:val="center"/>
          </w:tcPr>
          <w:p>
            <w:pPr>
              <w:widowControl/>
              <w:jc w:val="center"/>
              <w:rPr>
                <w:color w:val="auto"/>
                <w:szCs w:val="21"/>
                <w:highlight w:val="none"/>
              </w:rPr>
            </w:pPr>
            <w:r>
              <w:rPr>
                <w:rFonts w:hint="eastAsia"/>
                <w:color w:val="auto"/>
                <w:szCs w:val="21"/>
                <w:highlight w:val="none"/>
              </w:rPr>
              <w:t>　</w:t>
            </w:r>
          </w:p>
        </w:tc>
        <w:tc>
          <w:tcPr>
            <w:tcW w:w="942" w:type="pct"/>
            <w:noWrap/>
            <w:vAlign w:val="center"/>
          </w:tcPr>
          <w:p>
            <w:pPr>
              <w:widowControl/>
              <w:jc w:val="center"/>
              <w:rPr>
                <w:color w:val="auto"/>
                <w:szCs w:val="21"/>
                <w:highlight w:val="none"/>
              </w:rPr>
            </w:pPr>
            <w:r>
              <w:rPr>
                <w:rFonts w:hint="eastAsia"/>
                <w:color w:val="auto"/>
                <w:szCs w:val="21"/>
                <w:highlight w:val="none"/>
              </w:rPr>
              <w:t>　</w:t>
            </w:r>
          </w:p>
        </w:tc>
        <w:tc>
          <w:tcPr>
            <w:tcW w:w="1734" w:type="pct"/>
            <w:noWrap/>
            <w:vAlign w:val="center"/>
          </w:tcPr>
          <w:p>
            <w:pPr>
              <w:widowControl/>
              <w:jc w:val="center"/>
              <w:rPr>
                <w:color w:val="auto"/>
                <w:szCs w:val="21"/>
                <w:highlight w:val="none"/>
              </w:rPr>
            </w:pPr>
            <w:r>
              <w:rPr>
                <w:rFonts w:hint="eastAsia"/>
                <w:color w:val="auto"/>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color w:val="auto"/>
                <w:szCs w:val="21"/>
                <w:highlight w:val="none"/>
              </w:rPr>
            </w:pPr>
            <w:r>
              <w:rPr>
                <w:rFonts w:hint="eastAsia"/>
                <w:color w:val="auto"/>
                <w:szCs w:val="21"/>
                <w:highlight w:val="none"/>
              </w:rPr>
              <w:t>　</w:t>
            </w:r>
          </w:p>
        </w:tc>
        <w:tc>
          <w:tcPr>
            <w:tcW w:w="942" w:type="pct"/>
            <w:noWrap/>
            <w:vAlign w:val="center"/>
          </w:tcPr>
          <w:p>
            <w:pPr>
              <w:widowControl/>
              <w:jc w:val="center"/>
              <w:rPr>
                <w:color w:val="auto"/>
                <w:szCs w:val="21"/>
                <w:highlight w:val="none"/>
              </w:rPr>
            </w:pPr>
            <w:r>
              <w:rPr>
                <w:rFonts w:hint="eastAsia"/>
                <w:color w:val="auto"/>
                <w:szCs w:val="21"/>
                <w:highlight w:val="none"/>
              </w:rPr>
              <w:t>　</w:t>
            </w:r>
          </w:p>
        </w:tc>
        <w:tc>
          <w:tcPr>
            <w:tcW w:w="942" w:type="pct"/>
            <w:noWrap/>
            <w:vAlign w:val="center"/>
          </w:tcPr>
          <w:p>
            <w:pPr>
              <w:widowControl/>
              <w:jc w:val="center"/>
              <w:rPr>
                <w:color w:val="auto"/>
                <w:szCs w:val="21"/>
                <w:highlight w:val="none"/>
              </w:rPr>
            </w:pPr>
            <w:r>
              <w:rPr>
                <w:rFonts w:hint="eastAsia"/>
                <w:color w:val="auto"/>
                <w:szCs w:val="21"/>
                <w:highlight w:val="none"/>
              </w:rPr>
              <w:t>　</w:t>
            </w:r>
          </w:p>
        </w:tc>
        <w:tc>
          <w:tcPr>
            <w:tcW w:w="942" w:type="pct"/>
            <w:noWrap/>
            <w:vAlign w:val="center"/>
          </w:tcPr>
          <w:p>
            <w:pPr>
              <w:widowControl/>
              <w:jc w:val="center"/>
              <w:rPr>
                <w:color w:val="auto"/>
                <w:szCs w:val="21"/>
                <w:highlight w:val="none"/>
              </w:rPr>
            </w:pPr>
            <w:r>
              <w:rPr>
                <w:rFonts w:hint="eastAsia"/>
                <w:color w:val="auto"/>
                <w:szCs w:val="21"/>
                <w:highlight w:val="none"/>
              </w:rPr>
              <w:t>　</w:t>
            </w:r>
          </w:p>
        </w:tc>
        <w:tc>
          <w:tcPr>
            <w:tcW w:w="1734" w:type="pct"/>
            <w:noWrap/>
            <w:vAlign w:val="center"/>
          </w:tcPr>
          <w:p>
            <w:pPr>
              <w:widowControl/>
              <w:jc w:val="center"/>
              <w:rPr>
                <w:color w:val="auto"/>
                <w:szCs w:val="21"/>
                <w:highlight w:val="none"/>
              </w:rPr>
            </w:pPr>
            <w:r>
              <w:rPr>
                <w:rFonts w:hint="eastAsia"/>
                <w:color w:val="auto"/>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color w:val="auto"/>
                <w:szCs w:val="21"/>
                <w:highlight w:val="none"/>
              </w:rPr>
            </w:pPr>
            <w:r>
              <w:rPr>
                <w:rFonts w:hint="eastAsia"/>
                <w:color w:val="auto"/>
                <w:szCs w:val="21"/>
                <w:highlight w:val="none"/>
              </w:rPr>
              <w:t>　</w:t>
            </w:r>
          </w:p>
        </w:tc>
        <w:tc>
          <w:tcPr>
            <w:tcW w:w="942" w:type="pct"/>
            <w:noWrap/>
            <w:vAlign w:val="center"/>
          </w:tcPr>
          <w:p>
            <w:pPr>
              <w:widowControl/>
              <w:jc w:val="center"/>
              <w:rPr>
                <w:color w:val="auto"/>
                <w:szCs w:val="21"/>
                <w:highlight w:val="none"/>
              </w:rPr>
            </w:pPr>
            <w:r>
              <w:rPr>
                <w:rFonts w:hint="eastAsia"/>
                <w:color w:val="auto"/>
                <w:szCs w:val="21"/>
                <w:highlight w:val="none"/>
              </w:rPr>
              <w:t>　</w:t>
            </w:r>
          </w:p>
        </w:tc>
        <w:tc>
          <w:tcPr>
            <w:tcW w:w="942" w:type="pct"/>
            <w:noWrap/>
            <w:vAlign w:val="center"/>
          </w:tcPr>
          <w:p>
            <w:pPr>
              <w:widowControl/>
              <w:jc w:val="center"/>
              <w:rPr>
                <w:color w:val="auto"/>
                <w:szCs w:val="21"/>
                <w:highlight w:val="none"/>
              </w:rPr>
            </w:pPr>
            <w:r>
              <w:rPr>
                <w:rFonts w:hint="eastAsia"/>
                <w:color w:val="auto"/>
                <w:szCs w:val="21"/>
                <w:highlight w:val="none"/>
              </w:rPr>
              <w:t>　</w:t>
            </w:r>
          </w:p>
        </w:tc>
        <w:tc>
          <w:tcPr>
            <w:tcW w:w="942" w:type="pct"/>
            <w:noWrap/>
            <w:vAlign w:val="center"/>
          </w:tcPr>
          <w:p>
            <w:pPr>
              <w:widowControl/>
              <w:jc w:val="center"/>
              <w:rPr>
                <w:color w:val="auto"/>
                <w:szCs w:val="21"/>
                <w:highlight w:val="none"/>
              </w:rPr>
            </w:pPr>
            <w:r>
              <w:rPr>
                <w:rFonts w:hint="eastAsia"/>
                <w:color w:val="auto"/>
                <w:szCs w:val="21"/>
                <w:highlight w:val="none"/>
              </w:rPr>
              <w:t>　</w:t>
            </w:r>
          </w:p>
        </w:tc>
        <w:tc>
          <w:tcPr>
            <w:tcW w:w="1734" w:type="pct"/>
            <w:noWrap/>
            <w:vAlign w:val="center"/>
          </w:tcPr>
          <w:p>
            <w:pPr>
              <w:widowControl/>
              <w:jc w:val="center"/>
              <w:rPr>
                <w:color w:val="auto"/>
                <w:szCs w:val="21"/>
                <w:highlight w:val="none"/>
              </w:rPr>
            </w:pPr>
            <w:r>
              <w:rPr>
                <w:rFonts w:hint="eastAsia"/>
                <w:color w:val="auto"/>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color w:val="auto"/>
                <w:szCs w:val="21"/>
                <w:highlight w:val="none"/>
              </w:rPr>
            </w:pPr>
            <w:r>
              <w:rPr>
                <w:rFonts w:hint="eastAsia"/>
                <w:color w:val="auto"/>
                <w:szCs w:val="21"/>
                <w:highlight w:val="none"/>
              </w:rPr>
              <w:t>　</w:t>
            </w:r>
          </w:p>
        </w:tc>
        <w:tc>
          <w:tcPr>
            <w:tcW w:w="942" w:type="pct"/>
            <w:noWrap/>
            <w:vAlign w:val="center"/>
          </w:tcPr>
          <w:p>
            <w:pPr>
              <w:widowControl/>
              <w:jc w:val="center"/>
              <w:rPr>
                <w:color w:val="auto"/>
                <w:szCs w:val="21"/>
                <w:highlight w:val="none"/>
              </w:rPr>
            </w:pPr>
            <w:r>
              <w:rPr>
                <w:rFonts w:hint="eastAsia"/>
                <w:color w:val="auto"/>
                <w:szCs w:val="21"/>
                <w:highlight w:val="none"/>
              </w:rPr>
              <w:t>　</w:t>
            </w:r>
          </w:p>
        </w:tc>
        <w:tc>
          <w:tcPr>
            <w:tcW w:w="942" w:type="pct"/>
            <w:noWrap/>
            <w:vAlign w:val="center"/>
          </w:tcPr>
          <w:p>
            <w:pPr>
              <w:widowControl/>
              <w:jc w:val="center"/>
              <w:rPr>
                <w:color w:val="auto"/>
                <w:szCs w:val="21"/>
                <w:highlight w:val="none"/>
              </w:rPr>
            </w:pPr>
            <w:r>
              <w:rPr>
                <w:rFonts w:hint="eastAsia"/>
                <w:color w:val="auto"/>
                <w:szCs w:val="21"/>
                <w:highlight w:val="none"/>
              </w:rPr>
              <w:t>　</w:t>
            </w:r>
          </w:p>
        </w:tc>
        <w:tc>
          <w:tcPr>
            <w:tcW w:w="942" w:type="pct"/>
            <w:noWrap/>
            <w:vAlign w:val="center"/>
          </w:tcPr>
          <w:p>
            <w:pPr>
              <w:widowControl/>
              <w:jc w:val="center"/>
              <w:rPr>
                <w:color w:val="auto"/>
                <w:szCs w:val="21"/>
                <w:highlight w:val="none"/>
              </w:rPr>
            </w:pPr>
            <w:r>
              <w:rPr>
                <w:rFonts w:hint="eastAsia"/>
                <w:color w:val="auto"/>
                <w:szCs w:val="21"/>
                <w:highlight w:val="none"/>
              </w:rPr>
              <w:t>　</w:t>
            </w:r>
          </w:p>
        </w:tc>
        <w:tc>
          <w:tcPr>
            <w:tcW w:w="1734" w:type="pct"/>
            <w:noWrap/>
            <w:vAlign w:val="center"/>
          </w:tcPr>
          <w:p>
            <w:pPr>
              <w:widowControl/>
              <w:jc w:val="center"/>
              <w:rPr>
                <w:color w:val="auto"/>
                <w:szCs w:val="21"/>
                <w:highlight w:val="none"/>
              </w:rPr>
            </w:pPr>
            <w:r>
              <w:rPr>
                <w:rFonts w:hint="eastAsia"/>
                <w:color w:val="auto"/>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color w:val="auto"/>
                <w:szCs w:val="21"/>
                <w:highlight w:val="none"/>
              </w:rPr>
            </w:pPr>
            <w:r>
              <w:rPr>
                <w:rFonts w:hint="eastAsia"/>
                <w:color w:val="auto"/>
                <w:szCs w:val="21"/>
                <w:highlight w:val="none"/>
              </w:rPr>
              <w:t>　</w:t>
            </w:r>
          </w:p>
        </w:tc>
        <w:tc>
          <w:tcPr>
            <w:tcW w:w="942" w:type="pct"/>
            <w:noWrap/>
            <w:vAlign w:val="center"/>
          </w:tcPr>
          <w:p>
            <w:pPr>
              <w:widowControl/>
              <w:jc w:val="center"/>
              <w:rPr>
                <w:color w:val="auto"/>
                <w:szCs w:val="21"/>
                <w:highlight w:val="none"/>
              </w:rPr>
            </w:pPr>
            <w:r>
              <w:rPr>
                <w:rFonts w:hint="eastAsia"/>
                <w:color w:val="auto"/>
                <w:szCs w:val="21"/>
                <w:highlight w:val="none"/>
              </w:rPr>
              <w:t>　</w:t>
            </w:r>
          </w:p>
        </w:tc>
        <w:tc>
          <w:tcPr>
            <w:tcW w:w="942" w:type="pct"/>
            <w:noWrap/>
            <w:vAlign w:val="center"/>
          </w:tcPr>
          <w:p>
            <w:pPr>
              <w:widowControl/>
              <w:jc w:val="center"/>
              <w:rPr>
                <w:color w:val="auto"/>
                <w:szCs w:val="21"/>
                <w:highlight w:val="none"/>
              </w:rPr>
            </w:pPr>
            <w:r>
              <w:rPr>
                <w:rFonts w:hint="eastAsia"/>
                <w:color w:val="auto"/>
                <w:szCs w:val="21"/>
                <w:highlight w:val="none"/>
              </w:rPr>
              <w:t>　</w:t>
            </w:r>
          </w:p>
        </w:tc>
        <w:tc>
          <w:tcPr>
            <w:tcW w:w="942" w:type="pct"/>
            <w:noWrap/>
            <w:vAlign w:val="center"/>
          </w:tcPr>
          <w:p>
            <w:pPr>
              <w:widowControl/>
              <w:jc w:val="center"/>
              <w:rPr>
                <w:color w:val="auto"/>
                <w:szCs w:val="21"/>
                <w:highlight w:val="none"/>
              </w:rPr>
            </w:pPr>
            <w:r>
              <w:rPr>
                <w:rFonts w:hint="eastAsia"/>
                <w:color w:val="auto"/>
                <w:szCs w:val="21"/>
                <w:highlight w:val="none"/>
              </w:rPr>
              <w:t>　</w:t>
            </w:r>
          </w:p>
        </w:tc>
        <w:tc>
          <w:tcPr>
            <w:tcW w:w="1734" w:type="pct"/>
            <w:noWrap/>
            <w:vAlign w:val="center"/>
          </w:tcPr>
          <w:p>
            <w:pPr>
              <w:widowControl/>
              <w:jc w:val="center"/>
              <w:rPr>
                <w:color w:val="auto"/>
                <w:szCs w:val="21"/>
                <w:highlight w:val="none"/>
              </w:rPr>
            </w:pPr>
            <w:r>
              <w:rPr>
                <w:rFonts w:hint="eastAsia"/>
                <w:color w:val="auto"/>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color w:val="auto"/>
                <w:szCs w:val="21"/>
                <w:highlight w:val="none"/>
              </w:rPr>
            </w:pPr>
            <w:r>
              <w:rPr>
                <w:rFonts w:hint="eastAsia"/>
                <w:color w:val="auto"/>
                <w:szCs w:val="21"/>
                <w:highlight w:val="none"/>
              </w:rPr>
              <w:t>　</w:t>
            </w:r>
          </w:p>
        </w:tc>
        <w:tc>
          <w:tcPr>
            <w:tcW w:w="942" w:type="pct"/>
            <w:noWrap/>
            <w:vAlign w:val="center"/>
          </w:tcPr>
          <w:p>
            <w:pPr>
              <w:widowControl/>
              <w:jc w:val="center"/>
              <w:rPr>
                <w:color w:val="auto"/>
                <w:szCs w:val="21"/>
                <w:highlight w:val="none"/>
              </w:rPr>
            </w:pPr>
            <w:r>
              <w:rPr>
                <w:rFonts w:hint="eastAsia"/>
                <w:color w:val="auto"/>
                <w:szCs w:val="21"/>
                <w:highlight w:val="none"/>
              </w:rPr>
              <w:t>　</w:t>
            </w:r>
          </w:p>
        </w:tc>
        <w:tc>
          <w:tcPr>
            <w:tcW w:w="942" w:type="pct"/>
            <w:noWrap/>
            <w:vAlign w:val="center"/>
          </w:tcPr>
          <w:p>
            <w:pPr>
              <w:widowControl/>
              <w:jc w:val="center"/>
              <w:rPr>
                <w:color w:val="auto"/>
                <w:szCs w:val="21"/>
                <w:highlight w:val="none"/>
              </w:rPr>
            </w:pPr>
            <w:r>
              <w:rPr>
                <w:rFonts w:hint="eastAsia"/>
                <w:color w:val="auto"/>
                <w:szCs w:val="21"/>
                <w:highlight w:val="none"/>
              </w:rPr>
              <w:t>　</w:t>
            </w:r>
          </w:p>
        </w:tc>
        <w:tc>
          <w:tcPr>
            <w:tcW w:w="942" w:type="pct"/>
            <w:noWrap/>
            <w:vAlign w:val="center"/>
          </w:tcPr>
          <w:p>
            <w:pPr>
              <w:widowControl/>
              <w:jc w:val="center"/>
              <w:rPr>
                <w:color w:val="auto"/>
                <w:szCs w:val="21"/>
                <w:highlight w:val="none"/>
              </w:rPr>
            </w:pPr>
            <w:r>
              <w:rPr>
                <w:rFonts w:hint="eastAsia"/>
                <w:color w:val="auto"/>
                <w:szCs w:val="21"/>
                <w:highlight w:val="none"/>
              </w:rPr>
              <w:t>　</w:t>
            </w:r>
          </w:p>
        </w:tc>
        <w:tc>
          <w:tcPr>
            <w:tcW w:w="1734" w:type="pct"/>
            <w:noWrap/>
            <w:vAlign w:val="center"/>
          </w:tcPr>
          <w:p>
            <w:pPr>
              <w:widowControl/>
              <w:jc w:val="center"/>
              <w:rPr>
                <w:color w:val="auto"/>
                <w:szCs w:val="21"/>
                <w:highlight w:val="none"/>
              </w:rPr>
            </w:pPr>
            <w:r>
              <w:rPr>
                <w:rFonts w:hint="eastAsia"/>
                <w:color w:val="auto"/>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5000" w:type="pct"/>
            <w:gridSpan w:val="5"/>
            <w:vAlign w:val="center"/>
          </w:tcPr>
          <w:p>
            <w:pPr>
              <w:widowControl/>
              <w:rPr>
                <w:color w:val="auto"/>
                <w:szCs w:val="21"/>
                <w:highlight w:val="none"/>
              </w:rPr>
            </w:pPr>
            <w:r>
              <w:rPr>
                <w:rFonts w:hint="eastAsia"/>
                <w:color w:val="auto"/>
                <w:szCs w:val="21"/>
                <w:highlight w:val="none"/>
              </w:rPr>
              <w:t>备注：</w:t>
            </w:r>
          </w:p>
          <w:p>
            <w:pPr>
              <w:widowControl/>
              <w:rPr>
                <w:color w:val="auto"/>
                <w:szCs w:val="21"/>
                <w:highlight w:val="none"/>
              </w:rPr>
            </w:pPr>
            <w:r>
              <w:rPr>
                <w:rFonts w:hint="eastAsia"/>
                <w:color w:val="auto"/>
                <w:szCs w:val="21"/>
                <w:highlight w:val="none"/>
              </w:rPr>
              <w:t>1、“岗位”要求由招标人根据项目管理需要在本表备注中明确提出。以上项目管理团队人员信息将由交易系统提取后供各相关单位在履约时比对、查核。</w:t>
            </w:r>
          </w:p>
          <w:p>
            <w:pPr>
              <w:widowControl/>
              <w:rPr>
                <w:color w:val="auto"/>
                <w:szCs w:val="21"/>
                <w:highlight w:val="none"/>
              </w:rPr>
            </w:pPr>
            <w:r>
              <w:rPr>
                <w:rFonts w:hint="eastAsia"/>
                <w:color w:val="auto"/>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rPr>
                <w:color w:val="auto"/>
                <w:szCs w:val="21"/>
                <w:highlight w:val="none"/>
              </w:rPr>
            </w:pPr>
            <w:r>
              <w:rPr>
                <w:rFonts w:hint="eastAsia"/>
                <w:color w:val="auto"/>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pPr>
              <w:widowControl/>
              <w:rPr>
                <w:b/>
                <w:color w:val="auto"/>
                <w:szCs w:val="21"/>
                <w:highlight w:val="none"/>
              </w:rPr>
            </w:pPr>
            <w:r>
              <w:rPr>
                <w:rFonts w:hint="eastAsia"/>
                <w:b/>
                <w:color w:val="auto"/>
                <w:szCs w:val="21"/>
                <w:highlight w:val="none"/>
              </w:rPr>
              <w:t>4、本表中投入人员由投标人根据投标人须知前附表中的附件“人员配备要求”以及投标人实际情况填写。</w:t>
            </w:r>
          </w:p>
        </w:tc>
      </w:tr>
    </w:tbl>
    <w:p>
      <w:pPr>
        <w:spacing w:line="360" w:lineRule="auto"/>
        <w:rPr>
          <w:color w:val="auto"/>
          <w:highlight w:val="none"/>
        </w:rPr>
        <w:sectPr>
          <w:pgSz w:w="11906" w:h="16838"/>
          <w:pgMar w:top="1400" w:right="1100" w:bottom="1120" w:left="1560" w:header="0" w:footer="841" w:gutter="0"/>
          <w:cols w:space="720" w:num="1"/>
        </w:sectPr>
      </w:pPr>
      <w:r>
        <w:rPr>
          <w:rFonts w:hint="eastAsia"/>
          <w:color w:val="auto"/>
          <w:highlight w:val="none"/>
          <w:u w:val="single"/>
        </w:rPr>
        <w:t>注：投标人应根据投标人须知第 3.5.6 项和第五章“委托人要求”的人员要求进行本表的填写。</w:t>
      </w:r>
    </w:p>
    <w:p>
      <w:pPr>
        <w:spacing w:line="360" w:lineRule="auto"/>
        <w:ind w:right="461"/>
        <w:jc w:val="center"/>
        <w:rPr>
          <w:b/>
          <w:color w:val="auto"/>
          <w:sz w:val="32"/>
          <w:highlight w:val="none"/>
        </w:rPr>
      </w:pPr>
      <w:bookmarkStart w:id="52" w:name="_bookmark191"/>
      <w:bookmarkEnd w:id="52"/>
      <w:r>
        <w:rPr>
          <w:rFonts w:hint="eastAsia"/>
          <w:b/>
          <w:color w:val="auto"/>
          <w:sz w:val="32"/>
          <w:highlight w:val="none"/>
          <w:lang w:val="en-US"/>
        </w:rPr>
        <w:t>八</w:t>
      </w:r>
      <w:r>
        <w:rPr>
          <w:rFonts w:hint="eastAsia"/>
          <w:b/>
          <w:color w:val="auto"/>
          <w:sz w:val="32"/>
          <w:highlight w:val="none"/>
        </w:rPr>
        <w:t>、主要人员简历表（格式可自拟）</w:t>
      </w:r>
    </w:p>
    <w:p>
      <w:pPr>
        <w:pStyle w:val="11"/>
        <w:spacing w:line="360" w:lineRule="auto"/>
        <w:rPr>
          <w:color w:val="auto"/>
          <w:sz w:val="15"/>
          <w:highlight w:val="none"/>
        </w:rPr>
      </w:pPr>
    </w:p>
    <w:tbl>
      <w:tblPr>
        <w:tblStyle w:val="21"/>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2"/>
        <w:gridCol w:w="377"/>
        <w:gridCol w:w="731"/>
        <w:gridCol w:w="1011"/>
        <w:gridCol w:w="1126"/>
        <w:gridCol w:w="744"/>
        <w:gridCol w:w="1331"/>
        <w:gridCol w:w="424"/>
        <w:gridCol w:w="20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1252" w:type="dxa"/>
            <w:vAlign w:val="center"/>
          </w:tcPr>
          <w:p>
            <w:pPr>
              <w:pStyle w:val="27"/>
              <w:tabs>
                <w:tab w:val="left" w:pos="436"/>
              </w:tabs>
              <w:spacing w:line="360" w:lineRule="auto"/>
              <w:ind w:left="13"/>
              <w:jc w:val="center"/>
              <w:rPr>
                <w:color w:val="auto"/>
                <w:sz w:val="21"/>
                <w:highlight w:val="none"/>
              </w:rPr>
            </w:pPr>
            <w:r>
              <w:rPr>
                <w:rFonts w:hint="eastAsia"/>
                <w:color w:val="auto"/>
                <w:sz w:val="21"/>
                <w:highlight w:val="none"/>
              </w:rPr>
              <w:t>姓</w:t>
            </w:r>
            <w:r>
              <w:rPr>
                <w:rFonts w:hint="eastAsia"/>
                <w:color w:val="auto"/>
                <w:sz w:val="21"/>
                <w:highlight w:val="none"/>
              </w:rPr>
              <w:tab/>
            </w:r>
            <w:r>
              <w:rPr>
                <w:rFonts w:hint="eastAsia"/>
                <w:color w:val="auto"/>
                <w:sz w:val="21"/>
                <w:highlight w:val="none"/>
              </w:rPr>
              <w:t>名</w:t>
            </w:r>
          </w:p>
        </w:tc>
        <w:tc>
          <w:tcPr>
            <w:tcW w:w="1108" w:type="dxa"/>
            <w:gridSpan w:val="2"/>
            <w:vAlign w:val="center"/>
          </w:tcPr>
          <w:p>
            <w:pPr>
              <w:pStyle w:val="27"/>
              <w:spacing w:line="360" w:lineRule="auto"/>
              <w:jc w:val="center"/>
              <w:rPr>
                <w:color w:val="auto"/>
                <w:sz w:val="20"/>
                <w:highlight w:val="none"/>
              </w:rPr>
            </w:pPr>
          </w:p>
        </w:tc>
        <w:tc>
          <w:tcPr>
            <w:tcW w:w="1011" w:type="dxa"/>
            <w:vAlign w:val="center"/>
          </w:tcPr>
          <w:p>
            <w:pPr>
              <w:pStyle w:val="27"/>
              <w:spacing w:line="360" w:lineRule="auto"/>
              <w:ind w:right="256"/>
              <w:jc w:val="center"/>
              <w:rPr>
                <w:color w:val="auto"/>
                <w:sz w:val="21"/>
                <w:highlight w:val="none"/>
              </w:rPr>
            </w:pPr>
            <w:r>
              <w:rPr>
                <w:rFonts w:hint="eastAsia"/>
                <w:color w:val="auto"/>
                <w:sz w:val="21"/>
                <w:highlight w:val="none"/>
              </w:rPr>
              <w:t>年龄</w:t>
            </w:r>
          </w:p>
        </w:tc>
        <w:tc>
          <w:tcPr>
            <w:tcW w:w="1126" w:type="dxa"/>
            <w:vAlign w:val="center"/>
          </w:tcPr>
          <w:p>
            <w:pPr>
              <w:pStyle w:val="27"/>
              <w:spacing w:line="360" w:lineRule="auto"/>
              <w:jc w:val="center"/>
              <w:rPr>
                <w:color w:val="auto"/>
                <w:sz w:val="20"/>
                <w:highlight w:val="none"/>
              </w:rPr>
            </w:pPr>
          </w:p>
        </w:tc>
        <w:tc>
          <w:tcPr>
            <w:tcW w:w="2499" w:type="dxa"/>
            <w:gridSpan w:val="3"/>
            <w:vAlign w:val="center"/>
          </w:tcPr>
          <w:p>
            <w:pPr>
              <w:pStyle w:val="27"/>
              <w:adjustRightInd w:val="0"/>
              <w:snapToGrid w:val="0"/>
              <w:spacing w:line="360" w:lineRule="auto"/>
              <w:ind w:left="44" w:leftChars="20" w:right="44" w:rightChars="20"/>
              <w:jc w:val="center"/>
              <w:rPr>
                <w:color w:val="auto"/>
                <w:sz w:val="21"/>
                <w:highlight w:val="none"/>
              </w:rPr>
            </w:pPr>
            <w:r>
              <w:rPr>
                <w:rFonts w:hint="eastAsia"/>
                <w:color w:val="auto"/>
                <w:sz w:val="21"/>
                <w:highlight w:val="none"/>
              </w:rPr>
              <w:t>执业资格证书（或上岗证书）名称</w:t>
            </w:r>
          </w:p>
        </w:tc>
        <w:tc>
          <w:tcPr>
            <w:tcW w:w="2003" w:type="dxa"/>
            <w:vAlign w:val="center"/>
          </w:tcPr>
          <w:p>
            <w:pPr>
              <w:pStyle w:val="27"/>
              <w:spacing w:line="360" w:lineRule="auto"/>
              <w:jc w:val="center"/>
              <w:rPr>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252" w:type="dxa"/>
            <w:vAlign w:val="center"/>
          </w:tcPr>
          <w:p>
            <w:pPr>
              <w:pStyle w:val="27"/>
              <w:tabs>
                <w:tab w:val="left" w:pos="436"/>
              </w:tabs>
              <w:spacing w:line="360" w:lineRule="auto"/>
              <w:ind w:left="13"/>
              <w:jc w:val="center"/>
              <w:rPr>
                <w:color w:val="auto"/>
                <w:sz w:val="21"/>
                <w:highlight w:val="none"/>
              </w:rPr>
            </w:pPr>
            <w:r>
              <w:rPr>
                <w:rFonts w:hint="eastAsia"/>
                <w:color w:val="auto"/>
                <w:sz w:val="21"/>
                <w:highlight w:val="none"/>
              </w:rPr>
              <w:t>职</w:t>
            </w:r>
            <w:r>
              <w:rPr>
                <w:rFonts w:hint="eastAsia"/>
                <w:color w:val="auto"/>
                <w:sz w:val="21"/>
                <w:highlight w:val="none"/>
              </w:rPr>
              <w:tab/>
            </w:r>
            <w:r>
              <w:rPr>
                <w:rFonts w:hint="eastAsia"/>
                <w:color w:val="auto"/>
                <w:sz w:val="21"/>
                <w:highlight w:val="none"/>
              </w:rPr>
              <w:t>称</w:t>
            </w:r>
          </w:p>
        </w:tc>
        <w:tc>
          <w:tcPr>
            <w:tcW w:w="1108" w:type="dxa"/>
            <w:gridSpan w:val="2"/>
            <w:vAlign w:val="center"/>
          </w:tcPr>
          <w:p>
            <w:pPr>
              <w:pStyle w:val="27"/>
              <w:spacing w:line="360" w:lineRule="auto"/>
              <w:jc w:val="center"/>
              <w:rPr>
                <w:color w:val="auto"/>
                <w:sz w:val="20"/>
                <w:highlight w:val="none"/>
              </w:rPr>
            </w:pPr>
          </w:p>
        </w:tc>
        <w:tc>
          <w:tcPr>
            <w:tcW w:w="1011" w:type="dxa"/>
            <w:vAlign w:val="center"/>
          </w:tcPr>
          <w:p>
            <w:pPr>
              <w:pStyle w:val="27"/>
              <w:spacing w:line="360" w:lineRule="auto"/>
              <w:ind w:right="256"/>
              <w:jc w:val="center"/>
              <w:rPr>
                <w:color w:val="auto"/>
                <w:sz w:val="21"/>
                <w:highlight w:val="none"/>
              </w:rPr>
            </w:pPr>
            <w:r>
              <w:rPr>
                <w:rFonts w:hint="eastAsia"/>
                <w:color w:val="auto"/>
                <w:sz w:val="21"/>
                <w:highlight w:val="none"/>
              </w:rPr>
              <w:t>学历</w:t>
            </w:r>
          </w:p>
        </w:tc>
        <w:tc>
          <w:tcPr>
            <w:tcW w:w="1126" w:type="dxa"/>
            <w:vAlign w:val="center"/>
          </w:tcPr>
          <w:p>
            <w:pPr>
              <w:pStyle w:val="27"/>
              <w:spacing w:line="360" w:lineRule="auto"/>
              <w:jc w:val="center"/>
              <w:rPr>
                <w:color w:val="auto"/>
                <w:sz w:val="20"/>
                <w:highlight w:val="none"/>
              </w:rPr>
            </w:pPr>
          </w:p>
        </w:tc>
        <w:tc>
          <w:tcPr>
            <w:tcW w:w="2499" w:type="dxa"/>
            <w:gridSpan w:val="3"/>
            <w:vAlign w:val="center"/>
          </w:tcPr>
          <w:p>
            <w:pPr>
              <w:pStyle w:val="27"/>
              <w:adjustRightInd w:val="0"/>
              <w:snapToGrid w:val="0"/>
              <w:spacing w:line="360" w:lineRule="auto"/>
              <w:ind w:left="44" w:leftChars="20" w:right="44" w:rightChars="20"/>
              <w:jc w:val="center"/>
              <w:rPr>
                <w:color w:val="auto"/>
                <w:sz w:val="21"/>
                <w:highlight w:val="none"/>
              </w:rPr>
            </w:pPr>
            <w:r>
              <w:rPr>
                <w:rFonts w:hint="eastAsia"/>
                <w:color w:val="auto"/>
                <w:sz w:val="21"/>
                <w:highlight w:val="none"/>
              </w:rPr>
              <w:t>拟在本项目任职</w:t>
            </w:r>
          </w:p>
        </w:tc>
        <w:tc>
          <w:tcPr>
            <w:tcW w:w="2003" w:type="dxa"/>
            <w:vAlign w:val="center"/>
          </w:tcPr>
          <w:p>
            <w:pPr>
              <w:pStyle w:val="27"/>
              <w:spacing w:line="360" w:lineRule="auto"/>
              <w:jc w:val="center"/>
              <w:rPr>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252" w:type="dxa"/>
            <w:vAlign w:val="center"/>
          </w:tcPr>
          <w:p>
            <w:pPr>
              <w:pStyle w:val="27"/>
              <w:spacing w:line="360" w:lineRule="auto"/>
              <w:ind w:left="11"/>
              <w:jc w:val="center"/>
              <w:rPr>
                <w:color w:val="auto"/>
                <w:sz w:val="21"/>
                <w:highlight w:val="none"/>
              </w:rPr>
            </w:pPr>
            <w:r>
              <w:rPr>
                <w:rFonts w:hint="eastAsia"/>
                <w:color w:val="auto"/>
                <w:sz w:val="21"/>
                <w:highlight w:val="none"/>
              </w:rPr>
              <w:t>工作年限</w:t>
            </w:r>
          </w:p>
        </w:tc>
        <w:tc>
          <w:tcPr>
            <w:tcW w:w="3245" w:type="dxa"/>
            <w:gridSpan w:val="4"/>
            <w:vAlign w:val="center"/>
          </w:tcPr>
          <w:p>
            <w:pPr>
              <w:pStyle w:val="27"/>
              <w:spacing w:line="360" w:lineRule="auto"/>
              <w:jc w:val="center"/>
              <w:rPr>
                <w:color w:val="auto"/>
                <w:sz w:val="20"/>
                <w:highlight w:val="none"/>
              </w:rPr>
            </w:pPr>
          </w:p>
        </w:tc>
        <w:tc>
          <w:tcPr>
            <w:tcW w:w="2499" w:type="dxa"/>
            <w:gridSpan w:val="3"/>
            <w:vAlign w:val="center"/>
          </w:tcPr>
          <w:p>
            <w:pPr>
              <w:pStyle w:val="27"/>
              <w:adjustRightInd w:val="0"/>
              <w:snapToGrid w:val="0"/>
              <w:spacing w:line="360" w:lineRule="auto"/>
              <w:ind w:left="44" w:leftChars="20" w:right="44" w:rightChars="20"/>
              <w:jc w:val="center"/>
              <w:rPr>
                <w:color w:val="auto"/>
                <w:sz w:val="21"/>
                <w:highlight w:val="none"/>
              </w:rPr>
            </w:pPr>
            <w:r>
              <w:rPr>
                <w:rFonts w:hint="eastAsia"/>
                <w:color w:val="auto"/>
                <w:sz w:val="21"/>
                <w:highlight w:val="none"/>
              </w:rPr>
              <w:t>从事</w:t>
            </w:r>
            <w:r>
              <w:rPr>
                <w:rFonts w:hint="eastAsia"/>
                <w:color w:val="auto"/>
                <w:sz w:val="21"/>
                <w:highlight w:val="none"/>
                <w:lang w:val="en-US"/>
              </w:rPr>
              <w:t>本</w:t>
            </w:r>
            <w:r>
              <w:rPr>
                <w:rFonts w:hint="eastAsia"/>
                <w:color w:val="auto"/>
                <w:sz w:val="21"/>
                <w:highlight w:val="none"/>
              </w:rPr>
              <w:t>工作年限</w:t>
            </w:r>
          </w:p>
        </w:tc>
        <w:tc>
          <w:tcPr>
            <w:tcW w:w="2003" w:type="dxa"/>
            <w:vAlign w:val="center"/>
          </w:tcPr>
          <w:p>
            <w:pPr>
              <w:pStyle w:val="27"/>
              <w:spacing w:line="360" w:lineRule="auto"/>
              <w:jc w:val="center"/>
              <w:rPr>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1252" w:type="dxa"/>
            <w:vAlign w:val="center"/>
          </w:tcPr>
          <w:p>
            <w:pPr>
              <w:pStyle w:val="27"/>
              <w:spacing w:line="360" w:lineRule="auto"/>
              <w:ind w:left="11"/>
              <w:jc w:val="center"/>
              <w:rPr>
                <w:color w:val="auto"/>
                <w:sz w:val="21"/>
                <w:highlight w:val="none"/>
              </w:rPr>
            </w:pPr>
            <w:r>
              <w:rPr>
                <w:rFonts w:hint="eastAsia"/>
                <w:color w:val="auto"/>
                <w:sz w:val="21"/>
                <w:highlight w:val="none"/>
              </w:rPr>
              <w:t>毕业学校</w:t>
            </w:r>
          </w:p>
        </w:tc>
        <w:tc>
          <w:tcPr>
            <w:tcW w:w="7747" w:type="dxa"/>
            <w:gridSpan w:val="8"/>
            <w:vAlign w:val="center"/>
          </w:tcPr>
          <w:p>
            <w:pPr>
              <w:pStyle w:val="27"/>
              <w:tabs>
                <w:tab w:val="left" w:pos="3364"/>
                <w:tab w:val="left" w:pos="4625"/>
              </w:tabs>
              <w:spacing w:line="360" w:lineRule="auto"/>
              <w:ind w:left="1262"/>
              <w:jc w:val="center"/>
              <w:rPr>
                <w:color w:val="auto"/>
                <w:sz w:val="21"/>
                <w:highlight w:val="none"/>
              </w:rPr>
            </w:pPr>
            <w:r>
              <w:rPr>
                <w:rFonts w:hint="eastAsia"/>
                <w:color w:val="auto"/>
                <w:sz w:val="21"/>
                <w:highlight w:val="none"/>
              </w:rPr>
              <w:t>年毕</w:t>
            </w:r>
            <w:r>
              <w:rPr>
                <w:rFonts w:hint="eastAsia"/>
                <w:color w:val="auto"/>
                <w:spacing w:val="-3"/>
                <w:sz w:val="21"/>
                <w:highlight w:val="none"/>
              </w:rPr>
              <w:t>业</w:t>
            </w:r>
            <w:r>
              <w:rPr>
                <w:rFonts w:hint="eastAsia"/>
                <w:color w:val="auto"/>
                <w:sz w:val="21"/>
                <w:highlight w:val="none"/>
              </w:rPr>
              <w:t>于</w:t>
            </w:r>
            <w:r>
              <w:rPr>
                <w:rFonts w:hint="eastAsia"/>
                <w:color w:val="auto"/>
                <w:sz w:val="21"/>
                <w:highlight w:val="none"/>
              </w:rPr>
              <w:tab/>
            </w:r>
            <w:r>
              <w:rPr>
                <w:rFonts w:hint="eastAsia"/>
                <w:color w:val="auto"/>
                <w:spacing w:val="-3"/>
                <w:sz w:val="21"/>
                <w:highlight w:val="none"/>
              </w:rPr>
              <w:t>学</w:t>
            </w:r>
            <w:r>
              <w:rPr>
                <w:rFonts w:hint="eastAsia"/>
                <w:color w:val="auto"/>
                <w:sz w:val="21"/>
                <w:highlight w:val="none"/>
              </w:rPr>
              <w:t>校</w:t>
            </w:r>
            <w:r>
              <w:rPr>
                <w:rFonts w:hint="eastAsia"/>
                <w:color w:val="auto"/>
                <w:sz w:val="21"/>
                <w:highlight w:val="none"/>
              </w:rPr>
              <w:tab/>
            </w:r>
            <w:r>
              <w:rPr>
                <w:rFonts w:hint="eastAsia"/>
                <w:color w:val="auto"/>
                <w:sz w:val="21"/>
                <w:highlight w:val="none"/>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8999" w:type="dxa"/>
            <w:gridSpan w:val="9"/>
            <w:vAlign w:val="center"/>
          </w:tcPr>
          <w:p>
            <w:pPr>
              <w:pStyle w:val="27"/>
              <w:spacing w:line="360" w:lineRule="auto"/>
              <w:ind w:left="107"/>
              <w:jc w:val="center"/>
              <w:rPr>
                <w:color w:val="auto"/>
                <w:sz w:val="21"/>
                <w:highlight w:val="none"/>
              </w:rPr>
            </w:pPr>
            <w:r>
              <w:rPr>
                <w:rFonts w:hint="eastAsia"/>
                <w:color w:val="auto"/>
                <w:sz w:val="21"/>
                <w:highlight w:val="none"/>
              </w:rP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629" w:type="dxa"/>
            <w:gridSpan w:val="2"/>
            <w:vAlign w:val="center"/>
          </w:tcPr>
          <w:p>
            <w:pPr>
              <w:pStyle w:val="27"/>
              <w:tabs>
                <w:tab w:val="left" w:pos="878"/>
              </w:tabs>
              <w:adjustRightInd w:val="0"/>
              <w:snapToGrid w:val="0"/>
              <w:spacing w:line="360" w:lineRule="auto"/>
              <w:jc w:val="center"/>
              <w:rPr>
                <w:color w:val="auto"/>
                <w:sz w:val="21"/>
                <w:highlight w:val="none"/>
              </w:rPr>
            </w:pPr>
            <w:r>
              <w:rPr>
                <w:rFonts w:hint="eastAsia"/>
                <w:color w:val="auto"/>
                <w:sz w:val="21"/>
                <w:highlight w:val="none"/>
              </w:rPr>
              <w:t>时</w:t>
            </w:r>
            <w:r>
              <w:rPr>
                <w:rFonts w:hint="eastAsia"/>
                <w:color w:val="auto"/>
                <w:sz w:val="21"/>
                <w:highlight w:val="none"/>
              </w:rPr>
              <w:tab/>
            </w:r>
            <w:r>
              <w:rPr>
                <w:rFonts w:hint="eastAsia"/>
                <w:color w:val="auto"/>
                <w:sz w:val="21"/>
                <w:highlight w:val="none"/>
              </w:rPr>
              <w:t>间</w:t>
            </w:r>
          </w:p>
        </w:tc>
        <w:tc>
          <w:tcPr>
            <w:tcW w:w="3612" w:type="dxa"/>
            <w:gridSpan w:val="4"/>
            <w:vAlign w:val="center"/>
          </w:tcPr>
          <w:p>
            <w:pPr>
              <w:pStyle w:val="27"/>
              <w:adjustRightInd w:val="0"/>
              <w:snapToGrid w:val="0"/>
              <w:spacing w:line="360" w:lineRule="auto"/>
              <w:jc w:val="center"/>
              <w:rPr>
                <w:color w:val="auto"/>
                <w:sz w:val="21"/>
                <w:highlight w:val="none"/>
              </w:rPr>
            </w:pPr>
            <w:r>
              <w:rPr>
                <w:rFonts w:hint="eastAsia"/>
                <w:color w:val="auto"/>
                <w:sz w:val="21"/>
                <w:highlight w:val="none"/>
              </w:rPr>
              <w:t>参加过的类似项目</w:t>
            </w:r>
          </w:p>
        </w:tc>
        <w:tc>
          <w:tcPr>
            <w:tcW w:w="1331" w:type="dxa"/>
            <w:vAlign w:val="center"/>
          </w:tcPr>
          <w:p>
            <w:pPr>
              <w:pStyle w:val="27"/>
              <w:adjustRightInd w:val="0"/>
              <w:snapToGrid w:val="0"/>
              <w:spacing w:line="360" w:lineRule="auto"/>
              <w:jc w:val="center"/>
              <w:rPr>
                <w:color w:val="auto"/>
                <w:sz w:val="21"/>
                <w:highlight w:val="none"/>
              </w:rPr>
            </w:pPr>
            <w:r>
              <w:rPr>
                <w:rFonts w:hint="eastAsia"/>
                <w:color w:val="auto"/>
                <w:sz w:val="21"/>
                <w:highlight w:val="none"/>
              </w:rPr>
              <w:t>担任职务</w:t>
            </w:r>
          </w:p>
        </w:tc>
        <w:tc>
          <w:tcPr>
            <w:tcW w:w="2427" w:type="dxa"/>
            <w:gridSpan w:val="2"/>
            <w:vAlign w:val="center"/>
          </w:tcPr>
          <w:p>
            <w:pPr>
              <w:pStyle w:val="27"/>
              <w:adjustRightInd w:val="0"/>
              <w:snapToGrid w:val="0"/>
              <w:spacing w:line="360" w:lineRule="auto"/>
              <w:jc w:val="center"/>
              <w:rPr>
                <w:color w:val="auto"/>
                <w:sz w:val="21"/>
                <w:highlight w:val="none"/>
              </w:rPr>
            </w:pPr>
            <w:r>
              <w:rPr>
                <w:rFonts w:hint="eastAsia"/>
                <w:color w:val="auto"/>
                <w:sz w:val="21"/>
                <w:highlight w:val="none"/>
              </w:rPr>
              <w:t>委托人及联系电话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629" w:type="dxa"/>
            <w:gridSpan w:val="2"/>
          </w:tcPr>
          <w:p>
            <w:pPr>
              <w:pStyle w:val="27"/>
              <w:spacing w:line="360" w:lineRule="auto"/>
              <w:rPr>
                <w:color w:val="auto"/>
                <w:sz w:val="20"/>
                <w:highlight w:val="none"/>
              </w:rPr>
            </w:pPr>
          </w:p>
        </w:tc>
        <w:tc>
          <w:tcPr>
            <w:tcW w:w="3612" w:type="dxa"/>
            <w:gridSpan w:val="4"/>
          </w:tcPr>
          <w:p>
            <w:pPr>
              <w:pStyle w:val="27"/>
              <w:spacing w:line="360" w:lineRule="auto"/>
              <w:rPr>
                <w:color w:val="auto"/>
                <w:sz w:val="20"/>
                <w:highlight w:val="none"/>
              </w:rPr>
            </w:pPr>
          </w:p>
        </w:tc>
        <w:tc>
          <w:tcPr>
            <w:tcW w:w="1331" w:type="dxa"/>
          </w:tcPr>
          <w:p>
            <w:pPr>
              <w:pStyle w:val="27"/>
              <w:spacing w:line="360" w:lineRule="auto"/>
              <w:rPr>
                <w:color w:val="auto"/>
                <w:sz w:val="20"/>
                <w:highlight w:val="none"/>
              </w:rPr>
            </w:pPr>
          </w:p>
        </w:tc>
        <w:tc>
          <w:tcPr>
            <w:tcW w:w="2427" w:type="dxa"/>
            <w:gridSpan w:val="2"/>
          </w:tcPr>
          <w:p>
            <w:pPr>
              <w:pStyle w:val="27"/>
              <w:spacing w:line="360" w:lineRule="auto"/>
              <w:rPr>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1629" w:type="dxa"/>
            <w:gridSpan w:val="2"/>
          </w:tcPr>
          <w:p>
            <w:pPr>
              <w:pStyle w:val="27"/>
              <w:spacing w:line="360" w:lineRule="auto"/>
              <w:rPr>
                <w:color w:val="auto"/>
                <w:sz w:val="20"/>
                <w:highlight w:val="none"/>
              </w:rPr>
            </w:pPr>
          </w:p>
        </w:tc>
        <w:tc>
          <w:tcPr>
            <w:tcW w:w="3612" w:type="dxa"/>
            <w:gridSpan w:val="4"/>
          </w:tcPr>
          <w:p>
            <w:pPr>
              <w:pStyle w:val="27"/>
              <w:spacing w:line="360" w:lineRule="auto"/>
              <w:rPr>
                <w:color w:val="auto"/>
                <w:sz w:val="20"/>
                <w:highlight w:val="none"/>
              </w:rPr>
            </w:pPr>
          </w:p>
        </w:tc>
        <w:tc>
          <w:tcPr>
            <w:tcW w:w="1331" w:type="dxa"/>
          </w:tcPr>
          <w:p>
            <w:pPr>
              <w:pStyle w:val="27"/>
              <w:spacing w:line="360" w:lineRule="auto"/>
              <w:rPr>
                <w:color w:val="auto"/>
                <w:sz w:val="20"/>
                <w:highlight w:val="none"/>
              </w:rPr>
            </w:pPr>
          </w:p>
        </w:tc>
        <w:tc>
          <w:tcPr>
            <w:tcW w:w="2427" w:type="dxa"/>
            <w:gridSpan w:val="2"/>
          </w:tcPr>
          <w:p>
            <w:pPr>
              <w:pStyle w:val="27"/>
              <w:spacing w:line="360" w:lineRule="auto"/>
              <w:rPr>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629" w:type="dxa"/>
            <w:gridSpan w:val="2"/>
          </w:tcPr>
          <w:p>
            <w:pPr>
              <w:pStyle w:val="27"/>
              <w:spacing w:line="360" w:lineRule="auto"/>
              <w:rPr>
                <w:color w:val="auto"/>
                <w:sz w:val="20"/>
                <w:highlight w:val="none"/>
              </w:rPr>
            </w:pPr>
          </w:p>
        </w:tc>
        <w:tc>
          <w:tcPr>
            <w:tcW w:w="3612" w:type="dxa"/>
            <w:gridSpan w:val="4"/>
          </w:tcPr>
          <w:p>
            <w:pPr>
              <w:pStyle w:val="27"/>
              <w:spacing w:line="360" w:lineRule="auto"/>
              <w:rPr>
                <w:color w:val="auto"/>
                <w:sz w:val="20"/>
                <w:highlight w:val="none"/>
              </w:rPr>
            </w:pPr>
          </w:p>
        </w:tc>
        <w:tc>
          <w:tcPr>
            <w:tcW w:w="1331" w:type="dxa"/>
          </w:tcPr>
          <w:p>
            <w:pPr>
              <w:pStyle w:val="27"/>
              <w:spacing w:line="360" w:lineRule="auto"/>
              <w:rPr>
                <w:color w:val="auto"/>
                <w:sz w:val="20"/>
                <w:highlight w:val="none"/>
              </w:rPr>
            </w:pPr>
          </w:p>
        </w:tc>
        <w:tc>
          <w:tcPr>
            <w:tcW w:w="2427" w:type="dxa"/>
            <w:gridSpan w:val="2"/>
          </w:tcPr>
          <w:p>
            <w:pPr>
              <w:pStyle w:val="27"/>
              <w:spacing w:line="360" w:lineRule="auto"/>
              <w:rPr>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629" w:type="dxa"/>
            <w:gridSpan w:val="2"/>
          </w:tcPr>
          <w:p>
            <w:pPr>
              <w:pStyle w:val="27"/>
              <w:spacing w:line="360" w:lineRule="auto"/>
              <w:rPr>
                <w:color w:val="auto"/>
                <w:sz w:val="20"/>
                <w:highlight w:val="none"/>
              </w:rPr>
            </w:pPr>
          </w:p>
        </w:tc>
        <w:tc>
          <w:tcPr>
            <w:tcW w:w="3612" w:type="dxa"/>
            <w:gridSpan w:val="4"/>
          </w:tcPr>
          <w:p>
            <w:pPr>
              <w:pStyle w:val="27"/>
              <w:spacing w:line="360" w:lineRule="auto"/>
              <w:rPr>
                <w:color w:val="auto"/>
                <w:sz w:val="20"/>
                <w:highlight w:val="none"/>
              </w:rPr>
            </w:pPr>
          </w:p>
        </w:tc>
        <w:tc>
          <w:tcPr>
            <w:tcW w:w="1331" w:type="dxa"/>
          </w:tcPr>
          <w:p>
            <w:pPr>
              <w:pStyle w:val="27"/>
              <w:spacing w:line="360" w:lineRule="auto"/>
              <w:rPr>
                <w:color w:val="auto"/>
                <w:sz w:val="20"/>
                <w:highlight w:val="none"/>
              </w:rPr>
            </w:pPr>
          </w:p>
        </w:tc>
        <w:tc>
          <w:tcPr>
            <w:tcW w:w="2427" w:type="dxa"/>
            <w:gridSpan w:val="2"/>
          </w:tcPr>
          <w:p>
            <w:pPr>
              <w:pStyle w:val="27"/>
              <w:spacing w:line="360" w:lineRule="auto"/>
              <w:rPr>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1629" w:type="dxa"/>
            <w:gridSpan w:val="2"/>
          </w:tcPr>
          <w:p>
            <w:pPr>
              <w:pStyle w:val="27"/>
              <w:spacing w:line="360" w:lineRule="auto"/>
              <w:rPr>
                <w:color w:val="auto"/>
                <w:sz w:val="20"/>
                <w:highlight w:val="none"/>
              </w:rPr>
            </w:pPr>
          </w:p>
        </w:tc>
        <w:tc>
          <w:tcPr>
            <w:tcW w:w="3612" w:type="dxa"/>
            <w:gridSpan w:val="4"/>
          </w:tcPr>
          <w:p>
            <w:pPr>
              <w:pStyle w:val="27"/>
              <w:spacing w:line="360" w:lineRule="auto"/>
              <w:rPr>
                <w:color w:val="auto"/>
                <w:sz w:val="20"/>
                <w:highlight w:val="none"/>
              </w:rPr>
            </w:pPr>
          </w:p>
        </w:tc>
        <w:tc>
          <w:tcPr>
            <w:tcW w:w="1331" w:type="dxa"/>
          </w:tcPr>
          <w:p>
            <w:pPr>
              <w:pStyle w:val="27"/>
              <w:spacing w:line="360" w:lineRule="auto"/>
              <w:rPr>
                <w:color w:val="auto"/>
                <w:sz w:val="20"/>
                <w:highlight w:val="none"/>
              </w:rPr>
            </w:pPr>
          </w:p>
        </w:tc>
        <w:tc>
          <w:tcPr>
            <w:tcW w:w="2427" w:type="dxa"/>
            <w:gridSpan w:val="2"/>
          </w:tcPr>
          <w:p>
            <w:pPr>
              <w:pStyle w:val="27"/>
              <w:spacing w:line="360" w:lineRule="auto"/>
              <w:rPr>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629" w:type="dxa"/>
            <w:gridSpan w:val="2"/>
          </w:tcPr>
          <w:p>
            <w:pPr>
              <w:pStyle w:val="27"/>
              <w:spacing w:line="360" w:lineRule="auto"/>
              <w:rPr>
                <w:color w:val="auto"/>
                <w:sz w:val="20"/>
                <w:highlight w:val="none"/>
              </w:rPr>
            </w:pPr>
          </w:p>
        </w:tc>
        <w:tc>
          <w:tcPr>
            <w:tcW w:w="3612" w:type="dxa"/>
            <w:gridSpan w:val="4"/>
          </w:tcPr>
          <w:p>
            <w:pPr>
              <w:pStyle w:val="27"/>
              <w:spacing w:line="360" w:lineRule="auto"/>
              <w:rPr>
                <w:color w:val="auto"/>
                <w:sz w:val="20"/>
                <w:highlight w:val="none"/>
              </w:rPr>
            </w:pPr>
          </w:p>
        </w:tc>
        <w:tc>
          <w:tcPr>
            <w:tcW w:w="1331" w:type="dxa"/>
          </w:tcPr>
          <w:p>
            <w:pPr>
              <w:pStyle w:val="27"/>
              <w:spacing w:line="360" w:lineRule="auto"/>
              <w:rPr>
                <w:color w:val="auto"/>
                <w:sz w:val="20"/>
                <w:highlight w:val="none"/>
              </w:rPr>
            </w:pPr>
          </w:p>
        </w:tc>
        <w:tc>
          <w:tcPr>
            <w:tcW w:w="2427" w:type="dxa"/>
            <w:gridSpan w:val="2"/>
          </w:tcPr>
          <w:p>
            <w:pPr>
              <w:pStyle w:val="27"/>
              <w:spacing w:line="360" w:lineRule="auto"/>
              <w:rPr>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629" w:type="dxa"/>
            <w:gridSpan w:val="2"/>
          </w:tcPr>
          <w:p>
            <w:pPr>
              <w:pStyle w:val="27"/>
              <w:spacing w:line="360" w:lineRule="auto"/>
              <w:rPr>
                <w:color w:val="auto"/>
                <w:sz w:val="20"/>
                <w:highlight w:val="none"/>
              </w:rPr>
            </w:pPr>
          </w:p>
        </w:tc>
        <w:tc>
          <w:tcPr>
            <w:tcW w:w="3612" w:type="dxa"/>
            <w:gridSpan w:val="4"/>
          </w:tcPr>
          <w:p>
            <w:pPr>
              <w:pStyle w:val="27"/>
              <w:spacing w:line="360" w:lineRule="auto"/>
              <w:rPr>
                <w:color w:val="auto"/>
                <w:sz w:val="20"/>
                <w:highlight w:val="none"/>
              </w:rPr>
            </w:pPr>
          </w:p>
        </w:tc>
        <w:tc>
          <w:tcPr>
            <w:tcW w:w="1331" w:type="dxa"/>
          </w:tcPr>
          <w:p>
            <w:pPr>
              <w:pStyle w:val="27"/>
              <w:spacing w:line="360" w:lineRule="auto"/>
              <w:rPr>
                <w:color w:val="auto"/>
                <w:sz w:val="20"/>
                <w:highlight w:val="none"/>
              </w:rPr>
            </w:pPr>
          </w:p>
        </w:tc>
        <w:tc>
          <w:tcPr>
            <w:tcW w:w="2427" w:type="dxa"/>
            <w:gridSpan w:val="2"/>
          </w:tcPr>
          <w:p>
            <w:pPr>
              <w:pStyle w:val="27"/>
              <w:spacing w:line="360" w:lineRule="auto"/>
              <w:rPr>
                <w:color w:val="auto"/>
                <w:sz w:val="20"/>
                <w:highlight w:val="none"/>
              </w:rPr>
            </w:pPr>
          </w:p>
        </w:tc>
      </w:tr>
    </w:tbl>
    <w:p>
      <w:pPr>
        <w:pStyle w:val="11"/>
        <w:spacing w:before="143" w:line="360" w:lineRule="auto"/>
        <w:ind w:left="240"/>
        <w:rPr>
          <w:color w:val="auto"/>
          <w:highlight w:val="none"/>
        </w:rPr>
        <w:sectPr>
          <w:pgSz w:w="11906" w:h="16838"/>
          <w:pgMar w:top="1400" w:right="1100" w:bottom="1120" w:left="1560" w:header="0" w:footer="841" w:gutter="0"/>
          <w:cols w:space="720" w:num="1"/>
        </w:sectPr>
      </w:pPr>
      <w:r>
        <w:rPr>
          <w:rFonts w:hint="eastAsia"/>
          <w:color w:val="auto"/>
          <w:highlight w:val="none"/>
        </w:rPr>
        <w:t>注：投标人应根据投标人须知第 3.5.6 项的要求在本表后附相关证明材料。</w:t>
      </w:r>
    </w:p>
    <w:p>
      <w:pPr>
        <w:spacing w:before="43"/>
        <w:jc w:val="center"/>
        <w:rPr>
          <w:b/>
          <w:color w:val="auto"/>
          <w:sz w:val="32"/>
          <w:highlight w:val="none"/>
        </w:rPr>
      </w:pPr>
      <w:bookmarkStart w:id="53" w:name="_bookmark192"/>
      <w:bookmarkEnd w:id="53"/>
      <w:r>
        <w:rPr>
          <w:rFonts w:hint="eastAsia"/>
          <w:b/>
          <w:color w:val="auto"/>
          <w:sz w:val="32"/>
          <w:highlight w:val="none"/>
          <w:lang w:val="en-US"/>
        </w:rPr>
        <w:t>九</w:t>
      </w:r>
      <w:r>
        <w:rPr>
          <w:rFonts w:hint="eastAsia"/>
          <w:b/>
          <w:color w:val="auto"/>
          <w:sz w:val="32"/>
          <w:highlight w:val="none"/>
        </w:rPr>
        <w:t>、投标人声明格式</w:t>
      </w:r>
    </w:p>
    <w:p>
      <w:pPr>
        <w:widowControl/>
        <w:snapToGrid w:val="0"/>
        <w:spacing w:before="260" w:after="260"/>
        <w:ind w:right="386"/>
        <w:jc w:val="center"/>
        <w:rPr>
          <w:color w:val="auto"/>
          <w:sz w:val="28"/>
          <w:szCs w:val="28"/>
          <w:highlight w:val="none"/>
        </w:rPr>
      </w:pPr>
      <w:r>
        <w:rPr>
          <w:rFonts w:hint="eastAsia"/>
          <w:color w:val="auto"/>
          <w:sz w:val="28"/>
          <w:szCs w:val="28"/>
          <w:highlight w:val="none"/>
        </w:rPr>
        <w:t>投标人声明</w:t>
      </w:r>
    </w:p>
    <w:p>
      <w:pPr>
        <w:snapToGrid w:val="0"/>
        <w:spacing w:line="400" w:lineRule="exact"/>
        <w:ind w:firstLine="480" w:firstLineChars="200"/>
        <w:rPr>
          <w:color w:val="auto"/>
          <w:sz w:val="24"/>
          <w:szCs w:val="24"/>
          <w:highlight w:val="none"/>
        </w:rPr>
      </w:pPr>
      <w:r>
        <w:rPr>
          <w:rFonts w:hint="eastAsia"/>
          <w:color w:val="auto"/>
          <w:sz w:val="24"/>
          <w:szCs w:val="24"/>
          <w:highlight w:val="none"/>
        </w:rPr>
        <w:t>广州市住房和城乡建设局、本招标项目招标人及招标监管机构：</w:t>
      </w:r>
    </w:p>
    <w:p>
      <w:pPr>
        <w:snapToGrid w:val="0"/>
        <w:spacing w:line="400" w:lineRule="exact"/>
        <w:ind w:firstLine="480" w:firstLineChars="200"/>
        <w:rPr>
          <w:color w:val="auto"/>
          <w:sz w:val="24"/>
          <w:szCs w:val="24"/>
          <w:highlight w:val="none"/>
        </w:rPr>
      </w:pPr>
      <w:r>
        <w:rPr>
          <w:rFonts w:hint="eastAsia"/>
          <w:color w:val="auto"/>
          <w:sz w:val="24"/>
          <w:szCs w:val="24"/>
          <w:highlight w:val="none"/>
        </w:rPr>
        <w:t>本公司就参加</w:t>
      </w:r>
      <w:r>
        <w:rPr>
          <w:rFonts w:hint="eastAsia"/>
          <w:color w:val="auto"/>
          <w:sz w:val="24"/>
          <w:szCs w:val="24"/>
          <w:highlight w:val="none"/>
          <w:u w:val="single"/>
        </w:rPr>
        <w:t>                </w:t>
      </w:r>
      <w:r>
        <w:rPr>
          <w:rFonts w:hint="eastAsia"/>
          <w:color w:val="auto"/>
          <w:sz w:val="24"/>
          <w:szCs w:val="24"/>
          <w:highlight w:val="none"/>
        </w:rPr>
        <w:t>项目投标工作，作出郑重声明：</w:t>
      </w:r>
    </w:p>
    <w:p>
      <w:pPr>
        <w:snapToGrid w:val="0"/>
        <w:spacing w:line="400" w:lineRule="exact"/>
        <w:ind w:firstLine="480" w:firstLineChars="200"/>
        <w:rPr>
          <w:color w:val="auto"/>
          <w:sz w:val="24"/>
          <w:szCs w:val="24"/>
          <w:highlight w:val="none"/>
        </w:rPr>
      </w:pPr>
      <w:r>
        <w:rPr>
          <w:rFonts w:hint="eastAsia"/>
          <w:color w:val="auto"/>
          <w:sz w:val="24"/>
          <w:szCs w:val="24"/>
          <w:highlight w:val="none"/>
        </w:rPr>
        <w:t>一、本公司保证投标报名材料及其后提供的一切材料都是真实的。如我司成为本项目中标候选人，我司同意并授权招标人将我司投标文件商务部分的人员、业绩、奖项等资料进行公开。</w:t>
      </w:r>
    </w:p>
    <w:p>
      <w:pPr>
        <w:snapToGrid w:val="0"/>
        <w:spacing w:line="400" w:lineRule="exact"/>
        <w:ind w:firstLine="480" w:firstLineChars="200"/>
        <w:rPr>
          <w:bCs/>
          <w:color w:val="auto"/>
          <w:sz w:val="24"/>
          <w:szCs w:val="24"/>
          <w:highlight w:val="none"/>
        </w:rPr>
      </w:pPr>
      <w:r>
        <w:rPr>
          <w:rFonts w:hint="eastAsia"/>
          <w:bCs/>
          <w:color w:val="auto"/>
          <w:sz w:val="24"/>
          <w:szCs w:val="24"/>
          <w:highlight w:val="none"/>
        </w:rPr>
        <w:t>二、本公司承诺遵循公平公正、公开、诚实信用原则，如实投标，真实反映企业实力，公平竞争，不弄虚作假，不以低于企业成本价竞标而降低服务质量，不与任何建设单位订立违背企业成本取费标准及相关规定的“阴阳合同”进行恶性竞争，扰乱市场秩序，不与其他单位串通投标或以行贿手段谋取中标，不出借资质、转包或违法</w:t>
      </w:r>
      <w:r>
        <w:rPr>
          <w:rFonts w:hint="eastAsia"/>
          <w:bCs/>
          <w:color w:val="auto"/>
          <w:sz w:val="24"/>
          <w:szCs w:val="24"/>
          <w:highlight w:val="none"/>
          <w:lang w:val="en-US"/>
        </w:rPr>
        <w:t>分包</w:t>
      </w:r>
      <w:r>
        <w:rPr>
          <w:rFonts w:hint="eastAsia"/>
          <w:bCs/>
          <w:color w:val="auto"/>
          <w:sz w:val="24"/>
          <w:szCs w:val="24"/>
          <w:highlight w:val="none"/>
        </w:rPr>
        <w:t>业务。</w:t>
      </w:r>
    </w:p>
    <w:p>
      <w:pPr>
        <w:snapToGrid w:val="0"/>
        <w:spacing w:line="400" w:lineRule="exact"/>
        <w:ind w:firstLine="480" w:firstLineChars="200"/>
        <w:rPr>
          <w:bCs/>
          <w:color w:val="auto"/>
          <w:sz w:val="24"/>
          <w:szCs w:val="24"/>
          <w:highlight w:val="none"/>
        </w:rPr>
      </w:pPr>
      <w:r>
        <w:rPr>
          <w:rFonts w:hint="eastAsia"/>
          <w:bCs/>
          <w:color w:val="auto"/>
          <w:sz w:val="24"/>
          <w:szCs w:val="24"/>
          <w:highlight w:val="none"/>
        </w:rPr>
        <w:t>三、本公司不存在招标文件第二章投标人须知第1.4.3项所规定的任何一种情形。</w:t>
      </w:r>
    </w:p>
    <w:p>
      <w:pPr>
        <w:snapToGrid w:val="0"/>
        <w:spacing w:line="400" w:lineRule="exact"/>
        <w:ind w:firstLine="480" w:firstLineChars="200"/>
        <w:rPr>
          <w:bCs/>
          <w:color w:val="auto"/>
          <w:sz w:val="24"/>
          <w:szCs w:val="24"/>
          <w:highlight w:val="none"/>
        </w:rPr>
      </w:pPr>
      <w:r>
        <w:rPr>
          <w:rFonts w:hint="eastAsia"/>
          <w:bCs/>
          <w:color w:val="auto"/>
          <w:sz w:val="24"/>
          <w:szCs w:val="24"/>
          <w:highlight w:val="none"/>
        </w:rPr>
        <w:t>四、本公司及其有隶属关系的机构，没有参加本项目招标文件的编写工作；本公司与本次招标的招标代理机构没有隶属关系或其他利害关系。</w:t>
      </w:r>
    </w:p>
    <w:p>
      <w:pPr>
        <w:snapToGrid w:val="0"/>
        <w:spacing w:line="400" w:lineRule="exact"/>
        <w:ind w:firstLine="480" w:firstLineChars="200"/>
        <w:rPr>
          <w:bCs/>
          <w:color w:val="auto"/>
          <w:sz w:val="24"/>
          <w:szCs w:val="24"/>
          <w:highlight w:val="none"/>
        </w:rPr>
      </w:pPr>
      <w:r>
        <w:rPr>
          <w:rFonts w:hint="eastAsia"/>
          <w:bCs/>
          <w:color w:val="auto"/>
          <w:sz w:val="24"/>
          <w:szCs w:val="24"/>
          <w:highlight w:val="none"/>
        </w:rPr>
        <w:t>五、本公司承诺，中标后严格执行安全生产相关管理规定。</w:t>
      </w:r>
    </w:p>
    <w:p>
      <w:pPr>
        <w:snapToGrid w:val="0"/>
        <w:spacing w:line="400" w:lineRule="exact"/>
        <w:ind w:firstLine="480" w:firstLineChars="200"/>
        <w:rPr>
          <w:bCs/>
          <w:color w:val="auto"/>
          <w:sz w:val="24"/>
          <w:szCs w:val="24"/>
          <w:highlight w:val="none"/>
        </w:rPr>
      </w:pPr>
      <w:r>
        <w:rPr>
          <w:rFonts w:hint="eastAsia"/>
          <w:bCs/>
          <w:color w:val="auto"/>
          <w:sz w:val="24"/>
          <w:szCs w:val="24"/>
          <w:highlight w:val="none"/>
        </w:rPr>
        <w:t>六、与本公司单位负责人为同一人或者与本公司存在控股、管理关系的其他单位包括：</w:t>
      </w:r>
      <w:r>
        <w:rPr>
          <w:rFonts w:hint="eastAsia"/>
          <w:bCs/>
          <w:color w:val="auto"/>
          <w:sz w:val="24"/>
          <w:szCs w:val="24"/>
          <w:highlight w:val="none"/>
          <w:u w:val="single"/>
        </w:rPr>
        <w:t xml:space="preserve">                          </w:t>
      </w:r>
      <w:r>
        <w:rPr>
          <w:rFonts w:hint="eastAsia"/>
          <w:bCs/>
          <w:color w:val="auto"/>
          <w:sz w:val="24"/>
          <w:szCs w:val="24"/>
          <w:highlight w:val="none"/>
        </w:rPr>
        <w:t>。（注：本条由投标人如实填写，如有，应列出全部满足招标公告资质要求的相关单位的名称；如无，则填写“无”。）</w:t>
      </w:r>
    </w:p>
    <w:p>
      <w:pPr>
        <w:snapToGrid w:val="0"/>
        <w:spacing w:line="400" w:lineRule="exact"/>
        <w:ind w:firstLine="480" w:firstLineChars="200"/>
        <w:rPr>
          <w:bCs/>
          <w:color w:val="auto"/>
          <w:sz w:val="24"/>
          <w:szCs w:val="24"/>
          <w:highlight w:val="none"/>
        </w:rPr>
      </w:pPr>
      <w:r>
        <w:rPr>
          <w:rFonts w:hint="eastAsia"/>
          <w:bCs/>
          <w:color w:val="auto"/>
          <w:sz w:val="24"/>
          <w:szCs w:val="24"/>
          <w:highlight w:val="none"/>
        </w:rPr>
        <w:t>本公司违反上述承诺，或本声明陈述与事实不符，经查实，本公司愿意接受公开通报，愿意按照《广州市建筑市场信用管理办法》（穗建规字﹝20</w:t>
      </w:r>
      <w:r>
        <w:rPr>
          <w:rFonts w:hint="eastAsia"/>
          <w:bCs/>
          <w:color w:val="auto"/>
          <w:sz w:val="24"/>
          <w:szCs w:val="24"/>
          <w:highlight w:val="none"/>
          <w:lang w:val="en-US"/>
        </w:rPr>
        <w:t>19</w:t>
      </w:r>
      <w:r>
        <w:rPr>
          <w:rFonts w:hint="eastAsia"/>
          <w:bCs/>
          <w:color w:val="auto"/>
          <w:sz w:val="24"/>
          <w:szCs w:val="24"/>
          <w:highlight w:val="none"/>
        </w:rPr>
        <w:t>﹞16号）的规定被记录为失信信息，承担由此带来的一切后果，并自愿停止参加广州市行政辖区内的招标投标活动三个月。</w:t>
      </w:r>
    </w:p>
    <w:p>
      <w:pPr>
        <w:widowControl/>
        <w:shd w:val="clear" w:color="auto" w:fill="FFFFFF"/>
        <w:snapToGrid w:val="0"/>
        <w:spacing w:line="400" w:lineRule="exact"/>
        <w:ind w:firstLine="480" w:firstLineChars="200"/>
        <w:rPr>
          <w:color w:val="auto"/>
          <w:sz w:val="24"/>
          <w:szCs w:val="24"/>
          <w:highlight w:val="none"/>
        </w:rPr>
      </w:pPr>
      <w:r>
        <w:rPr>
          <w:rFonts w:hint="eastAsia"/>
          <w:color w:val="auto"/>
          <w:sz w:val="24"/>
          <w:szCs w:val="24"/>
          <w:highlight w:val="none"/>
        </w:rPr>
        <w:t>特此声明。</w:t>
      </w:r>
    </w:p>
    <w:p>
      <w:pPr>
        <w:snapToGrid w:val="0"/>
        <w:spacing w:line="360" w:lineRule="auto"/>
        <w:ind w:firstLine="4320" w:firstLineChars="1800"/>
        <w:rPr>
          <w:color w:val="auto"/>
          <w:sz w:val="24"/>
          <w:szCs w:val="24"/>
          <w:highlight w:val="none"/>
        </w:rPr>
      </w:pPr>
      <w:r>
        <w:rPr>
          <w:rFonts w:hint="eastAsia"/>
          <w:color w:val="auto"/>
          <w:sz w:val="24"/>
          <w:szCs w:val="24"/>
          <w:highlight w:val="none"/>
        </w:rPr>
        <w:t>声明企业：            (企业公章)</w:t>
      </w:r>
    </w:p>
    <w:p>
      <w:pPr>
        <w:snapToGrid w:val="0"/>
        <w:spacing w:line="360" w:lineRule="auto"/>
        <w:ind w:firstLine="4320" w:firstLineChars="1800"/>
        <w:rPr>
          <w:color w:val="auto"/>
          <w:sz w:val="24"/>
          <w:szCs w:val="24"/>
          <w:highlight w:val="none"/>
        </w:rPr>
      </w:pPr>
      <w:r>
        <w:rPr>
          <w:rFonts w:hint="eastAsia"/>
          <w:color w:val="auto"/>
          <w:sz w:val="24"/>
          <w:szCs w:val="24"/>
          <w:highlight w:val="none"/>
          <w:lang w:val="en-US"/>
        </w:rPr>
        <w:t>项目负责人</w:t>
      </w:r>
      <w:r>
        <w:rPr>
          <w:rFonts w:hint="eastAsia"/>
          <w:color w:val="auto"/>
          <w:sz w:val="24"/>
          <w:szCs w:val="24"/>
          <w:highlight w:val="none"/>
        </w:rPr>
        <w:t>：         （签字）</w:t>
      </w:r>
    </w:p>
    <w:p>
      <w:pPr>
        <w:snapToGrid w:val="0"/>
        <w:spacing w:line="360" w:lineRule="auto"/>
        <w:ind w:firstLine="4320" w:firstLineChars="1800"/>
        <w:rPr>
          <w:color w:val="auto"/>
          <w:sz w:val="24"/>
          <w:szCs w:val="24"/>
          <w:highlight w:val="none"/>
        </w:rPr>
      </w:pPr>
      <w:r>
        <w:rPr>
          <w:rFonts w:hint="eastAsia"/>
          <w:color w:val="auto"/>
          <w:sz w:val="24"/>
          <w:szCs w:val="24"/>
          <w:highlight w:val="none"/>
        </w:rPr>
        <w:t>法定代表人签字：</w:t>
      </w:r>
    </w:p>
    <w:p>
      <w:pPr>
        <w:widowControl/>
        <w:snapToGrid w:val="0"/>
        <w:spacing w:line="360" w:lineRule="auto"/>
        <w:ind w:firstLine="4252" w:firstLineChars="1772"/>
        <w:rPr>
          <w:color w:val="auto"/>
          <w:sz w:val="32"/>
          <w:szCs w:val="32"/>
          <w:highlight w:val="none"/>
        </w:rPr>
        <w:sectPr>
          <w:pgSz w:w="11906" w:h="16838"/>
          <w:pgMar w:top="1400" w:right="1100" w:bottom="1120" w:left="1560" w:header="0" w:footer="841" w:gutter="0"/>
          <w:cols w:space="720" w:num="1"/>
        </w:sectPr>
      </w:pPr>
      <w:r>
        <w:rPr>
          <w:rFonts w:hint="eastAsia"/>
          <w:color w:val="auto"/>
          <w:sz w:val="24"/>
          <w:szCs w:val="24"/>
          <w:highlight w:val="none"/>
          <w:lang w:val="en-US"/>
        </w:rPr>
        <w:t xml:space="preserve"> </w:t>
      </w:r>
      <w:r>
        <w:rPr>
          <w:rFonts w:hint="eastAsia"/>
          <w:color w:val="auto"/>
          <w:sz w:val="24"/>
          <w:szCs w:val="24"/>
          <w:highlight w:val="none"/>
        </w:rPr>
        <w:t xml:space="preserve">年   月  日 </w:t>
      </w:r>
    </w:p>
    <w:p>
      <w:pPr>
        <w:spacing w:line="360" w:lineRule="auto"/>
        <w:ind w:right="458"/>
        <w:jc w:val="center"/>
        <w:rPr>
          <w:b/>
          <w:color w:val="auto"/>
          <w:sz w:val="32"/>
          <w:highlight w:val="none"/>
        </w:rPr>
      </w:pPr>
      <w:bookmarkStart w:id="54" w:name="_bookmark193"/>
      <w:bookmarkEnd w:id="54"/>
      <w:r>
        <w:rPr>
          <w:rFonts w:hint="eastAsia"/>
          <w:b/>
          <w:color w:val="auto"/>
          <w:sz w:val="32"/>
          <w:highlight w:val="none"/>
        </w:rPr>
        <w:t>十、</w:t>
      </w:r>
      <w:r>
        <w:rPr>
          <w:rFonts w:hint="eastAsia"/>
          <w:b/>
          <w:color w:val="auto"/>
          <w:sz w:val="32"/>
          <w:highlight w:val="none"/>
          <w:lang w:val="en-US"/>
        </w:rPr>
        <w:t>鉴定服务技术方案</w:t>
      </w:r>
    </w:p>
    <w:p>
      <w:pPr>
        <w:pStyle w:val="11"/>
        <w:spacing w:before="229" w:line="360" w:lineRule="auto"/>
        <w:ind w:left="715" w:right="120"/>
        <w:rPr>
          <w:color w:val="auto"/>
          <w:highlight w:val="none"/>
        </w:rPr>
      </w:pPr>
      <w:r>
        <w:rPr>
          <w:rFonts w:hint="eastAsia"/>
          <w:color w:val="auto"/>
          <w:highlight w:val="none"/>
          <w:lang w:val="en-US"/>
        </w:rPr>
        <w:t>鉴定服务技术方案</w:t>
      </w:r>
      <w:r>
        <w:rPr>
          <w:rFonts w:hint="eastAsia"/>
          <w:color w:val="auto"/>
          <w:highlight w:val="none"/>
        </w:rPr>
        <w:t>应包括（但不限于）下列内容</w:t>
      </w:r>
      <w:r>
        <w:rPr>
          <w:rFonts w:hint="eastAsia" w:ascii="Times New Roman" w:hAnsi="Times New Roman"/>
          <w:color w:val="auto"/>
          <w:highlight w:val="none"/>
        </w:rPr>
        <w:t>（投标单位可根据评分表自行增加或调整内容）</w:t>
      </w:r>
      <w:r>
        <w:rPr>
          <w:rFonts w:hint="eastAsia"/>
          <w:color w:val="auto"/>
          <w:highlight w:val="none"/>
        </w:rPr>
        <w:t xml:space="preserve">： </w:t>
      </w:r>
    </w:p>
    <w:p>
      <w:pPr>
        <w:pStyle w:val="11"/>
        <w:adjustRightInd w:val="0"/>
        <w:snapToGrid w:val="0"/>
        <w:spacing w:line="400" w:lineRule="exact"/>
        <w:ind w:left="440" w:leftChars="200"/>
        <w:rPr>
          <w:color w:val="auto"/>
          <w:highlight w:val="none"/>
        </w:rPr>
      </w:pPr>
      <w:r>
        <w:rPr>
          <w:rFonts w:hint="eastAsia"/>
          <w:color w:val="auto"/>
          <w:highlight w:val="none"/>
        </w:rPr>
        <w:t>一、</w:t>
      </w:r>
      <w:r>
        <w:rPr>
          <w:rFonts w:hint="eastAsia"/>
          <w:color w:val="auto"/>
          <w:highlight w:val="none"/>
          <w:lang w:val="en-US"/>
        </w:rPr>
        <w:t>实施方案</w:t>
      </w:r>
      <w:r>
        <w:rPr>
          <w:rFonts w:hint="eastAsia"/>
          <w:color w:val="auto"/>
          <w:highlight w:val="none"/>
        </w:rPr>
        <w:t>；</w:t>
      </w:r>
    </w:p>
    <w:p>
      <w:pPr>
        <w:pStyle w:val="11"/>
        <w:adjustRightInd w:val="0"/>
        <w:snapToGrid w:val="0"/>
        <w:spacing w:line="400" w:lineRule="exact"/>
        <w:ind w:left="440" w:leftChars="200"/>
        <w:rPr>
          <w:color w:val="auto"/>
          <w:highlight w:val="none"/>
        </w:rPr>
      </w:pPr>
      <w:r>
        <w:rPr>
          <w:rFonts w:hint="eastAsia"/>
          <w:color w:val="auto"/>
          <w:highlight w:val="none"/>
        </w:rPr>
        <w:t>二、</w:t>
      </w:r>
      <w:r>
        <w:rPr>
          <w:rFonts w:hint="eastAsia"/>
          <w:color w:val="auto"/>
          <w:highlight w:val="none"/>
          <w:lang w:val="en-US"/>
        </w:rPr>
        <w:t>服务计划</w:t>
      </w:r>
      <w:r>
        <w:rPr>
          <w:rFonts w:hint="eastAsia"/>
          <w:color w:val="auto"/>
          <w:highlight w:val="none"/>
        </w:rPr>
        <w:t>；</w:t>
      </w:r>
    </w:p>
    <w:p>
      <w:pPr>
        <w:pStyle w:val="11"/>
        <w:adjustRightInd w:val="0"/>
        <w:snapToGrid w:val="0"/>
        <w:spacing w:line="400" w:lineRule="exact"/>
        <w:ind w:left="440" w:leftChars="200"/>
        <w:rPr>
          <w:color w:val="auto"/>
          <w:highlight w:val="none"/>
        </w:rPr>
      </w:pPr>
      <w:r>
        <w:rPr>
          <w:rFonts w:hint="eastAsia"/>
          <w:color w:val="auto"/>
          <w:highlight w:val="none"/>
        </w:rPr>
        <w:t>三、</w:t>
      </w:r>
      <w:r>
        <w:rPr>
          <w:color w:val="auto"/>
          <w:highlight w:val="none"/>
          <w:lang w:val="en-US"/>
        </w:rPr>
        <w:t>承诺及质量保证措施</w:t>
      </w:r>
      <w:r>
        <w:rPr>
          <w:rFonts w:hint="eastAsia"/>
          <w:color w:val="auto"/>
          <w:highlight w:val="none"/>
        </w:rPr>
        <w:t>；</w:t>
      </w:r>
    </w:p>
    <w:p>
      <w:pPr>
        <w:pStyle w:val="11"/>
        <w:adjustRightInd w:val="0"/>
        <w:snapToGrid w:val="0"/>
        <w:spacing w:line="400" w:lineRule="exact"/>
        <w:ind w:left="440" w:leftChars="200"/>
        <w:rPr>
          <w:color w:val="auto"/>
          <w:spacing w:val="-3"/>
          <w:highlight w:val="none"/>
        </w:rPr>
      </w:pPr>
      <w:r>
        <w:rPr>
          <w:rFonts w:hint="eastAsia"/>
          <w:color w:val="auto"/>
          <w:spacing w:val="-3"/>
          <w:highlight w:val="none"/>
          <w:lang w:val="en-US"/>
        </w:rPr>
        <w:t>......</w:t>
      </w:r>
    </w:p>
    <w:p>
      <w:pPr>
        <w:tabs>
          <w:tab w:val="left" w:pos="923"/>
        </w:tabs>
        <w:rPr>
          <w:color w:val="auto"/>
          <w:highlight w:val="none"/>
          <w:lang w:val="en-US"/>
        </w:rPr>
        <w:sectPr>
          <w:pgSz w:w="11906" w:h="16838"/>
          <w:pgMar w:top="1400" w:right="1100" w:bottom="1120" w:left="1560" w:header="0" w:footer="841" w:gutter="0"/>
          <w:cols w:space="720" w:num="1"/>
        </w:sectPr>
      </w:pPr>
    </w:p>
    <w:p>
      <w:pPr>
        <w:spacing w:line="360" w:lineRule="auto"/>
        <w:ind w:right="457" w:firstLine="2891" w:firstLineChars="900"/>
        <w:jc w:val="both"/>
        <w:rPr>
          <w:b/>
          <w:color w:val="auto"/>
          <w:sz w:val="32"/>
          <w:highlight w:val="none"/>
        </w:rPr>
      </w:pPr>
      <w:bookmarkStart w:id="55" w:name="_bookmark194"/>
      <w:bookmarkEnd w:id="55"/>
      <w:r>
        <w:rPr>
          <w:rFonts w:hint="eastAsia"/>
          <w:b/>
          <w:color w:val="auto"/>
          <w:sz w:val="32"/>
          <w:highlight w:val="none"/>
        </w:rPr>
        <w:t>十</w:t>
      </w:r>
      <w:r>
        <w:rPr>
          <w:rFonts w:hint="eastAsia"/>
          <w:b/>
          <w:color w:val="auto"/>
          <w:sz w:val="32"/>
          <w:highlight w:val="none"/>
          <w:lang w:val="en-US"/>
        </w:rPr>
        <w:t>一</w:t>
      </w:r>
      <w:r>
        <w:rPr>
          <w:rFonts w:hint="eastAsia"/>
          <w:b/>
          <w:color w:val="auto"/>
          <w:sz w:val="32"/>
          <w:highlight w:val="none"/>
        </w:rPr>
        <w:t>、其他资料</w:t>
      </w:r>
    </w:p>
    <w:p>
      <w:pPr>
        <w:spacing w:line="360" w:lineRule="auto"/>
        <w:ind w:right="457"/>
        <w:jc w:val="center"/>
        <w:rPr>
          <w:b/>
          <w:color w:val="auto"/>
          <w:sz w:val="32"/>
          <w:highlight w:val="none"/>
        </w:rPr>
      </w:pPr>
      <w:r>
        <w:rPr>
          <w:rFonts w:hint="eastAsia"/>
          <w:color w:val="auto"/>
          <w:highlight w:val="none"/>
        </w:rPr>
        <w:t>投标人认为有必要提交的其他资料，格式自定。</w:t>
      </w:r>
    </w:p>
    <w:sectPr>
      <w:pgSz w:w="11906" w:h="16838"/>
      <w:pgMar w:top="1400" w:right="1100" w:bottom="1120" w:left="1560" w:header="0" w:footer="84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方正书宋简体">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12"/>
      </w:rPr>
    </w:pPr>
    <w:r>
      <w:rPr>
        <w:sz w:val="12"/>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5"/>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iaO7yQEAAJ4DAAAOAAAAAAAAAAEAIAAAAB4BAABkcnMvZTJvRG9j&#10;LnhtbFBLBQYAAAAABgAGAFkBAABZ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12"/>
      </w:rPr>
    </w:pPr>
    <w:r>
      <w:rPr>
        <w:sz w:val="12"/>
        <w:lang w:val="en-US" w:bidi="ar-SA"/>
      </w:rPr>
      <mc:AlternateContent>
        <mc:Choice Requires="wps">
          <w:drawing>
            <wp:anchor distT="0" distB="0" distL="114300" distR="114300" simplePos="0" relativeHeight="251661312" behindDoc="0" locked="0" layoutInCell="1" allowOverlap="1">
              <wp:simplePos x="0" y="0"/>
              <wp:positionH relativeFrom="margin">
                <wp:posOffset>3008630</wp:posOffset>
              </wp:positionH>
              <wp:positionV relativeFrom="paragraph">
                <wp:posOffset>-635</wp:posOffset>
              </wp:positionV>
              <wp:extent cx="349885" cy="19558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349857" cy="195663"/>
                      </a:xfrm>
                      <a:prstGeom prst="rect">
                        <a:avLst/>
                      </a:prstGeom>
                      <a:noFill/>
                      <a:ln>
                        <a:noFill/>
                      </a:ln>
                      <a:effectLst/>
                    </wps:spPr>
                    <wps:txbx>
                      <w:txbxContent>
                        <w:p>
                          <w:pPr>
                            <w:pStyle w:val="15"/>
                          </w:pPr>
                          <w:r>
                            <w:fldChar w:fldCharType="begin"/>
                          </w:r>
                          <w:r>
                            <w:instrText xml:space="preserve"> PAGE  \* MERGEFORMAT </w:instrText>
                          </w:r>
                          <w:r>
                            <w:fldChar w:fldCharType="separate"/>
                          </w:r>
                          <w:r>
                            <w:t>2</w:t>
                          </w:r>
                          <w:r>
                            <w:fldChar w:fldCharType="end"/>
                          </w:r>
                        </w:p>
                      </w:txbxContent>
                    </wps:txbx>
                    <wps:bodyPr wrap="square" lIns="0" tIns="0" rIns="0" bIns="0">
                      <a:noAutofit/>
                    </wps:bodyPr>
                  </wps:wsp>
                </a:graphicData>
              </a:graphic>
            </wp:anchor>
          </w:drawing>
        </mc:Choice>
        <mc:Fallback>
          <w:pict>
            <v:shape id="文本框 1025" o:spid="_x0000_s1026" o:spt="202" type="#_x0000_t202" style="position:absolute;left:0pt;margin-left:236.9pt;margin-top:-0.05pt;height:15.4pt;width:27.55pt;mso-position-horizontal-relative:margin;z-index:251661312;mso-width-relative:page;mso-height-relative:page;" filled="f" stroked="f" coordsize="21600,21600" o:gfxdata="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IPXXf2AAAAAgBAAAPAAAAAAAAAAEAIAAAACIA&#10;AABkcnMvZG93bnJldi54bWxQSwECFAAUAAAACACHTuJAP0DLjtABAACeAwAADgAAAAAAAAABACAA&#10;AAAnAQAAZHJzL2Uyb0RvYy54bWxQSwUGAAAAAAYABgBZAQAAaQUAAAAA&#10;">
              <v:fill on="f" focussize="0,0"/>
              <v:stroke on="f"/>
              <v:imagedata o:title=""/>
              <o:lock v:ext="edit" aspectratio="f"/>
              <v:textbox inset="0mm,0mm,0mm,0mm">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DE0E89"/>
    <w:multiLevelType w:val="singleLevel"/>
    <w:tmpl w:val="ECDE0E89"/>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hZjJiMTQ3OTJjZDhiMzQ5ODA3NTMxMDFmODkyODUifQ=="/>
  </w:docVars>
  <w:rsids>
    <w:rsidRoot w:val="009F6590"/>
    <w:rsid w:val="0002117A"/>
    <w:rsid w:val="00062014"/>
    <w:rsid w:val="00066492"/>
    <w:rsid w:val="000C5134"/>
    <w:rsid w:val="00150BBC"/>
    <w:rsid w:val="00186E6B"/>
    <w:rsid w:val="002202DE"/>
    <w:rsid w:val="00227CB0"/>
    <w:rsid w:val="00244FFE"/>
    <w:rsid w:val="0024718B"/>
    <w:rsid w:val="00250FFC"/>
    <w:rsid w:val="00274859"/>
    <w:rsid w:val="002C464B"/>
    <w:rsid w:val="003037BB"/>
    <w:rsid w:val="00363729"/>
    <w:rsid w:val="003A5EF7"/>
    <w:rsid w:val="004825A1"/>
    <w:rsid w:val="004D1FD0"/>
    <w:rsid w:val="004F24A2"/>
    <w:rsid w:val="00520C66"/>
    <w:rsid w:val="0052716E"/>
    <w:rsid w:val="00554EB6"/>
    <w:rsid w:val="00555875"/>
    <w:rsid w:val="0056634F"/>
    <w:rsid w:val="005C090D"/>
    <w:rsid w:val="005C5A62"/>
    <w:rsid w:val="00616E2F"/>
    <w:rsid w:val="00643BE3"/>
    <w:rsid w:val="00665086"/>
    <w:rsid w:val="006A0E7C"/>
    <w:rsid w:val="006A2279"/>
    <w:rsid w:val="006A76D0"/>
    <w:rsid w:val="006B181F"/>
    <w:rsid w:val="006C3EDC"/>
    <w:rsid w:val="00742A22"/>
    <w:rsid w:val="0075597C"/>
    <w:rsid w:val="00762DFD"/>
    <w:rsid w:val="007818B4"/>
    <w:rsid w:val="00797610"/>
    <w:rsid w:val="0080020B"/>
    <w:rsid w:val="00827E3A"/>
    <w:rsid w:val="008B1368"/>
    <w:rsid w:val="008B5F0D"/>
    <w:rsid w:val="008D1935"/>
    <w:rsid w:val="00915398"/>
    <w:rsid w:val="00915BF3"/>
    <w:rsid w:val="009333E2"/>
    <w:rsid w:val="009414E6"/>
    <w:rsid w:val="00950503"/>
    <w:rsid w:val="009739E8"/>
    <w:rsid w:val="00976B6C"/>
    <w:rsid w:val="009D4BA0"/>
    <w:rsid w:val="009D4C53"/>
    <w:rsid w:val="009E00F7"/>
    <w:rsid w:val="009F5AB3"/>
    <w:rsid w:val="009F6590"/>
    <w:rsid w:val="00A076B7"/>
    <w:rsid w:val="00A66BCE"/>
    <w:rsid w:val="00A70ADD"/>
    <w:rsid w:val="00A974D9"/>
    <w:rsid w:val="00AA2872"/>
    <w:rsid w:val="00AC1566"/>
    <w:rsid w:val="00B054E1"/>
    <w:rsid w:val="00B07956"/>
    <w:rsid w:val="00B46135"/>
    <w:rsid w:val="00B554C2"/>
    <w:rsid w:val="00B904D5"/>
    <w:rsid w:val="00BE2404"/>
    <w:rsid w:val="00C249EC"/>
    <w:rsid w:val="00C83E9C"/>
    <w:rsid w:val="00D27639"/>
    <w:rsid w:val="00D71629"/>
    <w:rsid w:val="00D75193"/>
    <w:rsid w:val="00DA39D7"/>
    <w:rsid w:val="00DC4E46"/>
    <w:rsid w:val="00DF0263"/>
    <w:rsid w:val="00E3231C"/>
    <w:rsid w:val="00E43782"/>
    <w:rsid w:val="00E50740"/>
    <w:rsid w:val="00E96711"/>
    <w:rsid w:val="00E977D6"/>
    <w:rsid w:val="00F24776"/>
    <w:rsid w:val="00FA74DC"/>
    <w:rsid w:val="00FA74F4"/>
    <w:rsid w:val="01011432"/>
    <w:rsid w:val="01762E7D"/>
    <w:rsid w:val="0194452E"/>
    <w:rsid w:val="01951794"/>
    <w:rsid w:val="01A31475"/>
    <w:rsid w:val="01A56F88"/>
    <w:rsid w:val="01C42A92"/>
    <w:rsid w:val="01ED4572"/>
    <w:rsid w:val="0270061D"/>
    <w:rsid w:val="02DC5124"/>
    <w:rsid w:val="03135296"/>
    <w:rsid w:val="03282D6E"/>
    <w:rsid w:val="038C223A"/>
    <w:rsid w:val="03B45165"/>
    <w:rsid w:val="03B92188"/>
    <w:rsid w:val="041D0905"/>
    <w:rsid w:val="044A3BC4"/>
    <w:rsid w:val="0450508D"/>
    <w:rsid w:val="04C609C8"/>
    <w:rsid w:val="04E43BF8"/>
    <w:rsid w:val="04F14FE7"/>
    <w:rsid w:val="04F629AA"/>
    <w:rsid w:val="04F76DD4"/>
    <w:rsid w:val="053733E3"/>
    <w:rsid w:val="055A4234"/>
    <w:rsid w:val="055E4F55"/>
    <w:rsid w:val="06145DF3"/>
    <w:rsid w:val="062743A8"/>
    <w:rsid w:val="065A13BA"/>
    <w:rsid w:val="0695134A"/>
    <w:rsid w:val="06BD432A"/>
    <w:rsid w:val="06D05B2E"/>
    <w:rsid w:val="06DF0666"/>
    <w:rsid w:val="06E30290"/>
    <w:rsid w:val="06FB073A"/>
    <w:rsid w:val="07BC4329"/>
    <w:rsid w:val="07F30E41"/>
    <w:rsid w:val="08390BF9"/>
    <w:rsid w:val="0859648F"/>
    <w:rsid w:val="086F50BA"/>
    <w:rsid w:val="08A60AFC"/>
    <w:rsid w:val="08F77A3B"/>
    <w:rsid w:val="09356DC5"/>
    <w:rsid w:val="094840A2"/>
    <w:rsid w:val="09534D11"/>
    <w:rsid w:val="096376E6"/>
    <w:rsid w:val="09FA45C2"/>
    <w:rsid w:val="0A3C34DB"/>
    <w:rsid w:val="0A4641C5"/>
    <w:rsid w:val="0B0B7F7B"/>
    <w:rsid w:val="0B2733C3"/>
    <w:rsid w:val="0B5A0F7B"/>
    <w:rsid w:val="0CA1342B"/>
    <w:rsid w:val="0D296257"/>
    <w:rsid w:val="0D5154EF"/>
    <w:rsid w:val="0D973B36"/>
    <w:rsid w:val="0DA371D4"/>
    <w:rsid w:val="0DB75333"/>
    <w:rsid w:val="0DB7606F"/>
    <w:rsid w:val="0DF7671C"/>
    <w:rsid w:val="0E286219"/>
    <w:rsid w:val="0E2B569A"/>
    <w:rsid w:val="0E4344E6"/>
    <w:rsid w:val="0E8E65AB"/>
    <w:rsid w:val="0EE508B3"/>
    <w:rsid w:val="0EEF4E54"/>
    <w:rsid w:val="0EF7408E"/>
    <w:rsid w:val="0F64775C"/>
    <w:rsid w:val="0F90275F"/>
    <w:rsid w:val="0FB5219B"/>
    <w:rsid w:val="0FEB3F6C"/>
    <w:rsid w:val="100203C1"/>
    <w:rsid w:val="10C67FEE"/>
    <w:rsid w:val="10D604F0"/>
    <w:rsid w:val="118156B4"/>
    <w:rsid w:val="11C10A51"/>
    <w:rsid w:val="11DB7DA1"/>
    <w:rsid w:val="12020BFE"/>
    <w:rsid w:val="120314AE"/>
    <w:rsid w:val="120576E3"/>
    <w:rsid w:val="120676C9"/>
    <w:rsid w:val="12505070"/>
    <w:rsid w:val="125A1143"/>
    <w:rsid w:val="12806406"/>
    <w:rsid w:val="12C26A16"/>
    <w:rsid w:val="133A6790"/>
    <w:rsid w:val="138C36F3"/>
    <w:rsid w:val="138D5C8C"/>
    <w:rsid w:val="13D977E4"/>
    <w:rsid w:val="13E85A91"/>
    <w:rsid w:val="13EA5F3E"/>
    <w:rsid w:val="14151E51"/>
    <w:rsid w:val="141F1EE1"/>
    <w:rsid w:val="144E2788"/>
    <w:rsid w:val="148511D9"/>
    <w:rsid w:val="14952165"/>
    <w:rsid w:val="14C03686"/>
    <w:rsid w:val="14E2238D"/>
    <w:rsid w:val="15906E3E"/>
    <w:rsid w:val="15A855CE"/>
    <w:rsid w:val="15D942D4"/>
    <w:rsid w:val="16242CF1"/>
    <w:rsid w:val="166E7F8F"/>
    <w:rsid w:val="16AF1A54"/>
    <w:rsid w:val="16BD1AE5"/>
    <w:rsid w:val="172624A2"/>
    <w:rsid w:val="172A7DE0"/>
    <w:rsid w:val="177608A9"/>
    <w:rsid w:val="17933BB8"/>
    <w:rsid w:val="17A617DF"/>
    <w:rsid w:val="18027B12"/>
    <w:rsid w:val="188644B1"/>
    <w:rsid w:val="18B74DA0"/>
    <w:rsid w:val="18C64FE3"/>
    <w:rsid w:val="18DF60A5"/>
    <w:rsid w:val="18F602C8"/>
    <w:rsid w:val="1950250C"/>
    <w:rsid w:val="196A6198"/>
    <w:rsid w:val="19CB30B0"/>
    <w:rsid w:val="1A4426FE"/>
    <w:rsid w:val="1A6A3078"/>
    <w:rsid w:val="1A8C1793"/>
    <w:rsid w:val="1A903AFB"/>
    <w:rsid w:val="1AA72BF2"/>
    <w:rsid w:val="1ABD5F72"/>
    <w:rsid w:val="1ABF2E24"/>
    <w:rsid w:val="1AFA2544"/>
    <w:rsid w:val="1AFE356F"/>
    <w:rsid w:val="1B366B16"/>
    <w:rsid w:val="1B3E5305"/>
    <w:rsid w:val="1BF135C3"/>
    <w:rsid w:val="1C093B64"/>
    <w:rsid w:val="1C124DF9"/>
    <w:rsid w:val="1C1C5240"/>
    <w:rsid w:val="1C1E4EFE"/>
    <w:rsid w:val="1C7B6A5F"/>
    <w:rsid w:val="1CA13D9D"/>
    <w:rsid w:val="1CBA5C9C"/>
    <w:rsid w:val="1CBE5D00"/>
    <w:rsid w:val="1CFA160F"/>
    <w:rsid w:val="1D2A5848"/>
    <w:rsid w:val="1DD20DCE"/>
    <w:rsid w:val="1DDC3B38"/>
    <w:rsid w:val="1E2420CC"/>
    <w:rsid w:val="1EC102EC"/>
    <w:rsid w:val="1EEE0DF0"/>
    <w:rsid w:val="1F247F42"/>
    <w:rsid w:val="1F5D0F05"/>
    <w:rsid w:val="1F5E7183"/>
    <w:rsid w:val="1FAB6CE1"/>
    <w:rsid w:val="1FB4617B"/>
    <w:rsid w:val="1FB97362"/>
    <w:rsid w:val="1FE479EE"/>
    <w:rsid w:val="1FEB09B2"/>
    <w:rsid w:val="1FEF7B10"/>
    <w:rsid w:val="20C556E4"/>
    <w:rsid w:val="21182154"/>
    <w:rsid w:val="217C49CA"/>
    <w:rsid w:val="22152EBD"/>
    <w:rsid w:val="224A0233"/>
    <w:rsid w:val="22882206"/>
    <w:rsid w:val="22D85D40"/>
    <w:rsid w:val="231449D2"/>
    <w:rsid w:val="231E2ACD"/>
    <w:rsid w:val="231F5671"/>
    <w:rsid w:val="232738CC"/>
    <w:rsid w:val="23A75A11"/>
    <w:rsid w:val="23D578DF"/>
    <w:rsid w:val="23DA0456"/>
    <w:rsid w:val="241F7CE9"/>
    <w:rsid w:val="251F6D94"/>
    <w:rsid w:val="253F7037"/>
    <w:rsid w:val="254B08C2"/>
    <w:rsid w:val="255A27F5"/>
    <w:rsid w:val="25764C42"/>
    <w:rsid w:val="259479E9"/>
    <w:rsid w:val="25B34B41"/>
    <w:rsid w:val="264C1C01"/>
    <w:rsid w:val="26551809"/>
    <w:rsid w:val="265708E0"/>
    <w:rsid w:val="26840445"/>
    <w:rsid w:val="26FE61C4"/>
    <w:rsid w:val="2714367E"/>
    <w:rsid w:val="28110AC8"/>
    <w:rsid w:val="2827687A"/>
    <w:rsid w:val="28AD37B2"/>
    <w:rsid w:val="28DD0DC0"/>
    <w:rsid w:val="29027D1C"/>
    <w:rsid w:val="29524CAA"/>
    <w:rsid w:val="296A6396"/>
    <w:rsid w:val="298C2BD9"/>
    <w:rsid w:val="29A769E1"/>
    <w:rsid w:val="29B6036E"/>
    <w:rsid w:val="29BA6F14"/>
    <w:rsid w:val="2A032CDB"/>
    <w:rsid w:val="2A100351"/>
    <w:rsid w:val="2AAC68DF"/>
    <w:rsid w:val="2AB75689"/>
    <w:rsid w:val="2AC7242D"/>
    <w:rsid w:val="2B2F7622"/>
    <w:rsid w:val="2B4140B5"/>
    <w:rsid w:val="2BC947B7"/>
    <w:rsid w:val="2C19457E"/>
    <w:rsid w:val="2C1F4CDE"/>
    <w:rsid w:val="2CA844CC"/>
    <w:rsid w:val="2CD46729"/>
    <w:rsid w:val="2D384F94"/>
    <w:rsid w:val="2D61014F"/>
    <w:rsid w:val="2DF2195B"/>
    <w:rsid w:val="2DFF27AF"/>
    <w:rsid w:val="2E3F1005"/>
    <w:rsid w:val="2E956C7E"/>
    <w:rsid w:val="2EE04B4B"/>
    <w:rsid w:val="2F297B0D"/>
    <w:rsid w:val="2F604A5B"/>
    <w:rsid w:val="2FBA2AE1"/>
    <w:rsid w:val="2FCC5365"/>
    <w:rsid w:val="2FE207C4"/>
    <w:rsid w:val="30360848"/>
    <w:rsid w:val="306971C1"/>
    <w:rsid w:val="31505E8D"/>
    <w:rsid w:val="317061F9"/>
    <w:rsid w:val="31A10741"/>
    <w:rsid w:val="32DA2C4E"/>
    <w:rsid w:val="33185FE3"/>
    <w:rsid w:val="33186790"/>
    <w:rsid w:val="33E4308B"/>
    <w:rsid w:val="34362BC5"/>
    <w:rsid w:val="34B65AB4"/>
    <w:rsid w:val="352769B2"/>
    <w:rsid w:val="35315E8F"/>
    <w:rsid w:val="35AA612C"/>
    <w:rsid w:val="35C63761"/>
    <w:rsid w:val="35F44CB1"/>
    <w:rsid w:val="35FA4C0F"/>
    <w:rsid w:val="360751AF"/>
    <w:rsid w:val="36226F77"/>
    <w:rsid w:val="365E3FC7"/>
    <w:rsid w:val="366C574B"/>
    <w:rsid w:val="36853990"/>
    <w:rsid w:val="36E656B5"/>
    <w:rsid w:val="371371EE"/>
    <w:rsid w:val="371C0798"/>
    <w:rsid w:val="376A3412"/>
    <w:rsid w:val="379E2C8B"/>
    <w:rsid w:val="38A05FC8"/>
    <w:rsid w:val="38CC58A6"/>
    <w:rsid w:val="38E40DE3"/>
    <w:rsid w:val="38F923EE"/>
    <w:rsid w:val="391B64AE"/>
    <w:rsid w:val="391E05E1"/>
    <w:rsid w:val="391E5E73"/>
    <w:rsid w:val="3932583D"/>
    <w:rsid w:val="3979207B"/>
    <w:rsid w:val="398D21B6"/>
    <w:rsid w:val="39964373"/>
    <w:rsid w:val="3A190FBF"/>
    <w:rsid w:val="3ACA22B9"/>
    <w:rsid w:val="3B09061F"/>
    <w:rsid w:val="3B7364AD"/>
    <w:rsid w:val="3B8E4274"/>
    <w:rsid w:val="3BF2488F"/>
    <w:rsid w:val="3C0A47E2"/>
    <w:rsid w:val="3C183F8D"/>
    <w:rsid w:val="3C3A346E"/>
    <w:rsid w:val="3C513A86"/>
    <w:rsid w:val="3C6D6E28"/>
    <w:rsid w:val="3C720E5A"/>
    <w:rsid w:val="3C976F69"/>
    <w:rsid w:val="3DD15728"/>
    <w:rsid w:val="3E366EC1"/>
    <w:rsid w:val="3E4C3FFA"/>
    <w:rsid w:val="3E683393"/>
    <w:rsid w:val="3EBD3802"/>
    <w:rsid w:val="3ED92D3E"/>
    <w:rsid w:val="3EDF3CDD"/>
    <w:rsid w:val="3EF51422"/>
    <w:rsid w:val="3F0F2AD9"/>
    <w:rsid w:val="3F131F15"/>
    <w:rsid w:val="3F1E7077"/>
    <w:rsid w:val="3F214472"/>
    <w:rsid w:val="3F3B3785"/>
    <w:rsid w:val="3FDF4CAD"/>
    <w:rsid w:val="40383B92"/>
    <w:rsid w:val="40AD06B3"/>
    <w:rsid w:val="40C1653F"/>
    <w:rsid w:val="40C21B30"/>
    <w:rsid w:val="40C36392"/>
    <w:rsid w:val="414508EB"/>
    <w:rsid w:val="41647224"/>
    <w:rsid w:val="41814051"/>
    <w:rsid w:val="41AB4B6D"/>
    <w:rsid w:val="41D807F3"/>
    <w:rsid w:val="424E5295"/>
    <w:rsid w:val="42595186"/>
    <w:rsid w:val="42733BF6"/>
    <w:rsid w:val="42DD57D6"/>
    <w:rsid w:val="42E865A9"/>
    <w:rsid w:val="433F009B"/>
    <w:rsid w:val="43455072"/>
    <w:rsid w:val="434E0DAB"/>
    <w:rsid w:val="43541C78"/>
    <w:rsid w:val="43A656B7"/>
    <w:rsid w:val="43C35D74"/>
    <w:rsid w:val="44CA37BE"/>
    <w:rsid w:val="45516687"/>
    <w:rsid w:val="45F64587"/>
    <w:rsid w:val="464A534D"/>
    <w:rsid w:val="46E9309D"/>
    <w:rsid w:val="47A81166"/>
    <w:rsid w:val="47CA0117"/>
    <w:rsid w:val="47D85797"/>
    <w:rsid w:val="481F50A2"/>
    <w:rsid w:val="486D180C"/>
    <w:rsid w:val="48961F89"/>
    <w:rsid w:val="48BE1216"/>
    <w:rsid w:val="491C56F8"/>
    <w:rsid w:val="49234BEC"/>
    <w:rsid w:val="49491748"/>
    <w:rsid w:val="497A3F01"/>
    <w:rsid w:val="498542F6"/>
    <w:rsid w:val="4A2E578E"/>
    <w:rsid w:val="4A336763"/>
    <w:rsid w:val="4A4C0CA0"/>
    <w:rsid w:val="4AAA05F0"/>
    <w:rsid w:val="4AFC7BF7"/>
    <w:rsid w:val="4B441A17"/>
    <w:rsid w:val="4B5300A9"/>
    <w:rsid w:val="4B7206E4"/>
    <w:rsid w:val="4B8F3198"/>
    <w:rsid w:val="4BDD3336"/>
    <w:rsid w:val="4C426C54"/>
    <w:rsid w:val="4D3136CA"/>
    <w:rsid w:val="4D330192"/>
    <w:rsid w:val="4D3C1263"/>
    <w:rsid w:val="4D5E7A32"/>
    <w:rsid w:val="4D627DFA"/>
    <w:rsid w:val="4D8153BF"/>
    <w:rsid w:val="4D8A4D28"/>
    <w:rsid w:val="4D8E0094"/>
    <w:rsid w:val="4DDB4FA8"/>
    <w:rsid w:val="4DE5533C"/>
    <w:rsid w:val="4E1414AF"/>
    <w:rsid w:val="4E266ACE"/>
    <w:rsid w:val="4E3160E5"/>
    <w:rsid w:val="4E5E019D"/>
    <w:rsid w:val="4E747C76"/>
    <w:rsid w:val="4E91022B"/>
    <w:rsid w:val="4EF3162A"/>
    <w:rsid w:val="4F235554"/>
    <w:rsid w:val="4F305AF3"/>
    <w:rsid w:val="4FAA05B3"/>
    <w:rsid w:val="4FB7118C"/>
    <w:rsid w:val="4FC81BF6"/>
    <w:rsid w:val="4FF761B4"/>
    <w:rsid w:val="50055777"/>
    <w:rsid w:val="505841B1"/>
    <w:rsid w:val="508911CB"/>
    <w:rsid w:val="50926F7D"/>
    <w:rsid w:val="50F73B65"/>
    <w:rsid w:val="513227F0"/>
    <w:rsid w:val="5156435F"/>
    <w:rsid w:val="5189533D"/>
    <w:rsid w:val="519105C3"/>
    <w:rsid w:val="520366E0"/>
    <w:rsid w:val="520A23C1"/>
    <w:rsid w:val="52572919"/>
    <w:rsid w:val="5294038D"/>
    <w:rsid w:val="52E361B6"/>
    <w:rsid w:val="532C5FC2"/>
    <w:rsid w:val="53597850"/>
    <w:rsid w:val="53CC1890"/>
    <w:rsid w:val="54455CD4"/>
    <w:rsid w:val="54B85C1D"/>
    <w:rsid w:val="54BA4CF5"/>
    <w:rsid w:val="54E21498"/>
    <w:rsid w:val="54ED024A"/>
    <w:rsid w:val="55545420"/>
    <w:rsid w:val="55840764"/>
    <w:rsid w:val="565261A5"/>
    <w:rsid w:val="57BA0F2F"/>
    <w:rsid w:val="584E18D2"/>
    <w:rsid w:val="589958B4"/>
    <w:rsid w:val="58D84726"/>
    <w:rsid w:val="5938297B"/>
    <w:rsid w:val="596077FA"/>
    <w:rsid w:val="599D70BF"/>
    <w:rsid w:val="59A1080B"/>
    <w:rsid w:val="59CE213F"/>
    <w:rsid w:val="5A5836E3"/>
    <w:rsid w:val="5A59036A"/>
    <w:rsid w:val="5AF33DE4"/>
    <w:rsid w:val="5B5D2E7D"/>
    <w:rsid w:val="5BDE677F"/>
    <w:rsid w:val="5BF50220"/>
    <w:rsid w:val="5CEF4389"/>
    <w:rsid w:val="5D19408F"/>
    <w:rsid w:val="5E4C10B3"/>
    <w:rsid w:val="5EAD1EB4"/>
    <w:rsid w:val="5EEE216B"/>
    <w:rsid w:val="5EFF7ED4"/>
    <w:rsid w:val="5F096FA4"/>
    <w:rsid w:val="5F1E3C06"/>
    <w:rsid w:val="5F242D7A"/>
    <w:rsid w:val="5F291320"/>
    <w:rsid w:val="5F292F68"/>
    <w:rsid w:val="5F4B7635"/>
    <w:rsid w:val="5F850E49"/>
    <w:rsid w:val="5FD04AAD"/>
    <w:rsid w:val="5FD12AC5"/>
    <w:rsid w:val="600B59F5"/>
    <w:rsid w:val="601654D5"/>
    <w:rsid w:val="602F5D3A"/>
    <w:rsid w:val="603911C4"/>
    <w:rsid w:val="60AC0F7A"/>
    <w:rsid w:val="61265BEC"/>
    <w:rsid w:val="6155520D"/>
    <w:rsid w:val="615E35D8"/>
    <w:rsid w:val="619D4A75"/>
    <w:rsid w:val="61DE0274"/>
    <w:rsid w:val="61EB288B"/>
    <w:rsid w:val="61F35244"/>
    <w:rsid w:val="628404CB"/>
    <w:rsid w:val="62D8486D"/>
    <w:rsid w:val="630E2CD3"/>
    <w:rsid w:val="633A597E"/>
    <w:rsid w:val="635D4060"/>
    <w:rsid w:val="637366AE"/>
    <w:rsid w:val="637B39CD"/>
    <w:rsid w:val="63B035EB"/>
    <w:rsid w:val="63D61434"/>
    <w:rsid w:val="63FE4BFE"/>
    <w:rsid w:val="6410048D"/>
    <w:rsid w:val="64251946"/>
    <w:rsid w:val="64960A56"/>
    <w:rsid w:val="64D140C0"/>
    <w:rsid w:val="64E00A12"/>
    <w:rsid w:val="6562763E"/>
    <w:rsid w:val="65832D56"/>
    <w:rsid w:val="65B71873"/>
    <w:rsid w:val="66687FFE"/>
    <w:rsid w:val="66BD2757"/>
    <w:rsid w:val="672B39E4"/>
    <w:rsid w:val="674004CA"/>
    <w:rsid w:val="67446DCC"/>
    <w:rsid w:val="675475DC"/>
    <w:rsid w:val="675D78DA"/>
    <w:rsid w:val="678A6392"/>
    <w:rsid w:val="684E6C7E"/>
    <w:rsid w:val="6859580C"/>
    <w:rsid w:val="68595D1F"/>
    <w:rsid w:val="68C54B2B"/>
    <w:rsid w:val="69274C15"/>
    <w:rsid w:val="69527DB7"/>
    <w:rsid w:val="69771F51"/>
    <w:rsid w:val="69A41DA4"/>
    <w:rsid w:val="69F949F7"/>
    <w:rsid w:val="6A136F29"/>
    <w:rsid w:val="6A2B72A7"/>
    <w:rsid w:val="6A5A4B58"/>
    <w:rsid w:val="6A8E435D"/>
    <w:rsid w:val="6A9D1CFD"/>
    <w:rsid w:val="6AA62C9C"/>
    <w:rsid w:val="6ABE7309"/>
    <w:rsid w:val="6B1936D6"/>
    <w:rsid w:val="6B300FB9"/>
    <w:rsid w:val="6B6825BB"/>
    <w:rsid w:val="6B6B5AAD"/>
    <w:rsid w:val="6B7D5228"/>
    <w:rsid w:val="6B892397"/>
    <w:rsid w:val="6C276B06"/>
    <w:rsid w:val="6C4F77F2"/>
    <w:rsid w:val="6C7E4D88"/>
    <w:rsid w:val="6CB9396A"/>
    <w:rsid w:val="6D5820E7"/>
    <w:rsid w:val="6E1C7C59"/>
    <w:rsid w:val="6E364F96"/>
    <w:rsid w:val="6EBA782A"/>
    <w:rsid w:val="6EC71A35"/>
    <w:rsid w:val="6EEB2223"/>
    <w:rsid w:val="6F092906"/>
    <w:rsid w:val="6F16342F"/>
    <w:rsid w:val="6F1761AB"/>
    <w:rsid w:val="6FD20CED"/>
    <w:rsid w:val="70840045"/>
    <w:rsid w:val="70890753"/>
    <w:rsid w:val="71204BF1"/>
    <w:rsid w:val="713B4D68"/>
    <w:rsid w:val="714E16E1"/>
    <w:rsid w:val="71773B7C"/>
    <w:rsid w:val="719E2FA2"/>
    <w:rsid w:val="71DF714A"/>
    <w:rsid w:val="72075D23"/>
    <w:rsid w:val="72396EDD"/>
    <w:rsid w:val="72590EAE"/>
    <w:rsid w:val="726063F0"/>
    <w:rsid w:val="72FD4B07"/>
    <w:rsid w:val="73133F3E"/>
    <w:rsid w:val="73970283"/>
    <w:rsid w:val="74242C96"/>
    <w:rsid w:val="742F4BD7"/>
    <w:rsid w:val="74381E67"/>
    <w:rsid w:val="743F519E"/>
    <w:rsid w:val="74526B34"/>
    <w:rsid w:val="74837F46"/>
    <w:rsid w:val="74C26693"/>
    <w:rsid w:val="74FA2B4A"/>
    <w:rsid w:val="75151DA7"/>
    <w:rsid w:val="752E16B6"/>
    <w:rsid w:val="753E2CCF"/>
    <w:rsid w:val="755128BA"/>
    <w:rsid w:val="75597E96"/>
    <w:rsid w:val="75691D09"/>
    <w:rsid w:val="75C061A8"/>
    <w:rsid w:val="75C90F3B"/>
    <w:rsid w:val="764F51C4"/>
    <w:rsid w:val="7656792B"/>
    <w:rsid w:val="769B4676"/>
    <w:rsid w:val="76CC3DC7"/>
    <w:rsid w:val="7709593C"/>
    <w:rsid w:val="772C41D1"/>
    <w:rsid w:val="777B39A9"/>
    <w:rsid w:val="77C72403"/>
    <w:rsid w:val="77E01C3B"/>
    <w:rsid w:val="78592C86"/>
    <w:rsid w:val="78FE09EE"/>
    <w:rsid w:val="790077DD"/>
    <w:rsid w:val="79041518"/>
    <w:rsid w:val="791526DA"/>
    <w:rsid w:val="79394D24"/>
    <w:rsid w:val="79534C4C"/>
    <w:rsid w:val="795C05E7"/>
    <w:rsid w:val="7967694A"/>
    <w:rsid w:val="79FA5A10"/>
    <w:rsid w:val="7A704E19"/>
    <w:rsid w:val="7A717CA2"/>
    <w:rsid w:val="7A9E4394"/>
    <w:rsid w:val="7AF02C54"/>
    <w:rsid w:val="7B3C6AE9"/>
    <w:rsid w:val="7B4B6523"/>
    <w:rsid w:val="7B681FE9"/>
    <w:rsid w:val="7BB66BC0"/>
    <w:rsid w:val="7BE03F1E"/>
    <w:rsid w:val="7BF623E4"/>
    <w:rsid w:val="7C266648"/>
    <w:rsid w:val="7C664AC6"/>
    <w:rsid w:val="7C7927C7"/>
    <w:rsid w:val="7CF76B30"/>
    <w:rsid w:val="7D4A21DC"/>
    <w:rsid w:val="7D56134E"/>
    <w:rsid w:val="7D6531A0"/>
    <w:rsid w:val="7D92659B"/>
    <w:rsid w:val="7D993270"/>
    <w:rsid w:val="7DAF27E7"/>
    <w:rsid w:val="7DB976B9"/>
    <w:rsid w:val="7DBF0B02"/>
    <w:rsid w:val="7DD76462"/>
    <w:rsid w:val="7DDA60A9"/>
    <w:rsid w:val="7E0742CC"/>
    <w:rsid w:val="7E514691"/>
    <w:rsid w:val="7E7B428D"/>
    <w:rsid w:val="7EA9255D"/>
    <w:rsid w:val="7F0A050B"/>
    <w:rsid w:val="7F1255AA"/>
    <w:rsid w:val="7F127358"/>
    <w:rsid w:val="7F364CFB"/>
    <w:rsid w:val="7F5021D0"/>
    <w:rsid w:val="7F906A84"/>
    <w:rsid w:val="7FED7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1" w:semiHidden="0" w:name="toc 1"/>
    <w:lsdException w:qFormat="1" w:unhideWhenUsed="0" w:uiPriority="1" w:semiHidden="0" w:name="toc 2"/>
    <w:lsdException w:qFormat="1" w:unhideWhenUsed="0" w:uiPriority="1"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line="702" w:lineRule="exact"/>
      <w:ind w:right="457"/>
      <w:jc w:val="center"/>
      <w:outlineLvl w:val="0"/>
    </w:pPr>
    <w:rPr>
      <w:rFonts w:ascii="Microsoft JhengHei" w:hAnsi="Microsoft JhengHei" w:eastAsia="Microsoft JhengHei" w:cs="Microsoft JhengHei"/>
      <w:b/>
      <w:bCs/>
      <w:sz w:val="44"/>
      <w:szCs w:val="44"/>
    </w:rPr>
  </w:style>
  <w:style w:type="paragraph" w:styleId="4">
    <w:name w:val="heading 2"/>
    <w:basedOn w:val="1"/>
    <w:next w:val="1"/>
    <w:qFormat/>
    <w:uiPriority w:val="1"/>
    <w:pPr>
      <w:ind w:left="641" w:hanging="402"/>
      <w:outlineLvl w:val="1"/>
    </w:pPr>
    <w:rPr>
      <w:rFonts w:ascii="Microsoft JhengHei" w:hAnsi="Microsoft JhengHei" w:eastAsia="Microsoft JhengHei" w:cs="Microsoft JhengHei"/>
      <w:b/>
      <w:bCs/>
      <w:sz w:val="32"/>
      <w:szCs w:val="32"/>
    </w:rPr>
  </w:style>
  <w:style w:type="paragraph" w:styleId="5">
    <w:name w:val="heading 3"/>
    <w:basedOn w:val="1"/>
    <w:next w:val="1"/>
    <w:qFormat/>
    <w:uiPriority w:val="1"/>
    <w:pPr>
      <w:ind w:left="866" w:hanging="490"/>
      <w:outlineLvl w:val="2"/>
    </w:pPr>
    <w:rPr>
      <w:sz w:val="28"/>
      <w:szCs w:val="28"/>
    </w:rPr>
  </w:style>
  <w:style w:type="paragraph" w:styleId="6">
    <w:name w:val="heading 4"/>
    <w:basedOn w:val="1"/>
    <w:next w:val="1"/>
    <w:qFormat/>
    <w:uiPriority w:val="1"/>
    <w:pPr>
      <w:ind w:left="240" w:firstLine="479"/>
      <w:outlineLvl w:val="3"/>
    </w:pPr>
    <w:rPr>
      <w:sz w:val="24"/>
      <w:szCs w:val="24"/>
    </w:rPr>
  </w:style>
  <w:style w:type="paragraph" w:styleId="7">
    <w:name w:val="heading 5"/>
    <w:basedOn w:val="1"/>
    <w:next w:val="1"/>
    <w:qFormat/>
    <w:uiPriority w:val="1"/>
    <w:pPr>
      <w:ind w:left="1188" w:hanging="527"/>
      <w:outlineLvl w:val="4"/>
    </w:pPr>
    <w:rPr>
      <w:rFonts w:ascii="Microsoft JhengHei" w:hAnsi="Microsoft JhengHei" w:eastAsia="Microsoft JhengHei" w:cs="Microsoft JhengHei"/>
      <w:b/>
      <w:bCs/>
      <w:sz w:val="21"/>
      <w:szCs w:val="21"/>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00" w:lineRule="auto"/>
      <w:ind w:firstLine="420" w:firstLineChars="200"/>
    </w:pPr>
    <w:rPr>
      <w:rFonts w:eastAsia="方正书宋简体"/>
      <w:szCs w:val="20"/>
    </w:rPr>
  </w:style>
  <w:style w:type="paragraph" w:styleId="8">
    <w:name w:val="Normal Indent"/>
    <w:basedOn w:val="1"/>
    <w:qFormat/>
    <w:uiPriority w:val="0"/>
    <w:pPr>
      <w:ind w:firstLine="420"/>
    </w:pPr>
    <w:rPr>
      <w:szCs w:val="20"/>
    </w:rPr>
  </w:style>
  <w:style w:type="paragraph" w:styleId="9">
    <w:name w:val="annotation text"/>
    <w:basedOn w:val="1"/>
    <w:link w:val="33"/>
    <w:qFormat/>
    <w:uiPriority w:val="0"/>
  </w:style>
  <w:style w:type="paragraph" w:styleId="10">
    <w:name w:val="Body Text 3"/>
    <w:basedOn w:val="1"/>
    <w:qFormat/>
    <w:uiPriority w:val="0"/>
    <w:pPr>
      <w:spacing w:after="120"/>
    </w:pPr>
    <w:rPr>
      <w:sz w:val="16"/>
      <w:szCs w:val="16"/>
    </w:rPr>
  </w:style>
  <w:style w:type="paragraph" w:styleId="11">
    <w:name w:val="Body Text"/>
    <w:basedOn w:val="1"/>
    <w:qFormat/>
    <w:uiPriority w:val="1"/>
    <w:rPr>
      <w:sz w:val="21"/>
      <w:szCs w:val="21"/>
    </w:rPr>
  </w:style>
  <w:style w:type="paragraph" w:styleId="12">
    <w:name w:val="toc 3"/>
    <w:basedOn w:val="1"/>
    <w:next w:val="1"/>
    <w:qFormat/>
    <w:uiPriority w:val="1"/>
    <w:pPr>
      <w:spacing w:before="2"/>
      <w:ind w:left="1450" w:hanging="370"/>
    </w:pPr>
    <w:rPr>
      <w:sz w:val="21"/>
      <w:szCs w:val="21"/>
    </w:rPr>
  </w:style>
  <w:style w:type="paragraph" w:styleId="13">
    <w:name w:val="Plain Text"/>
    <w:basedOn w:val="1"/>
    <w:next w:val="1"/>
    <w:qFormat/>
    <w:uiPriority w:val="99"/>
  </w:style>
  <w:style w:type="paragraph" w:styleId="14">
    <w:name w:val="Balloon Text"/>
    <w:basedOn w:val="1"/>
    <w:link w:val="30"/>
    <w:qFormat/>
    <w:uiPriority w:val="0"/>
    <w:rPr>
      <w:sz w:val="18"/>
      <w:szCs w:val="18"/>
    </w:rPr>
  </w:style>
  <w:style w:type="paragraph" w:styleId="15">
    <w:name w:val="footer"/>
    <w:basedOn w:val="1"/>
    <w:qFormat/>
    <w:uiPriority w:val="0"/>
    <w:pPr>
      <w:tabs>
        <w:tab w:val="center" w:pos="4153"/>
        <w:tab w:val="right" w:pos="8306"/>
      </w:tabs>
      <w:snapToGrid w:val="0"/>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7">
    <w:name w:val="toc 1"/>
    <w:basedOn w:val="1"/>
    <w:next w:val="1"/>
    <w:qFormat/>
    <w:uiPriority w:val="1"/>
    <w:pPr>
      <w:spacing w:before="2"/>
      <w:ind w:right="703"/>
      <w:jc w:val="right"/>
    </w:pPr>
    <w:rPr>
      <w:sz w:val="21"/>
      <w:szCs w:val="21"/>
    </w:rPr>
  </w:style>
  <w:style w:type="paragraph" w:styleId="18">
    <w:name w:val="toc 2"/>
    <w:basedOn w:val="1"/>
    <w:next w:val="1"/>
    <w:qFormat/>
    <w:uiPriority w:val="1"/>
    <w:pPr>
      <w:spacing w:before="2"/>
      <w:ind w:left="660"/>
    </w:pPr>
    <w:rPr>
      <w:sz w:val="21"/>
      <w:szCs w:val="21"/>
    </w:rPr>
  </w:style>
  <w:style w:type="paragraph" w:styleId="19">
    <w:name w:val="annotation subject"/>
    <w:basedOn w:val="9"/>
    <w:next w:val="9"/>
    <w:link w:val="34"/>
    <w:qFormat/>
    <w:uiPriority w:val="0"/>
    <w:rPr>
      <w:b/>
      <w:bCs/>
    </w:rPr>
  </w:style>
  <w:style w:type="paragraph" w:styleId="20">
    <w:name w:val="Body Text First Indent"/>
    <w:basedOn w:val="11"/>
    <w:qFormat/>
    <w:uiPriority w:val="0"/>
    <w:pPr>
      <w:spacing w:line="312" w:lineRule="auto"/>
      <w:ind w:firstLine="420"/>
    </w:pPr>
    <w:rPr>
      <w:szCs w:val="24"/>
      <w:lang w:val="en-US"/>
    </w:rPr>
  </w:style>
  <w:style w:type="character" w:styleId="23">
    <w:name w:val="annotation reference"/>
    <w:basedOn w:val="22"/>
    <w:qFormat/>
    <w:uiPriority w:val="0"/>
    <w:rPr>
      <w:sz w:val="21"/>
      <w:szCs w:val="21"/>
    </w:rPr>
  </w:style>
  <w:style w:type="paragraph" w:customStyle="1" w:styleId="24">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table" w:customStyle="1" w:styleId="25">
    <w:name w:val="Table Normal"/>
    <w:semiHidden/>
    <w:unhideWhenUsed/>
    <w:qFormat/>
    <w:uiPriority w:val="2"/>
    <w:tblPr>
      <w:tblCellMar>
        <w:top w:w="0" w:type="dxa"/>
        <w:left w:w="0" w:type="dxa"/>
        <w:bottom w:w="0" w:type="dxa"/>
        <w:right w:w="0" w:type="dxa"/>
      </w:tblCellMar>
    </w:tblPr>
  </w:style>
  <w:style w:type="paragraph" w:styleId="26">
    <w:name w:val="List Paragraph"/>
    <w:basedOn w:val="1"/>
    <w:qFormat/>
    <w:uiPriority w:val="1"/>
    <w:pPr>
      <w:ind w:left="240" w:firstLine="419"/>
    </w:pPr>
  </w:style>
  <w:style w:type="paragraph" w:customStyle="1" w:styleId="27">
    <w:name w:val="Table Paragraph"/>
    <w:basedOn w:val="1"/>
    <w:qFormat/>
    <w:uiPriority w:val="1"/>
  </w:style>
  <w:style w:type="character" w:customStyle="1" w:styleId="28">
    <w:name w:val="font31"/>
    <w:basedOn w:val="22"/>
    <w:qFormat/>
    <w:uiPriority w:val="0"/>
    <w:rPr>
      <w:rFonts w:hint="eastAsia" w:ascii="仿宋" w:hAnsi="仿宋" w:eastAsia="仿宋" w:cs="仿宋"/>
      <w:color w:val="000000"/>
      <w:sz w:val="28"/>
      <w:szCs w:val="28"/>
      <w:u w:val="none"/>
    </w:rPr>
  </w:style>
  <w:style w:type="character" w:customStyle="1" w:styleId="29">
    <w:name w:val="font41"/>
    <w:basedOn w:val="22"/>
    <w:qFormat/>
    <w:uiPriority w:val="0"/>
    <w:rPr>
      <w:rFonts w:hint="eastAsia" w:ascii="仿宋" w:hAnsi="仿宋" w:eastAsia="仿宋" w:cs="仿宋"/>
      <w:b/>
      <w:bCs/>
      <w:color w:val="000000"/>
      <w:sz w:val="28"/>
      <w:szCs w:val="28"/>
      <w:u w:val="none"/>
    </w:rPr>
  </w:style>
  <w:style w:type="character" w:customStyle="1" w:styleId="30">
    <w:name w:val="批注框文本 字符"/>
    <w:basedOn w:val="22"/>
    <w:link w:val="14"/>
    <w:qFormat/>
    <w:uiPriority w:val="0"/>
    <w:rPr>
      <w:rFonts w:ascii="宋体" w:hAnsi="宋体" w:cs="宋体"/>
      <w:sz w:val="18"/>
      <w:szCs w:val="18"/>
      <w:lang w:val="zh-CN" w:bidi="zh-CN"/>
    </w:rPr>
  </w:style>
  <w:style w:type="paragraph" w:customStyle="1" w:styleId="31">
    <w:name w:val="正文文本 31"/>
    <w:basedOn w:val="1"/>
    <w:qFormat/>
    <w:uiPriority w:val="99"/>
    <w:rPr>
      <w:sz w:val="16"/>
      <w:szCs w:val="16"/>
    </w:rPr>
  </w:style>
  <w:style w:type="paragraph" w:customStyle="1" w:styleId="32">
    <w:name w:val="文一"/>
    <w:basedOn w:val="1"/>
    <w:qFormat/>
    <w:uiPriority w:val="99"/>
    <w:pPr>
      <w:topLinePunct/>
      <w:adjustRightInd w:val="0"/>
      <w:snapToGrid w:val="0"/>
      <w:spacing w:line="360" w:lineRule="auto"/>
      <w:ind w:firstLine="200" w:firstLineChars="200"/>
    </w:pPr>
    <w:rPr>
      <w:rFonts w:ascii="Times New Roman" w:hAnsi="Times New Roman" w:cs="Times New Roman"/>
      <w:spacing w:val="4"/>
      <w:sz w:val="24"/>
      <w:szCs w:val="24"/>
    </w:rPr>
  </w:style>
  <w:style w:type="character" w:customStyle="1" w:styleId="33">
    <w:name w:val="批注文字 字符"/>
    <w:basedOn w:val="22"/>
    <w:link w:val="9"/>
    <w:qFormat/>
    <w:uiPriority w:val="0"/>
    <w:rPr>
      <w:rFonts w:ascii="宋体" w:hAnsi="宋体" w:cs="宋体"/>
      <w:sz w:val="22"/>
      <w:szCs w:val="22"/>
      <w:lang w:val="zh-CN" w:bidi="zh-CN"/>
    </w:rPr>
  </w:style>
  <w:style w:type="character" w:customStyle="1" w:styleId="34">
    <w:name w:val="批注主题 字符"/>
    <w:basedOn w:val="33"/>
    <w:link w:val="19"/>
    <w:qFormat/>
    <w:uiPriority w:val="0"/>
    <w:rPr>
      <w:rFonts w:ascii="宋体" w:hAnsi="宋体" w:cs="宋体"/>
      <w:b/>
      <w:bCs/>
      <w:sz w:val="22"/>
      <w:szCs w:val="22"/>
      <w:lang w:val="zh-CN" w:bidi="zh-CN"/>
    </w:rPr>
  </w:style>
  <w:style w:type="paragraph" w:customStyle="1" w:styleId="35">
    <w:name w:val="WPSOffice手动目录 1"/>
    <w:qFormat/>
    <w:uiPriority w:val="0"/>
    <w:rPr>
      <w:rFonts w:ascii="Times New Roman" w:hAnsi="Times New Roman" w:eastAsia="宋体" w:cs="Times New Roman"/>
      <w:lang w:val="en-US" w:eastAsia="zh-CN" w:bidi="ar-SA"/>
    </w:rPr>
  </w:style>
  <w:style w:type="character" w:customStyle="1" w:styleId="36">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E805F4-A2AC-42E5-A0C2-AF0E18C5ECAC}">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29086</Words>
  <Characters>30544</Characters>
  <Lines>247</Lines>
  <Paragraphs>69</Paragraphs>
  <TotalTime>0</TotalTime>
  <ScaleCrop>false</ScaleCrop>
  <LinksUpToDate>false</LinksUpToDate>
  <CharactersWithSpaces>32579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2021-10-25T04:09:00Z</dcterms:created>
  <dc:creator>Administrator</dc:creator>
  <cp:lastModifiedBy>文档存本地丢失不负责</cp:lastModifiedBy>
  <cp:lastPrinted>2023-03-20T02:56:00Z</cp:lastPrinted>
  <dcterms:modified xsi:type="dcterms:W3CDTF">2023-06-21T07:35:32Z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2021-04-02T00:00:00Z</vt:filetime>
  </property>
  <property fmtid="{D5CDD505-2E9C-101B-9397-08002B2CF9AE}" pid="5" name="KSOProductBuildVer">
    <vt:lpwstr>2052-11.1.0.14309</vt:lpwstr>
  </property>
  <property fmtid="{D5CDD505-2E9C-101B-9397-08002B2CF9AE}" pid="6" name="ICV">
    <vt:lpwstr>C2422126C1024A43B99557C472DC36D8_13</vt:lpwstr>
  </property>
</Properties>
</file>