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outlineLvl w:val="0"/>
        <w:rPr>
          <w:rStyle w:val="22"/>
          <w:rFonts w:ascii="华文中宋" w:hAnsi="华文中宋" w:eastAsia="华文中宋"/>
          <w:color w:val="auto"/>
          <w:kern w:val="0"/>
          <w:sz w:val="36"/>
          <w:szCs w:val="36"/>
          <w:highlight w:val="none"/>
        </w:rPr>
      </w:pPr>
      <w:r>
        <w:rPr>
          <w:rStyle w:val="22"/>
          <w:rFonts w:ascii="华文中宋" w:hAnsi="华文中宋" w:eastAsia="华文中宋"/>
          <w:color w:val="auto"/>
          <w:kern w:val="0"/>
          <w:sz w:val="36"/>
          <w:szCs w:val="36"/>
          <w:highlight w:val="none"/>
        </w:rPr>
        <w:t>市教育局广州卫生职业技术学院天河校区运动场维护维修项目补充公告</w:t>
      </w:r>
    </w:p>
    <w:p>
      <w:pPr>
        <w:pStyle w:val="7"/>
        <w:ind w:firstLine="480" w:firstLineChars="200"/>
        <w:rPr>
          <w:rFonts w:ascii="Times New Roman" w:hAnsi="Times New Roman" w:eastAsia="宋体"/>
          <w:b w:val="0"/>
          <w:bCs/>
          <w:color w:val="auto"/>
          <w:sz w:val="24"/>
          <w:szCs w:val="15"/>
          <w:highlight w:val="none"/>
        </w:rPr>
      </w:pPr>
      <w:r>
        <w:rPr>
          <w:rFonts w:hint="eastAsia" w:ascii="宋体" w:hAnsi="宋体" w:eastAsia="宋体" w:cs="宋体"/>
          <w:b w:val="0"/>
          <w:bCs/>
          <w:color w:val="auto"/>
          <w:sz w:val="24"/>
          <w:szCs w:val="24"/>
          <w:highlight w:val="none"/>
          <w:shd w:val="clear" w:color="auto" w:fill="FFFFFF"/>
        </w:rPr>
        <w:t>市教育局广州卫生职业技术学院天河校区运动场维护维修项目【项目编号：JG2023-3070】于2023年06月</w:t>
      </w:r>
      <w:r>
        <w:rPr>
          <w:rFonts w:hint="eastAsia" w:ascii="宋体" w:hAnsi="宋体" w:eastAsia="宋体" w:cs="宋体"/>
          <w:b w:val="0"/>
          <w:bCs/>
          <w:color w:val="auto"/>
          <w:sz w:val="24"/>
          <w:szCs w:val="24"/>
          <w:highlight w:val="none"/>
          <w:shd w:val="clear" w:color="auto" w:fill="FFFFFF"/>
          <w:lang w:val="en-US" w:eastAsia="zh-CN"/>
        </w:rPr>
        <w:t>08</w:t>
      </w:r>
      <w:r>
        <w:rPr>
          <w:rFonts w:hint="eastAsia" w:ascii="宋体" w:hAnsi="宋体" w:eastAsia="宋体" w:cs="宋体"/>
          <w:b w:val="0"/>
          <w:bCs/>
          <w:color w:val="auto"/>
          <w:sz w:val="24"/>
          <w:szCs w:val="24"/>
          <w:highlight w:val="none"/>
          <w:shd w:val="clear" w:color="auto" w:fill="FFFFFF"/>
        </w:rPr>
        <w:t>日在广州公共资源交易中心网站等媒介发布招标公告。招标人现对原招标公告及招标文件作出如下修改与补充：</w:t>
      </w:r>
    </w:p>
    <w:p>
      <w:pPr>
        <w:pStyle w:val="7"/>
        <w:numPr>
          <w:ilvl w:val="0"/>
          <w:numId w:val="1"/>
        </w:numPr>
        <w:rPr>
          <w:rFonts w:ascii="Times New Roman" w:hAnsi="Times New Roman" w:eastAsia="宋体"/>
          <w:b w:val="0"/>
          <w:color w:val="auto"/>
          <w:sz w:val="24"/>
          <w:szCs w:val="15"/>
          <w:highlight w:val="none"/>
        </w:rPr>
      </w:pPr>
      <w:r>
        <w:rPr>
          <w:rFonts w:hint="eastAsia" w:ascii="Times New Roman" w:hAnsi="Times New Roman" w:eastAsia="宋体"/>
          <w:b w:val="0"/>
          <w:color w:val="auto"/>
          <w:sz w:val="24"/>
          <w:szCs w:val="15"/>
          <w:highlight w:val="none"/>
        </w:rPr>
        <w:t>招标文件修改</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372"/>
        <w:gridCol w:w="3379"/>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 w:type="pct"/>
            <w:vAlign w:val="center"/>
          </w:tcPr>
          <w:p>
            <w:pPr>
              <w:widowControl w:val="0"/>
              <w:jc w:val="center"/>
              <w:rPr>
                <w:b/>
                <w:bCs/>
                <w:color w:val="auto"/>
                <w:highlight w:val="none"/>
              </w:rPr>
            </w:pPr>
            <w:r>
              <w:rPr>
                <w:rFonts w:hint="eastAsia"/>
                <w:b/>
                <w:bCs/>
                <w:color w:val="auto"/>
                <w:highlight w:val="none"/>
              </w:rPr>
              <w:t>序号</w:t>
            </w:r>
          </w:p>
        </w:tc>
        <w:tc>
          <w:tcPr>
            <w:tcW w:w="745" w:type="pct"/>
            <w:vAlign w:val="center"/>
          </w:tcPr>
          <w:p>
            <w:pPr>
              <w:widowControl w:val="0"/>
              <w:jc w:val="center"/>
              <w:rPr>
                <w:b/>
                <w:bCs/>
                <w:color w:val="auto"/>
                <w:highlight w:val="none"/>
              </w:rPr>
            </w:pPr>
            <w:r>
              <w:rPr>
                <w:rFonts w:hint="eastAsia"/>
                <w:b/>
                <w:bCs/>
                <w:color w:val="auto"/>
                <w:highlight w:val="none"/>
              </w:rPr>
              <w:t>条款号</w:t>
            </w:r>
          </w:p>
        </w:tc>
        <w:tc>
          <w:tcPr>
            <w:tcW w:w="1837" w:type="pct"/>
            <w:vAlign w:val="center"/>
          </w:tcPr>
          <w:p>
            <w:pPr>
              <w:widowControl w:val="0"/>
              <w:jc w:val="center"/>
              <w:rPr>
                <w:b/>
                <w:bCs/>
                <w:color w:val="auto"/>
                <w:highlight w:val="none"/>
              </w:rPr>
            </w:pPr>
            <w:r>
              <w:rPr>
                <w:rFonts w:hint="eastAsia"/>
                <w:b/>
                <w:bCs/>
                <w:color w:val="auto"/>
                <w:highlight w:val="none"/>
              </w:rPr>
              <w:t>原文</w:t>
            </w:r>
          </w:p>
        </w:tc>
        <w:tc>
          <w:tcPr>
            <w:tcW w:w="2229" w:type="pct"/>
            <w:vAlign w:val="center"/>
          </w:tcPr>
          <w:p>
            <w:pPr>
              <w:widowControl w:val="0"/>
              <w:jc w:val="center"/>
              <w:rPr>
                <w:b/>
                <w:bCs/>
                <w:color w:val="auto"/>
                <w:highlight w:val="none"/>
              </w:rPr>
            </w:pPr>
            <w:r>
              <w:rPr>
                <w:rFonts w:hint="eastAsia"/>
                <w:b/>
                <w:bCs/>
                <w:color w:val="auto"/>
                <w:highlight w:val="none"/>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widowControl w:val="0"/>
              <w:rPr>
                <w:rFonts w:hint="eastAsia"/>
                <w:color w:val="auto"/>
                <w:highlight w:val="none"/>
              </w:rPr>
            </w:pPr>
            <w:r>
              <w:rPr>
                <w:rFonts w:hint="eastAsia"/>
                <w:b/>
                <w:bCs/>
                <w:color w:val="auto"/>
                <w:highlight w:val="none"/>
              </w:rPr>
              <w:t>第二章  开标、评标及定标办法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 w:type="pct"/>
            <w:vAlign w:val="center"/>
          </w:tcPr>
          <w:p>
            <w:pPr>
              <w:widowControl w:val="0"/>
              <w:jc w:val="center"/>
              <w:rPr>
                <w:rFonts w:hint="eastAsia" w:eastAsia="宋体"/>
                <w:color w:val="auto"/>
                <w:highlight w:val="none"/>
                <w:lang w:val="en-US" w:eastAsia="zh-CN"/>
              </w:rPr>
            </w:pPr>
            <w:r>
              <w:rPr>
                <w:rFonts w:hint="eastAsia"/>
                <w:color w:val="auto"/>
                <w:highlight w:val="none"/>
                <w:lang w:val="en-US" w:eastAsia="zh-CN"/>
              </w:rPr>
              <w:t>1</w:t>
            </w:r>
          </w:p>
        </w:tc>
        <w:tc>
          <w:tcPr>
            <w:tcW w:w="745" w:type="pct"/>
            <w:vAlign w:val="center"/>
          </w:tcPr>
          <w:p>
            <w:pPr>
              <w:widowControl w:val="0"/>
              <w:rPr>
                <w:rFonts w:hint="default" w:eastAsia="宋体"/>
                <w:color w:val="auto"/>
                <w:highlight w:val="none"/>
                <w:lang w:val="en-US" w:eastAsia="zh-CN"/>
              </w:rPr>
            </w:pPr>
            <w:r>
              <w:rPr>
                <w:rFonts w:hint="eastAsia"/>
              </w:rPr>
              <w:t>附表二</w:t>
            </w:r>
            <w:r>
              <w:rPr>
                <w:rFonts w:hint="eastAsia"/>
                <w:color w:val="auto"/>
                <w:highlight w:val="none"/>
                <w:lang w:val="en-US" w:eastAsia="zh-CN"/>
              </w:rPr>
              <w:t>《</w:t>
            </w:r>
            <w:r>
              <w:rPr>
                <w:rFonts w:hint="eastAsia"/>
              </w:rPr>
              <w:t>技术标有效性审查表</w:t>
            </w:r>
            <w:r>
              <w:rPr>
                <w:rFonts w:hint="eastAsia"/>
                <w:color w:val="auto"/>
                <w:highlight w:val="none"/>
                <w:lang w:val="en-US" w:eastAsia="zh-CN"/>
              </w:rPr>
              <w:t>》</w:t>
            </w:r>
          </w:p>
        </w:tc>
        <w:tc>
          <w:tcPr>
            <w:tcW w:w="1837" w:type="pct"/>
            <w:vAlign w:val="center"/>
          </w:tcPr>
          <w:p>
            <w:pPr>
              <w:pStyle w:val="2"/>
              <w:widowControl w:val="0"/>
              <w:jc w:val="center"/>
              <w:rPr>
                <w:rFonts w:hint="default"/>
                <w:color w:val="auto"/>
                <w:highlight w:val="none"/>
                <w:lang w:val="en-US" w:eastAsia="zh-CN"/>
              </w:rPr>
            </w:pPr>
            <w:r>
              <w:rPr>
                <w:rFonts w:hint="default"/>
                <w:color w:val="auto"/>
                <w:highlight w:val="none"/>
                <w:lang w:val="en-US" w:eastAsia="zh-CN"/>
              </w:rPr>
              <w:t>原文详见原招标文件</w:t>
            </w:r>
          </w:p>
        </w:tc>
        <w:tc>
          <w:tcPr>
            <w:tcW w:w="2229" w:type="pct"/>
            <w:vAlign w:val="center"/>
          </w:tcPr>
          <w:p>
            <w:pPr>
              <w:widowControl w:val="0"/>
              <w:jc w:val="center"/>
              <w:rPr>
                <w:rFonts w:hint="eastAsia"/>
                <w:color w:val="auto"/>
                <w:highlight w:val="none"/>
              </w:rPr>
            </w:pPr>
            <w:r>
              <w:rPr>
                <w:rFonts w:hint="eastAsia"/>
              </w:rPr>
              <w:t>附表二</w:t>
            </w:r>
            <w:r>
              <w:rPr>
                <w:rFonts w:hint="eastAsia"/>
                <w:color w:val="auto"/>
                <w:highlight w:val="none"/>
                <w:lang w:val="en-US" w:eastAsia="zh-CN"/>
              </w:rPr>
              <w:t>《</w:t>
            </w:r>
            <w:r>
              <w:rPr>
                <w:rFonts w:hint="eastAsia"/>
              </w:rPr>
              <w:t>技术标有效性审查表</w:t>
            </w: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 w:type="pct"/>
            <w:vAlign w:val="center"/>
          </w:tcPr>
          <w:p>
            <w:pPr>
              <w:widowControl w:val="0"/>
              <w:jc w:val="center"/>
              <w:rPr>
                <w:rFonts w:hint="default"/>
                <w:color w:val="auto"/>
                <w:highlight w:val="none"/>
                <w:lang w:val="en-US"/>
              </w:rPr>
            </w:pPr>
            <w:r>
              <w:rPr>
                <w:rFonts w:hint="eastAsia"/>
                <w:color w:val="auto"/>
                <w:highlight w:val="none"/>
                <w:lang w:val="en-US" w:eastAsia="zh-CN"/>
              </w:rPr>
              <w:t>2</w:t>
            </w:r>
          </w:p>
        </w:tc>
        <w:tc>
          <w:tcPr>
            <w:tcW w:w="745" w:type="pct"/>
            <w:vAlign w:val="center"/>
          </w:tcPr>
          <w:p>
            <w:pPr>
              <w:widowControl w:val="0"/>
              <w:rPr>
                <w:rFonts w:hint="eastAsia" w:ascii="Times New Roman" w:hAnsi="Times New Roman" w:eastAsia="宋体" w:cs="Times New Roman"/>
              </w:rPr>
            </w:pPr>
            <w:bookmarkStart w:id="0" w:name="_Toc115117427"/>
            <w:bookmarkStart w:id="1" w:name="_Toc30040"/>
            <w:r>
              <w:rPr>
                <w:rFonts w:hint="eastAsia" w:ascii="Times New Roman" w:hAnsi="Times New Roman" w:eastAsia="宋体" w:cs="Times New Roman"/>
              </w:rPr>
              <w:t xml:space="preserve">附表三 </w:t>
            </w:r>
            <w:r>
              <w:rPr>
                <w:rFonts w:hint="eastAsia" w:ascii="Times New Roman" w:hAnsi="Times New Roman" w:eastAsia="宋体" w:cs="Times New Roman"/>
                <w:lang w:eastAsia="zh-CN"/>
              </w:rPr>
              <w:t>《</w:t>
            </w:r>
            <w:r>
              <w:rPr>
                <w:rFonts w:hint="eastAsia" w:ascii="Times New Roman" w:hAnsi="Times New Roman" w:eastAsia="宋体" w:cs="Times New Roman"/>
              </w:rPr>
              <w:t>经济标有效性审查表</w:t>
            </w:r>
            <w:bookmarkEnd w:id="0"/>
            <w:bookmarkEnd w:id="1"/>
            <w:r>
              <w:rPr>
                <w:rFonts w:hint="eastAsia" w:ascii="Times New Roman" w:hAnsi="Times New Roman" w:eastAsia="宋体" w:cs="Times New Roman"/>
                <w:lang w:eastAsia="zh-CN"/>
              </w:rPr>
              <w:t>》</w:t>
            </w:r>
          </w:p>
        </w:tc>
        <w:tc>
          <w:tcPr>
            <w:tcW w:w="1837" w:type="pct"/>
            <w:vAlign w:val="center"/>
          </w:tcPr>
          <w:p>
            <w:pPr>
              <w:widowControl w:val="0"/>
              <w:jc w:val="center"/>
              <w:rPr>
                <w:color w:val="auto"/>
                <w:highlight w:val="none"/>
              </w:rPr>
            </w:pPr>
            <w:r>
              <w:rPr>
                <w:rFonts w:hint="default"/>
                <w:color w:val="auto"/>
                <w:highlight w:val="none"/>
                <w:lang w:val="en-US" w:eastAsia="zh-CN"/>
              </w:rPr>
              <w:t>原文详见原招标文件</w:t>
            </w:r>
          </w:p>
        </w:tc>
        <w:tc>
          <w:tcPr>
            <w:tcW w:w="2229" w:type="pct"/>
            <w:vAlign w:val="center"/>
          </w:tcPr>
          <w:p>
            <w:pPr>
              <w:widowControl w:val="0"/>
              <w:jc w:val="center"/>
              <w:rPr>
                <w:rFonts w:hint="eastAsia" w:ascii="Times New Roman" w:hAnsi="Times New Roman" w:eastAsia="宋体" w:cs="Times New Roman"/>
              </w:rPr>
            </w:pPr>
            <w:r>
              <w:rPr>
                <w:rFonts w:hint="eastAsia" w:ascii="Times New Roman" w:hAnsi="Times New Roman" w:eastAsia="宋体" w:cs="Times New Roman"/>
              </w:rPr>
              <w:t xml:space="preserve">附表三 </w:t>
            </w:r>
            <w:r>
              <w:rPr>
                <w:rFonts w:hint="eastAsia" w:ascii="Times New Roman" w:hAnsi="Times New Roman" w:eastAsia="宋体" w:cs="Times New Roman"/>
                <w:lang w:eastAsia="zh-CN"/>
              </w:rPr>
              <w:t>《</w:t>
            </w:r>
            <w:r>
              <w:rPr>
                <w:rFonts w:hint="eastAsia" w:ascii="Times New Roman" w:hAnsi="Times New Roman" w:eastAsia="宋体" w:cs="Times New Roman"/>
              </w:rPr>
              <w:t>经济标有效性审查表</w:t>
            </w:r>
            <w:r>
              <w:rPr>
                <w:rFonts w:hint="eastAsia" w:ascii="Times New Roman" w:hAnsi="Times New Roman"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 w:type="pct"/>
            <w:vAlign w:val="center"/>
          </w:tcPr>
          <w:p>
            <w:pPr>
              <w:widowControl w:val="0"/>
              <w:jc w:val="center"/>
              <w:rPr>
                <w:rFonts w:hint="default"/>
                <w:color w:val="auto"/>
                <w:highlight w:val="none"/>
                <w:lang w:val="en-US"/>
              </w:rPr>
            </w:pPr>
            <w:r>
              <w:rPr>
                <w:rFonts w:hint="eastAsia"/>
                <w:color w:val="auto"/>
                <w:highlight w:val="none"/>
                <w:lang w:val="en-US" w:eastAsia="zh-CN"/>
              </w:rPr>
              <w:t>3</w:t>
            </w:r>
          </w:p>
        </w:tc>
        <w:tc>
          <w:tcPr>
            <w:tcW w:w="745" w:type="pct"/>
            <w:vAlign w:val="center"/>
          </w:tcPr>
          <w:p>
            <w:pPr>
              <w:widowControl w:val="0"/>
              <w:rPr>
                <w:rFonts w:hint="eastAsia" w:ascii="Times New Roman" w:hAnsi="Times New Roman" w:eastAsia="宋体" w:cs="Times New Roman"/>
              </w:rPr>
            </w:pPr>
            <w:r>
              <w:rPr>
                <w:rFonts w:hint="eastAsia" w:ascii="Times New Roman" w:hAnsi="Times New Roman" w:eastAsia="宋体" w:cs="Times New Roman"/>
              </w:rPr>
              <w:t>附表四《技术标详细审查评分表》</w:t>
            </w:r>
          </w:p>
        </w:tc>
        <w:tc>
          <w:tcPr>
            <w:tcW w:w="1837" w:type="pct"/>
            <w:vAlign w:val="center"/>
          </w:tcPr>
          <w:p>
            <w:pPr>
              <w:widowControl w:val="0"/>
              <w:spacing w:after="0"/>
              <w:jc w:val="center"/>
              <w:rPr>
                <w:color w:val="auto"/>
                <w:highlight w:val="none"/>
              </w:rPr>
            </w:pPr>
            <w:r>
              <w:rPr>
                <w:rFonts w:hint="default"/>
                <w:color w:val="auto"/>
                <w:highlight w:val="none"/>
                <w:lang w:val="en-US" w:eastAsia="zh-CN"/>
              </w:rPr>
              <w:t>原文详见原招标文件</w:t>
            </w:r>
          </w:p>
        </w:tc>
        <w:tc>
          <w:tcPr>
            <w:tcW w:w="2229" w:type="pct"/>
            <w:vAlign w:val="center"/>
          </w:tcPr>
          <w:p>
            <w:pPr>
              <w:widowControl w:val="0"/>
              <w:jc w:val="center"/>
              <w:rPr>
                <w:rFonts w:hint="eastAsia" w:ascii="Times New Roman" w:hAnsi="Times New Roman" w:eastAsia="宋体" w:cs="Times New Roman"/>
              </w:rPr>
            </w:pPr>
            <w:r>
              <w:rPr>
                <w:rFonts w:hint="eastAsia" w:ascii="Times New Roman" w:hAnsi="Times New Roman" w:eastAsia="宋体" w:cs="Times New Roman"/>
              </w:rPr>
              <w:t>附表四《技术标详细审查评分表》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000" w:type="pct"/>
            <w:gridSpan w:val="4"/>
          </w:tcPr>
          <w:p>
            <w:pPr>
              <w:widowControl w:val="0"/>
              <w:snapToGrid w:val="0"/>
              <w:jc w:val="left"/>
              <w:rPr>
                <w:rStyle w:val="22"/>
                <w:rFonts w:hint="eastAsia" w:ascii="宋体" w:hAnsi="宋体"/>
                <w:b/>
                <w:bCs/>
                <w:color w:val="auto"/>
                <w:szCs w:val="21"/>
                <w:highlight w:val="none"/>
              </w:rPr>
            </w:pPr>
            <w:bookmarkStart w:id="2" w:name="_Toc14307"/>
            <w:bookmarkStart w:id="3" w:name="_Toc115117432"/>
            <w:r>
              <w:rPr>
                <w:rStyle w:val="22"/>
                <w:rFonts w:hint="eastAsia" w:ascii="宋体" w:hAnsi="宋体"/>
                <w:b/>
                <w:bCs/>
                <w:color w:val="auto"/>
                <w:szCs w:val="21"/>
                <w:highlight w:val="none"/>
              </w:rPr>
              <w:t>第四章投标文件格式</w:t>
            </w:r>
            <w:bookmarkEnd w:id="2"/>
            <w:bookmarkEnd w:id="3"/>
          </w:p>
          <w:p>
            <w:pPr>
              <w:widowControl w:val="0"/>
              <w:snapToGrid w:val="0"/>
              <w:jc w:val="left"/>
              <w:rPr>
                <w:rStyle w:val="22"/>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87" w:type="pct"/>
            <w:vAlign w:val="center"/>
          </w:tcPr>
          <w:p>
            <w:pPr>
              <w:widowControl w:val="0"/>
              <w:jc w:val="center"/>
              <w:rPr>
                <w:color w:val="auto"/>
                <w:highlight w:val="none"/>
              </w:rPr>
            </w:pPr>
            <w:r>
              <w:rPr>
                <w:rFonts w:hint="eastAsia"/>
                <w:color w:val="auto"/>
                <w:highlight w:val="none"/>
              </w:rPr>
              <w:t>1</w:t>
            </w:r>
          </w:p>
        </w:tc>
        <w:tc>
          <w:tcPr>
            <w:tcW w:w="745" w:type="pct"/>
          </w:tcPr>
          <w:p>
            <w:pPr>
              <w:widowControl w:val="0"/>
              <w:snapToGrid w:val="0"/>
              <w:jc w:val="left"/>
              <w:rPr>
                <w:rStyle w:val="22"/>
                <w:rFonts w:hint="eastAsia" w:ascii="宋体" w:hAnsi="宋体"/>
                <w:color w:val="auto"/>
                <w:szCs w:val="21"/>
                <w:highlight w:val="none"/>
                <w:lang w:val="en-US" w:eastAsia="zh-CN"/>
              </w:rPr>
            </w:pPr>
            <w:r>
              <w:rPr>
                <w:rStyle w:val="22"/>
                <w:rFonts w:hint="eastAsia" w:ascii="宋体" w:hAnsi="宋体"/>
                <w:color w:val="auto"/>
                <w:szCs w:val="21"/>
                <w:highlight w:val="none"/>
                <w:lang w:val="en-US" w:eastAsia="zh-CN"/>
              </w:rPr>
              <w:t>新增</w:t>
            </w:r>
            <w:bookmarkStart w:id="4" w:name="_Toc95587933"/>
            <w:bookmarkStart w:id="5" w:name="_Toc95468696"/>
            <w:bookmarkStart w:id="6" w:name="_Toc94347378"/>
            <w:r>
              <w:rPr>
                <w:rStyle w:val="22"/>
                <w:rFonts w:hint="eastAsia" w:ascii="宋体" w:hAnsi="宋体"/>
                <w:color w:val="auto"/>
                <w:szCs w:val="21"/>
                <w:highlight w:val="none"/>
                <w:lang w:val="en-US" w:eastAsia="zh-CN"/>
              </w:rPr>
              <w:t>格式九：危险性较大的分部分项工程清单及超过一定规模的危险性较大的分部分项工程清单</w:t>
            </w:r>
            <w:bookmarkEnd w:id="4"/>
            <w:bookmarkEnd w:id="5"/>
            <w:bookmarkEnd w:id="6"/>
          </w:p>
          <w:p>
            <w:pPr>
              <w:widowControl w:val="0"/>
              <w:snapToGrid w:val="0"/>
              <w:jc w:val="left"/>
              <w:rPr>
                <w:rStyle w:val="22"/>
                <w:rFonts w:hint="default" w:ascii="宋体" w:hAnsi="宋体" w:eastAsia="宋体"/>
                <w:color w:val="auto"/>
                <w:szCs w:val="21"/>
                <w:highlight w:val="none"/>
                <w:lang w:val="en-US" w:eastAsia="zh-CN"/>
              </w:rPr>
            </w:pPr>
          </w:p>
        </w:tc>
        <w:tc>
          <w:tcPr>
            <w:tcW w:w="1837" w:type="pct"/>
            <w:vAlign w:val="center"/>
          </w:tcPr>
          <w:p>
            <w:pPr>
              <w:widowControl w:val="0"/>
              <w:spacing w:after="0"/>
              <w:jc w:val="center"/>
              <w:rPr>
                <w:rFonts w:hint="eastAsia" w:ascii="Times New Roman" w:hAnsi="Times New Roman" w:eastAsia="宋体" w:cs="Times New Roman"/>
                <w:color w:val="auto"/>
                <w:highlight w:val="none"/>
                <w:lang w:val="en-US" w:eastAsia="zh-CN"/>
              </w:rPr>
            </w:pPr>
            <w:r>
              <w:rPr>
                <w:rFonts w:hint="default"/>
                <w:color w:val="auto"/>
                <w:highlight w:val="none"/>
                <w:lang w:val="en-US" w:eastAsia="zh-CN"/>
              </w:rPr>
              <w:t>原文详见原招标文件</w:t>
            </w:r>
          </w:p>
        </w:tc>
        <w:tc>
          <w:tcPr>
            <w:tcW w:w="2229" w:type="pct"/>
            <w:vAlign w:val="center"/>
          </w:tcPr>
          <w:p>
            <w:pPr>
              <w:widowControl w:val="0"/>
              <w:spacing w:after="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格式九：危险性较大的分部分项工程清单及超过一定规模的危险性较大的分部分项工程清单</w:t>
            </w:r>
          </w:p>
        </w:tc>
      </w:tr>
    </w:tbl>
    <w:p>
      <w:pPr>
        <w:rPr>
          <w:color w:val="auto"/>
          <w:highlight w:val="none"/>
        </w:rPr>
      </w:pPr>
    </w:p>
    <w:p>
      <w:pPr>
        <w:pStyle w:val="15"/>
        <w:shd w:val="clear" w:color="auto" w:fill="FFFFFF"/>
        <w:spacing w:beforeAutospacing="0" w:afterAutospacing="0" w:line="360" w:lineRule="atLeast"/>
        <w:jc w:val="both"/>
        <w:rPr>
          <w:rFonts w:ascii="微软雅黑" w:hAnsi="微软雅黑" w:eastAsia="微软雅黑" w:cs="微软雅黑"/>
          <w:color w:val="auto"/>
          <w:szCs w:val="24"/>
          <w:highlight w:val="none"/>
        </w:rPr>
      </w:pPr>
      <w:r>
        <w:rPr>
          <w:rStyle w:val="19"/>
          <w:rFonts w:hint="eastAsia" w:ascii="宋体" w:hAnsi="宋体" w:cs="宋体"/>
          <w:bCs/>
          <w:color w:val="auto"/>
          <w:szCs w:val="24"/>
          <w:highlight w:val="none"/>
          <w:shd w:val="clear" w:color="auto" w:fill="FFFFFF"/>
          <w:lang w:val="en-US" w:eastAsia="zh-CN"/>
        </w:rPr>
        <w:t>二</w:t>
      </w:r>
      <w:r>
        <w:rPr>
          <w:rStyle w:val="19"/>
          <w:rFonts w:hint="eastAsia" w:ascii="宋体" w:hAnsi="宋体" w:cs="宋体"/>
          <w:bCs/>
          <w:color w:val="auto"/>
          <w:szCs w:val="24"/>
          <w:highlight w:val="none"/>
          <w:shd w:val="clear" w:color="auto" w:fill="FFFFFF"/>
        </w:rPr>
        <w:t>、本项目原定的投标登记时间、投标文件递交时间、电子光盘备用递交时间、投标文件解密时间及开标时间和场地安排等有修改，具体时间和场地安排请各投标人密切留意广州公共资源交易中心公布的本项目的日程安排，投标人可登录广州公共资源交易中心网站首页，点击“交易业务-建设工程”专栏中的“项目查询（日程安排、答疑纪要）”，输入项目编号或项目名称查询最新信息。</w:t>
      </w:r>
      <w:r>
        <w:rPr>
          <w:rFonts w:hint="eastAsia" w:ascii="宋体" w:hAnsi="宋体" w:cs="宋体"/>
          <w:color w:val="auto"/>
          <w:szCs w:val="24"/>
          <w:highlight w:val="none"/>
          <w:shd w:val="clear" w:color="auto" w:fill="FFFFFF"/>
        </w:rPr>
        <w:t> </w:t>
      </w:r>
    </w:p>
    <w:p>
      <w:pPr>
        <w:pStyle w:val="15"/>
        <w:shd w:val="clear" w:color="auto" w:fill="FFFFFF"/>
        <w:spacing w:beforeAutospacing="0" w:afterAutospacing="0" w:line="360" w:lineRule="atLeast"/>
        <w:jc w:val="both"/>
        <w:rPr>
          <w:rStyle w:val="19"/>
          <w:rFonts w:ascii="宋体" w:hAnsi="宋体" w:cs="宋体"/>
          <w:bCs/>
          <w:color w:val="auto"/>
          <w:szCs w:val="24"/>
          <w:highlight w:val="none"/>
          <w:shd w:val="clear" w:color="auto" w:fill="FFFFFF"/>
        </w:rPr>
      </w:pPr>
    </w:p>
    <w:p>
      <w:pPr>
        <w:pStyle w:val="15"/>
        <w:shd w:val="clear" w:color="auto" w:fill="FFFFFF"/>
        <w:spacing w:beforeAutospacing="0" w:afterAutospacing="0" w:line="360" w:lineRule="atLeast"/>
        <w:jc w:val="both"/>
        <w:rPr>
          <w:rFonts w:ascii="微软雅黑" w:hAnsi="微软雅黑" w:eastAsia="微软雅黑" w:cs="微软雅黑"/>
          <w:color w:val="auto"/>
          <w:szCs w:val="24"/>
          <w:highlight w:val="none"/>
        </w:rPr>
      </w:pPr>
      <w:r>
        <w:rPr>
          <w:rStyle w:val="19"/>
          <w:rFonts w:hint="eastAsia" w:ascii="宋体" w:hAnsi="宋体" w:cs="宋体"/>
          <w:bCs/>
          <w:color w:val="auto"/>
          <w:szCs w:val="24"/>
          <w:highlight w:val="none"/>
          <w:shd w:val="clear" w:color="auto" w:fill="FFFFFF"/>
        </w:rPr>
        <w:t>四、相关说明</w:t>
      </w:r>
    </w:p>
    <w:p>
      <w:pPr>
        <w:pStyle w:val="15"/>
        <w:shd w:val="clear" w:color="auto" w:fill="FFFFFF"/>
        <w:spacing w:beforeAutospacing="0" w:afterAutospacing="0" w:line="360" w:lineRule="atLeast"/>
        <w:ind w:firstLine="482"/>
        <w:jc w:val="both"/>
        <w:rPr>
          <w:rFonts w:ascii="微软雅黑" w:hAnsi="微软雅黑" w:eastAsia="微软雅黑" w:cs="微软雅黑"/>
          <w:color w:val="auto"/>
          <w:szCs w:val="24"/>
          <w:highlight w:val="none"/>
        </w:rPr>
      </w:pPr>
      <w:r>
        <w:rPr>
          <w:rStyle w:val="19"/>
          <w:rFonts w:hint="eastAsia" w:ascii="宋体" w:hAnsi="宋体" w:cs="宋体"/>
          <w:bCs/>
          <w:color w:val="auto"/>
          <w:szCs w:val="24"/>
          <w:highlight w:val="none"/>
          <w:shd w:val="clear" w:color="auto" w:fill="FFFFFF"/>
        </w:rPr>
        <w:t>本补充公告为招标文件的组成部分，如对同一事项的表述与之前所发出的招标文件不符，则以本补充公告为准。</w:t>
      </w:r>
    </w:p>
    <w:p>
      <w:pPr>
        <w:pStyle w:val="15"/>
        <w:shd w:val="clear" w:color="auto" w:fill="FFFFFF"/>
        <w:spacing w:beforeAutospacing="0" w:afterAutospacing="0" w:line="360" w:lineRule="atLeast"/>
        <w:rPr>
          <w:rFonts w:ascii="微软雅黑" w:hAnsi="微软雅黑" w:eastAsia="微软雅黑" w:cs="微软雅黑"/>
          <w:color w:val="auto"/>
          <w:szCs w:val="24"/>
          <w:highlight w:val="none"/>
        </w:rPr>
      </w:pPr>
      <w:r>
        <w:rPr>
          <w:rFonts w:hint="eastAsia" w:ascii="宋体" w:hAnsi="宋体" w:cs="宋体"/>
          <w:color w:val="auto"/>
          <w:szCs w:val="24"/>
          <w:highlight w:val="none"/>
          <w:shd w:val="clear" w:color="auto" w:fill="FFFFFF"/>
        </w:rPr>
        <w:t> </w:t>
      </w:r>
    </w:p>
    <w:p>
      <w:pPr>
        <w:pStyle w:val="15"/>
        <w:shd w:val="clear" w:color="auto" w:fill="FFFFFF"/>
        <w:spacing w:beforeAutospacing="0" w:afterAutospacing="0" w:line="360" w:lineRule="auto"/>
        <w:jc w:val="right"/>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招标人：广州卫生职业技术学院</w:t>
      </w:r>
    </w:p>
    <w:p>
      <w:pPr>
        <w:pStyle w:val="15"/>
        <w:shd w:val="clear" w:color="auto" w:fill="FFFFFF"/>
        <w:spacing w:beforeAutospacing="0" w:afterAutospacing="0" w:line="360" w:lineRule="auto"/>
        <w:jc w:val="right"/>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2023年</w:t>
      </w:r>
      <w:r>
        <w:rPr>
          <w:rFonts w:ascii="宋体" w:hAnsi="宋体" w:cs="宋体"/>
          <w:color w:val="auto"/>
          <w:szCs w:val="24"/>
          <w:highlight w:val="none"/>
          <w:shd w:val="clear" w:color="auto" w:fill="FFFFFF"/>
        </w:rPr>
        <w:t>6</w:t>
      </w:r>
      <w:r>
        <w:rPr>
          <w:rFonts w:hint="eastAsia" w:ascii="宋体" w:hAnsi="宋体" w:cs="宋体"/>
          <w:color w:val="auto"/>
          <w:szCs w:val="24"/>
          <w:highlight w:val="none"/>
          <w:shd w:val="clear" w:color="auto" w:fill="FFFFFF"/>
        </w:rPr>
        <w:t>月</w:t>
      </w:r>
      <w:r>
        <w:rPr>
          <w:rFonts w:hint="eastAsia" w:ascii="宋体" w:hAnsi="宋体" w:cs="宋体"/>
          <w:color w:val="auto"/>
          <w:szCs w:val="24"/>
          <w:highlight w:val="none"/>
          <w:shd w:val="clear" w:color="auto" w:fill="FFFFFF"/>
          <w:lang w:val="en-US" w:eastAsia="zh-CN"/>
        </w:rPr>
        <w:t>21</w:t>
      </w:r>
      <w:r>
        <w:rPr>
          <w:rFonts w:hint="eastAsia" w:ascii="宋体" w:hAnsi="宋体" w:cs="宋体"/>
          <w:color w:val="auto"/>
          <w:szCs w:val="24"/>
          <w:highlight w:val="none"/>
          <w:shd w:val="clear" w:color="auto" w:fill="FFFFFF"/>
        </w:rPr>
        <w:t>日</w:t>
      </w:r>
    </w:p>
    <w:p>
      <w:pPr>
        <w:pStyle w:val="15"/>
        <w:shd w:val="clear" w:color="auto" w:fill="FFFFFF"/>
        <w:spacing w:beforeAutospacing="0" w:afterAutospacing="0" w:line="360" w:lineRule="auto"/>
        <w:jc w:val="right"/>
        <w:rPr>
          <w:rFonts w:hint="eastAsia" w:ascii="宋体" w:hAnsi="宋体" w:cs="宋体"/>
          <w:color w:val="auto"/>
          <w:szCs w:val="24"/>
          <w:highlight w:val="none"/>
          <w:shd w:val="clear" w:color="auto" w:fill="FFFFFF"/>
        </w:rPr>
        <w:sectPr>
          <w:pgSz w:w="11906" w:h="16838"/>
          <w:pgMar w:top="1440" w:right="1463" w:bottom="1440" w:left="1463" w:header="851" w:footer="992" w:gutter="0"/>
          <w:cols w:space="425" w:num="1"/>
          <w:docGrid w:type="lines" w:linePitch="312" w:charSpace="0"/>
        </w:sectPr>
      </w:pPr>
    </w:p>
    <w:p>
      <w:pPr>
        <w:pStyle w:val="8"/>
        <w:jc w:val="left"/>
      </w:pPr>
      <w:bookmarkStart w:id="7" w:name="_Toc115117426"/>
      <w:bookmarkStart w:id="8" w:name="_Toc29265"/>
      <w:bookmarkStart w:id="9" w:name="_Toc29230"/>
      <w:bookmarkStart w:id="10" w:name="_Toc115117428"/>
      <w:r>
        <w:rPr>
          <w:rFonts w:hint="eastAsia"/>
        </w:rPr>
        <w:t>附表二 技术标有效性审查表</w:t>
      </w:r>
      <w:bookmarkEnd w:id="7"/>
      <w:bookmarkEnd w:id="8"/>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1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956"/>
        <w:gridCol w:w="1559"/>
        <w:gridCol w:w="1418"/>
        <w:gridCol w:w="1276"/>
        <w:gridCol w:w="1275"/>
        <w:gridCol w:w="141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5956"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5040" w:firstLineChars="2400"/>
              <w:rPr>
                <w:rFonts w:ascii="宋体" w:hAnsi="宋体"/>
                <w:szCs w:val="21"/>
              </w:rPr>
            </w:pPr>
            <w:r>
              <w:rPr>
                <w:rFonts w:hint="eastAsia" w:ascii="宋体" w:hAnsi="宋体"/>
                <w:szCs w:val="21"/>
              </w:rPr>
              <w:t>投标人</w:t>
            </w:r>
          </w:p>
          <w:p>
            <w:pPr>
              <w:adjustRightInd w:val="0"/>
              <w:rPr>
                <w:rFonts w:ascii="宋体" w:hAnsi="宋体"/>
                <w:szCs w:val="21"/>
              </w:rPr>
            </w:pPr>
          </w:p>
          <w:p>
            <w:pPr>
              <w:adjustRightInd w:val="0"/>
              <w:rPr>
                <w:rFonts w:ascii="宋体" w:hAnsi="宋体"/>
                <w:szCs w:val="21"/>
              </w:rPr>
            </w:pPr>
            <w:r>
              <w:rPr>
                <w:rFonts w:hint="eastAsia" w:ascii="宋体" w:hAnsi="宋体"/>
                <w:szCs w:val="21"/>
              </w:rPr>
              <w:t>评审内容</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1</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rPr>
              <w:t>《广州建设工程施工招标投标书》中填报的投标总工期不符合招标文件要求的；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2</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《广州建设工程施工招标投标书》中填报的工程质量标准不符合招标文件要求的；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3</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hint="eastAsia" w:ascii="宋体" w:hAnsi="宋体"/>
                <w:szCs w:val="21"/>
              </w:rPr>
              <w:t>4</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Cs w:val="21"/>
              </w:rPr>
            </w:pPr>
            <w:r>
              <w:rPr>
                <w:rFonts w:hint="eastAsia" w:ascii="宋体" w:hAnsi="宋体" w:cs="宋体"/>
                <w:szCs w:val="21"/>
                <w:u w:val="single"/>
              </w:rPr>
              <w:t>投标文件存在下列问题之一：（1）未按招标文件第四章规定的格式填写并提交</w:t>
            </w:r>
            <w:r>
              <w:rPr>
                <w:rFonts w:hint="eastAsia" w:ascii="宋体" w:hAnsi="宋体" w:cs="宋体"/>
                <w:b/>
                <w:bCs/>
                <w:color w:val="FF0000"/>
                <w:szCs w:val="21"/>
                <w:highlight w:val="none"/>
                <w:u w:val="single"/>
              </w:rPr>
              <w:t>（技术标投标文件格式二、格式八、格式九）</w:t>
            </w:r>
            <w:r>
              <w:rPr>
                <w:rFonts w:hint="eastAsia" w:ascii="宋体" w:hAnsi="宋体" w:cs="宋体"/>
                <w:szCs w:val="21"/>
                <w:u w:val="single"/>
              </w:rPr>
              <w:t>；（2）关键字迹模糊，无法辩认的；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5</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6</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r>
              <w:rPr>
                <w:rFonts w:ascii="宋体" w:hAnsi="宋体"/>
                <w:szCs w:val="21"/>
              </w:rPr>
              <w:t>7</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5956"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559"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2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pStyle w:val="2"/>
        <w:rPr>
          <w:rFonts w:hAnsi="宋体"/>
          <w:szCs w:val="21"/>
        </w:rPr>
      </w:pPr>
      <w:r>
        <w:rPr>
          <w:rFonts w:hint="eastAsia"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pStyle w:val="2"/>
        <w:rPr>
          <w:rFonts w:hAnsi="宋体"/>
          <w:szCs w:val="21"/>
        </w:rPr>
      </w:pPr>
      <w:r>
        <w:rPr>
          <w:rFonts w:hint="eastAsia"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pStyle w:val="2"/>
        <w:rPr>
          <w:rFonts w:hAnsi="宋体"/>
          <w:szCs w:val="21"/>
        </w:rPr>
      </w:pPr>
      <w:r>
        <w:rPr>
          <w:rFonts w:hint="eastAsia" w:hAnsi="宋体"/>
          <w:szCs w:val="21"/>
        </w:rPr>
        <w:t>3.凡出现以上任何一项情形，结论均为无效，否则就为有效。</w:t>
      </w:r>
    </w:p>
    <w:p>
      <w:pPr>
        <w:pStyle w:val="2"/>
      </w:pPr>
      <w:r>
        <w:rPr>
          <w:rFonts w:hint="eastAsia" w:hAnsi="宋体"/>
          <w:szCs w:val="21"/>
        </w:rPr>
        <w:t>4.如对本表中某种情形的评审意见不一致时，以评标委员会过半数成员的意见作为评标委员会对该情形的认定结论。</w:t>
      </w:r>
    </w:p>
    <w:p>
      <w:pPr>
        <w:spacing w:line="360" w:lineRule="auto"/>
        <w:ind w:firstLine="459"/>
        <w:rPr>
          <w:rFonts w:ascii="宋体" w:hAnsi="宋体" w:cs="仿宋_GB2312"/>
          <w:szCs w:val="21"/>
        </w:rPr>
      </w:pPr>
      <w:r>
        <w:rPr>
          <w:rFonts w:hint="eastAsia"/>
          <w:kern w:val="0"/>
          <w:szCs w:val="21"/>
        </w:rPr>
        <w:t>评委签名：                                                                        日期：</w:t>
      </w:r>
    </w:p>
    <w:p>
      <w:pPr>
        <w:pStyle w:val="9"/>
        <w:ind w:firstLine="0" w:firstLineChars="0"/>
        <w:rPr>
          <w:color w:val="auto"/>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425" w:num="1"/>
          <w:docGrid w:type="linesAndChars" w:linePitch="312" w:charSpace="0"/>
        </w:sectPr>
      </w:pPr>
    </w:p>
    <w:p>
      <w:pPr>
        <w:pStyle w:val="8"/>
        <w:jc w:val="both"/>
      </w:pPr>
      <w:r>
        <w:rPr>
          <w:rFonts w:hint="eastAsia"/>
        </w:rPr>
        <w:t>附表三 经济标有效性审查表</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1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ind w:firstLine="5250" w:firstLineChars="2500"/>
              <w:rPr>
                <w:rFonts w:ascii="宋体" w:hAnsi="宋体"/>
                <w:szCs w:val="21"/>
              </w:rPr>
            </w:pP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投标总报价高于最高投标限价的；或投标综合单价高于其相应的综合单价限价；</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rPr>
              <w:t>投标文件未按规定的格式填写</w:t>
            </w:r>
            <w:r>
              <w:rPr>
                <w:rFonts w:hint="eastAsia" w:ascii="宋体" w:hAnsi="宋体" w:cs="宋体"/>
                <w:b/>
                <w:bCs/>
                <w:color w:val="FF0000"/>
                <w:szCs w:val="21"/>
                <w:u w:val="single"/>
              </w:rPr>
              <w:t>（经济标投标文件格式三、格式四）</w:t>
            </w:r>
            <w:r>
              <w:rPr>
                <w:rFonts w:hint="eastAsia" w:ascii="宋体" w:hAnsi="宋体" w:cs="宋体"/>
                <w:szCs w:val="21"/>
              </w:rPr>
              <w:t>，或主要内容不全，或关键字迹模糊、无法辨认的；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投标人与本项目其他投标人的投标文件工程量清单编制机器硬件信息一致的（以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ind w:firstLine="458"/>
        <w:rPr>
          <w:rFonts w:ascii="宋体" w:hAnsi="宋体"/>
          <w:szCs w:val="21"/>
        </w:rPr>
      </w:pPr>
      <w:r>
        <w:rPr>
          <w:rFonts w:hint="eastAsia" w:ascii="宋体" w:hAnsi="宋体"/>
          <w:szCs w:val="21"/>
        </w:rPr>
        <w:t>注：1.本表使用GZZB2018-3招标文件范本，与范本内容不同之处均以下划线标明。</w:t>
      </w:r>
    </w:p>
    <w:p>
      <w:pPr>
        <w:ind w:firstLine="458"/>
        <w:rPr>
          <w:rFonts w:ascii="宋体" w:hAnsi="宋体"/>
          <w:szCs w:val="21"/>
        </w:rPr>
      </w:pPr>
      <w:r>
        <w:rPr>
          <w:rFonts w:hint="eastAsia" w:ascii="宋体" w:hAnsi="宋体"/>
          <w:szCs w:val="21"/>
        </w:rPr>
        <w:t>2.凡出现以上任何一项情形，结论均为无效，否则就为有效。</w:t>
      </w:r>
    </w:p>
    <w:p>
      <w:pPr>
        <w:ind w:firstLine="458"/>
        <w:rPr>
          <w:rFonts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ind w:firstLine="458"/>
        <w:rPr>
          <w:rFonts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
      </w:pPr>
    </w:p>
    <w:p>
      <w:pPr>
        <w:spacing w:line="360" w:lineRule="auto"/>
        <w:ind w:firstLine="459"/>
        <w:rPr>
          <w:rFonts w:ascii="宋体" w:hAnsi="宋体" w:cs="仿宋_GB2312"/>
          <w:szCs w:val="21"/>
        </w:rPr>
      </w:pPr>
      <w:bookmarkStart w:id="11" w:name="_Toc79144512"/>
      <w:r>
        <w:rPr>
          <w:rFonts w:hint="eastAsia"/>
          <w:kern w:val="0"/>
          <w:szCs w:val="21"/>
        </w:rPr>
        <w:t>评委签名：                                                                        日期：</w:t>
      </w:r>
    </w:p>
    <w:p>
      <w:pPr>
        <w:widowControl/>
        <w:jc w:val="left"/>
        <w:rPr>
          <w:rFonts w:ascii="宋体" w:hAnsi="宋体"/>
          <w:b/>
          <w:sz w:val="24"/>
          <w:szCs w:val="21"/>
        </w:rPr>
      </w:pPr>
      <w:r>
        <w:br w:type="page"/>
      </w:r>
    </w:p>
    <w:bookmarkEnd w:id="11"/>
    <w:p>
      <w:pPr>
        <w:pStyle w:val="8"/>
        <w:jc w:val="left"/>
        <w:rPr>
          <w:rFonts w:hint="eastAsia"/>
        </w:rPr>
        <w:sectPr>
          <w:pgSz w:w="16838" w:h="11906" w:orient="landscape"/>
          <w:pgMar w:top="1800" w:right="1440" w:bottom="1800" w:left="1440" w:header="851" w:footer="992" w:gutter="0"/>
          <w:cols w:space="425" w:num="1"/>
          <w:docGrid w:type="lines" w:linePitch="312" w:charSpace="0"/>
        </w:sectPr>
      </w:pPr>
    </w:p>
    <w:p>
      <w:pPr>
        <w:pStyle w:val="8"/>
        <w:jc w:val="left"/>
      </w:pPr>
      <w:r>
        <w:rPr>
          <w:rFonts w:hint="eastAsia"/>
        </w:rPr>
        <w:t>附表四 技术标详细审查评分表</w:t>
      </w:r>
      <w:bookmarkEnd w:id="9"/>
      <w:bookmarkEnd w:id="10"/>
    </w:p>
    <w:p>
      <w:pPr>
        <w:spacing w:line="276" w:lineRule="auto"/>
        <w:jc w:val="center"/>
        <w:rPr>
          <w:rFonts w:ascii="宋体" w:hAnsi="宋体"/>
          <w:b/>
          <w:sz w:val="36"/>
          <w:szCs w:val="36"/>
        </w:rPr>
      </w:pPr>
      <w:r>
        <w:rPr>
          <w:rFonts w:hint="eastAsia" w:ascii="宋体" w:hAnsi="宋体"/>
          <w:b/>
          <w:sz w:val="36"/>
          <w:szCs w:val="36"/>
        </w:rPr>
        <w:t>技术标详细审查评分表</w:t>
      </w:r>
    </w:p>
    <w:tbl>
      <w:tblPr>
        <w:tblStyle w:val="16"/>
        <w:tblW w:w="1487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07"/>
        <w:gridCol w:w="782"/>
        <w:gridCol w:w="1218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blHeader/>
          <w:jc w:val="center"/>
        </w:trPr>
        <w:tc>
          <w:tcPr>
            <w:tcW w:w="703"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评分项目</w:t>
            </w:r>
          </w:p>
        </w:tc>
        <w:tc>
          <w:tcPr>
            <w:tcW w:w="1207"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评分内容</w:t>
            </w:r>
          </w:p>
        </w:tc>
        <w:tc>
          <w:tcPr>
            <w:tcW w:w="782"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分值</w:t>
            </w:r>
          </w:p>
        </w:tc>
        <w:tc>
          <w:tcPr>
            <w:tcW w:w="12183" w:type="dxa"/>
            <w:tcBorders>
              <w:top w:val="single" w:color="auto" w:sz="8" w:space="0"/>
            </w:tcBorders>
            <w:vAlign w:val="center"/>
          </w:tcPr>
          <w:p>
            <w:pPr>
              <w:snapToGrid w:val="0"/>
              <w:spacing w:before="109" w:beforeLines="35" w:after="109" w:afterLines="35"/>
              <w:jc w:val="center"/>
              <w:rPr>
                <w:rFonts w:ascii="宋体" w:hAnsi="宋体"/>
                <w:b/>
                <w:bCs/>
                <w:sz w:val="24"/>
                <w:szCs w:val="24"/>
              </w:rPr>
            </w:pPr>
            <w:r>
              <w:rPr>
                <w:rFonts w:hint="eastAsia" w:ascii="宋体" w:hAnsi="宋体"/>
                <w:b/>
                <w:bCs/>
                <w:sz w:val="24"/>
                <w:szCs w:val="24"/>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03" w:type="dxa"/>
            <w:vMerge w:val="restart"/>
            <w:vAlign w:val="center"/>
          </w:tcPr>
          <w:p>
            <w:pPr>
              <w:snapToGrid w:val="0"/>
              <w:spacing w:before="109" w:beforeLines="35" w:after="109" w:afterLines="35"/>
              <w:rPr>
                <w:rFonts w:ascii="宋体" w:hAnsi="宋体"/>
                <w:szCs w:val="21"/>
              </w:rPr>
            </w:pPr>
            <w:r>
              <w:rPr>
                <w:rFonts w:hint="eastAsia" w:ascii="宋体" w:hAnsi="宋体"/>
                <w:szCs w:val="21"/>
              </w:rPr>
              <w:t>一、项目管理机构能力（14分）</w:t>
            </w:r>
          </w:p>
          <w:p>
            <w:pPr>
              <w:pStyle w:val="32"/>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技术负责人</w:t>
            </w:r>
          </w:p>
        </w:tc>
        <w:tc>
          <w:tcPr>
            <w:tcW w:w="782" w:type="dxa"/>
            <w:vAlign w:val="center"/>
          </w:tcPr>
          <w:p>
            <w:pPr>
              <w:widowControl/>
              <w:snapToGrid w:val="0"/>
              <w:jc w:val="center"/>
              <w:rPr>
                <w:rFonts w:ascii="宋体" w:hAnsi="宋体" w:cs="宋体"/>
                <w:szCs w:val="21"/>
              </w:rPr>
            </w:pPr>
            <w:r>
              <w:rPr>
                <w:rFonts w:hint="eastAsia" w:ascii="宋体" w:hAnsi="宋体" w:cs="宋体"/>
                <w:szCs w:val="21"/>
              </w:rPr>
              <w:t>2</w:t>
            </w:r>
          </w:p>
        </w:tc>
        <w:tc>
          <w:tcPr>
            <w:tcW w:w="12183" w:type="dxa"/>
            <w:vAlign w:val="center"/>
          </w:tcPr>
          <w:p>
            <w:pPr>
              <w:pStyle w:val="15"/>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取得建筑工程相关专业高级（或以上）职称证满15年（不含15年）以上的，得2分；11-15年的，得1分；1-10年的，得0.5分；</w:t>
            </w:r>
          </w:p>
          <w:p>
            <w:pPr>
              <w:pStyle w:val="32"/>
              <w:tabs>
                <w:tab w:val="left" w:pos="312"/>
              </w:tabs>
              <w:spacing w:line="276" w:lineRule="auto"/>
              <w:rPr>
                <w:rFonts w:ascii="宋体" w:hAnsi="宋体"/>
                <w:szCs w:val="21"/>
              </w:rPr>
            </w:pPr>
            <w:r>
              <w:rPr>
                <w:rFonts w:hint="eastAsia" w:ascii="宋体" w:hAnsi="宋体"/>
                <w:szCs w:val="21"/>
              </w:rPr>
              <w:t>注：提供职称证书扫描件，未提供不计分。年限以职称证的“签发日期”或“发证日期”起计。</w:t>
            </w:r>
          </w:p>
          <w:p>
            <w:pPr>
              <w:pStyle w:val="32"/>
              <w:spacing w:line="260" w:lineRule="exact"/>
              <w:rPr>
                <w:rFonts w:ascii="宋体" w:hAnsi="宋体" w:cs="宋体"/>
                <w:kern w:val="0"/>
                <w:szCs w:val="21"/>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03" w:type="dxa"/>
            <w:vMerge w:val="continue"/>
            <w:vAlign w:val="center"/>
          </w:tcPr>
          <w:p>
            <w:pPr>
              <w:pStyle w:val="32"/>
            </w:pPr>
          </w:p>
        </w:tc>
        <w:tc>
          <w:tcPr>
            <w:tcW w:w="1207" w:type="dxa"/>
            <w:vAlign w:val="center"/>
          </w:tcPr>
          <w:p>
            <w:pPr>
              <w:snapToGrid w:val="0"/>
              <w:jc w:val="center"/>
              <w:rPr>
                <w:rFonts w:ascii="宋体" w:hAnsi="宋体" w:cs="宋体"/>
                <w:szCs w:val="21"/>
              </w:rPr>
            </w:pPr>
            <w:r>
              <w:rPr>
                <w:rFonts w:hint="eastAsia" w:ascii="宋体" w:hAnsi="宋体" w:cs="宋体"/>
                <w:szCs w:val="21"/>
              </w:rPr>
              <w:t>安全负责人</w:t>
            </w:r>
          </w:p>
        </w:tc>
        <w:tc>
          <w:tcPr>
            <w:tcW w:w="782" w:type="dxa"/>
            <w:vAlign w:val="center"/>
          </w:tcPr>
          <w:p>
            <w:pPr>
              <w:widowControl/>
              <w:snapToGrid w:val="0"/>
              <w:jc w:val="center"/>
              <w:rPr>
                <w:rFonts w:ascii="宋体" w:hAnsi="宋体" w:cs="宋体"/>
                <w:szCs w:val="21"/>
              </w:rPr>
            </w:pPr>
            <w:r>
              <w:rPr>
                <w:rFonts w:hint="eastAsia" w:ascii="宋体" w:hAnsi="宋体" w:cs="宋体"/>
                <w:szCs w:val="21"/>
              </w:rPr>
              <w:t>3</w:t>
            </w:r>
          </w:p>
        </w:tc>
        <w:tc>
          <w:tcPr>
            <w:tcW w:w="12183" w:type="dxa"/>
            <w:vAlign w:val="center"/>
          </w:tcPr>
          <w:p>
            <w:pPr>
              <w:pStyle w:val="15"/>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安全负责人（与专职安全员不为同一人）：</w:t>
            </w:r>
          </w:p>
          <w:p>
            <w:pPr>
              <w:pStyle w:val="15"/>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（1）</w:t>
            </w:r>
            <w:r>
              <w:rPr>
                <w:rFonts w:hint="eastAsia" w:cs="宋体"/>
                <w:kern w:val="2"/>
                <w:sz w:val="21"/>
                <w:szCs w:val="21"/>
              </w:rPr>
              <w:t>取得建筑施工安全专业的</w:t>
            </w:r>
            <w:r>
              <w:rPr>
                <w:rFonts w:hint="eastAsia" w:ascii="宋体" w:hAnsi="宋体" w:cs="宋体"/>
                <w:kern w:val="2"/>
                <w:sz w:val="21"/>
                <w:szCs w:val="21"/>
              </w:rPr>
              <w:t>注册安全工程师执业证书10年（不含10年）以上的，得</w:t>
            </w:r>
            <w:r>
              <w:rPr>
                <w:rFonts w:hint="eastAsia" w:cs="宋体"/>
                <w:kern w:val="2"/>
                <w:sz w:val="21"/>
                <w:szCs w:val="21"/>
              </w:rPr>
              <w:t>1.5</w:t>
            </w:r>
            <w:r>
              <w:rPr>
                <w:rFonts w:hint="eastAsia" w:ascii="宋体" w:hAnsi="宋体" w:cs="宋体"/>
                <w:kern w:val="2"/>
                <w:sz w:val="21"/>
                <w:szCs w:val="21"/>
              </w:rPr>
              <w:t>分；6-10年的，得</w:t>
            </w:r>
            <w:r>
              <w:rPr>
                <w:rFonts w:hint="eastAsia" w:cs="宋体"/>
                <w:kern w:val="2"/>
                <w:sz w:val="21"/>
                <w:szCs w:val="21"/>
              </w:rPr>
              <w:t>0.8</w:t>
            </w:r>
            <w:r>
              <w:rPr>
                <w:rFonts w:hint="eastAsia" w:ascii="宋体" w:hAnsi="宋体" w:cs="宋体"/>
                <w:kern w:val="2"/>
                <w:sz w:val="21"/>
                <w:szCs w:val="21"/>
              </w:rPr>
              <w:t>分；1-5年的，得0.</w:t>
            </w:r>
            <w:r>
              <w:rPr>
                <w:rFonts w:hint="eastAsia" w:cs="宋体"/>
                <w:kern w:val="2"/>
                <w:sz w:val="21"/>
                <w:szCs w:val="21"/>
              </w:rPr>
              <w:t>1</w:t>
            </w:r>
            <w:r>
              <w:rPr>
                <w:rFonts w:hint="eastAsia" w:ascii="宋体" w:hAnsi="宋体" w:cs="宋体"/>
                <w:kern w:val="2"/>
                <w:sz w:val="21"/>
                <w:szCs w:val="21"/>
              </w:rPr>
              <w:t>分；其余不得分。（以注册安全工程师执业证的“发证日期”起算）</w:t>
            </w:r>
          </w:p>
          <w:p>
            <w:pPr>
              <w:pStyle w:val="15"/>
              <w:widowControl/>
              <w:shd w:val="clear" w:color="auto" w:fill="FFFFFF"/>
              <w:spacing w:line="200" w:lineRule="atLeast"/>
              <w:rPr>
                <w:rFonts w:ascii="宋体" w:hAnsi="宋体" w:cs="宋体"/>
                <w:kern w:val="2"/>
                <w:sz w:val="21"/>
                <w:szCs w:val="21"/>
                <w:highlight w:val="none"/>
              </w:rPr>
            </w:pPr>
            <w:r>
              <w:rPr>
                <w:rFonts w:hint="eastAsia" w:ascii="宋体" w:hAnsi="宋体" w:cs="宋体"/>
                <w:kern w:val="2"/>
                <w:sz w:val="21"/>
                <w:szCs w:val="21"/>
                <w:highlight w:val="none"/>
              </w:rPr>
              <w:t>（2）</w:t>
            </w:r>
            <w:r>
              <w:rPr>
                <w:rFonts w:hint="eastAsia" w:ascii="宋体" w:hAnsi="宋体" w:cs="宋体"/>
                <w:color w:val="FF0000"/>
                <w:kern w:val="2"/>
                <w:sz w:val="21"/>
                <w:szCs w:val="21"/>
                <w:highlight w:val="none"/>
              </w:rPr>
              <w:t>具有在有效期内的安全生产考核合格证的，得0.5分</w:t>
            </w:r>
            <w:r>
              <w:rPr>
                <w:rFonts w:hint="eastAsia" w:ascii="宋体" w:hAnsi="宋体" w:cs="宋体"/>
                <w:kern w:val="2"/>
                <w:sz w:val="21"/>
                <w:szCs w:val="21"/>
                <w:highlight w:val="none"/>
              </w:rPr>
              <w:t>；</w:t>
            </w:r>
          </w:p>
          <w:p>
            <w:pPr>
              <w:pStyle w:val="15"/>
              <w:widowControl/>
              <w:shd w:val="clear" w:color="auto" w:fill="FFFFFF"/>
              <w:spacing w:line="200" w:lineRule="atLeast"/>
              <w:rPr>
                <w:rFonts w:ascii="宋体" w:hAnsi="宋体" w:cs="宋体"/>
                <w:kern w:val="2"/>
                <w:sz w:val="21"/>
                <w:szCs w:val="21"/>
              </w:rPr>
            </w:pPr>
            <w:r>
              <w:rPr>
                <w:rFonts w:hint="eastAsia" w:ascii="宋体" w:hAnsi="宋体" w:cs="宋体"/>
                <w:kern w:val="2"/>
                <w:sz w:val="21"/>
                <w:szCs w:val="21"/>
              </w:rPr>
              <w:t>（3）具有建筑工程相关专业高级或以上工程师职称的，得</w:t>
            </w:r>
            <w:r>
              <w:rPr>
                <w:rFonts w:hint="eastAsia" w:cs="宋体"/>
                <w:kern w:val="2"/>
                <w:sz w:val="21"/>
                <w:szCs w:val="21"/>
              </w:rPr>
              <w:t>1</w:t>
            </w:r>
            <w:r>
              <w:rPr>
                <w:rFonts w:hint="eastAsia" w:ascii="宋体" w:hAnsi="宋体" w:cs="宋体"/>
                <w:kern w:val="2"/>
                <w:sz w:val="21"/>
                <w:szCs w:val="21"/>
              </w:rPr>
              <w:t>分；具有建筑工程相关专业工程师职称的</w:t>
            </w:r>
            <w:r>
              <w:rPr>
                <w:rFonts w:hint="eastAsia" w:cs="宋体"/>
                <w:kern w:val="2"/>
                <w:sz w:val="21"/>
                <w:szCs w:val="21"/>
              </w:rPr>
              <w:t>，得0.5分，</w:t>
            </w:r>
            <w:r>
              <w:rPr>
                <w:rFonts w:hint="eastAsia" w:ascii="宋体" w:hAnsi="宋体" w:cs="宋体"/>
                <w:kern w:val="2"/>
                <w:sz w:val="21"/>
                <w:szCs w:val="21"/>
              </w:rPr>
              <w:t>其余不得分。</w:t>
            </w:r>
          </w:p>
          <w:p>
            <w:pPr>
              <w:pStyle w:val="15"/>
              <w:widowControl/>
              <w:shd w:val="clear" w:color="auto" w:fill="FFFFFF"/>
              <w:spacing w:line="200" w:lineRule="atLeast"/>
              <w:rPr>
                <w:rFonts w:ascii="宋体" w:hAnsi="宋体" w:cs="宋体"/>
                <w:szCs w:val="21"/>
              </w:rPr>
            </w:pPr>
            <w:r>
              <w:rPr>
                <w:rFonts w:hint="eastAsia" w:ascii="宋体" w:hAnsi="宋体" w:cs="宋体"/>
                <w:kern w:val="2"/>
                <w:sz w:val="21"/>
                <w:szCs w:val="21"/>
              </w:rPr>
              <w:t>注：须提供注册安全工程师注册证书扫描件及注册安全工程师查询网站（https://rmocse.chinasafety.ac.cn/）查询结果网上截图、</w:t>
            </w:r>
            <w:r>
              <w:rPr>
                <w:rFonts w:hint="eastAsia" w:ascii="宋体" w:hAnsi="宋体" w:cs="宋体"/>
                <w:color w:val="FF0000"/>
                <w:kern w:val="2"/>
                <w:sz w:val="21"/>
                <w:szCs w:val="21"/>
              </w:rPr>
              <w:t>安全生产考核合格证须提供在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扫描件</w:t>
            </w:r>
            <w:r>
              <w:rPr>
                <w:rFonts w:hint="eastAsia" w:ascii="宋体" w:hAnsi="宋体" w:cs="宋体"/>
                <w:kern w:val="2"/>
                <w:sz w:val="21"/>
                <w:szCs w:val="21"/>
              </w:rPr>
              <w:t>。未按要求提供相关资料的人员，该人员不作为评分依据。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质量负责人</w:t>
            </w:r>
          </w:p>
        </w:tc>
        <w:tc>
          <w:tcPr>
            <w:tcW w:w="782" w:type="dxa"/>
            <w:vAlign w:val="center"/>
          </w:tcPr>
          <w:p>
            <w:pPr>
              <w:widowControl/>
              <w:snapToGrid w:val="0"/>
              <w:jc w:val="center"/>
              <w:rPr>
                <w:rFonts w:ascii="宋体" w:hAnsi="宋体" w:cs="宋体"/>
                <w:szCs w:val="21"/>
              </w:rPr>
            </w:pPr>
            <w:r>
              <w:rPr>
                <w:rFonts w:hint="eastAsia" w:ascii="宋体" w:hAnsi="宋体" w:cs="宋体"/>
                <w:szCs w:val="21"/>
              </w:rPr>
              <w:t>2</w:t>
            </w:r>
          </w:p>
        </w:tc>
        <w:tc>
          <w:tcPr>
            <w:tcW w:w="12183" w:type="dxa"/>
            <w:vAlign w:val="center"/>
          </w:tcPr>
          <w:p>
            <w:pPr>
              <w:pStyle w:val="32"/>
              <w:spacing w:line="260" w:lineRule="exact"/>
            </w:pPr>
            <w:r>
              <w:rPr>
                <w:rFonts w:hint="eastAsia" w:ascii="宋体" w:hAnsi="宋体" w:eastAsia="宋体" w:cs="宋体"/>
                <w:szCs w:val="21"/>
              </w:rPr>
              <w:t>取得建筑工程相关专业高级职称证的，得</w:t>
            </w:r>
            <w:r>
              <w:rPr>
                <w:rFonts w:hint="eastAsia" w:ascii="宋体" w:hAnsi="宋体" w:cs="宋体"/>
                <w:szCs w:val="21"/>
              </w:rPr>
              <w:t>2</w:t>
            </w:r>
            <w:r>
              <w:rPr>
                <w:rFonts w:hint="eastAsia" w:ascii="宋体" w:hAnsi="宋体" w:eastAsia="宋体" w:cs="宋体"/>
                <w:szCs w:val="21"/>
              </w:rPr>
              <w:t>分；取得建筑工程相关专业中级职称的，得</w:t>
            </w:r>
            <w:r>
              <w:rPr>
                <w:rFonts w:hint="eastAsia" w:ascii="宋体" w:hAnsi="宋体" w:cs="宋体"/>
                <w:szCs w:val="21"/>
              </w:rPr>
              <w:t>1</w:t>
            </w:r>
            <w:r>
              <w:rPr>
                <w:rFonts w:hint="eastAsia" w:ascii="宋体" w:hAnsi="宋体" w:eastAsia="宋体" w:cs="宋体"/>
                <w:szCs w:val="21"/>
              </w:rPr>
              <w:t>分。</w:t>
            </w:r>
          </w:p>
          <w:p>
            <w:pPr>
              <w:pStyle w:val="32"/>
              <w:spacing w:line="260" w:lineRule="exact"/>
              <w:rPr>
                <w:rFonts w:ascii="宋体" w:hAnsi="宋体" w:cs="宋体"/>
                <w:szCs w:val="21"/>
              </w:rPr>
            </w:pPr>
            <w:r>
              <w:rPr>
                <w:rFonts w:hint="eastAsia" w:ascii="宋体" w:hAnsi="宋体" w:cs="宋体"/>
                <w:szCs w:val="21"/>
              </w:rPr>
              <w:t>注：提供职称证。</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造价负责人</w:t>
            </w:r>
          </w:p>
        </w:tc>
        <w:tc>
          <w:tcPr>
            <w:tcW w:w="782" w:type="dxa"/>
            <w:vAlign w:val="center"/>
          </w:tcPr>
          <w:p>
            <w:pPr>
              <w:widowControl/>
              <w:snapToGrid w:val="0"/>
              <w:jc w:val="center"/>
              <w:rPr>
                <w:rFonts w:ascii="宋体" w:hAnsi="宋体" w:cs="宋体"/>
                <w:color w:val="000000"/>
                <w:szCs w:val="21"/>
              </w:rPr>
            </w:pPr>
            <w:r>
              <w:rPr>
                <w:rFonts w:hint="eastAsia" w:ascii="宋体" w:hAnsi="宋体" w:cs="宋体"/>
                <w:color w:val="000000"/>
                <w:szCs w:val="21"/>
              </w:rPr>
              <w:t>4</w:t>
            </w:r>
          </w:p>
        </w:tc>
        <w:tc>
          <w:tcPr>
            <w:tcW w:w="12183" w:type="dxa"/>
            <w:vAlign w:val="center"/>
          </w:tcPr>
          <w:p>
            <w:pPr>
              <w:pStyle w:val="32"/>
              <w:tabs>
                <w:tab w:val="left" w:pos="312"/>
              </w:tabs>
              <w:spacing w:line="276" w:lineRule="auto"/>
              <w:rPr>
                <w:rFonts w:ascii="宋体" w:hAnsi="宋体" w:eastAsia="宋体" w:cs="宋体"/>
                <w:szCs w:val="21"/>
              </w:rPr>
            </w:pPr>
            <w:r>
              <w:rPr>
                <w:rFonts w:hint="eastAsia" w:ascii="宋体" w:hAnsi="宋体" w:cs="宋体"/>
                <w:szCs w:val="21"/>
              </w:rPr>
              <w:t>1.取得一级注册造价师注册证满15年（不含15年）以上的，得2分；15-10年的，得1分；10年（不含10年）以下的，得0.5分；（以一级注册造价师注册证书“初始注册日期”计）</w:t>
            </w:r>
          </w:p>
          <w:p>
            <w:pPr>
              <w:pStyle w:val="32"/>
              <w:tabs>
                <w:tab w:val="left" w:pos="312"/>
              </w:tabs>
              <w:spacing w:line="276" w:lineRule="auto"/>
              <w:rPr>
                <w:rFonts w:ascii="宋体" w:hAnsi="宋体" w:eastAsia="宋体" w:cs="宋体"/>
                <w:szCs w:val="21"/>
              </w:rPr>
            </w:pPr>
            <w:r>
              <w:rPr>
                <w:rFonts w:hint="eastAsia" w:ascii="宋体" w:hAnsi="宋体" w:cs="宋体"/>
                <w:szCs w:val="21"/>
              </w:rPr>
              <w:t>2.取得工程类</w:t>
            </w:r>
            <w:r>
              <w:rPr>
                <w:rFonts w:hint="eastAsia" w:ascii="宋体" w:hAnsi="宋体" w:cs="宋体"/>
                <w:szCs w:val="21"/>
                <w:lang w:eastAsia="zh-CN"/>
              </w:rPr>
              <w:t>（</w:t>
            </w:r>
            <w:r>
              <w:rPr>
                <w:rFonts w:hint="eastAsia" w:ascii="宋体" w:hAnsi="宋体" w:cs="宋体"/>
                <w:color w:val="FF0000"/>
                <w:szCs w:val="21"/>
                <w:lang w:val="en-US" w:eastAsia="zh-CN"/>
              </w:rPr>
              <w:t>含工程造价类职称</w:t>
            </w:r>
            <w:r>
              <w:rPr>
                <w:rFonts w:hint="eastAsia" w:ascii="宋体" w:hAnsi="宋体" w:cs="宋体"/>
                <w:szCs w:val="21"/>
                <w:lang w:eastAsia="zh-CN"/>
              </w:rPr>
              <w:t>）</w:t>
            </w:r>
            <w:r>
              <w:rPr>
                <w:rFonts w:hint="eastAsia" w:ascii="宋体" w:hAnsi="宋体" w:cs="宋体"/>
                <w:szCs w:val="21"/>
              </w:rPr>
              <w:t>高级（或以上）职称证满15</w:t>
            </w:r>
            <w:r>
              <w:rPr>
                <w:rFonts w:hint="eastAsia" w:ascii="宋体" w:hAnsi="宋体"/>
                <w:szCs w:val="21"/>
              </w:rPr>
              <w:t>年（不含15年）以上的，得2分；</w:t>
            </w:r>
            <w:r>
              <w:rPr>
                <w:rFonts w:hint="eastAsia" w:ascii="宋体" w:hAnsi="宋体" w:cs="宋体"/>
                <w:szCs w:val="21"/>
              </w:rPr>
              <w:t>10-15年的，得1分；10年（不含10年）以下的，得0.5分；</w:t>
            </w:r>
            <w:r>
              <w:rPr>
                <w:rFonts w:ascii="宋体" w:hAnsi="宋体" w:cs="宋体"/>
                <w:szCs w:val="21"/>
              </w:rPr>
              <w:t>具有</w:t>
            </w:r>
            <w:r>
              <w:rPr>
                <w:rFonts w:hint="eastAsia" w:ascii="宋体" w:hAnsi="宋体" w:cs="宋体"/>
                <w:szCs w:val="21"/>
              </w:rPr>
              <w:t>工程类</w:t>
            </w:r>
            <w:r>
              <w:rPr>
                <w:rFonts w:hint="eastAsia" w:ascii="宋体" w:hAnsi="宋体" w:cs="宋体"/>
                <w:szCs w:val="21"/>
                <w:lang w:eastAsia="zh-CN"/>
              </w:rPr>
              <w:t>（</w:t>
            </w:r>
            <w:r>
              <w:rPr>
                <w:rFonts w:hint="eastAsia" w:ascii="宋体" w:hAnsi="宋体" w:cs="宋体"/>
                <w:color w:val="FF0000"/>
                <w:szCs w:val="21"/>
                <w:lang w:val="en-US" w:eastAsia="zh-CN"/>
              </w:rPr>
              <w:t>含工程造价类职称</w:t>
            </w:r>
            <w:r>
              <w:rPr>
                <w:rFonts w:hint="eastAsia" w:ascii="宋体" w:hAnsi="宋体" w:cs="宋体"/>
                <w:szCs w:val="21"/>
                <w:lang w:eastAsia="zh-CN"/>
              </w:rPr>
              <w:t>）</w:t>
            </w:r>
            <w:r>
              <w:rPr>
                <w:rFonts w:ascii="宋体" w:hAnsi="宋体" w:cs="宋体"/>
                <w:szCs w:val="21"/>
              </w:rPr>
              <w:t>中级职称证的</w:t>
            </w:r>
            <w:r>
              <w:rPr>
                <w:rFonts w:hint="eastAsia" w:ascii="宋体" w:hAnsi="宋体" w:cs="宋体"/>
                <w:szCs w:val="21"/>
              </w:rPr>
              <w:t>的，得0.2分。（以职称证的发证日期或签发日期开始计）</w:t>
            </w:r>
          </w:p>
          <w:p>
            <w:pPr>
              <w:pStyle w:val="32"/>
              <w:tabs>
                <w:tab w:val="left" w:pos="312"/>
              </w:tabs>
              <w:spacing w:line="276" w:lineRule="auto"/>
              <w:rPr>
                <w:rFonts w:ascii="宋体" w:hAnsi="宋体"/>
                <w:szCs w:val="21"/>
              </w:rPr>
            </w:pPr>
            <w:r>
              <w:rPr>
                <w:rFonts w:hint="eastAsia" w:ascii="宋体" w:hAnsi="宋体" w:cs="宋体"/>
                <w:szCs w:val="21"/>
              </w:rPr>
              <w:t>注：1、提供职称证和一级注册造价师注册证扫描件，</w:t>
            </w:r>
            <w:r>
              <w:rPr>
                <w:rFonts w:hint="eastAsia" w:ascii="宋体" w:hAnsi="宋体"/>
                <w:szCs w:val="21"/>
              </w:rPr>
              <w:t>未提供不计分。</w:t>
            </w:r>
          </w:p>
          <w:p>
            <w:pPr>
              <w:pStyle w:val="32"/>
              <w:tabs>
                <w:tab w:val="left" w:pos="312"/>
              </w:tabs>
              <w:spacing w:line="276" w:lineRule="auto"/>
              <w:rPr>
                <w:rFonts w:ascii="宋体" w:hAnsi="宋体"/>
                <w:szCs w:val="21"/>
              </w:rPr>
            </w:pPr>
            <w:r>
              <w:rPr>
                <w:rFonts w:hint="eastAsia" w:ascii="宋体" w:hAnsi="宋体" w:cs="宋体"/>
                <w:bCs/>
                <w:szCs w:val="21"/>
                <w:u w:val="single"/>
                <w:lang w:bidi="ar"/>
              </w:rPr>
              <w:t>2、注册造价工程师：一级注册造价工程师的还须提供注册造价工程师注册信息查询网站（http://zaojiasys.jianshe99.com/cecaopsys/queryAndSearch/view.do?op=queryUserInfoInit）查询结果网上截图，且执业状态栏显示“正常”的才计分，不提供不计分。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jc w:val="center"/>
              <w:rPr>
                <w:rFonts w:ascii="宋体" w:hAnsi="宋体" w:cs="宋体"/>
                <w:szCs w:val="21"/>
              </w:rPr>
            </w:pPr>
            <w:r>
              <w:rPr>
                <w:rFonts w:hint="eastAsia" w:ascii="宋体" w:hAnsi="宋体" w:cs="宋体"/>
                <w:szCs w:val="21"/>
              </w:rPr>
              <w:t>其他管理人员</w:t>
            </w:r>
          </w:p>
        </w:tc>
        <w:tc>
          <w:tcPr>
            <w:tcW w:w="782" w:type="dxa"/>
            <w:vAlign w:val="center"/>
          </w:tcPr>
          <w:p>
            <w:pPr>
              <w:widowControl/>
              <w:snapToGrid w:val="0"/>
              <w:jc w:val="center"/>
              <w:rPr>
                <w:rFonts w:ascii="宋体" w:hAnsi="宋体" w:cs="宋体"/>
                <w:color w:val="000000"/>
                <w:szCs w:val="21"/>
              </w:rPr>
            </w:pPr>
            <w:r>
              <w:rPr>
                <w:rFonts w:hint="eastAsia" w:ascii="宋体" w:hAnsi="宋体" w:cs="宋体"/>
                <w:color w:val="000000"/>
                <w:szCs w:val="21"/>
              </w:rPr>
              <w:t>3</w:t>
            </w:r>
          </w:p>
        </w:tc>
        <w:tc>
          <w:tcPr>
            <w:tcW w:w="12183" w:type="dxa"/>
            <w:vAlign w:val="center"/>
          </w:tcPr>
          <w:p>
            <w:pPr>
              <w:snapToGrid w:val="0"/>
              <w:spacing w:line="276" w:lineRule="auto"/>
              <w:rPr>
                <w:rFonts w:ascii="宋体" w:hAnsi="宋体"/>
                <w:szCs w:val="21"/>
              </w:rPr>
            </w:pPr>
            <w:r>
              <w:rPr>
                <w:rFonts w:hint="eastAsia" w:ascii="宋体" w:hAnsi="宋体"/>
                <w:szCs w:val="21"/>
              </w:rPr>
              <w:t>除项目负责人、技术负责人、安全负责人、造价负责人、质量负责人外，拟投入本项目的人员配置完善合理，其中包含如下人员：</w:t>
            </w:r>
          </w:p>
          <w:p>
            <w:pPr>
              <w:spacing w:after="120" w:line="276" w:lineRule="auto"/>
              <w:rPr>
                <w:rFonts w:ascii="宋体" w:hAnsi="宋体"/>
                <w:szCs w:val="21"/>
              </w:rPr>
            </w:pPr>
            <w:r>
              <w:rPr>
                <w:rFonts w:hint="eastAsia" w:ascii="宋体" w:hAnsi="宋体"/>
                <w:szCs w:val="21"/>
              </w:rPr>
              <w:t>具有建筑装饰施工</w:t>
            </w:r>
            <w:r>
              <w:rPr>
                <w:rFonts w:hint="eastAsia" w:ascii="宋体" w:hAnsi="宋体"/>
                <w:color w:val="FF0000"/>
                <w:szCs w:val="21"/>
                <w:lang w:val="en-US" w:eastAsia="zh-CN"/>
              </w:rPr>
              <w:t>类</w:t>
            </w:r>
            <w:r>
              <w:rPr>
                <w:rFonts w:hint="eastAsia" w:ascii="宋体" w:hAnsi="宋体"/>
                <w:szCs w:val="21"/>
              </w:rPr>
              <w:t>中级或以上工程师1人、给水排水施工</w:t>
            </w:r>
            <w:r>
              <w:rPr>
                <w:rFonts w:hint="eastAsia" w:ascii="宋体" w:hAnsi="宋体"/>
                <w:color w:val="FF0000"/>
                <w:szCs w:val="21"/>
                <w:lang w:val="en-US" w:eastAsia="zh-CN"/>
              </w:rPr>
              <w:t>类</w:t>
            </w:r>
            <w:r>
              <w:rPr>
                <w:rFonts w:hint="eastAsia" w:ascii="宋体" w:hAnsi="宋体"/>
                <w:szCs w:val="21"/>
              </w:rPr>
              <w:t>中级或以上工程师1人、工程造价</w:t>
            </w:r>
            <w:r>
              <w:rPr>
                <w:rFonts w:hint="eastAsia" w:ascii="宋体" w:hAnsi="宋体"/>
                <w:color w:val="FF0000"/>
                <w:szCs w:val="21"/>
                <w:lang w:val="en-US" w:eastAsia="zh-CN"/>
              </w:rPr>
              <w:t>类</w:t>
            </w:r>
            <w:r>
              <w:rPr>
                <w:rFonts w:hint="eastAsia" w:ascii="宋体" w:hAnsi="宋体"/>
                <w:szCs w:val="21"/>
              </w:rPr>
              <w:t>中级或以上工程师1人、建筑机电设备安装</w:t>
            </w:r>
            <w:r>
              <w:rPr>
                <w:rFonts w:hint="eastAsia" w:ascii="宋体" w:hAnsi="宋体"/>
                <w:color w:val="FF0000"/>
                <w:szCs w:val="21"/>
                <w:lang w:val="en-US" w:eastAsia="zh-CN"/>
              </w:rPr>
              <w:t>类</w:t>
            </w:r>
            <w:r>
              <w:rPr>
                <w:rFonts w:hint="eastAsia" w:ascii="宋体" w:hAnsi="宋体"/>
                <w:szCs w:val="21"/>
              </w:rPr>
              <w:t>中级或以上工程师1人。全部满足的得3分，每少一人(在3分的基础上)扣1分，最低扣至0分。</w:t>
            </w:r>
          </w:p>
          <w:p>
            <w:pPr>
              <w:spacing w:after="120" w:line="276" w:lineRule="auto"/>
              <w:rPr>
                <w:rFonts w:ascii="宋体" w:hAnsi="宋体" w:cs="宋体"/>
                <w:color w:val="FF0000"/>
                <w:kern w:val="0"/>
                <w:szCs w:val="21"/>
              </w:rPr>
            </w:pPr>
            <w:r>
              <w:rPr>
                <w:rFonts w:hint="eastAsia" w:ascii="宋体" w:hAnsi="宋体"/>
                <w:szCs w:val="21"/>
              </w:rPr>
              <w:t>注：提供职称证扫描件，未提供不计分。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4172" w:type="dxa"/>
            <w:gridSpan w:val="3"/>
            <w:vAlign w:val="center"/>
          </w:tcPr>
          <w:p>
            <w:pPr>
              <w:jc w:val="left"/>
              <w:rPr>
                <w:rFonts w:ascii="宋体" w:hAnsi="宋体" w:cs="宋体"/>
                <w:b/>
                <w:bCs/>
                <w:szCs w:val="21"/>
              </w:rPr>
            </w:pPr>
            <w:r>
              <w:rPr>
                <w:rFonts w:hint="eastAsia" w:ascii="宋体" w:hAnsi="宋体" w:cs="宋体"/>
                <w:b/>
                <w:bCs/>
                <w:szCs w:val="21"/>
              </w:rPr>
              <w:t>注：（1）拟投入的项目管理机构人员必须为投标人单位正式员工，需提供有效的职称证书扫描件并加盖投标人电子印章、同时需提供</w:t>
            </w:r>
            <w:r>
              <w:rPr>
                <w:rFonts w:hint="eastAsia" w:ascii="宋体" w:hAnsi="宋体" w:cs="宋体"/>
                <w:b/>
                <w:bCs/>
                <w:color w:val="FF0000"/>
                <w:szCs w:val="21"/>
              </w:rPr>
              <w:t>2023年</w:t>
            </w:r>
            <w:r>
              <w:rPr>
                <w:rFonts w:hint="eastAsia" w:ascii="宋体" w:hAnsi="宋体" w:cs="宋体"/>
                <w:b/>
                <w:bCs/>
                <w:color w:val="FF0000"/>
                <w:szCs w:val="21"/>
                <w:lang w:val="en-US" w:eastAsia="zh-CN"/>
              </w:rPr>
              <w:t>5</w:t>
            </w:r>
            <w:r>
              <w:rPr>
                <w:rFonts w:hint="eastAsia" w:ascii="宋体" w:hAnsi="宋体" w:cs="宋体"/>
                <w:b/>
                <w:bCs/>
                <w:color w:val="FF0000"/>
                <w:szCs w:val="21"/>
              </w:rPr>
              <w:t>月</w:t>
            </w:r>
            <w:r>
              <w:rPr>
                <w:rFonts w:hint="eastAsia" w:ascii="宋体" w:hAnsi="宋体" w:cs="宋体"/>
                <w:b/>
                <w:bCs/>
                <w:szCs w:val="21"/>
              </w:rPr>
              <w:t>的有效社保证明扫描件并加盖投标人电子印章。（未提供或提供不完整的人员，不予计算该人员得分）。本项目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jc w:val="left"/>
              <w:rPr>
                <w:rFonts w:ascii="宋体" w:hAnsi="宋体" w:cs="宋体"/>
                <w:szCs w:val="21"/>
              </w:rPr>
            </w:pPr>
            <w:r>
              <w:rPr>
                <w:rFonts w:hint="eastAsia" w:ascii="宋体" w:hAnsi="宋体" w:cs="宋体"/>
                <w:b/>
                <w:bCs/>
                <w:color w:val="FF0000"/>
                <w:szCs w:val="21"/>
              </w:rPr>
              <w:t>（2）上述人员岗位不能相互兼任，安全负责人与专职安全员不能由同一人兼任。</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3" w:type="dxa"/>
            <w:vMerge w:val="restart"/>
            <w:vAlign w:val="center"/>
          </w:tcPr>
          <w:p>
            <w:pPr>
              <w:snapToGrid w:val="0"/>
              <w:spacing w:before="109" w:beforeLines="35" w:after="109" w:afterLines="35"/>
              <w:rPr>
                <w:rFonts w:ascii="宋体" w:hAnsi="宋体"/>
                <w:szCs w:val="21"/>
              </w:rPr>
            </w:pPr>
          </w:p>
          <w:p>
            <w:pPr>
              <w:snapToGrid w:val="0"/>
              <w:spacing w:before="109" w:beforeLines="35" w:after="109" w:afterLines="35"/>
              <w:rPr>
                <w:rFonts w:ascii="宋体" w:hAnsi="宋体"/>
                <w:szCs w:val="21"/>
              </w:rPr>
            </w:pPr>
          </w:p>
          <w:p>
            <w:pPr>
              <w:snapToGrid w:val="0"/>
              <w:spacing w:before="109" w:beforeLines="35" w:after="109" w:afterLines="35"/>
              <w:rPr>
                <w:rFonts w:ascii="宋体" w:hAnsi="宋体"/>
                <w:szCs w:val="21"/>
              </w:rPr>
            </w:pPr>
          </w:p>
          <w:p>
            <w:pPr>
              <w:snapToGrid w:val="0"/>
              <w:spacing w:before="109" w:beforeLines="35" w:after="109" w:afterLines="35"/>
              <w:rPr>
                <w:rFonts w:ascii="宋体" w:hAnsi="宋体"/>
                <w:szCs w:val="21"/>
              </w:rPr>
            </w:pPr>
            <w:r>
              <w:rPr>
                <w:rFonts w:hint="eastAsia" w:ascii="宋体" w:hAnsi="宋体"/>
                <w:szCs w:val="21"/>
              </w:rPr>
              <w:t>二、企业资信（6分）</w:t>
            </w: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企业业绩</w:t>
            </w:r>
          </w:p>
        </w:tc>
        <w:tc>
          <w:tcPr>
            <w:tcW w:w="782" w:type="dxa"/>
            <w:vAlign w:val="center"/>
          </w:tcPr>
          <w:p>
            <w:pPr>
              <w:snapToGrid w:val="0"/>
              <w:spacing w:before="109" w:beforeLines="35" w:after="109" w:afterLines="35"/>
              <w:jc w:val="center"/>
              <w:rPr>
                <w:rFonts w:ascii="宋体" w:hAnsi="宋体"/>
                <w:color w:val="FF0000"/>
                <w:szCs w:val="21"/>
              </w:rPr>
            </w:pPr>
            <w:r>
              <w:rPr>
                <w:rFonts w:hint="eastAsia" w:ascii="宋体" w:hAnsi="宋体"/>
                <w:color w:val="000000"/>
                <w:szCs w:val="21"/>
              </w:rPr>
              <w:t>0.8</w:t>
            </w:r>
          </w:p>
        </w:tc>
        <w:tc>
          <w:tcPr>
            <w:tcW w:w="12183" w:type="dxa"/>
            <w:vAlign w:val="center"/>
          </w:tcPr>
          <w:p>
            <w:pPr>
              <w:pStyle w:val="15"/>
              <w:widowControl/>
              <w:shd w:val="clear" w:color="auto" w:fill="FFFFFF"/>
              <w:spacing w:line="200" w:lineRule="atLeast"/>
              <w:rPr>
                <w:rFonts w:ascii="宋体" w:hAnsi="宋体"/>
                <w:kern w:val="2"/>
                <w:sz w:val="21"/>
                <w:szCs w:val="21"/>
              </w:rPr>
            </w:pPr>
            <w:r>
              <w:rPr>
                <w:rFonts w:hint="eastAsia" w:ascii="宋体" w:hAnsi="宋体"/>
                <w:kern w:val="2"/>
                <w:sz w:val="21"/>
                <w:szCs w:val="21"/>
              </w:rPr>
              <w:t>投标人2020年1月1日至投标截止时间止，完成过质量合格且金额大于或等于400万元的建筑工程施工总承包业绩的，10项（不含10项）以</w:t>
            </w:r>
            <w:bookmarkStart w:id="12" w:name="_GoBack"/>
            <w:bookmarkEnd w:id="12"/>
            <w:r>
              <w:rPr>
                <w:rFonts w:hint="eastAsia" w:ascii="宋体" w:hAnsi="宋体"/>
                <w:kern w:val="2"/>
                <w:sz w:val="21"/>
                <w:szCs w:val="21"/>
              </w:rPr>
              <w:t>上的，得</w:t>
            </w:r>
            <w:r>
              <w:rPr>
                <w:rFonts w:hint="eastAsia"/>
                <w:kern w:val="2"/>
                <w:sz w:val="21"/>
                <w:szCs w:val="21"/>
              </w:rPr>
              <w:t>0.8</w:t>
            </w:r>
            <w:r>
              <w:rPr>
                <w:rFonts w:hint="eastAsia" w:ascii="宋体" w:hAnsi="宋体"/>
                <w:kern w:val="2"/>
                <w:sz w:val="21"/>
                <w:szCs w:val="21"/>
              </w:rPr>
              <w:t>分；</w:t>
            </w:r>
            <w:r>
              <w:rPr>
                <w:rFonts w:hint="eastAsia"/>
                <w:kern w:val="2"/>
                <w:sz w:val="21"/>
                <w:szCs w:val="21"/>
              </w:rPr>
              <w:t>6</w:t>
            </w:r>
            <w:r>
              <w:rPr>
                <w:rFonts w:hint="eastAsia" w:ascii="宋体" w:hAnsi="宋体"/>
                <w:kern w:val="2"/>
                <w:sz w:val="21"/>
                <w:szCs w:val="21"/>
              </w:rPr>
              <w:t>-10项的，得0.</w:t>
            </w:r>
            <w:r>
              <w:rPr>
                <w:rFonts w:hint="eastAsia"/>
                <w:kern w:val="2"/>
                <w:sz w:val="21"/>
                <w:szCs w:val="21"/>
              </w:rPr>
              <w:t>5</w:t>
            </w:r>
            <w:r>
              <w:rPr>
                <w:rFonts w:hint="eastAsia" w:ascii="宋体" w:hAnsi="宋体"/>
                <w:kern w:val="2"/>
                <w:sz w:val="21"/>
                <w:szCs w:val="21"/>
              </w:rPr>
              <w:t>分；</w:t>
            </w:r>
            <w:r>
              <w:rPr>
                <w:rFonts w:hint="eastAsia"/>
                <w:color w:val="auto"/>
                <w:kern w:val="2"/>
                <w:sz w:val="21"/>
                <w:szCs w:val="21"/>
              </w:rPr>
              <w:t>1</w:t>
            </w:r>
            <w:r>
              <w:rPr>
                <w:rFonts w:hint="eastAsia" w:ascii="宋体" w:hAnsi="宋体"/>
                <w:color w:val="auto"/>
                <w:kern w:val="2"/>
                <w:sz w:val="21"/>
                <w:szCs w:val="21"/>
              </w:rPr>
              <w:t>-</w:t>
            </w:r>
            <w:r>
              <w:rPr>
                <w:rFonts w:hint="eastAsia" w:ascii="宋体" w:hAnsi="宋体"/>
                <w:color w:val="auto"/>
                <w:kern w:val="2"/>
                <w:sz w:val="21"/>
                <w:szCs w:val="21"/>
                <w:lang w:val="en-US" w:eastAsia="zh-CN"/>
              </w:rPr>
              <w:t>5</w:t>
            </w:r>
            <w:r>
              <w:rPr>
                <w:rFonts w:hint="eastAsia" w:ascii="宋体" w:hAnsi="宋体"/>
                <w:color w:val="auto"/>
                <w:kern w:val="2"/>
                <w:sz w:val="21"/>
                <w:szCs w:val="21"/>
              </w:rPr>
              <w:t>项的，得0.</w:t>
            </w:r>
            <w:r>
              <w:rPr>
                <w:rFonts w:hint="eastAsia"/>
                <w:color w:val="auto"/>
                <w:kern w:val="2"/>
                <w:sz w:val="21"/>
                <w:szCs w:val="21"/>
              </w:rPr>
              <w:t>1</w:t>
            </w:r>
            <w:r>
              <w:rPr>
                <w:rFonts w:hint="eastAsia" w:ascii="宋体" w:hAnsi="宋体"/>
                <w:color w:val="auto"/>
                <w:kern w:val="2"/>
                <w:sz w:val="21"/>
                <w:szCs w:val="21"/>
              </w:rPr>
              <w:t>分。本项最高得</w:t>
            </w:r>
            <w:r>
              <w:rPr>
                <w:rFonts w:hint="eastAsia" w:ascii="宋体" w:hAnsi="宋体"/>
                <w:b/>
                <w:bCs/>
                <w:color w:val="auto"/>
                <w:kern w:val="2"/>
                <w:sz w:val="21"/>
                <w:szCs w:val="21"/>
                <w:lang w:val="en-US" w:eastAsia="zh-CN"/>
              </w:rPr>
              <w:t>0.8</w:t>
            </w:r>
            <w:r>
              <w:rPr>
                <w:rFonts w:hint="eastAsia" w:ascii="宋体" w:hAnsi="宋体"/>
                <w:color w:val="auto"/>
                <w:kern w:val="2"/>
                <w:sz w:val="21"/>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工程奖项</w:t>
            </w:r>
          </w:p>
        </w:tc>
        <w:tc>
          <w:tcPr>
            <w:tcW w:w="782" w:type="dxa"/>
            <w:vAlign w:val="center"/>
          </w:tcPr>
          <w:p>
            <w:pPr>
              <w:snapToGrid w:val="0"/>
              <w:spacing w:line="260" w:lineRule="exact"/>
              <w:jc w:val="center"/>
              <w:rPr>
                <w:rFonts w:ascii="宋体" w:hAnsi="宋体"/>
                <w:color w:val="000000"/>
                <w:szCs w:val="21"/>
              </w:rPr>
            </w:pPr>
            <w:r>
              <w:rPr>
                <w:rFonts w:hint="eastAsia" w:ascii="宋体" w:hAnsi="宋体"/>
                <w:color w:val="000000"/>
                <w:szCs w:val="21"/>
              </w:rPr>
              <w:t>1.2</w:t>
            </w:r>
          </w:p>
        </w:tc>
        <w:tc>
          <w:tcPr>
            <w:tcW w:w="12183" w:type="dxa"/>
            <w:vAlign w:val="center"/>
          </w:tcPr>
          <w:p>
            <w:pPr>
              <w:spacing w:after="120" w:line="276" w:lineRule="auto"/>
              <w:rPr>
                <w:rFonts w:ascii="宋体" w:hAnsi="宋体"/>
                <w:szCs w:val="21"/>
              </w:rPr>
            </w:pPr>
            <w:r>
              <w:rPr>
                <w:rFonts w:hint="eastAsia" w:ascii="宋体" w:hAnsi="宋体"/>
                <w:szCs w:val="21"/>
              </w:rPr>
              <w:t>投标人自2020年1月1日至投标截止日，完成过的建筑工程施工总承包项目：获得市级或以上质量奖项的，15项（不含15项）以上的，得1.2分；11-15项的，得0.6分；1-10项的，得0.3分。本项最高得1.2分。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工程研发能力</w:t>
            </w:r>
          </w:p>
        </w:tc>
        <w:tc>
          <w:tcPr>
            <w:tcW w:w="782" w:type="dxa"/>
            <w:vAlign w:val="center"/>
          </w:tcPr>
          <w:p>
            <w:pPr>
              <w:snapToGrid w:val="0"/>
              <w:spacing w:before="109" w:beforeLines="35" w:after="109" w:afterLines="35"/>
              <w:jc w:val="center"/>
              <w:rPr>
                <w:rFonts w:ascii="宋体" w:hAnsi="宋体"/>
                <w:szCs w:val="21"/>
              </w:rPr>
            </w:pPr>
            <w:r>
              <w:rPr>
                <w:rFonts w:hint="eastAsia" w:ascii="宋体" w:hAnsi="宋体"/>
                <w:szCs w:val="21"/>
              </w:rPr>
              <w:t>1.8</w:t>
            </w:r>
          </w:p>
        </w:tc>
        <w:tc>
          <w:tcPr>
            <w:tcW w:w="12183" w:type="dxa"/>
            <w:vAlign w:val="center"/>
          </w:tcPr>
          <w:p>
            <w:pPr>
              <w:spacing w:after="120" w:line="276" w:lineRule="auto"/>
              <w:rPr>
                <w:rFonts w:ascii="宋体" w:hAnsi="宋体"/>
                <w:szCs w:val="21"/>
              </w:rPr>
            </w:pPr>
            <w:r>
              <w:rPr>
                <w:rFonts w:hint="eastAsia" w:ascii="Times New Roman" w:hAnsi="Times New Roman"/>
              </w:rPr>
              <w:t>自2020年1月1日至投标截止时间止，投标人完成的</w:t>
            </w:r>
            <w:r>
              <w:rPr>
                <w:rFonts w:hint="eastAsia"/>
              </w:rPr>
              <w:t>建筑</w:t>
            </w:r>
            <w:r>
              <w:rPr>
                <w:rFonts w:hint="eastAsia" w:ascii="Times New Roman" w:hAnsi="Times New Roman"/>
              </w:rPr>
              <w:t>工程</w:t>
            </w:r>
            <w:r>
              <w:rPr>
                <w:rFonts w:hint="eastAsia"/>
              </w:rPr>
              <w:t>施工总承包</w:t>
            </w:r>
            <w:r>
              <w:rPr>
                <w:rFonts w:hint="eastAsia" w:ascii="Times New Roman" w:hAnsi="Times New Roman"/>
              </w:rPr>
              <w:t>项目获得技术创新QC成果（部优以上）的：每项得0.9分，本小项最高得1</w:t>
            </w:r>
            <w:r>
              <w:rPr>
                <w:rFonts w:hint="eastAsia"/>
              </w:rPr>
              <w:t>.8</w:t>
            </w:r>
            <w:r>
              <w:rPr>
                <w:rFonts w:hint="eastAsia" w:ascii="Times New Roman" w:hAnsi="Times New Roma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财务指标</w:t>
            </w:r>
          </w:p>
        </w:tc>
        <w:tc>
          <w:tcPr>
            <w:tcW w:w="782" w:type="dxa"/>
            <w:vAlign w:val="center"/>
          </w:tcPr>
          <w:p>
            <w:pPr>
              <w:snapToGrid w:val="0"/>
              <w:spacing w:before="109" w:beforeLines="35" w:after="109" w:afterLines="35"/>
              <w:jc w:val="center"/>
              <w:rPr>
                <w:rFonts w:ascii="宋体" w:hAnsi="宋体"/>
                <w:szCs w:val="21"/>
              </w:rPr>
            </w:pPr>
            <w:r>
              <w:rPr>
                <w:rFonts w:hint="eastAsia" w:ascii="宋体" w:hAnsi="宋体"/>
                <w:szCs w:val="21"/>
              </w:rPr>
              <w:t>1.2</w:t>
            </w:r>
          </w:p>
        </w:tc>
        <w:tc>
          <w:tcPr>
            <w:tcW w:w="12183" w:type="dxa"/>
            <w:vAlign w:val="center"/>
          </w:tcPr>
          <w:p>
            <w:pPr>
              <w:pStyle w:val="15"/>
              <w:widowControl/>
              <w:shd w:val="clear" w:color="auto" w:fill="FFFFFF"/>
              <w:spacing w:line="320" w:lineRule="atLeast"/>
              <w:rPr>
                <w:rFonts w:ascii="宋体" w:hAnsi="宋体"/>
                <w:kern w:val="2"/>
                <w:sz w:val="21"/>
                <w:szCs w:val="21"/>
              </w:rPr>
            </w:pPr>
            <w:r>
              <w:rPr>
                <w:rFonts w:hint="eastAsia" w:ascii="宋体" w:hAnsi="宋体"/>
                <w:kern w:val="2"/>
                <w:sz w:val="21"/>
                <w:szCs w:val="21"/>
              </w:rPr>
              <w:t>投标人2019年度至2021年度的资产负债率均在</w:t>
            </w:r>
            <w:r>
              <w:rPr>
                <w:rFonts w:hint="eastAsia"/>
                <w:kern w:val="2"/>
                <w:sz w:val="21"/>
                <w:szCs w:val="21"/>
              </w:rPr>
              <w:t>40</w:t>
            </w:r>
            <w:r>
              <w:rPr>
                <w:rFonts w:hint="eastAsia" w:ascii="宋体" w:hAnsi="宋体"/>
                <w:kern w:val="2"/>
                <w:sz w:val="21"/>
                <w:szCs w:val="21"/>
              </w:rPr>
              <w:t>%（不含</w:t>
            </w:r>
            <w:r>
              <w:rPr>
                <w:rFonts w:hint="eastAsia"/>
                <w:kern w:val="2"/>
                <w:sz w:val="21"/>
                <w:szCs w:val="21"/>
              </w:rPr>
              <w:t>40</w:t>
            </w:r>
            <w:r>
              <w:rPr>
                <w:rFonts w:hint="eastAsia" w:ascii="宋体" w:hAnsi="宋体"/>
                <w:kern w:val="2"/>
                <w:sz w:val="21"/>
                <w:szCs w:val="21"/>
              </w:rPr>
              <w:t>%）以下的，得1.2分；资产负债率均在</w:t>
            </w:r>
            <w:r>
              <w:rPr>
                <w:rFonts w:hint="eastAsia"/>
                <w:kern w:val="2"/>
                <w:sz w:val="21"/>
                <w:szCs w:val="21"/>
              </w:rPr>
              <w:t>4</w:t>
            </w:r>
            <w:r>
              <w:rPr>
                <w:rFonts w:hint="eastAsia" w:ascii="宋体" w:hAnsi="宋体"/>
                <w:kern w:val="2"/>
                <w:sz w:val="21"/>
                <w:szCs w:val="21"/>
              </w:rPr>
              <w:t>5%（不含</w:t>
            </w:r>
            <w:r>
              <w:rPr>
                <w:rFonts w:hint="eastAsia"/>
                <w:kern w:val="2"/>
                <w:sz w:val="21"/>
                <w:szCs w:val="21"/>
              </w:rPr>
              <w:t>4</w:t>
            </w:r>
            <w:r>
              <w:rPr>
                <w:rFonts w:hint="eastAsia" w:ascii="宋体" w:hAnsi="宋体"/>
                <w:kern w:val="2"/>
                <w:sz w:val="21"/>
                <w:szCs w:val="21"/>
              </w:rPr>
              <w:t>5%）以下的，得0.5分；资产负债率均在</w:t>
            </w:r>
            <w:r>
              <w:rPr>
                <w:rFonts w:hint="eastAsia"/>
                <w:kern w:val="2"/>
                <w:sz w:val="21"/>
                <w:szCs w:val="21"/>
              </w:rPr>
              <w:t>50</w:t>
            </w:r>
            <w:r>
              <w:rPr>
                <w:rFonts w:hint="eastAsia" w:ascii="宋体" w:hAnsi="宋体"/>
                <w:kern w:val="2"/>
                <w:sz w:val="21"/>
                <w:szCs w:val="21"/>
              </w:rPr>
              <w:t>%（不含</w:t>
            </w:r>
            <w:r>
              <w:rPr>
                <w:rFonts w:hint="eastAsia"/>
                <w:kern w:val="2"/>
                <w:sz w:val="21"/>
                <w:szCs w:val="21"/>
              </w:rPr>
              <w:t>50</w:t>
            </w:r>
            <w:r>
              <w:rPr>
                <w:rFonts w:hint="eastAsia" w:ascii="宋体" w:hAnsi="宋体"/>
                <w:kern w:val="2"/>
                <w:sz w:val="21"/>
                <w:szCs w:val="21"/>
              </w:rPr>
              <w:t>%）以下的，得0.1分；不满足上述情况的，不得分。</w:t>
            </w:r>
          </w:p>
          <w:p>
            <w:pPr>
              <w:pStyle w:val="15"/>
              <w:widowControl/>
              <w:shd w:val="clear" w:color="auto" w:fill="FFFFFF"/>
              <w:spacing w:line="320" w:lineRule="atLeast"/>
              <w:rPr>
                <w:rFonts w:ascii="宋体" w:hAnsi="宋体"/>
                <w:kern w:val="2"/>
                <w:sz w:val="21"/>
                <w:szCs w:val="21"/>
              </w:rPr>
            </w:pPr>
            <w:r>
              <w:rPr>
                <w:rFonts w:hint="eastAsia" w:ascii="宋体" w:hAnsi="宋体"/>
                <w:kern w:val="2"/>
                <w:sz w:val="21"/>
                <w:szCs w:val="21"/>
              </w:rPr>
              <w:t>注：资产负债率：以投标人提供资产负债表为准，须提供经会计师事务所审计的财务报告（包括审计意见和资产负债表等）扫描件并加盖投标人企业电子印章，否则不得分（资产负债率＝负债总额÷资产总额×100%）。</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703" w:type="dxa"/>
            <w:vMerge w:val="continue"/>
            <w:vAlign w:val="center"/>
          </w:tcPr>
          <w:p>
            <w:pPr>
              <w:snapToGrid w:val="0"/>
              <w:spacing w:before="109" w:beforeLines="35" w:after="109" w:afterLines="35"/>
              <w:rPr>
                <w:rFonts w:ascii="宋体" w:hAnsi="宋体"/>
                <w:szCs w:val="21"/>
              </w:rPr>
            </w:pPr>
          </w:p>
        </w:tc>
        <w:tc>
          <w:tcPr>
            <w:tcW w:w="1207" w:type="dxa"/>
            <w:vAlign w:val="center"/>
          </w:tcPr>
          <w:p>
            <w:pPr>
              <w:snapToGrid w:val="0"/>
              <w:spacing w:before="109" w:beforeLines="35" w:after="109" w:afterLines="35"/>
              <w:jc w:val="center"/>
              <w:rPr>
                <w:rFonts w:ascii="宋体" w:hAnsi="宋体"/>
                <w:szCs w:val="21"/>
              </w:rPr>
            </w:pPr>
            <w:r>
              <w:rPr>
                <w:rFonts w:hint="eastAsia" w:ascii="宋体" w:hAnsi="宋体"/>
                <w:szCs w:val="21"/>
              </w:rPr>
              <w:t>第三方评价</w:t>
            </w:r>
          </w:p>
        </w:tc>
        <w:tc>
          <w:tcPr>
            <w:tcW w:w="782" w:type="dxa"/>
            <w:vAlign w:val="center"/>
          </w:tcPr>
          <w:p>
            <w:pPr>
              <w:snapToGrid w:val="0"/>
              <w:spacing w:before="109" w:beforeLines="35" w:after="109" w:afterLines="35"/>
              <w:jc w:val="center"/>
              <w:rPr>
                <w:rFonts w:ascii="宋体" w:hAnsi="宋体"/>
                <w:color w:val="000000"/>
                <w:szCs w:val="21"/>
              </w:rPr>
            </w:pPr>
            <w:r>
              <w:rPr>
                <w:rFonts w:hint="eastAsia" w:ascii="宋体" w:hAnsi="宋体"/>
                <w:color w:val="000000"/>
                <w:szCs w:val="21"/>
              </w:rPr>
              <w:t>1</w:t>
            </w:r>
          </w:p>
        </w:tc>
        <w:tc>
          <w:tcPr>
            <w:tcW w:w="12183" w:type="dxa"/>
            <w:vAlign w:val="center"/>
          </w:tcPr>
          <w:p>
            <w:pPr>
              <w:pStyle w:val="15"/>
              <w:widowControl/>
              <w:shd w:val="clear" w:color="auto" w:fill="FFFFFF"/>
              <w:rPr>
                <w:rFonts w:ascii="宋体" w:hAnsi="宋体"/>
                <w:kern w:val="2"/>
                <w:sz w:val="21"/>
                <w:szCs w:val="21"/>
              </w:rPr>
            </w:pPr>
            <w:r>
              <w:rPr>
                <w:rFonts w:hint="eastAsia" w:ascii="宋体" w:hAnsi="宋体"/>
                <w:kern w:val="2"/>
                <w:sz w:val="21"/>
                <w:szCs w:val="21"/>
              </w:rPr>
              <w:t>投标人获得过税务部门评定的纳税信用A级情况（须含2022年度）：</w:t>
            </w:r>
          </w:p>
          <w:p>
            <w:pPr>
              <w:pStyle w:val="15"/>
              <w:widowControl/>
              <w:shd w:val="clear" w:color="auto" w:fill="FFFFFF"/>
              <w:rPr>
                <w:rFonts w:ascii="宋体" w:hAnsi="宋体"/>
                <w:kern w:val="2"/>
                <w:sz w:val="21"/>
                <w:szCs w:val="21"/>
              </w:rPr>
            </w:pPr>
            <w:r>
              <w:rPr>
                <w:rFonts w:hint="eastAsia" w:ascii="宋体" w:hAnsi="宋体"/>
                <w:kern w:val="2"/>
                <w:sz w:val="21"/>
                <w:szCs w:val="21"/>
              </w:rPr>
              <w:t>1.连续</w:t>
            </w:r>
            <w:r>
              <w:rPr>
                <w:rFonts w:hint="eastAsia"/>
                <w:kern w:val="2"/>
                <w:sz w:val="21"/>
                <w:szCs w:val="21"/>
              </w:rPr>
              <w:t>5</w:t>
            </w:r>
            <w:r>
              <w:rPr>
                <w:rFonts w:hint="eastAsia" w:ascii="宋体" w:hAnsi="宋体"/>
                <w:kern w:val="2"/>
                <w:sz w:val="21"/>
                <w:szCs w:val="21"/>
              </w:rPr>
              <w:t>个年度（或以上）获得“纳税信用A级纳税人”称号的，得1分；</w:t>
            </w:r>
          </w:p>
          <w:p>
            <w:pPr>
              <w:pStyle w:val="15"/>
              <w:widowControl/>
              <w:shd w:val="clear" w:color="auto" w:fill="FFFFFF"/>
              <w:rPr>
                <w:rFonts w:ascii="宋体" w:hAnsi="宋体"/>
                <w:kern w:val="2"/>
                <w:sz w:val="21"/>
                <w:szCs w:val="21"/>
              </w:rPr>
            </w:pPr>
            <w:r>
              <w:rPr>
                <w:rFonts w:hint="eastAsia" w:ascii="宋体" w:hAnsi="宋体"/>
                <w:kern w:val="2"/>
                <w:sz w:val="21"/>
                <w:szCs w:val="21"/>
              </w:rPr>
              <w:t>2.连续</w:t>
            </w:r>
            <w:r>
              <w:rPr>
                <w:rFonts w:hint="eastAsia"/>
                <w:kern w:val="2"/>
                <w:sz w:val="21"/>
                <w:szCs w:val="21"/>
              </w:rPr>
              <w:t>4</w:t>
            </w:r>
            <w:r>
              <w:rPr>
                <w:rFonts w:hint="eastAsia" w:ascii="宋体" w:hAnsi="宋体"/>
                <w:kern w:val="2"/>
                <w:sz w:val="21"/>
                <w:szCs w:val="21"/>
              </w:rPr>
              <w:t>个年度获得“纳税信用A级纳税人”称号的，得0.</w:t>
            </w:r>
            <w:r>
              <w:rPr>
                <w:rFonts w:hint="eastAsia"/>
                <w:kern w:val="2"/>
                <w:sz w:val="21"/>
                <w:szCs w:val="21"/>
              </w:rPr>
              <w:t>6</w:t>
            </w:r>
            <w:r>
              <w:rPr>
                <w:rFonts w:hint="eastAsia" w:ascii="宋体" w:hAnsi="宋体"/>
                <w:kern w:val="2"/>
                <w:sz w:val="21"/>
                <w:szCs w:val="21"/>
              </w:rPr>
              <w:t>分；</w:t>
            </w:r>
          </w:p>
          <w:p>
            <w:pPr>
              <w:pStyle w:val="15"/>
              <w:widowControl/>
              <w:shd w:val="clear" w:color="auto" w:fill="FFFFFF"/>
              <w:rPr>
                <w:rFonts w:ascii="宋体" w:hAnsi="宋体"/>
                <w:kern w:val="2"/>
                <w:sz w:val="21"/>
                <w:szCs w:val="21"/>
              </w:rPr>
            </w:pPr>
            <w:r>
              <w:rPr>
                <w:rFonts w:hint="eastAsia" w:ascii="宋体" w:hAnsi="宋体"/>
                <w:kern w:val="2"/>
                <w:sz w:val="21"/>
                <w:szCs w:val="21"/>
              </w:rPr>
              <w:t>3.连续</w:t>
            </w:r>
            <w:r>
              <w:rPr>
                <w:rFonts w:hint="eastAsia"/>
                <w:kern w:val="2"/>
                <w:sz w:val="21"/>
                <w:szCs w:val="21"/>
              </w:rPr>
              <w:t>3</w:t>
            </w:r>
            <w:r>
              <w:rPr>
                <w:rFonts w:hint="eastAsia" w:ascii="宋体" w:hAnsi="宋体"/>
                <w:kern w:val="2"/>
                <w:sz w:val="21"/>
                <w:szCs w:val="21"/>
              </w:rPr>
              <w:t>个年度或以下获得“纳税信用A级纳税人”称号的，得0.2分；</w:t>
            </w:r>
          </w:p>
          <w:p>
            <w:pPr>
              <w:pStyle w:val="15"/>
              <w:widowControl/>
              <w:shd w:val="clear" w:color="auto" w:fill="FFFFFF"/>
              <w:rPr>
                <w:rFonts w:ascii="宋体" w:hAnsi="宋体"/>
                <w:kern w:val="2"/>
                <w:sz w:val="21"/>
                <w:szCs w:val="21"/>
              </w:rPr>
            </w:pPr>
            <w:r>
              <w:rPr>
                <w:rFonts w:hint="eastAsia" w:ascii="宋体" w:hAnsi="宋体"/>
                <w:kern w:val="2"/>
                <w:sz w:val="21"/>
                <w:szCs w:val="21"/>
              </w:rPr>
              <w:t>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910" w:type="dxa"/>
            <w:gridSpan w:val="2"/>
            <w:vAlign w:val="center"/>
          </w:tcPr>
          <w:p>
            <w:pPr>
              <w:snapToGrid w:val="0"/>
              <w:spacing w:before="109" w:beforeLines="35" w:after="109" w:afterLines="35"/>
              <w:jc w:val="center"/>
              <w:rPr>
                <w:rFonts w:ascii="宋体" w:hAnsi="宋体"/>
                <w:szCs w:val="21"/>
              </w:rPr>
            </w:pPr>
            <w:r>
              <w:rPr>
                <w:rFonts w:hint="eastAsia" w:ascii="宋体" w:hAnsi="宋体"/>
                <w:szCs w:val="21"/>
              </w:rPr>
              <w:t>合计</w:t>
            </w:r>
          </w:p>
        </w:tc>
        <w:tc>
          <w:tcPr>
            <w:tcW w:w="782" w:type="dxa"/>
            <w:vAlign w:val="center"/>
          </w:tcPr>
          <w:p>
            <w:pPr>
              <w:snapToGrid w:val="0"/>
              <w:spacing w:before="109" w:beforeLines="35" w:after="109" w:afterLines="35"/>
              <w:jc w:val="center"/>
              <w:rPr>
                <w:rFonts w:ascii="宋体" w:hAnsi="宋体"/>
                <w:color w:val="FF0000"/>
                <w:szCs w:val="21"/>
              </w:rPr>
            </w:pPr>
            <w:r>
              <w:rPr>
                <w:rFonts w:hint="eastAsia" w:ascii="宋体" w:hAnsi="宋体"/>
                <w:color w:val="000000"/>
                <w:szCs w:val="21"/>
              </w:rPr>
              <w:t>20</w:t>
            </w:r>
          </w:p>
        </w:tc>
        <w:tc>
          <w:tcPr>
            <w:tcW w:w="12183" w:type="dxa"/>
            <w:vAlign w:val="center"/>
          </w:tcPr>
          <w:p>
            <w:pPr>
              <w:snapToGrid w:val="0"/>
              <w:spacing w:line="260" w:lineRule="exact"/>
              <w:rPr>
                <w:rFonts w:ascii="宋体" w:hAnsi="宋体"/>
                <w:color w:val="FF0000"/>
                <w:szCs w:val="21"/>
              </w:rPr>
            </w:pPr>
          </w:p>
        </w:tc>
      </w:tr>
    </w:tbl>
    <w:p>
      <w:pPr>
        <w:rPr>
          <w:rFonts w:ascii="宋体" w:hAnsi="宋体"/>
          <w:b/>
          <w:szCs w:val="21"/>
        </w:rPr>
      </w:pPr>
      <w:r>
        <w:rPr>
          <w:rFonts w:hint="eastAsia" w:ascii="宋体" w:hAnsi="宋体"/>
          <w:b/>
          <w:szCs w:val="21"/>
        </w:rPr>
        <w:t>注：</w:t>
      </w:r>
    </w:p>
    <w:p>
      <w:pPr>
        <w:ind w:firstLine="422" w:firstLineChars="200"/>
        <w:rPr>
          <w:rFonts w:ascii="宋体" w:hAnsi="宋体" w:cs="宋体"/>
        </w:rPr>
      </w:pPr>
      <w:r>
        <w:rPr>
          <w:rFonts w:hint="eastAsia" w:ascii="宋体" w:hAnsi="宋体"/>
          <w:b/>
          <w:szCs w:val="21"/>
        </w:rPr>
        <w:t>1.企业业绩</w:t>
      </w:r>
      <w:r>
        <w:rPr>
          <w:rFonts w:hint="eastAsia" w:ascii="宋体" w:hAnsi="宋体"/>
          <w:szCs w:val="21"/>
        </w:rPr>
        <w:t>：</w:t>
      </w:r>
      <w:r>
        <w:rPr>
          <w:rFonts w:hint="eastAsia" w:ascii="宋体" w:hAnsi="宋体" w:cs="宋体"/>
        </w:rPr>
        <w:t>（1）业绩取自广州市住建行业信用管理平台。投标人须提供类似工程业绩的项目名称及业绩在广州市住建行业信用管理平台中项目编号（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ind w:firstLine="420" w:firstLineChars="200"/>
        <w:rPr>
          <w:rFonts w:ascii="宋体" w:hAnsi="宋体" w:cs="宋体"/>
        </w:rPr>
      </w:pPr>
      <w:r>
        <w:rPr>
          <w:rFonts w:hint="eastAsia" w:ascii="宋体" w:hAnsi="宋体" w:cs="宋体"/>
        </w:rPr>
        <w:t>（2）金额以中标通知书为准，中标通知书上没有金额或免招标的，以施工合同（不含补充合同）为准。</w:t>
      </w:r>
    </w:p>
    <w:p>
      <w:pPr>
        <w:ind w:firstLine="420" w:firstLineChars="200"/>
        <w:rPr>
          <w:rFonts w:ascii="宋体" w:hAnsi="宋体" w:cs="宋体"/>
        </w:rPr>
      </w:pPr>
      <w:r>
        <w:rPr>
          <w:rFonts w:hint="eastAsia" w:ascii="宋体" w:hAnsi="宋体" w:cs="宋体"/>
        </w:rPr>
        <w:t>（3）完成时间以竣工验收文件为准。验收文件至少具有建设单位、设计、施工和监理单位盖章。</w:t>
      </w:r>
    </w:p>
    <w:p>
      <w:pPr>
        <w:ind w:firstLine="420" w:firstLineChars="200"/>
        <w:rPr>
          <w:rFonts w:ascii="宋体" w:hAnsi="宋体" w:cs="宋体"/>
        </w:rPr>
      </w:pPr>
      <w:r>
        <w:rPr>
          <w:rFonts w:hint="eastAsia" w:ascii="宋体" w:hAnsi="宋体" w:cs="宋体"/>
        </w:rPr>
        <w:t>（4）平台内业绩上传件不符合上述要求的或登记的工程资质内容与施工合同等业绩证明资料不相符的，该项业绩不予认定。</w:t>
      </w:r>
    </w:p>
    <w:p>
      <w:pPr>
        <w:ind w:firstLine="422" w:firstLineChars="200"/>
        <w:rPr>
          <w:rFonts w:ascii="宋体" w:hAnsi="宋体" w:cs="宋体"/>
          <w:color w:val="FF0000"/>
        </w:rPr>
      </w:pPr>
      <w:r>
        <w:rPr>
          <w:rFonts w:hint="eastAsia" w:ascii="宋体" w:hAnsi="宋体" w:cs="宋体"/>
          <w:b/>
          <w:bCs/>
        </w:rPr>
        <w:t>2.工程奖项</w:t>
      </w:r>
      <w:r>
        <w:rPr>
          <w:rFonts w:hint="eastAsia" w:ascii="宋体" w:hAnsi="宋体" w:cs="宋体"/>
        </w:rPr>
        <w:t>：工程奖项信息取自广州市住建行业信用管理平台。（1）</w:t>
      </w:r>
      <w:r>
        <w:rPr>
          <w:rFonts w:hint="eastAsia" w:ascii="宋体" w:hAnsi="宋体" w:cs="宋体"/>
          <w:bCs/>
          <w:szCs w:val="21"/>
          <w:lang w:bidi="ar"/>
        </w:rPr>
        <w:t>投标人须提交获奖证书扫描件及获奖业绩在广州市住建行业信用管理平台的网页信息截图（网页信息截图须能清晰显示带有“住建行业信用管理平台”名称，并至少包含“项目基本信息”、“奖项信息”等信息）、项目类型以广州市住建行业信用管理平台上传的合同为准，并加盖投标人电子印章，不符合上述条件或不提供平台内网页信息截图的获奖业绩不予评审</w:t>
      </w:r>
      <w:r>
        <w:rPr>
          <w:rFonts w:hint="eastAsia" w:ascii="宋体" w:hAnsi="宋体" w:cs="宋体"/>
        </w:rPr>
        <w:t>。时间以获奖证书显示的颁奖时间信息为准。奖项内容和级别以获奖证书显示的奖项名称为准，不符合上述条件或不提供网页截图的获奖不予评审。国家级质量奖项是指：由中国建设工程鲁班奖、国家优质工程（金质奖）、国家优质工程奖、中国土木工程詹天佑奖、国家建筑工程装饰奖等。省级及市级质量奖项指由行政主管部门或行业协会颁发的质量奖项，不包含安全文明、绿色施工、技术创新、科技进步、QC及技术应用类等奖项。</w:t>
      </w:r>
      <w:r>
        <w:rPr>
          <w:rFonts w:hint="eastAsia" w:ascii="宋体" w:hAnsi="宋体" w:cs="宋体"/>
          <w:color w:val="FF0000"/>
        </w:rPr>
        <w:t>（2）只计算</w:t>
      </w:r>
      <w:r>
        <w:rPr>
          <w:rFonts w:hint="eastAsia" w:ascii="宋体" w:hAnsi="宋体" w:cs="宋体"/>
          <w:color w:val="FF0000"/>
          <w:lang w:val="en-US" w:eastAsia="zh-CN"/>
        </w:rPr>
        <w:t>房屋建筑类工程项目</w:t>
      </w:r>
      <w:r>
        <w:rPr>
          <w:rFonts w:hint="eastAsia" w:ascii="宋体" w:hAnsi="宋体" w:cs="宋体"/>
          <w:color w:val="FF0000"/>
        </w:rPr>
        <w:t>的质量奖项，其他非房建类工程项目获奖，如：路桥、铁路、水利、电力、化工、冶金、市政等获奖不参与计分。</w:t>
      </w:r>
    </w:p>
    <w:p>
      <w:pPr>
        <w:ind w:firstLine="422" w:firstLineChars="200"/>
        <w:jc w:val="left"/>
        <w:rPr>
          <w:rFonts w:ascii="宋体" w:hAnsi="宋体" w:cs="宋体"/>
          <w:b w:val="0"/>
          <w:bCs/>
          <w:color w:val="FF0000"/>
          <w:szCs w:val="21"/>
          <w:highlight w:val="yellow"/>
          <w:u w:val="single"/>
        </w:rPr>
      </w:pPr>
      <w:r>
        <w:rPr>
          <w:rFonts w:hint="eastAsia" w:ascii="宋体" w:hAnsi="宋体" w:cs="宋体"/>
          <w:b/>
          <w:szCs w:val="21"/>
        </w:rPr>
        <w:t>3.</w:t>
      </w:r>
      <w:r>
        <w:rPr>
          <w:rFonts w:hint="eastAsia" w:ascii="宋体" w:hAnsi="宋体" w:cs="宋体"/>
          <w:b/>
        </w:rPr>
        <w:t>工程研发能力：</w:t>
      </w:r>
      <w:r>
        <w:rPr>
          <w:rFonts w:hint="eastAsia" w:ascii="宋体" w:hAnsi="宋体" w:cs="宋体"/>
          <w:b w:val="0"/>
          <w:bCs/>
          <w:color w:val="FF0000"/>
        </w:rPr>
        <w:t>“技术创新QC成果（部优以上）”时间以获奖证书时间为准。投标人须提供获奖证书扫描件并加盖投标人企业电子印章</w:t>
      </w:r>
      <w:r>
        <w:rPr>
          <w:rFonts w:hint="eastAsia" w:ascii="宋体" w:hAnsi="宋体" w:cs="宋体"/>
          <w:b w:val="0"/>
          <w:bCs/>
          <w:color w:val="FF0000"/>
          <w:lang w:eastAsia="zh-CN"/>
        </w:rPr>
        <w:t>，同时提供获奖证书和该获奖项目的中标通知书、施工合同等原件扫描件。</w:t>
      </w:r>
      <w:r>
        <w:rPr>
          <w:rFonts w:hint="eastAsia" w:ascii="宋体" w:hAnsi="宋体" w:cs="宋体"/>
          <w:b w:val="0"/>
          <w:bCs/>
          <w:color w:val="FF0000"/>
        </w:rPr>
        <w:t>不符合上述条件或未提供上述资料或无加盖投标人电子印章的不得分。</w:t>
      </w:r>
    </w:p>
    <w:p>
      <w:pPr>
        <w:pStyle w:val="5"/>
        <w:ind w:firstLine="422" w:firstLineChars="200"/>
        <w:rPr>
          <w:rFonts w:hint="eastAsia" w:ascii="宋体" w:hAnsi="宋体" w:cs="宋体"/>
          <w:b/>
          <w:bCs/>
        </w:rPr>
      </w:pPr>
      <w:r>
        <w:rPr>
          <w:rFonts w:hint="eastAsia" w:ascii="宋体" w:hAnsi="宋体" w:cs="宋体"/>
          <w:b/>
          <w:szCs w:val="21"/>
        </w:rPr>
        <w:t>4.财务指标</w:t>
      </w:r>
      <w:r>
        <w:rPr>
          <w:rFonts w:hint="eastAsia" w:ascii="宋体" w:hAnsi="宋体" w:cs="宋体"/>
          <w:szCs w:val="21"/>
        </w:rPr>
        <w:t>：企业资产负债率以企业对应年度的财务报表的数据为准，资产负债率=负债总额/资产总额×100%，投标人须提供2019、2020、2021年经会计师事务所审计的财务报表扫描件并加盖投标单位电子公章，不符合上述条件或未提供上述资料的不得分。</w:t>
      </w:r>
    </w:p>
    <w:p>
      <w:pPr>
        <w:pStyle w:val="32"/>
        <w:spacing w:line="276" w:lineRule="auto"/>
        <w:ind w:firstLine="422" w:firstLineChars="200"/>
        <w:rPr>
          <w:rFonts w:hint="eastAsia" w:ascii="宋体" w:hAnsi="宋体" w:eastAsia="宋体" w:cs="宋体"/>
          <w:b w:val="0"/>
          <w:bCs w:val="0"/>
          <w:color w:val="FF0000"/>
          <w:kern w:val="2"/>
          <w:sz w:val="21"/>
          <w:szCs w:val="21"/>
          <w:lang w:val="en-US" w:eastAsia="zh-CN" w:bidi="ar-SA"/>
        </w:rPr>
      </w:pPr>
      <w:r>
        <w:rPr>
          <w:rFonts w:hint="eastAsia" w:ascii="宋体" w:hAnsi="宋体" w:eastAsia="宋体" w:cs="宋体"/>
          <w:b/>
          <w:kern w:val="2"/>
          <w:sz w:val="21"/>
          <w:szCs w:val="21"/>
          <w:lang w:val="en-US" w:eastAsia="zh-CN" w:bidi="ar-SA"/>
        </w:rPr>
        <w:t>5.第三方评价</w:t>
      </w:r>
      <w:r>
        <w:rPr>
          <w:rFonts w:hint="eastAsia" w:ascii="宋体" w:hAnsi="宋体" w:cs="宋体"/>
          <w:b/>
          <w:bCs/>
          <w:highlight w:val="none"/>
        </w:rPr>
        <w:t>：</w:t>
      </w:r>
      <w:r>
        <w:rPr>
          <w:rFonts w:hint="eastAsia" w:ascii="宋体" w:hAnsi="宋体" w:eastAsia="宋体" w:cs="宋体"/>
          <w:b w:val="0"/>
          <w:bCs w:val="0"/>
          <w:i w:val="0"/>
          <w:iCs w:val="0"/>
          <w:caps w:val="0"/>
          <w:color w:val="FF0000"/>
          <w:spacing w:val="0"/>
          <w:sz w:val="21"/>
          <w:szCs w:val="21"/>
          <w:u w:val="none"/>
          <w:shd w:val="clear" w:fill="FFFFFF"/>
        </w:rPr>
        <w:t>纳税信用等级须提供纳税信用荣誉证书扫描件或“国家税务总局”官网（http://www.chinatax.gov.cn/）或各省级税务平台相关网站查询截图扫描件并加盖投标单位电子印章。</w:t>
      </w:r>
    </w:p>
    <w:p>
      <w:pPr>
        <w:ind w:firstLine="422" w:firstLineChars="200"/>
        <w:rPr>
          <w:rFonts w:hint="eastAsia" w:ascii="宋体" w:hAnsi="宋体" w:cs="宋体"/>
        </w:rPr>
        <w:sectPr>
          <w:pgSz w:w="16838" w:h="11906" w:orient="landscape"/>
          <w:pgMar w:top="1800" w:right="1440" w:bottom="1800" w:left="1440" w:header="851" w:footer="992" w:gutter="0"/>
          <w:cols w:space="425" w:num="1"/>
          <w:docGrid w:type="lines" w:linePitch="312" w:charSpace="0"/>
        </w:sectPr>
      </w:pPr>
      <w:r>
        <w:rPr>
          <w:rFonts w:hint="eastAsia" w:ascii="宋体" w:hAnsi="宋体" w:cs="宋体"/>
          <w:b/>
          <w:bCs/>
        </w:rPr>
        <w:t>6.</w:t>
      </w:r>
      <w:r>
        <w:rPr>
          <w:rFonts w:hint="eastAsia" w:ascii="宋体" w:hAnsi="宋体" w:cs="宋体"/>
        </w:rPr>
        <w:t>本表按百分制评分，所有评委总分汇总后的算术平均值为投标人的最终得分。分数出现小数点</w:t>
      </w:r>
      <w:r>
        <w:rPr>
          <w:rFonts w:hint="eastAsia" w:ascii="宋体" w:hAnsi="宋体" w:cs="宋体"/>
          <w:szCs w:val="21"/>
        </w:rPr>
        <w:t>，保留小数点</w:t>
      </w:r>
      <w:r>
        <w:rPr>
          <w:rFonts w:hint="eastAsia" w:ascii="宋体" w:hAnsi="宋体" w:cs="宋体"/>
        </w:rPr>
        <w:t>后二位小数，第三位小数四舍五入。</w:t>
      </w:r>
    </w:p>
    <w:p>
      <w:pPr>
        <w:topLinePunct/>
        <w:adjustRightInd w:val="0"/>
        <w:snapToGrid w:val="0"/>
        <w:spacing w:line="360" w:lineRule="auto"/>
        <w:jc w:val="left"/>
        <w:outlineLvl w:val="2"/>
        <w:rPr>
          <w:rFonts w:hint="eastAsia" w:ascii="宋体" w:hAnsi="宋体" w:cs="宋体"/>
          <w:b/>
          <w:spacing w:val="4"/>
          <w:kern w:val="0"/>
          <w:sz w:val="24"/>
          <w:szCs w:val="24"/>
        </w:rPr>
      </w:pPr>
      <w:r>
        <w:rPr>
          <w:rFonts w:hint="eastAsia" w:ascii="宋体" w:hAnsi="宋体" w:cs="宋体"/>
          <w:b/>
          <w:spacing w:val="4"/>
          <w:kern w:val="0"/>
          <w:sz w:val="24"/>
          <w:szCs w:val="24"/>
        </w:rPr>
        <w:t>格式九：危险性较大的分部分项工程清单及超过一定规模的危险性较大的分部分项工程清单</w:t>
      </w:r>
    </w:p>
    <w:p>
      <w:pPr>
        <w:widowControl/>
        <w:topLinePunct/>
        <w:adjustRightInd w:val="0"/>
        <w:snapToGrid w:val="0"/>
        <w:spacing w:before="156" w:beforeLines="50" w:after="156"/>
        <w:jc w:val="center"/>
        <w:rPr>
          <w:b/>
          <w:spacing w:val="4"/>
          <w:kern w:val="0"/>
          <w:sz w:val="32"/>
          <w:szCs w:val="32"/>
        </w:rPr>
      </w:pPr>
      <w:r>
        <w:rPr>
          <w:rFonts w:hint="eastAsia"/>
          <w:b/>
          <w:spacing w:val="4"/>
          <w:kern w:val="0"/>
          <w:sz w:val="32"/>
          <w:szCs w:val="32"/>
        </w:rPr>
        <w:t>危险性较大的分部分项工程清单及</w:t>
      </w:r>
    </w:p>
    <w:p>
      <w:pPr>
        <w:widowControl/>
        <w:topLinePunct/>
        <w:adjustRightInd w:val="0"/>
        <w:snapToGrid w:val="0"/>
        <w:spacing w:before="156" w:beforeLines="50" w:after="156"/>
        <w:jc w:val="center"/>
        <w:rPr>
          <w:b/>
          <w:spacing w:val="4"/>
          <w:kern w:val="0"/>
          <w:sz w:val="32"/>
          <w:szCs w:val="32"/>
        </w:rPr>
      </w:pPr>
      <w:r>
        <w:rPr>
          <w:rFonts w:hint="eastAsia"/>
          <w:b/>
          <w:spacing w:val="4"/>
          <w:kern w:val="0"/>
          <w:sz w:val="32"/>
          <w:szCs w:val="32"/>
        </w:rPr>
        <w:t>超过一定规模的危险性较大的分部分项工程清单</w:t>
      </w:r>
    </w:p>
    <w:p>
      <w:pPr>
        <w:numPr>
          <w:ilvl w:val="0"/>
          <w:numId w:val="2"/>
        </w:numPr>
        <w:autoSpaceDE w:val="0"/>
        <w:autoSpaceDN w:val="0"/>
        <w:adjustRightInd w:val="0"/>
        <w:spacing w:line="276" w:lineRule="auto"/>
        <w:jc w:val="left"/>
        <w:rPr>
          <w:szCs w:val="21"/>
        </w:rPr>
      </w:pPr>
      <w:r>
        <w:rPr>
          <w:rFonts w:hint="eastAsia"/>
          <w:szCs w:val="21"/>
        </w:rPr>
        <w:t>根据中华人民共和国住房和城乡建设部令第</w:t>
      </w:r>
      <w:r>
        <w:rPr>
          <w:szCs w:val="21"/>
        </w:rPr>
        <w:t>37</w:t>
      </w:r>
      <w:r>
        <w:rPr>
          <w:rFonts w:hint="eastAsia"/>
          <w:szCs w:val="21"/>
        </w:rPr>
        <w:t>号《危险性较大的分部分项工程安全管理规定》（以下简称“</w:t>
      </w:r>
      <w:r>
        <w:rPr>
          <w:szCs w:val="21"/>
        </w:rPr>
        <w:t>37</w:t>
      </w:r>
      <w:r>
        <w:rPr>
          <w:rFonts w:hint="eastAsia"/>
          <w:szCs w:val="21"/>
        </w:rPr>
        <w:t>号文”），投标人在投标时须补充完善危大工程清单并明确相应的安全管理措施。</w:t>
      </w:r>
    </w:p>
    <w:p>
      <w:pPr>
        <w:numPr>
          <w:ilvl w:val="0"/>
          <w:numId w:val="2"/>
        </w:numPr>
        <w:autoSpaceDE w:val="0"/>
        <w:autoSpaceDN w:val="0"/>
        <w:adjustRightInd w:val="0"/>
        <w:spacing w:line="276" w:lineRule="auto"/>
        <w:jc w:val="left"/>
        <w:rPr>
          <w:szCs w:val="21"/>
        </w:rPr>
      </w:pPr>
      <w:r>
        <w:rPr>
          <w:rFonts w:hint="eastAsia"/>
          <w:szCs w:val="21"/>
        </w:rPr>
        <w:t>招标人根据设计文件的要求及</w:t>
      </w:r>
      <w:r>
        <w:rPr>
          <w:szCs w:val="21"/>
        </w:rPr>
        <w:t>37</w:t>
      </w:r>
      <w:r>
        <w:rPr>
          <w:rFonts w:hint="eastAsia"/>
          <w:szCs w:val="21"/>
        </w:rPr>
        <w:t>号文的规定列出“危险性较大的分部分项工程清单及超过一定规模的危险性较大的分部分项工程清单”中与本招标项目相关的清单项，具体详第</w:t>
      </w:r>
      <w:r>
        <w:rPr>
          <w:szCs w:val="21"/>
        </w:rPr>
        <w:t>5</w:t>
      </w:r>
      <w:r>
        <w:rPr>
          <w:rFonts w:hint="eastAsia"/>
          <w:szCs w:val="21"/>
        </w:rPr>
        <w:t>点“打√”标识。</w:t>
      </w:r>
    </w:p>
    <w:p>
      <w:pPr>
        <w:numPr>
          <w:ilvl w:val="0"/>
          <w:numId w:val="3"/>
        </w:numPr>
        <w:autoSpaceDE w:val="0"/>
        <w:autoSpaceDN w:val="0"/>
        <w:adjustRightInd w:val="0"/>
        <w:spacing w:line="276" w:lineRule="auto"/>
        <w:jc w:val="left"/>
        <w:rPr>
          <w:szCs w:val="21"/>
        </w:rPr>
      </w:pPr>
      <w:r>
        <w:rPr>
          <w:rFonts w:hint="eastAsia"/>
          <w:szCs w:val="21"/>
        </w:rPr>
        <w:t>投标单位同意建设单位在清单中标识的该项请在对应项打“√”标识，并在投标文件中提供相应的安全管理措施。</w:t>
      </w:r>
    </w:p>
    <w:p>
      <w:pPr>
        <w:numPr>
          <w:ilvl w:val="0"/>
          <w:numId w:val="3"/>
        </w:numPr>
        <w:autoSpaceDE w:val="0"/>
        <w:autoSpaceDN w:val="0"/>
        <w:adjustRightInd w:val="0"/>
        <w:spacing w:line="276" w:lineRule="auto"/>
        <w:jc w:val="left"/>
        <w:rPr>
          <w:szCs w:val="21"/>
        </w:rPr>
      </w:pPr>
      <w:r>
        <w:rPr>
          <w:rFonts w:hint="eastAsia"/>
          <w:szCs w:val="21"/>
        </w:rPr>
        <w:t>投标单位对清单中认为需要补充的该项请在对应项打“√”标识，并在投标文件中提供相应的安全管理措施。</w:t>
      </w:r>
    </w:p>
    <w:p>
      <w:pPr>
        <w:numPr>
          <w:ilvl w:val="0"/>
          <w:numId w:val="3"/>
        </w:numPr>
        <w:autoSpaceDE w:val="0"/>
        <w:autoSpaceDN w:val="0"/>
        <w:adjustRightInd w:val="0"/>
        <w:spacing w:line="276" w:lineRule="auto"/>
        <w:jc w:val="left"/>
        <w:rPr>
          <w:szCs w:val="21"/>
        </w:rPr>
      </w:pPr>
      <w:r>
        <w:rPr>
          <w:rFonts w:hint="eastAsia"/>
          <w:szCs w:val="21"/>
        </w:rPr>
        <w:t>投标单位不同意建设单位在清单中标识的该项请在对应项打“×”标识，并在备注栏填上相关说明。</w:t>
      </w:r>
    </w:p>
    <w:p>
      <w:pPr>
        <w:numPr>
          <w:ilvl w:val="0"/>
          <w:numId w:val="2"/>
        </w:numPr>
        <w:autoSpaceDE w:val="0"/>
        <w:autoSpaceDN w:val="0"/>
        <w:adjustRightInd w:val="0"/>
        <w:spacing w:line="276" w:lineRule="auto"/>
        <w:jc w:val="left"/>
        <w:rPr>
          <w:szCs w:val="21"/>
        </w:rPr>
      </w:pPr>
      <w:r>
        <w:rPr>
          <w:rFonts w:hint="eastAsia"/>
          <w:szCs w:val="21"/>
        </w:rPr>
        <w:t>投标单位应当在投标时根据招标人提供的下述第</w:t>
      </w:r>
      <w:r>
        <w:rPr>
          <w:szCs w:val="21"/>
        </w:rPr>
        <w:t>5</w:t>
      </w:r>
      <w:r>
        <w:rPr>
          <w:rFonts w:hint="eastAsia"/>
          <w:szCs w:val="21"/>
        </w:rPr>
        <w:t>点清单，在施工组织中编制专项施工方案。</w:t>
      </w:r>
    </w:p>
    <w:p>
      <w:pPr>
        <w:numPr>
          <w:ilvl w:val="0"/>
          <w:numId w:val="2"/>
        </w:numPr>
        <w:autoSpaceDE w:val="0"/>
        <w:autoSpaceDN w:val="0"/>
        <w:adjustRightInd w:val="0"/>
        <w:spacing w:line="276" w:lineRule="auto"/>
        <w:jc w:val="left"/>
        <w:rPr>
          <w:szCs w:val="21"/>
        </w:rPr>
      </w:pPr>
      <w:r>
        <w:rPr>
          <w:rFonts w:hint="eastAsia"/>
          <w:szCs w:val="21"/>
        </w:rPr>
        <w:t>对于超过一定规模的危大工程，中标单位应当组织召开专家论证会对专项施工方案进行论证。</w:t>
      </w:r>
    </w:p>
    <w:p>
      <w:pPr>
        <w:numPr>
          <w:ilvl w:val="0"/>
          <w:numId w:val="2"/>
        </w:numPr>
        <w:autoSpaceDE w:val="0"/>
        <w:autoSpaceDN w:val="0"/>
        <w:adjustRightInd w:val="0"/>
        <w:spacing w:line="276" w:lineRule="auto"/>
        <w:jc w:val="left"/>
        <w:rPr>
          <w:szCs w:val="21"/>
        </w:rPr>
      </w:pPr>
      <w:r>
        <w:rPr>
          <w:rFonts w:hint="eastAsia"/>
          <w:szCs w:val="21"/>
        </w:rPr>
        <w:t>危险性较大的分部分项工程清单及超过一定规模的危险性较大的分部分项工程清单：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1134"/>
        <w:gridCol w:w="1190"/>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b/>
                <w:szCs w:val="21"/>
              </w:rPr>
            </w:pPr>
            <w:r>
              <w:rPr>
                <w:rFonts w:hint="eastAsia"/>
                <w:b/>
                <w:szCs w:val="21"/>
              </w:rPr>
              <w:t>一、危险性较大的分部分项工程清单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szCs w:val="21"/>
              </w:rPr>
            </w:pPr>
            <w:r>
              <w:rPr>
                <w:rFonts w:hint="eastAsia"/>
                <w:szCs w:val="21"/>
              </w:rPr>
              <w:t>建设单位</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szCs w:val="21"/>
              </w:rPr>
            </w:pPr>
            <w:r>
              <w:rPr>
                <w:rFonts w:hint="eastAsia"/>
                <w:szCs w:val="21"/>
              </w:rPr>
              <w:t>投标单位</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一、基坑支护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（一）开挖深度超过</w:t>
            </w:r>
            <w:r>
              <w:rPr>
                <w:szCs w:val="21"/>
              </w:rPr>
              <w:t>3m</w:t>
            </w:r>
            <w:r>
              <w:rPr>
                <w:rFonts w:hint="eastAsia"/>
                <w:szCs w:val="21"/>
              </w:rPr>
              <w:t>（含</w:t>
            </w:r>
            <w:r>
              <w:rPr>
                <w:szCs w:val="21"/>
              </w:rPr>
              <w:t>3m</w:t>
            </w:r>
            <w:r>
              <w:rPr>
                <w:rFonts w:hint="eastAsia"/>
                <w:szCs w:val="21"/>
              </w:rPr>
              <w:t>）的基坑（槽）的土方开挖、支护、降水工程。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（二）开挖深度虽未超过</w:t>
            </w:r>
            <w:r>
              <w:rPr>
                <w:szCs w:val="21"/>
              </w:rPr>
              <w:t>3m</w:t>
            </w:r>
            <w:r>
              <w:rPr>
                <w:rFonts w:hint="eastAsia"/>
                <w:szCs w:val="21"/>
              </w:rPr>
              <w:t>，但地质条件、周围环境和地下管线复杂，或影响毗邻建、构筑物安全的基坑（槽）的土方开挖、支护、降水工程。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二、模板工程及支撑体系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（一）各类工具式模板工程：包括滑模、爬模、飞模、隧道模等工程。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（二）混凝土模板支撑工程：搭设高度</w:t>
            </w:r>
            <w:r>
              <w:rPr>
                <w:szCs w:val="21"/>
              </w:rPr>
              <w:t>5m</w:t>
            </w:r>
            <w:r>
              <w:rPr>
                <w:rFonts w:hint="eastAsia"/>
                <w:szCs w:val="21"/>
              </w:rPr>
              <w:t>及以上，或搭设跨度</w:t>
            </w:r>
            <w:r>
              <w:rPr>
                <w:szCs w:val="21"/>
              </w:rPr>
              <w:t>10m</w:t>
            </w:r>
            <w:r>
              <w:rPr>
                <w:rFonts w:hint="eastAsia"/>
                <w:szCs w:val="21"/>
              </w:rPr>
              <w:t>及以上，或施工总荷载（荷载效应基本组合的设计值，以下简称设计值）</w:t>
            </w:r>
            <w:r>
              <w:rPr>
                <w:szCs w:val="21"/>
              </w:rPr>
              <w:t>10kN/m2</w:t>
            </w:r>
            <w:r>
              <w:rPr>
                <w:rFonts w:hint="eastAsia"/>
                <w:szCs w:val="21"/>
              </w:rPr>
              <w:t>及以上，或集中线荷载（设计值）</w:t>
            </w:r>
            <w:r>
              <w:rPr>
                <w:szCs w:val="21"/>
              </w:rPr>
              <w:t>15kN/m</w:t>
            </w:r>
            <w:r>
              <w:rPr>
                <w:rFonts w:hint="eastAsia"/>
                <w:szCs w:val="21"/>
              </w:rPr>
              <w:t>及以上，或高度大于支撑水平投影宽度且相对独立无联系构件的混凝土模板支撑工程。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widowControl/>
              <w:spacing w:before="40" w:after="40" w:line="300" w:lineRule="exact"/>
              <w:rPr>
                <w:rFonts w:cs="宋体"/>
                <w:szCs w:val="21"/>
              </w:rPr>
            </w:pPr>
            <w:r>
              <w:rPr>
                <w:rFonts w:hint="eastAsia" w:cs="宋体"/>
                <w:szCs w:val="21"/>
              </w:rPr>
              <w:t>（三）承重支撑体系：用于钢结构安装等满堂支撑体系。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widowControl/>
              <w:spacing w:before="40" w:after="40" w:line="300" w:lineRule="exact"/>
              <w:rPr>
                <w:rFonts w:cs="宋体"/>
                <w:szCs w:val="21"/>
              </w:rPr>
            </w:pPr>
            <w:r>
              <w:rPr>
                <w:rFonts w:hint="eastAsia" w:cs="宋体"/>
                <w:szCs w:val="21"/>
              </w:rPr>
              <w:t>三、起重吊装及起重机械安装拆卸工程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hint="eastAsia" w:ascii="宋体" w:hAnsi="宋体"/>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widowControl/>
              <w:spacing w:before="40" w:after="40" w:line="300" w:lineRule="exact"/>
              <w:rPr>
                <w:rFonts w:cs="宋体"/>
                <w:szCs w:val="21"/>
              </w:rPr>
            </w:pPr>
            <w:r>
              <w:rPr>
                <w:rFonts w:hint="eastAsia" w:cs="宋体"/>
                <w:szCs w:val="21"/>
              </w:rPr>
              <w:t>（一）采用非常规起重设备、方法，且单件起吊重量在</w:t>
            </w:r>
            <w:r>
              <w:rPr>
                <w:rFonts w:cs="宋体"/>
                <w:szCs w:val="21"/>
              </w:rPr>
              <w:t>10kN</w:t>
            </w:r>
            <w:r>
              <w:rPr>
                <w:rFonts w:hint="eastAsia" w:cs="宋体"/>
                <w:szCs w:val="21"/>
              </w:rPr>
              <w:t>及以上的起重吊装工程。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cs="宋体"/>
                <w:szCs w:val="21"/>
              </w:rPr>
              <w:t>（二）采用起重机械进行安装的工程。</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rFonts w:cs="宋体"/>
                <w:szCs w:val="21"/>
              </w:rPr>
            </w:pPr>
            <w:r>
              <w:rPr>
                <w:rFonts w:hint="eastAsia" w:cs="宋体"/>
                <w:szCs w:val="21"/>
              </w:rPr>
              <w:t>（三）起重机械安装和拆卸工程。</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四、脚手架工程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（一）搭设高度</w:t>
            </w:r>
            <w:r>
              <w:rPr>
                <w:szCs w:val="21"/>
              </w:rPr>
              <w:t>24m</w:t>
            </w:r>
            <w:r>
              <w:rPr>
                <w:rFonts w:hint="eastAsia"/>
                <w:szCs w:val="21"/>
              </w:rPr>
              <w:t>及以上的落地式钢管脚手架工程（包括采光井、电梯井脚手架）。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（二）附着式升降脚手架工程。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（三）悬挑式脚手架工程。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（四）高处作业吊篮。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（五）卸料平台、操作平台工程。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（六）异型脚手架工程。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五、拆除工程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xml:space="preserve">( </w:t>
            </w:r>
            <w:r>
              <w:rPr>
                <w:rFonts w:hint="eastAsia"/>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可能影响行人、交通、电力设施、通讯设施或其它建、构筑物安全的拆除工程。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六、暗挖工程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采用矿山法、盾构法、顶管法施工的隧道、洞室工程。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七、其它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（一）建筑幕墙安装工程。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（二）钢结构、网架和索膜结构安装工程。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（三）人工挖孔桩工程。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（四）水下作业工程。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（五）装配式建筑混凝土预制构件安装工程。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（六）采用新技术、新工艺、新材料、新设备可能影响工程施工安全，尚无国家、行业及地方技术标准的分部分项工程。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w:t>
            </w:r>
            <w:r>
              <w:rPr>
                <w:rFonts w:hint="eastAsia" w:ascii="宋体" w:hAnsi="宋体"/>
                <w:szCs w:val="21"/>
              </w:rPr>
              <w:t xml:space="preserve"> </w:t>
            </w:r>
            <w:r>
              <w:rPr>
                <w:rFonts w:hint="eastAsia"/>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211" w:type="dxa"/>
            <w:tcBorders>
              <w:top w:val="single" w:color="auto" w:sz="4" w:space="0"/>
              <w:left w:val="single" w:color="auto" w:sz="4" w:space="0"/>
              <w:bottom w:val="single" w:color="auto" w:sz="4" w:space="0"/>
              <w:right w:val="single" w:color="auto" w:sz="4" w:space="0"/>
            </w:tcBorders>
            <w:noWrap w:val="0"/>
            <w:vAlign w:val="center"/>
          </w:tcPr>
          <w:p>
            <w:pPr>
              <w:widowControl/>
              <w:spacing w:before="40" w:after="40" w:line="300" w:lineRule="exact"/>
              <w:rPr>
                <w:rFonts w:cs="宋体"/>
                <w:b/>
                <w:szCs w:val="21"/>
              </w:rPr>
            </w:pPr>
            <w:r>
              <w:rPr>
                <w:rFonts w:hint="eastAsia" w:cs="宋体"/>
                <w:b/>
                <w:bCs/>
                <w:szCs w:val="21"/>
              </w:rPr>
              <w:t>二、超过一定规模的危险性较大的分部分项工程清单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一、深基坑工程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开挖深度超过</w:t>
            </w:r>
            <w:r>
              <w:rPr>
                <w:szCs w:val="21"/>
              </w:rPr>
              <w:t>5m</w:t>
            </w:r>
            <w:r>
              <w:rPr>
                <w:rFonts w:hint="eastAsia"/>
                <w:szCs w:val="21"/>
              </w:rPr>
              <w:t>（含</w:t>
            </w:r>
            <w:r>
              <w:rPr>
                <w:szCs w:val="21"/>
              </w:rPr>
              <w:t>5m</w:t>
            </w:r>
            <w:r>
              <w:rPr>
                <w:rFonts w:hint="eastAsia"/>
                <w:szCs w:val="21"/>
              </w:rPr>
              <w:t>）的基坑（槽）的土方开挖、支护、降水工程。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二、模板工程及支撑体系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（一）各类工具式模板工程：包括滑模、爬模、飞模、隧道模等工程。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ind w:firstLine="48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（二）混凝土模板支撑工程：搭设高度</w:t>
            </w:r>
            <w:r>
              <w:rPr>
                <w:szCs w:val="21"/>
              </w:rPr>
              <w:t>8m</w:t>
            </w:r>
            <w:r>
              <w:rPr>
                <w:rFonts w:hint="eastAsia"/>
                <w:szCs w:val="21"/>
              </w:rPr>
              <w:t>及以上，或搭设跨度</w:t>
            </w:r>
            <w:r>
              <w:rPr>
                <w:szCs w:val="21"/>
              </w:rPr>
              <w:t>18m</w:t>
            </w:r>
            <w:r>
              <w:rPr>
                <w:rFonts w:hint="eastAsia"/>
                <w:szCs w:val="21"/>
              </w:rPr>
              <w:t>及以上，或施工总荷载（设计值）</w:t>
            </w:r>
            <w:r>
              <w:rPr>
                <w:szCs w:val="21"/>
              </w:rPr>
              <w:t>15kN/m2</w:t>
            </w:r>
            <w:r>
              <w:rPr>
                <w:rFonts w:hint="eastAsia"/>
                <w:szCs w:val="21"/>
              </w:rPr>
              <w:t>及以上，或集中线荷载（设计值）</w:t>
            </w:r>
            <w:r>
              <w:rPr>
                <w:szCs w:val="21"/>
              </w:rPr>
              <w:t>20kN/m</w:t>
            </w:r>
            <w:r>
              <w:rPr>
                <w:rFonts w:hint="eastAsia"/>
                <w:szCs w:val="21"/>
              </w:rPr>
              <w:t>及以上。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（三）承重支撑体系：用于钢结构安装等满堂支撑体系，承受单点集中荷载</w:t>
            </w:r>
            <w:r>
              <w:rPr>
                <w:szCs w:val="21"/>
              </w:rPr>
              <w:t>7kN</w:t>
            </w:r>
            <w:r>
              <w:rPr>
                <w:rFonts w:hint="eastAsia"/>
                <w:szCs w:val="21"/>
              </w:rPr>
              <w:t>及以上。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left"/>
              <w:rPr>
                <w:szCs w:val="21"/>
              </w:rPr>
            </w:pPr>
            <w:r>
              <w:rPr>
                <w:rFonts w:hint="eastAsia"/>
                <w:szCs w:val="21"/>
              </w:rPr>
              <w:t>三、起重吊装及起重机械安装拆卸工程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（一）采用非常规起重设备、方法，且单件起吊重量在</w:t>
            </w:r>
            <w:r>
              <w:rPr>
                <w:szCs w:val="21"/>
              </w:rPr>
              <w:t>100kN</w:t>
            </w:r>
            <w:r>
              <w:rPr>
                <w:rFonts w:hint="eastAsia"/>
                <w:szCs w:val="21"/>
              </w:rPr>
              <w:t>及以上的起重吊装工程。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hint="eastAsia" w:ascii="宋体" w:hAnsi="宋体"/>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（二）起重量</w:t>
            </w:r>
            <w:r>
              <w:rPr>
                <w:szCs w:val="21"/>
              </w:rPr>
              <w:t>300kN</w:t>
            </w:r>
            <w:r>
              <w:rPr>
                <w:rFonts w:hint="eastAsia"/>
                <w:szCs w:val="21"/>
              </w:rPr>
              <w:t>及以上，或搭设总高度</w:t>
            </w:r>
            <w:r>
              <w:rPr>
                <w:szCs w:val="21"/>
              </w:rPr>
              <w:t>200m</w:t>
            </w:r>
            <w:r>
              <w:rPr>
                <w:rFonts w:hint="eastAsia"/>
                <w:szCs w:val="21"/>
              </w:rPr>
              <w:t>及以上，或搭设基础标高在</w:t>
            </w:r>
            <w:r>
              <w:rPr>
                <w:szCs w:val="21"/>
              </w:rPr>
              <w:t>200m</w:t>
            </w:r>
            <w:r>
              <w:rPr>
                <w:rFonts w:hint="eastAsia"/>
                <w:szCs w:val="21"/>
              </w:rPr>
              <w:t>及以上的起重机械安装和拆卸工程。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四、脚手架工程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（一）搭设高度</w:t>
            </w:r>
            <w:r>
              <w:rPr>
                <w:szCs w:val="21"/>
              </w:rPr>
              <w:t>50m</w:t>
            </w:r>
            <w:r>
              <w:rPr>
                <w:rFonts w:hint="eastAsia"/>
                <w:szCs w:val="21"/>
              </w:rPr>
              <w:t>及以上的落地式钢管脚手架工程。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（二）提升高度在</w:t>
            </w:r>
            <w:r>
              <w:rPr>
                <w:szCs w:val="21"/>
              </w:rPr>
              <w:t>150m</w:t>
            </w:r>
            <w:r>
              <w:rPr>
                <w:rFonts w:hint="eastAsia"/>
                <w:szCs w:val="21"/>
              </w:rPr>
              <w:t>及以上的附着式升降脚手架工程或附着式升降操作平台工程。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（三）分段架体搭设高度</w:t>
            </w:r>
            <w:r>
              <w:rPr>
                <w:szCs w:val="21"/>
              </w:rPr>
              <w:t>20m</w:t>
            </w:r>
            <w:r>
              <w:rPr>
                <w:rFonts w:hint="eastAsia"/>
                <w:szCs w:val="21"/>
              </w:rPr>
              <w:t>及以上的悬挑式脚手架工程。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五、拆除工程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（一）码头、桥梁、高架、烟囱、水塔或拆除中容易引起有毒有害气（液）体或粉尘扩散、易燃易爆事故发生的特殊建、构筑物的拆除工程。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（二）文物保护建筑、优秀历史建筑或历史文化风貌区影响范围内的拆除工程。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六、暗挖工程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采用矿山法、盾构法、顶管法施工的隧道、洞室工程。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七、其它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（一）施工高度</w:t>
            </w:r>
            <w:r>
              <w:rPr>
                <w:szCs w:val="21"/>
              </w:rPr>
              <w:t>50m</w:t>
            </w:r>
            <w:r>
              <w:rPr>
                <w:rFonts w:hint="eastAsia"/>
                <w:szCs w:val="21"/>
              </w:rPr>
              <w:t>及以上的建筑幕墙安装工程。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hint="eastAsia"/>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（二）跨度</w:t>
            </w:r>
            <w:r>
              <w:rPr>
                <w:szCs w:val="21"/>
              </w:rPr>
              <w:t>36m</w:t>
            </w:r>
            <w:r>
              <w:rPr>
                <w:rFonts w:hint="eastAsia"/>
                <w:szCs w:val="21"/>
              </w:rPr>
              <w:t>及以上的钢结构安装工程，或跨度</w:t>
            </w:r>
            <w:r>
              <w:rPr>
                <w:szCs w:val="21"/>
              </w:rPr>
              <w:t>60m</w:t>
            </w:r>
            <w:r>
              <w:rPr>
                <w:rFonts w:hint="eastAsia"/>
                <w:szCs w:val="21"/>
              </w:rPr>
              <w:t>及以上的网架和索膜结构安装工程。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（三）开挖深度</w:t>
            </w:r>
            <w:r>
              <w:rPr>
                <w:szCs w:val="21"/>
              </w:rPr>
              <w:t>16m</w:t>
            </w:r>
            <w:r>
              <w:rPr>
                <w:rFonts w:hint="eastAsia"/>
                <w:szCs w:val="21"/>
              </w:rPr>
              <w:t>及以上的人工挖孔桩工程。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（四）水下作业工程。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（五）重量</w:t>
            </w:r>
            <w:r>
              <w:rPr>
                <w:szCs w:val="21"/>
              </w:rPr>
              <w:t>1000kN</w:t>
            </w:r>
            <w:r>
              <w:rPr>
                <w:rFonts w:hint="eastAsia"/>
                <w:szCs w:val="21"/>
              </w:rPr>
              <w:t>及以上的大型结构整体顶升、平移、转体等施工工艺。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rPr>
                <w:szCs w:val="21"/>
              </w:rPr>
            </w:pPr>
            <w:r>
              <w:rPr>
                <w:rFonts w:hint="eastAsia"/>
                <w:szCs w:val="21"/>
              </w:rPr>
              <w:t>（六）采用新技术、新工艺、新材料、新设备可能影响工程施工安全，尚无国家、行业及地方技术标准的分部分项工程。</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ascii="宋体" w:hAnsi="宋体"/>
                <w:szCs w:val="21"/>
              </w:rPr>
              <w:t xml:space="preserve">( </w:t>
            </w:r>
            <w:r>
              <w:rPr>
                <w:rFonts w:hint="eastAsia"/>
                <w:szCs w:val="21"/>
              </w:rPr>
              <w:t xml:space="preserve">  </w:t>
            </w:r>
            <w:r>
              <w:rPr>
                <w:rFonts w:ascii="宋体" w:hAnsi="宋体"/>
                <w:szCs w:val="21"/>
              </w:rPr>
              <w:t>)</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r>
              <w:rPr>
                <w:rFonts w:ascii="宋体" w:hAnsi="宋体"/>
                <w:szCs w:val="21"/>
              </w:rPr>
              <w:t>(    )</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before="40" w:after="40" w:line="300" w:lineRule="exact"/>
              <w:jc w:val="center"/>
              <w:rPr>
                <w:rFonts w:ascii="宋体" w:hAnsi="宋体"/>
                <w:szCs w:val="21"/>
              </w:rPr>
            </w:pPr>
          </w:p>
        </w:tc>
      </w:tr>
    </w:tbl>
    <w:p>
      <w:pPr>
        <w:spacing w:line="360" w:lineRule="auto"/>
        <w:ind w:firstLine="3000" w:firstLineChars="1250"/>
        <w:rPr>
          <w:rFonts w:cs="宋体"/>
          <w:sz w:val="24"/>
          <w:szCs w:val="20"/>
          <w:u w:val="single"/>
        </w:rPr>
      </w:pPr>
      <w:r>
        <w:rPr>
          <w:rFonts w:hint="eastAsia" w:cs="宋体"/>
          <w:sz w:val="24"/>
          <w:szCs w:val="20"/>
        </w:rPr>
        <w:t>投标人名称（盖法人公章）：</w:t>
      </w:r>
    </w:p>
    <w:p>
      <w:pPr>
        <w:spacing w:line="360" w:lineRule="auto"/>
        <w:ind w:firstLine="3000" w:firstLineChars="1250"/>
        <w:rPr>
          <w:rFonts w:cs="宋体"/>
          <w:sz w:val="24"/>
          <w:szCs w:val="20"/>
          <w:u w:val="single"/>
        </w:rPr>
      </w:pPr>
      <w:r>
        <w:rPr>
          <w:rFonts w:hint="eastAsia" w:cs="宋体"/>
          <w:sz w:val="24"/>
          <w:szCs w:val="20"/>
        </w:rPr>
        <w:t>法定代表人或被授权人（签字或盖章）：</w:t>
      </w:r>
    </w:p>
    <w:p>
      <w:pPr>
        <w:ind w:firstLine="3000" w:firstLineChars="1250"/>
        <w:rPr>
          <w:rFonts w:hint="eastAsia" w:cs="宋体"/>
          <w:sz w:val="24"/>
          <w:szCs w:val="20"/>
        </w:rPr>
      </w:pPr>
      <w:r>
        <w:rPr>
          <w:rFonts w:hint="eastAsia" w:cs="宋体"/>
          <w:sz w:val="24"/>
          <w:szCs w:val="20"/>
        </w:rPr>
        <w:t>日期：</w:t>
      </w:r>
      <w:r>
        <w:rPr>
          <w:rFonts w:cs="宋体"/>
          <w:sz w:val="24"/>
          <w:szCs w:val="20"/>
        </w:rPr>
        <w:t xml:space="preserve">   </w:t>
      </w:r>
      <w:r>
        <w:rPr>
          <w:rFonts w:hint="eastAsia" w:cs="宋体"/>
          <w:sz w:val="24"/>
          <w:szCs w:val="20"/>
        </w:rPr>
        <w:t>年</w:t>
      </w:r>
      <w:r>
        <w:rPr>
          <w:rFonts w:cs="宋体"/>
          <w:sz w:val="24"/>
          <w:szCs w:val="20"/>
        </w:rPr>
        <w:t xml:space="preserve">  </w:t>
      </w:r>
      <w:r>
        <w:rPr>
          <w:rFonts w:hint="eastAsia" w:cs="宋体"/>
          <w:sz w:val="24"/>
          <w:szCs w:val="20"/>
        </w:rPr>
        <w:t>月</w:t>
      </w:r>
      <w:r>
        <w:rPr>
          <w:rFonts w:cs="宋体"/>
          <w:sz w:val="24"/>
          <w:szCs w:val="20"/>
        </w:rPr>
        <w:t xml:space="preserve">  </w:t>
      </w:r>
      <w:r>
        <w:rPr>
          <w:rFonts w:hint="eastAsia" w:cs="宋体"/>
          <w:sz w:val="24"/>
          <w:szCs w:val="2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jc w:val="center"/>
      <w:rPr>
        <w:rStyle w:val="20"/>
      </w:rPr>
    </w:pPr>
    <w:r>
      <w:rPr>
        <w:rStyle w:val="20"/>
      </w:rPr>
      <w:fldChar w:fldCharType="begin"/>
    </w:r>
    <w:r>
      <w:rPr>
        <w:rStyle w:val="20"/>
      </w:rPr>
      <w:instrText xml:space="preserve">PAGE  </w:instrText>
    </w:r>
    <w:r>
      <w:rPr>
        <w:rStyle w:val="20"/>
      </w:rPr>
      <w:fldChar w:fldCharType="separate"/>
    </w:r>
    <w:r>
      <w:rPr>
        <w:rStyle w:val="20"/>
      </w:rPr>
      <w:t>81</w:t>
    </w:r>
    <w:r>
      <w:rPr>
        <w:rStyle w:val="20"/>
      </w:rPr>
      <w:fldChar w:fldCharType="end"/>
    </w:r>
  </w:p>
  <w:p>
    <w:pPr>
      <w:pStyle w:val="13"/>
      <w:framePr w:wrap="around" w:vAnchor="text" w:hAnchor="margin" w:xAlign="outside" w:y="1"/>
      <w:ind w:left="-4410" w:leftChars="-2100" w:right="-4439" w:rightChars="-2114"/>
      <w:rPr>
        <w:rStyle w:val="20"/>
      </w:rPr>
    </w:pPr>
  </w:p>
  <w:p>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separate"/>
    </w:r>
    <w:r>
      <w:rPr>
        <w:rStyle w:val="20"/>
        <w:rFonts w:hint="eastAsia"/>
      </w:rPr>
      <w:t>一</w:t>
    </w:r>
    <w:r>
      <w:rPr>
        <w:rStyle w:val="20"/>
      </w:rPr>
      <w:t>–2</w:t>
    </w:r>
    <w:r>
      <w:rPr>
        <w:rStyle w:val="20"/>
      </w:rPr>
      <w:fldChar w:fldCharType="end"/>
    </w:r>
  </w:p>
  <w:p>
    <w:pPr>
      <w:pStyle w:val="13"/>
      <w:ind w:right="360" w:firstLine="360"/>
      <w:jc w:val="center"/>
    </w:pPr>
    <w:r>
      <w:rPr>
        <w:kern w:val="0"/>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Style w:val="20"/>
      </w:rPr>
      <w:fldChar w:fldCharType="begin"/>
    </w:r>
    <w:r>
      <w:rPr>
        <w:rStyle w:val="20"/>
      </w:rPr>
      <w:instrText xml:space="preserve"> PAGE </w:instrText>
    </w:r>
    <w:r>
      <w:rPr>
        <w:rStyle w:val="20"/>
      </w:rPr>
      <w:fldChar w:fldCharType="separate"/>
    </w:r>
    <w:r>
      <w:rPr>
        <w:rStyle w:val="20"/>
      </w:rPr>
      <w:t>76</w:t>
    </w:r>
    <w:r>
      <w:rPr>
        <w:rStyle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0000012"/>
    <w:multiLevelType w:val="multilevel"/>
    <w:tmpl w:val="000000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3FF004"/>
    <w:multiLevelType w:val="singleLevel"/>
    <w:tmpl w:val="693FF004"/>
    <w:lvl w:ilvl="0" w:tentative="0">
      <w:start w:val="1"/>
      <w:numFmt w:val="chineseCounting"/>
      <w:suff w:val="nothing"/>
      <w:lvlText w:val="%1、"/>
      <w:lvlJc w:val="left"/>
      <w:rPr>
        <w:rFonts w:hint="eastAsi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YzkyYjk2ZDUxNWFlN2FlMTk1ZjUzNjkzZTRlNzYifQ=="/>
  </w:docVars>
  <w:rsids>
    <w:rsidRoot w:val="00C0101D"/>
    <w:rsid w:val="0000700C"/>
    <w:rsid w:val="00007A37"/>
    <w:rsid w:val="0001091F"/>
    <w:rsid w:val="0001703D"/>
    <w:rsid w:val="00017418"/>
    <w:rsid w:val="00020571"/>
    <w:rsid w:val="00023CDC"/>
    <w:rsid w:val="00023FD9"/>
    <w:rsid w:val="000248FC"/>
    <w:rsid w:val="00030B09"/>
    <w:rsid w:val="00032D92"/>
    <w:rsid w:val="0003301E"/>
    <w:rsid w:val="0003372D"/>
    <w:rsid w:val="00033D02"/>
    <w:rsid w:val="00035246"/>
    <w:rsid w:val="00053863"/>
    <w:rsid w:val="000565F5"/>
    <w:rsid w:val="000620C2"/>
    <w:rsid w:val="00064831"/>
    <w:rsid w:val="00066B3A"/>
    <w:rsid w:val="00070C08"/>
    <w:rsid w:val="00071D27"/>
    <w:rsid w:val="000732E6"/>
    <w:rsid w:val="00073DB6"/>
    <w:rsid w:val="00073FBA"/>
    <w:rsid w:val="00077610"/>
    <w:rsid w:val="00077FF3"/>
    <w:rsid w:val="000900D5"/>
    <w:rsid w:val="00090CD1"/>
    <w:rsid w:val="00092B73"/>
    <w:rsid w:val="00092F0B"/>
    <w:rsid w:val="00094710"/>
    <w:rsid w:val="00096E08"/>
    <w:rsid w:val="000977CC"/>
    <w:rsid w:val="00097C7C"/>
    <w:rsid w:val="000A1F32"/>
    <w:rsid w:val="000A2509"/>
    <w:rsid w:val="000A29A8"/>
    <w:rsid w:val="000A3059"/>
    <w:rsid w:val="000A6AEE"/>
    <w:rsid w:val="000A7B5A"/>
    <w:rsid w:val="000B35F9"/>
    <w:rsid w:val="000B47E6"/>
    <w:rsid w:val="000B6BE6"/>
    <w:rsid w:val="000C17AB"/>
    <w:rsid w:val="000C571C"/>
    <w:rsid w:val="000C7DFC"/>
    <w:rsid w:val="000D09EE"/>
    <w:rsid w:val="000D2714"/>
    <w:rsid w:val="000D3C7E"/>
    <w:rsid w:val="000D42F3"/>
    <w:rsid w:val="000D56BF"/>
    <w:rsid w:val="000E0B5A"/>
    <w:rsid w:val="000E0C60"/>
    <w:rsid w:val="000E16BE"/>
    <w:rsid w:val="000E3D98"/>
    <w:rsid w:val="000F0052"/>
    <w:rsid w:val="000F01F7"/>
    <w:rsid w:val="000F0DA1"/>
    <w:rsid w:val="000F2EC8"/>
    <w:rsid w:val="000F7905"/>
    <w:rsid w:val="00102318"/>
    <w:rsid w:val="0010251F"/>
    <w:rsid w:val="0010427E"/>
    <w:rsid w:val="00104A3F"/>
    <w:rsid w:val="0010697A"/>
    <w:rsid w:val="001139B6"/>
    <w:rsid w:val="0011432F"/>
    <w:rsid w:val="00115350"/>
    <w:rsid w:val="001163C6"/>
    <w:rsid w:val="00117D6D"/>
    <w:rsid w:val="00120597"/>
    <w:rsid w:val="00123911"/>
    <w:rsid w:val="0013024C"/>
    <w:rsid w:val="00132024"/>
    <w:rsid w:val="00134EA9"/>
    <w:rsid w:val="00136FDA"/>
    <w:rsid w:val="001437B5"/>
    <w:rsid w:val="00143EC9"/>
    <w:rsid w:val="0014556F"/>
    <w:rsid w:val="00147D78"/>
    <w:rsid w:val="00150DF1"/>
    <w:rsid w:val="00150FA3"/>
    <w:rsid w:val="001551F2"/>
    <w:rsid w:val="001608D2"/>
    <w:rsid w:val="001639FB"/>
    <w:rsid w:val="00166669"/>
    <w:rsid w:val="001675D8"/>
    <w:rsid w:val="001766A9"/>
    <w:rsid w:val="00180612"/>
    <w:rsid w:val="0018161B"/>
    <w:rsid w:val="00181C0E"/>
    <w:rsid w:val="00183208"/>
    <w:rsid w:val="00183322"/>
    <w:rsid w:val="00195FC4"/>
    <w:rsid w:val="00197469"/>
    <w:rsid w:val="00197D91"/>
    <w:rsid w:val="001A1267"/>
    <w:rsid w:val="001A5E4F"/>
    <w:rsid w:val="001A6916"/>
    <w:rsid w:val="001B3305"/>
    <w:rsid w:val="001B3444"/>
    <w:rsid w:val="001B49A4"/>
    <w:rsid w:val="001B6123"/>
    <w:rsid w:val="001C1003"/>
    <w:rsid w:val="001C1968"/>
    <w:rsid w:val="001C3E86"/>
    <w:rsid w:val="001C4FE2"/>
    <w:rsid w:val="001C71BC"/>
    <w:rsid w:val="001D13BB"/>
    <w:rsid w:val="001D3D2C"/>
    <w:rsid w:val="001D47CA"/>
    <w:rsid w:val="001D4871"/>
    <w:rsid w:val="001D63A2"/>
    <w:rsid w:val="001E1075"/>
    <w:rsid w:val="001E1B41"/>
    <w:rsid w:val="001E4082"/>
    <w:rsid w:val="001E4F9D"/>
    <w:rsid w:val="001F1A68"/>
    <w:rsid w:val="001F59AF"/>
    <w:rsid w:val="00201917"/>
    <w:rsid w:val="00204AB5"/>
    <w:rsid w:val="00206A70"/>
    <w:rsid w:val="00212A4B"/>
    <w:rsid w:val="002160D0"/>
    <w:rsid w:val="00216F1D"/>
    <w:rsid w:val="00220E53"/>
    <w:rsid w:val="00221342"/>
    <w:rsid w:val="00222932"/>
    <w:rsid w:val="00223A70"/>
    <w:rsid w:val="00227C5F"/>
    <w:rsid w:val="002302D7"/>
    <w:rsid w:val="00231322"/>
    <w:rsid w:val="00232E21"/>
    <w:rsid w:val="00233D7F"/>
    <w:rsid w:val="00241534"/>
    <w:rsid w:val="00241930"/>
    <w:rsid w:val="00241B6B"/>
    <w:rsid w:val="00242B09"/>
    <w:rsid w:val="00244FA6"/>
    <w:rsid w:val="00245506"/>
    <w:rsid w:val="002475BE"/>
    <w:rsid w:val="002502C5"/>
    <w:rsid w:val="0025292B"/>
    <w:rsid w:val="00255A09"/>
    <w:rsid w:val="002574EA"/>
    <w:rsid w:val="002577DD"/>
    <w:rsid w:val="002608E2"/>
    <w:rsid w:val="0026301A"/>
    <w:rsid w:val="00263E7D"/>
    <w:rsid w:val="00265483"/>
    <w:rsid w:val="00267246"/>
    <w:rsid w:val="002720F8"/>
    <w:rsid w:val="00272A32"/>
    <w:rsid w:val="00276040"/>
    <w:rsid w:val="00276B16"/>
    <w:rsid w:val="00276F9F"/>
    <w:rsid w:val="002804BB"/>
    <w:rsid w:val="00281CF6"/>
    <w:rsid w:val="00283BB1"/>
    <w:rsid w:val="00283D36"/>
    <w:rsid w:val="00284ACA"/>
    <w:rsid w:val="00284F18"/>
    <w:rsid w:val="002916A7"/>
    <w:rsid w:val="002929C3"/>
    <w:rsid w:val="00294AD2"/>
    <w:rsid w:val="00295148"/>
    <w:rsid w:val="002A0FD7"/>
    <w:rsid w:val="002A4AEC"/>
    <w:rsid w:val="002A6629"/>
    <w:rsid w:val="002A6C28"/>
    <w:rsid w:val="002A7231"/>
    <w:rsid w:val="002B0187"/>
    <w:rsid w:val="002B3502"/>
    <w:rsid w:val="002B762D"/>
    <w:rsid w:val="002C5A28"/>
    <w:rsid w:val="002D0EB1"/>
    <w:rsid w:val="002D21D1"/>
    <w:rsid w:val="002D587C"/>
    <w:rsid w:val="002D6202"/>
    <w:rsid w:val="002E16E6"/>
    <w:rsid w:val="002E5E32"/>
    <w:rsid w:val="002F13BA"/>
    <w:rsid w:val="002F5302"/>
    <w:rsid w:val="002F771F"/>
    <w:rsid w:val="00300D93"/>
    <w:rsid w:val="0030709A"/>
    <w:rsid w:val="00313B93"/>
    <w:rsid w:val="00313BC3"/>
    <w:rsid w:val="00315621"/>
    <w:rsid w:val="003163BB"/>
    <w:rsid w:val="003203BF"/>
    <w:rsid w:val="003214C6"/>
    <w:rsid w:val="00323573"/>
    <w:rsid w:val="00324BD2"/>
    <w:rsid w:val="00325326"/>
    <w:rsid w:val="00325DC0"/>
    <w:rsid w:val="00325FD1"/>
    <w:rsid w:val="0032607B"/>
    <w:rsid w:val="0032795C"/>
    <w:rsid w:val="00330137"/>
    <w:rsid w:val="00333007"/>
    <w:rsid w:val="003343C5"/>
    <w:rsid w:val="00340E8F"/>
    <w:rsid w:val="00341D5A"/>
    <w:rsid w:val="00341F62"/>
    <w:rsid w:val="00344151"/>
    <w:rsid w:val="0035067E"/>
    <w:rsid w:val="003524A5"/>
    <w:rsid w:val="003533FC"/>
    <w:rsid w:val="003571A2"/>
    <w:rsid w:val="0036002C"/>
    <w:rsid w:val="00360669"/>
    <w:rsid w:val="00362256"/>
    <w:rsid w:val="003737C5"/>
    <w:rsid w:val="00373BDD"/>
    <w:rsid w:val="00373CD0"/>
    <w:rsid w:val="003759A5"/>
    <w:rsid w:val="003769B4"/>
    <w:rsid w:val="00380D99"/>
    <w:rsid w:val="00381A95"/>
    <w:rsid w:val="00384D0D"/>
    <w:rsid w:val="00386F04"/>
    <w:rsid w:val="00393CA5"/>
    <w:rsid w:val="00395DA1"/>
    <w:rsid w:val="003A59DF"/>
    <w:rsid w:val="003A73D9"/>
    <w:rsid w:val="003B100A"/>
    <w:rsid w:val="003B1EEC"/>
    <w:rsid w:val="003B28A2"/>
    <w:rsid w:val="003B5E5D"/>
    <w:rsid w:val="003C0051"/>
    <w:rsid w:val="003C0BD3"/>
    <w:rsid w:val="003C3E09"/>
    <w:rsid w:val="003C5441"/>
    <w:rsid w:val="003C58C8"/>
    <w:rsid w:val="003C60FB"/>
    <w:rsid w:val="003C6BE2"/>
    <w:rsid w:val="003D48A2"/>
    <w:rsid w:val="003D57FA"/>
    <w:rsid w:val="003D64F6"/>
    <w:rsid w:val="003D78B0"/>
    <w:rsid w:val="003E0212"/>
    <w:rsid w:val="003E472D"/>
    <w:rsid w:val="003E734C"/>
    <w:rsid w:val="003E7614"/>
    <w:rsid w:val="003F79B5"/>
    <w:rsid w:val="003F7F19"/>
    <w:rsid w:val="00401A34"/>
    <w:rsid w:val="004067FE"/>
    <w:rsid w:val="00407569"/>
    <w:rsid w:val="00407DC4"/>
    <w:rsid w:val="00413D62"/>
    <w:rsid w:val="004150CE"/>
    <w:rsid w:val="00416971"/>
    <w:rsid w:val="0041778C"/>
    <w:rsid w:val="0042055F"/>
    <w:rsid w:val="00421E56"/>
    <w:rsid w:val="00422B28"/>
    <w:rsid w:val="00423BB7"/>
    <w:rsid w:val="0042404D"/>
    <w:rsid w:val="00424302"/>
    <w:rsid w:val="00425FA1"/>
    <w:rsid w:val="00427110"/>
    <w:rsid w:val="00431597"/>
    <w:rsid w:val="00435429"/>
    <w:rsid w:val="00441812"/>
    <w:rsid w:val="00443F6B"/>
    <w:rsid w:val="00446468"/>
    <w:rsid w:val="00446546"/>
    <w:rsid w:val="00446C71"/>
    <w:rsid w:val="00446EBF"/>
    <w:rsid w:val="004507A7"/>
    <w:rsid w:val="00451A52"/>
    <w:rsid w:val="0045585C"/>
    <w:rsid w:val="004620B1"/>
    <w:rsid w:val="00463AAC"/>
    <w:rsid w:val="00465D8C"/>
    <w:rsid w:val="00472D81"/>
    <w:rsid w:val="00474290"/>
    <w:rsid w:val="00474740"/>
    <w:rsid w:val="004769D4"/>
    <w:rsid w:val="00477F78"/>
    <w:rsid w:val="00482E37"/>
    <w:rsid w:val="004906F5"/>
    <w:rsid w:val="00490CD9"/>
    <w:rsid w:val="004929E6"/>
    <w:rsid w:val="00495527"/>
    <w:rsid w:val="004A1944"/>
    <w:rsid w:val="004A6D9F"/>
    <w:rsid w:val="004B35B8"/>
    <w:rsid w:val="004B4CD4"/>
    <w:rsid w:val="004B6C36"/>
    <w:rsid w:val="004B77A1"/>
    <w:rsid w:val="004C30E3"/>
    <w:rsid w:val="004C7832"/>
    <w:rsid w:val="004D1265"/>
    <w:rsid w:val="004D16B2"/>
    <w:rsid w:val="004D1B5C"/>
    <w:rsid w:val="004D284E"/>
    <w:rsid w:val="004D325D"/>
    <w:rsid w:val="004D6290"/>
    <w:rsid w:val="004D7CDB"/>
    <w:rsid w:val="004E055F"/>
    <w:rsid w:val="004E081C"/>
    <w:rsid w:val="004E3FE9"/>
    <w:rsid w:val="004E6737"/>
    <w:rsid w:val="004F08A8"/>
    <w:rsid w:val="004F19A2"/>
    <w:rsid w:val="004F3224"/>
    <w:rsid w:val="004F599E"/>
    <w:rsid w:val="004F7AF2"/>
    <w:rsid w:val="00500C3B"/>
    <w:rsid w:val="00501A1E"/>
    <w:rsid w:val="005068BF"/>
    <w:rsid w:val="005111D0"/>
    <w:rsid w:val="0051222D"/>
    <w:rsid w:val="00512E63"/>
    <w:rsid w:val="00514D79"/>
    <w:rsid w:val="00516D44"/>
    <w:rsid w:val="005179C4"/>
    <w:rsid w:val="00523AC1"/>
    <w:rsid w:val="00523F73"/>
    <w:rsid w:val="005305B5"/>
    <w:rsid w:val="00534A23"/>
    <w:rsid w:val="00544C73"/>
    <w:rsid w:val="00546C7A"/>
    <w:rsid w:val="005515EC"/>
    <w:rsid w:val="00552500"/>
    <w:rsid w:val="00554606"/>
    <w:rsid w:val="0055589A"/>
    <w:rsid w:val="0055610A"/>
    <w:rsid w:val="0056098A"/>
    <w:rsid w:val="00563CD3"/>
    <w:rsid w:val="00567E96"/>
    <w:rsid w:val="005702A9"/>
    <w:rsid w:val="0057076C"/>
    <w:rsid w:val="00570A17"/>
    <w:rsid w:val="00570A87"/>
    <w:rsid w:val="005721A9"/>
    <w:rsid w:val="005727D8"/>
    <w:rsid w:val="00572F61"/>
    <w:rsid w:val="005734E8"/>
    <w:rsid w:val="0057356E"/>
    <w:rsid w:val="00577BB6"/>
    <w:rsid w:val="00580006"/>
    <w:rsid w:val="00580312"/>
    <w:rsid w:val="005809AB"/>
    <w:rsid w:val="005834CE"/>
    <w:rsid w:val="00583CA6"/>
    <w:rsid w:val="00587E7E"/>
    <w:rsid w:val="00594151"/>
    <w:rsid w:val="00595D91"/>
    <w:rsid w:val="00596461"/>
    <w:rsid w:val="005967C7"/>
    <w:rsid w:val="005A02C2"/>
    <w:rsid w:val="005A2D53"/>
    <w:rsid w:val="005A2F1E"/>
    <w:rsid w:val="005A3E0A"/>
    <w:rsid w:val="005A3FF0"/>
    <w:rsid w:val="005A77FC"/>
    <w:rsid w:val="005A7D1B"/>
    <w:rsid w:val="005B59D6"/>
    <w:rsid w:val="005B6049"/>
    <w:rsid w:val="005B7F07"/>
    <w:rsid w:val="005C02BF"/>
    <w:rsid w:val="005C2D1C"/>
    <w:rsid w:val="005D06E3"/>
    <w:rsid w:val="005D1DE8"/>
    <w:rsid w:val="005D1E5E"/>
    <w:rsid w:val="005D23C2"/>
    <w:rsid w:val="005D425E"/>
    <w:rsid w:val="005D5F74"/>
    <w:rsid w:val="005D6CB5"/>
    <w:rsid w:val="005E6BDF"/>
    <w:rsid w:val="005F37DB"/>
    <w:rsid w:val="005F403A"/>
    <w:rsid w:val="005F5B49"/>
    <w:rsid w:val="006012A2"/>
    <w:rsid w:val="0060352E"/>
    <w:rsid w:val="00604924"/>
    <w:rsid w:val="00604BA4"/>
    <w:rsid w:val="00606139"/>
    <w:rsid w:val="00607483"/>
    <w:rsid w:val="0061031E"/>
    <w:rsid w:val="006119AC"/>
    <w:rsid w:val="00622D15"/>
    <w:rsid w:val="00634B77"/>
    <w:rsid w:val="00634C56"/>
    <w:rsid w:val="0064150C"/>
    <w:rsid w:val="00641830"/>
    <w:rsid w:val="006439B2"/>
    <w:rsid w:val="006457D4"/>
    <w:rsid w:val="00645815"/>
    <w:rsid w:val="006508B7"/>
    <w:rsid w:val="00651EC3"/>
    <w:rsid w:val="00651FE2"/>
    <w:rsid w:val="0065394A"/>
    <w:rsid w:val="00655135"/>
    <w:rsid w:val="006606D0"/>
    <w:rsid w:val="00660DB0"/>
    <w:rsid w:val="00661424"/>
    <w:rsid w:val="00666646"/>
    <w:rsid w:val="006667EC"/>
    <w:rsid w:val="00673772"/>
    <w:rsid w:val="0067712A"/>
    <w:rsid w:val="006773A7"/>
    <w:rsid w:val="00683769"/>
    <w:rsid w:val="00684A21"/>
    <w:rsid w:val="00684A70"/>
    <w:rsid w:val="006856BD"/>
    <w:rsid w:val="006863B5"/>
    <w:rsid w:val="00687FF1"/>
    <w:rsid w:val="0069275C"/>
    <w:rsid w:val="006939C5"/>
    <w:rsid w:val="00696208"/>
    <w:rsid w:val="006A0B14"/>
    <w:rsid w:val="006A2CAE"/>
    <w:rsid w:val="006A6105"/>
    <w:rsid w:val="006A7C26"/>
    <w:rsid w:val="006B0B25"/>
    <w:rsid w:val="006B4F07"/>
    <w:rsid w:val="006C1C55"/>
    <w:rsid w:val="006C3F96"/>
    <w:rsid w:val="006C4596"/>
    <w:rsid w:val="006C4BBA"/>
    <w:rsid w:val="006C6A88"/>
    <w:rsid w:val="006D01F0"/>
    <w:rsid w:val="006D0CF2"/>
    <w:rsid w:val="006D22D0"/>
    <w:rsid w:val="006D6333"/>
    <w:rsid w:val="006D6EDA"/>
    <w:rsid w:val="006E09DE"/>
    <w:rsid w:val="006E2484"/>
    <w:rsid w:val="006E30D7"/>
    <w:rsid w:val="006E67AA"/>
    <w:rsid w:val="006E78B6"/>
    <w:rsid w:val="006F70F3"/>
    <w:rsid w:val="006F789A"/>
    <w:rsid w:val="00700612"/>
    <w:rsid w:val="0070099F"/>
    <w:rsid w:val="00702876"/>
    <w:rsid w:val="00703063"/>
    <w:rsid w:val="0070386D"/>
    <w:rsid w:val="00703C01"/>
    <w:rsid w:val="00704416"/>
    <w:rsid w:val="00704ADE"/>
    <w:rsid w:val="00705D8F"/>
    <w:rsid w:val="00706741"/>
    <w:rsid w:val="00711410"/>
    <w:rsid w:val="00713BAF"/>
    <w:rsid w:val="00715402"/>
    <w:rsid w:val="00720CBE"/>
    <w:rsid w:val="00722930"/>
    <w:rsid w:val="00730BF5"/>
    <w:rsid w:val="00732914"/>
    <w:rsid w:val="00734DA6"/>
    <w:rsid w:val="00737727"/>
    <w:rsid w:val="00743BB6"/>
    <w:rsid w:val="00744449"/>
    <w:rsid w:val="007450A2"/>
    <w:rsid w:val="00750BD6"/>
    <w:rsid w:val="0075345B"/>
    <w:rsid w:val="00753587"/>
    <w:rsid w:val="007556C2"/>
    <w:rsid w:val="00756940"/>
    <w:rsid w:val="00763A74"/>
    <w:rsid w:val="00763D7B"/>
    <w:rsid w:val="00766CD4"/>
    <w:rsid w:val="00767CA7"/>
    <w:rsid w:val="00767ED0"/>
    <w:rsid w:val="00770EED"/>
    <w:rsid w:val="00771425"/>
    <w:rsid w:val="00771C84"/>
    <w:rsid w:val="007745B6"/>
    <w:rsid w:val="00776513"/>
    <w:rsid w:val="00777047"/>
    <w:rsid w:val="00777EF0"/>
    <w:rsid w:val="0078114C"/>
    <w:rsid w:val="007822D5"/>
    <w:rsid w:val="00783275"/>
    <w:rsid w:val="00784942"/>
    <w:rsid w:val="00784E29"/>
    <w:rsid w:val="00785769"/>
    <w:rsid w:val="0079019B"/>
    <w:rsid w:val="00791BE1"/>
    <w:rsid w:val="0079244D"/>
    <w:rsid w:val="00792C5D"/>
    <w:rsid w:val="00794C6B"/>
    <w:rsid w:val="007A0BB6"/>
    <w:rsid w:val="007A2CED"/>
    <w:rsid w:val="007A5C1C"/>
    <w:rsid w:val="007B06C5"/>
    <w:rsid w:val="007B4DA5"/>
    <w:rsid w:val="007B6E7B"/>
    <w:rsid w:val="007C1040"/>
    <w:rsid w:val="007D033E"/>
    <w:rsid w:val="007D25B7"/>
    <w:rsid w:val="007D2C32"/>
    <w:rsid w:val="007D388A"/>
    <w:rsid w:val="007D50F1"/>
    <w:rsid w:val="007E52AF"/>
    <w:rsid w:val="007F3DE1"/>
    <w:rsid w:val="007F45EF"/>
    <w:rsid w:val="00800F1D"/>
    <w:rsid w:val="00803B52"/>
    <w:rsid w:val="00804D76"/>
    <w:rsid w:val="00806548"/>
    <w:rsid w:val="008072D9"/>
    <w:rsid w:val="0081291A"/>
    <w:rsid w:val="0081459E"/>
    <w:rsid w:val="00815C0D"/>
    <w:rsid w:val="0081643C"/>
    <w:rsid w:val="0082471E"/>
    <w:rsid w:val="00824FF8"/>
    <w:rsid w:val="008320DE"/>
    <w:rsid w:val="00833663"/>
    <w:rsid w:val="00835F09"/>
    <w:rsid w:val="00836A75"/>
    <w:rsid w:val="00844711"/>
    <w:rsid w:val="008467E2"/>
    <w:rsid w:val="008508C6"/>
    <w:rsid w:val="0085330B"/>
    <w:rsid w:val="008560C5"/>
    <w:rsid w:val="00861196"/>
    <w:rsid w:val="00861E91"/>
    <w:rsid w:val="00865BE8"/>
    <w:rsid w:val="00866C87"/>
    <w:rsid w:val="0086772B"/>
    <w:rsid w:val="00870D16"/>
    <w:rsid w:val="0088196D"/>
    <w:rsid w:val="00881C16"/>
    <w:rsid w:val="008825A4"/>
    <w:rsid w:val="008827A6"/>
    <w:rsid w:val="00882DD3"/>
    <w:rsid w:val="00885AB9"/>
    <w:rsid w:val="00890525"/>
    <w:rsid w:val="008938B4"/>
    <w:rsid w:val="0089478D"/>
    <w:rsid w:val="008977E3"/>
    <w:rsid w:val="008A2854"/>
    <w:rsid w:val="008A2B36"/>
    <w:rsid w:val="008A580D"/>
    <w:rsid w:val="008A7B77"/>
    <w:rsid w:val="008B4767"/>
    <w:rsid w:val="008B5595"/>
    <w:rsid w:val="008C02DD"/>
    <w:rsid w:val="008C0BD2"/>
    <w:rsid w:val="008C0E34"/>
    <w:rsid w:val="008C0E91"/>
    <w:rsid w:val="008C12BE"/>
    <w:rsid w:val="008C3EE2"/>
    <w:rsid w:val="008C782A"/>
    <w:rsid w:val="008D1154"/>
    <w:rsid w:val="008D39B3"/>
    <w:rsid w:val="008D453A"/>
    <w:rsid w:val="008D4633"/>
    <w:rsid w:val="008D53F0"/>
    <w:rsid w:val="008E507F"/>
    <w:rsid w:val="008E7742"/>
    <w:rsid w:val="008F1C43"/>
    <w:rsid w:val="008F2FAD"/>
    <w:rsid w:val="008F786E"/>
    <w:rsid w:val="009008B6"/>
    <w:rsid w:val="00904690"/>
    <w:rsid w:val="00907280"/>
    <w:rsid w:val="009101E2"/>
    <w:rsid w:val="00911443"/>
    <w:rsid w:val="00912ED9"/>
    <w:rsid w:val="009130C9"/>
    <w:rsid w:val="00913E19"/>
    <w:rsid w:val="0091551E"/>
    <w:rsid w:val="00917DFF"/>
    <w:rsid w:val="009204DE"/>
    <w:rsid w:val="0092072E"/>
    <w:rsid w:val="0092230D"/>
    <w:rsid w:val="009239F8"/>
    <w:rsid w:val="00925E71"/>
    <w:rsid w:val="00931E54"/>
    <w:rsid w:val="009330E7"/>
    <w:rsid w:val="009347A8"/>
    <w:rsid w:val="0093727D"/>
    <w:rsid w:val="00940EBE"/>
    <w:rsid w:val="00942260"/>
    <w:rsid w:val="009437A2"/>
    <w:rsid w:val="00943858"/>
    <w:rsid w:val="00944C3D"/>
    <w:rsid w:val="00951D3F"/>
    <w:rsid w:val="00953CF7"/>
    <w:rsid w:val="00956295"/>
    <w:rsid w:val="00957BE1"/>
    <w:rsid w:val="009603B0"/>
    <w:rsid w:val="00961964"/>
    <w:rsid w:val="00962554"/>
    <w:rsid w:val="009723E1"/>
    <w:rsid w:val="0098125A"/>
    <w:rsid w:val="00984A67"/>
    <w:rsid w:val="00990577"/>
    <w:rsid w:val="00991403"/>
    <w:rsid w:val="00991628"/>
    <w:rsid w:val="0099457B"/>
    <w:rsid w:val="009955C1"/>
    <w:rsid w:val="009978E1"/>
    <w:rsid w:val="00997B3F"/>
    <w:rsid w:val="009A26E5"/>
    <w:rsid w:val="009A41B1"/>
    <w:rsid w:val="009A5ACD"/>
    <w:rsid w:val="009A7E97"/>
    <w:rsid w:val="009B06EC"/>
    <w:rsid w:val="009B309C"/>
    <w:rsid w:val="009B499B"/>
    <w:rsid w:val="009B5CEC"/>
    <w:rsid w:val="009C07C3"/>
    <w:rsid w:val="009C12C9"/>
    <w:rsid w:val="009D6BBF"/>
    <w:rsid w:val="009E4BA3"/>
    <w:rsid w:val="009E5805"/>
    <w:rsid w:val="009E6170"/>
    <w:rsid w:val="009E7CD8"/>
    <w:rsid w:val="009F036C"/>
    <w:rsid w:val="009F10C8"/>
    <w:rsid w:val="009F265A"/>
    <w:rsid w:val="009F3421"/>
    <w:rsid w:val="009F7225"/>
    <w:rsid w:val="00A00DC5"/>
    <w:rsid w:val="00A06461"/>
    <w:rsid w:val="00A06D99"/>
    <w:rsid w:val="00A10829"/>
    <w:rsid w:val="00A11D27"/>
    <w:rsid w:val="00A11E0C"/>
    <w:rsid w:val="00A12964"/>
    <w:rsid w:val="00A2015C"/>
    <w:rsid w:val="00A21258"/>
    <w:rsid w:val="00A37398"/>
    <w:rsid w:val="00A37EA5"/>
    <w:rsid w:val="00A4010A"/>
    <w:rsid w:val="00A41C8E"/>
    <w:rsid w:val="00A4450B"/>
    <w:rsid w:val="00A4476C"/>
    <w:rsid w:val="00A45077"/>
    <w:rsid w:val="00A557CB"/>
    <w:rsid w:val="00A55C2A"/>
    <w:rsid w:val="00A57F9E"/>
    <w:rsid w:val="00A6233E"/>
    <w:rsid w:val="00A717A0"/>
    <w:rsid w:val="00A75809"/>
    <w:rsid w:val="00A865D7"/>
    <w:rsid w:val="00A877E0"/>
    <w:rsid w:val="00A90EB7"/>
    <w:rsid w:val="00A94286"/>
    <w:rsid w:val="00A94CB4"/>
    <w:rsid w:val="00A9621B"/>
    <w:rsid w:val="00A96261"/>
    <w:rsid w:val="00AA0854"/>
    <w:rsid w:val="00AB291C"/>
    <w:rsid w:val="00AB2A49"/>
    <w:rsid w:val="00AB43E9"/>
    <w:rsid w:val="00AB455E"/>
    <w:rsid w:val="00AB4DCD"/>
    <w:rsid w:val="00AC0743"/>
    <w:rsid w:val="00AC2C60"/>
    <w:rsid w:val="00AC2DD4"/>
    <w:rsid w:val="00AC42BC"/>
    <w:rsid w:val="00AC5CE4"/>
    <w:rsid w:val="00AC5ED3"/>
    <w:rsid w:val="00AC759D"/>
    <w:rsid w:val="00AD11E9"/>
    <w:rsid w:val="00AD328C"/>
    <w:rsid w:val="00AD3948"/>
    <w:rsid w:val="00AD4FA5"/>
    <w:rsid w:val="00AD6EE0"/>
    <w:rsid w:val="00AE5273"/>
    <w:rsid w:val="00AE5880"/>
    <w:rsid w:val="00AE7A72"/>
    <w:rsid w:val="00AF38D2"/>
    <w:rsid w:val="00AF3B20"/>
    <w:rsid w:val="00AF49FA"/>
    <w:rsid w:val="00AF4C7E"/>
    <w:rsid w:val="00AF69FD"/>
    <w:rsid w:val="00B00643"/>
    <w:rsid w:val="00B00E47"/>
    <w:rsid w:val="00B02898"/>
    <w:rsid w:val="00B06449"/>
    <w:rsid w:val="00B0763C"/>
    <w:rsid w:val="00B10DB8"/>
    <w:rsid w:val="00B13162"/>
    <w:rsid w:val="00B14042"/>
    <w:rsid w:val="00B1429F"/>
    <w:rsid w:val="00B17F17"/>
    <w:rsid w:val="00B20B6E"/>
    <w:rsid w:val="00B20F64"/>
    <w:rsid w:val="00B210B0"/>
    <w:rsid w:val="00B235F6"/>
    <w:rsid w:val="00B2478C"/>
    <w:rsid w:val="00B248B8"/>
    <w:rsid w:val="00B26ED9"/>
    <w:rsid w:val="00B277D8"/>
    <w:rsid w:val="00B332C9"/>
    <w:rsid w:val="00B37029"/>
    <w:rsid w:val="00B37379"/>
    <w:rsid w:val="00B407B2"/>
    <w:rsid w:val="00B4424C"/>
    <w:rsid w:val="00B44AC9"/>
    <w:rsid w:val="00B46741"/>
    <w:rsid w:val="00B472C1"/>
    <w:rsid w:val="00B47D1D"/>
    <w:rsid w:val="00B50D9D"/>
    <w:rsid w:val="00B52146"/>
    <w:rsid w:val="00B54489"/>
    <w:rsid w:val="00B61551"/>
    <w:rsid w:val="00B61C6E"/>
    <w:rsid w:val="00B64CAB"/>
    <w:rsid w:val="00B654A5"/>
    <w:rsid w:val="00B654AA"/>
    <w:rsid w:val="00B66044"/>
    <w:rsid w:val="00B71666"/>
    <w:rsid w:val="00B71CDF"/>
    <w:rsid w:val="00B7272E"/>
    <w:rsid w:val="00B75839"/>
    <w:rsid w:val="00B76045"/>
    <w:rsid w:val="00B804C4"/>
    <w:rsid w:val="00B9559A"/>
    <w:rsid w:val="00B96752"/>
    <w:rsid w:val="00B97080"/>
    <w:rsid w:val="00BA03E2"/>
    <w:rsid w:val="00BA3BEF"/>
    <w:rsid w:val="00BA4D2A"/>
    <w:rsid w:val="00BA4F27"/>
    <w:rsid w:val="00BB4575"/>
    <w:rsid w:val="00BB5451"/>
    <w:rsid w:val="00BB73F3"/>
    <w:rsid w:val="00BC22EA"/>
    <w:rsid w:val="00BC2E4F"/>
    <w:rsid w:val="00BC3315"/>
    <w:rsid w:val="00BC5A56"/>
    <w:rsid w:val="00BD3498"/>
    <w:rsid w:val="00BD527F"/>
    <w:rsid w:val="00BD6D58"/>
    <w:rsid w:val="00BD70DE"/>
    <w:rsid w:val="00BD7254"/>
    <w:rsid w:val="00BE5616"/>
    <w:rsid w:val="00BE5788"/>
    <w:rsid w:val="00BE5DB4"/>
    <w:rsid w:val="00BF2D45"/>
    <w:rsid w:val="00BF489C"/>
    <w:rsid w:val="00BF5BE3"/>
    <w:rsid w:val="00BF649F"/>
    <w:rsid w:val="00BF6627"/>
    <w:rsid w:val="00BF668D"/>
    <w:rsid w:val="00BF6BFA"/>
    <w:rsid w:val="00C0101D"/>
    <w:rsid w:val="00C02129"/>
    <w:rsid w:val="00C02F2B"/>
    <w:rsid w:val="00C04CB3"/>
    <w:rsid w:val="00C1240D"/>
    <w:rsid w:val="00C12D70"/>
    <w:rsid w:val="00C14543"/>
    <w:rsid w:val="00C169A9"/>
    <w:rsid w:val="00C22475"/>
    <w:rsid w:val="00C24748"/>
    <w:rsid w:val="00C25657"/>
    <w:rsid w:val="00C26394"/>
    <w:rsid w:val="00C2685D"/>
    <w:rsid w:val="00C27DAB"/>
    <w:rsid w:val="00C35BFC"/>
    <w:rsid w:val="00C43C05"/>
    <w:rsid w:val="00C47F79"/>
    <w:rsid w:val="00C51A61"/>
    <w:rsid w:val="00C52F47"/>
    <w:rsid w:val="00C53344"/>
    <w:rsid w:val="00C536A3"/>
    <w:rsid w:val="00C53899"/>
    <w:rsid w:val="00C53A5C"/>
    <w:rsid w:val="00C5496C"/>
    <w:rsid w:val="00C56505"/>
    <w:rsid w:val="00C56ACB"/>
    <w:rsid w:val="00C57FBB"/>
    <w:rsid w:val="00C63199"/>
    <w:rsid w:val="00C67DE0"/>
    <w:rsid w:val="00C71CD5"/>
    <w:rsid w:val="00C71E94"/>
    <w:rsid w:val="00C75AC8"/>
    <w:rsid w:val="00C761D3"/>
    <w:rsid w:val="00C77EF3"/>
    <w:rsid w:val="00C8096F"/>
    <w:rsid w:val="00C82E6E"/>
    <w:rsid w:val="00C846D9"/>
    <w:rsid w:val="00C85347"/>
    <w:rsid w:val="00C86BF0"/>
    <w:rsid w:val="00C86C87"/>
    <w:rsid w:val="00C86E38"/>
    <w:rsid w:val="00C8768A"/>
    <w:rsid w:val="00C9190E"/>
    <w:rsid w:val="00C97054"/>
    <w:rsid w:val="00C9759C"/>
    <w:rsid w:val="00CA0E64"/>
    <w:rsid w:val="00CA3A9E"/>
    <w:rsid w:val="00CB061A"/>
    <w:rsid w:val="00CB2089"/>
    <w:rsid w:val="00CB2208"/>
    <w:rsid w:val="00CB2305"/>
    <w:rsid w:val="00CB2C47"/>
    <w:rsid w:val="00CB406B"/>
    <w:rsid w:val="00CB4F15"/>
    <w:rsid w:val="00CB74E8"/>
    <w:rsid w:val="00CB7C86"/>
    <w:rsid w:val="00CC046A"/>
    <w:rsid w:val="00CC26B5"/>
    <w:rsid w:val="00CC2BD8"/>
    <w:rsid w:val="00CC32AC"/>
    <w:rsid w:val="00CC6244"/>
    <w:rsid w:val="00CC6DCB"/>
    <w:rsid w:val="00CC720E"/>
    <w:rsid w:val="00CC7AFF"/>
    <w:rsid w:val="00CD6FD8"/>
    <w:rsid w:val="00CE0114"/>
    <w:rsid w:val="00CE1B87"/>
    <w:rsid w:val="00CE358D"/>
    <w:rsid w:val="00CE3929"/>
    <w:rsid w:val="00CE4972"/>
    <w:rsid w:val="00CE7725"/>
    <w:rsid w:val="00CE79A2"/>
    <w:rsid w:val="00CF268B"/>
    <w:rsid w:val="00CF4C6A"/>
    <w:rsid w:val="00CF5637"/>
    <w:rsid w:val="00CF7536"/>
    <w:rsid w:val="00D02751"/>
    <w:rsid w:val="00D03E75"/>
    <w:rsid w:val="00D10152"/>
    <w:rsid w:val="00D137CF"/>
    <w:rsid w:val="00D1646B"/>
    <w:rsid w:val="00D17C38"/>
    <w:rsid w:val="00D20950"/>
    <w:rsid w:val="00D23889"/>
    <w:rsid w:val="00D23BF7"/>
    <w:rsid w:val="00D309B6"/>
    <w:rsid w:val="00D31343"/>
    <w:rsid w:val="00D31C88"/>
    <w:rsid w:val="00D337E8"/>
    <w:rsid w:val="00D34D8C"/>
    <w:rsid w:val="00D362D3"/>
    <w:rsid w:val="00D419A8"/>
    <w:rsid w:val="00D42064"/>
    <w:rsid w:val="00D45870"/>
    <w:rsid w:val="00D470F7"/>
    <w:rsid w:val="00D52F96"/>
    <w:rsid w:val="00D53116"/>
    <w:rsid w:val="00D53873"/>
    <w:rsid w:val="00D57BCD"/>
    <w:rsid w:val="00D63A49"/>
    <w:rsid w:val="00D64769"/>
    <w:rsid w:val="00D66C3D"/>
    <w:rsid w:val="00D75951"/>
    <w:rsid w:val="00D77049"/>
    <w:rsid w:val="00D806C0"/>
    <w:rsid w:val="00D81DA5"/>
    <w:rsid w:val="00D829C6"/>
    <w:rsid w:val="00D864E4"/>
    <w:rsid w:val="00D90956"/>
    <w:rsid w:val="00D97B99"/>
    <w:rsid w:val="00DA324D"/>
    <w:rsid w:val="00DA5BB1"/>
    <w:rsid w:val="00DB12EB"/>
    <w:rsid w:val="00DB3830"/>
    <w:rsid w:val="00DB5A15"/>
    <w:rsid w:val="00DB6EAA"/>
    <w:rsid w:val="00DC3BAE"/>
    <w:rsid w:val="00DC7316"/>
    <w:rsid w:val="00DC77C2"/>
    <w:rsid w:val="00DD09AA"/>
    <w:rsid w:val="00DD1AEC"/>
    <w:rsid w:val="00DD30EB"/>
    <w:rsid w:val="00DD3BD4"/>
    <w:rsid w:val="00DD3F00"/>
    <w:rsid w:val="00DE1E28"/>
    <w:rsid w:val="00DE5A2C"/>
    <w:rsid w:val="00DE665B"/>
    <w:rsid w:val="00DE6CB4"/>
    <w:rsid w:val="00DF0853"/>
    <w:rsid w:val="00DF16F1"/>
    <w:rsid w:val="00DF175C"/>
    <w:rsid w:val="00DF6A29"/>
    <w:rsid w:val="00DF7FF8"/>
    <w:rsid w:val="00E0004C"/>
    <w:rsid w:val="00E000D9"/>
    <w:rsid w:val="00E049F0"/>
    <w:rsid w:val="00E04FF7"/>
    <w:rsid w:val="00E050C2"/>
    <w:rsid w:val="00E06A62"/>
    <w:rsid w:val="00E11FBC"/>
    <w:rsid w:val="00E13D42"/>
    <w:rsid w:val="00E140D3"/>
    <w:rsid w:val="00E1585E"/>
    <w:rsid w:val="00E214F8"/>
    <w:rsid w:val="00E2365B"/>
    <w:rsid w:val="00E25DFD"/>
    <w:rsid w:val="00E31FAD"/>
    <w:rsid w:val="00E33AAC"/>
    <w:rsid w:val="00E40731"/>
    <w:rsid w:val="00E40C37"/>
    <w:rsid w:val="00E451A5"/>
    <w:rsid w:val="00E460A8"/>
    <w:rsid w:val="00E46D5B"/>
    <w:rsid w:val="00E50766"/>
    <w:rsid w:val="00E51E76"/>
    <w:rsid w:val="00E60B30"/>
    <w:rsid w:val="00E63626"/>
    <w:rsid w:val="00E6627F"/>
    <w:rsid w:val="00E71BB5"/>
    <w:rsid w:val="00E75FC7"/>
    <w:rsid w:val="00E7649B"/>
    <w:rsid w:val="00E815C9"/>
    <w:rsid w:val="00E8338E"/>
    <w:rsid w:val="00E87C7B"/>
    <w:rsid w:val="00E87CFE"/>
    <w:rsid w:val="00E90D8A"/>
    <w:rsid w:val="00E93153"/>
    <w:rsid w:val="00E9421C"/>
    <w:rsid w:val="00EA2544"/>
    <w:rsid w:val="00EA3275"/>
    <w:rsid w:val="00EA58C3"/>
    <w:rsid w:val="00EA6C48"/>
    <w:rsid w:val="00EA748F"/>
    <w:rsid w:val="00EB1F4D"/>
    <w:rsid w:val="00EB78F1"/>
    <w:rsid w:val="00EC0558"/>
    <w:rsid w:val="00EC20BF"/>
    <w:rsid w:val="00EC50C9"/>
    <w:rsid w:val="00EC58CE"/>
    <w:rsid w:val="00EC5ED7"/>
    <w:rsid w:val="00EC61CB"/>
    <w:rsid w:val="00EC654B"/>
    <w:rsid w:val="00EC7F22"/>
    <w:rsid w:val="00EC7FCA"/>
    <w:rsid w:val="00ED3E5B"/>
    <w:rsid w:val="00ED610D"/>
    <w:rsid w:val="00ED67B9"/>
    <w:rsid w:val="00ED6B8D"/>
    <w:rsid w:val="00ED71A2"/>
    <w:rsid w:val="00EE314C"/>
    <w:rsid w:val="00EE57CC"/>
    <w:rsid w:val="00EE7824"/>
    <w:rsid w:val="00EE7EC5"/>
    <w:rsid w:val="00F06B23"/>
    <w:rsid w:val="00F1151E"/>
    <w:rsid w:val="00F13BDA"/>
    <w:rsid w:val="00F14DB1"/>
    <w:rsid w:val="00F15009"/>
    <w:rsid w:val="00F2021E"/>
    <w:rsid w:val="00F21679"/>
    <w:rsid w:val="00F21C62"/>
    <w:rsid w:val="00F252DD"/>
    <w:rsid w:val="00F3088F"/>
    <w:rsid w:val="00F30AE8"/>
    <w:rsid w:val="00F37B22"/>
    <w:rsid w:val="00F42158"/>
    <w:rsid w:val="00F46AED"/>
    <w:rsid w:val="00F52014"/>
    <w:rsid w:val="00F52231"/>
    <w:rsid w:val="00F64209"/>
    <w:rsid w:val="00F66EFD"/>
    <w:rsid w:val="00F710D2"/>
    <w:rsid w:val="00F7151E"/>
    <w:rsid w:val="00F7319D"/>
    <w:rsid w:val="00F814D7"/>
    <w:rsid w:val="00F82919"/>
    <w:rsid w:val="00F832C4"/>
    <w:rsid w:val="00F85323"/>
    <w:rsid w:val="00F87512"/>
    <w:rsid w:val="00F87967"/>
    <w:rsid w:val="00F9051E"/>
    <w:rsid w:val="00F94E42"/>
    <w:rsid w:val="00FA122D"/>
    <w:rsid w:val="00FA274D"/>
    <w:rsid w:val="00FA2D81"/>
    <w:rsid w:val="00FA3A24"/>
    <w:rsid w:val="00FA7E07"/>
    <w:rsid w:val="00FB579D"/>
    <w:rsid w:val="00FC23F4"/>
    <w:rsid w:val="00FC41CA"/>
    <w:rsid w:val="00FC42D1"/>
    <w:rsid w:val="00FC54C4"/>
    <w:rsid w:val="00FC7712"/>
    <w:rsid w:val="00FD130D"/>
    <w:rsid w:val="00FD16D4"/>
    <w:rsid w:val="00FD1A6B"/>
    <w:rsid w:val="00FD1CFD"/>
    <w:rsid w:val="00FD3263"/>
    <w:rsid w:val="00FD3DD7"/>
    <w:rsid w:val="00FD6DDD"/>
    <w:rsid w:val="00FD75A8"/>
    <w:rsid w:val="00FE203D"/>
    <w:rsid w:val="00FE42D6"/>
    <w:rsid w:val="00FE4A2B"/>
    <w:rsid w:val="00FE552E"/>
    <w:rsid w:val="00FF1BCA"/>
    <w:rsid w:val="00FF3EEA"/>
    <w:rsid w:val="00FF5E77"/>
    <w:rsid w:val="02832E1C"/>
    <w:rsid w:val="07F341CA"/>
    <w:rsid w:val="0A672863"/>
    <w:rsid w:val="0B2D4462"/>
    <w:rsid w:val="0CF91AA3"/>
    <w:rsid w:val="15CF3BC5"/>
    <w:rsid w:val="1A037E93"/>
    <w:rsid w:val="1B20005E"/>
    <w:rsid w:val="1BC35232"/>
    <w:rsid w:val="1C4967D5"/>
    <w:rsid w:val="1EBF34A2"/>
    <w:rsid w:val="208070AE"/>
    <w:rsid w:val="23CA0D38"/>
    <w:rsid w:val="242F3BC7"/>
    <w:rsid w:val="2467693E"/>
    <w:rsid w:val="2482496E"/>
    <w:rsid w:val="24FB5CE5"/>
    <w:rsid w:val="25022938"/>
    <w:rsid w:val="25EE7A6D"/>
    <w:rsid w:val="26AE6D2B"/>
    <w:rsid w:val="276F4685"/>
    <w:rsid w:val="284A7F13"/>
    <w:rsid w:val="289F185E"/>
    <w:rsid w:val="28F15B28"/>
    <w:rsid w:val="2B3176A2"/>
    <w:rsid w:val="31EF12D6"/>
    <w:rsid w:val="33AA0399"/>
    <w:rsid w:val="37320723"/>
    <w:rsid w:val="3C9B36A8"/>
    <w:rsid w:val="40F41EAB"/>
    <w:rsid w:val="44481D12"/>
    <w:rsid w:val="44962692"/>
    <w:rsid w:val="4625408B"/>
    <w:rsid w:val="4CE41CEC"/>
    <w:rsid w:val="4DF3093F"/>
    <w:rsid w:val="4EE73BA1"/>
    <w:rsid w:val="52B626C2"/>
    <w:rsid w:val="533E502E"/>
    <w:rsid w:val="554D41BF"/>
    <w:rsid w:val="558A4B91"/>
    <w:rsid w:val="57106938"/>
    <w:rsid w:val="5D3255B8"/>
    <w:rsid w:val="5FAA2694"/>
    <w:rsid w:val="613E5F96"/>
    <w:rsid w:val="61DF3816"/>
    <w:rsid w:val="64651AC2"/>
    <w:rsid w:val="66C23C2B"/>
    <w:rsid w:val="6AD51D8B"/>
    <w:rsid w:val="6CDD3B27"/>
    <w:rsid w:val="6D496F58"/>
    <w:rsid w:val="6E752944"/>
    <w:rsid w:val="6FAA4F3F"/>
    <w:rsid w:val="728045B5"/>
    <w:rsid w:val="760A3CB4"/>
    <w:rsid w:val="76FD5C32"/>
    <w:rsid w:val="78B7419C"/>
    <w:rsid w:val="7C5501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3">
    <w:name w:val="heading 1"/>
    <w:basedOn w:val="4"/>
    <w:next w:val="5"/>
    <w:link w:val="28"/>
    <w:qFormat/>
    <w:uiPriority w:val="0"/>
    <w:pPr>
      <w:keepNext/>
      <w:keepLines/>
      <w:spacing w:before="340" w:after="330" w:line="576" w:lineRule="auto"/>
      <w:outlineLvl w:val="0"/>
    </w:pPr>
    <w:rPr>
      <w:kern w:val="44"/>
    </w:rPr>
  </w:style>
  <w:style w:type="paragraph" w:styleId="7">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8">
    <w:name w:val="heading 3"/>
    <w:basedOn w:val="1"/>
    <w:next w:val="1"/>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9">
    <w:name w:val="heading 4"/>
    <w:basedOn w:val="8"/>
    <w:next w:val="1"/>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Title"/>
    <w:basedOn w:val="1"/>
    <w:next w:val="1"/>
    <w:qFormat/>
    <w:uiPriority w:val="0"/>
    <w:pPr>
      <w:spacing w:before="120" w:after="60"/>
      <w:jc w:val="center"/>
    </w:pPr>
    <w:rPr>
      <w:rFonts w:ascii="Arial" w:hAnsi="Arial"/>
      <w:b/>
      <w:kern w:val="0"/>
      <w:sz w:val="44"/>
      <w:szCs w:val="20"/>
    </w:rPr>
  </w:style>
  <w:style w:type="paragraph" w:styleId="5">
    <w:name w:val="Body Text First Indent"/>
    <w:basedOn w:val="6"/>
    <w:qFormat/>
    <w:uiPriority w:val="0"/>
    <w:pPr>
      <w:ind w:firstLine="420" w:firstLineChars="100"/>
    </w:pPr>
    <w:rPr>
      <w:rFonts w:ascii="Calibri" w:hAnsi="Calibri"/>
      <w:szCs w:val="22"/>
    </w:rPr>
  </w:style>
  <w:style w:type="paragraph" w:styleId="6">
    <w:name w:val="Body Text"/>
    <w:basedOn w:val="1"/>
    <w:next w:val="1"/>
    <w:qFormat/>
    <w:uiPriority w:val="0"/>
    <w:pPr>
      <w:spacing w:after="120"/>
    </w:pPr>
    <w:rPr>
      <w:szCs w:val="24"/>
    </w:rPr>
  </w:style>
  <w:style w:type="paragraph" w:styleId="10">
    <w:name w:val="Normal Indent"/>
    <w:basedOn w:val="1"/>
    <w:next w:val="1"/>
    <w:qFormat/>
    <w:uiPriority w:val="0"/>
    <w:pPr>
      <w:ind w:firstLine="420"/>
    </w:pPr>
    <w:rPr>
      <w:rFonts w:ascii="宋体"/>
      <w:kern w:val="0"/>
      <w:sz w:val="34"/>
      <w:szCs w:val="20"/>
    </w:rPr>
  </w:style>
  <w:style w:type="paragraph" w:styleId="11">
    <w:name w:val="annotation text"/>
    <w:basedOn w:val="1"/>
    <w:next w:val="1"/>
    <w:unhideWhenUsed/>
    <w:qFormat/>
    <w:uiPriority w:val="99"/>
    <w:pPr>
      <w:jc w:val="left"/>
    </w:pPr>
  </w:style>
  <w:style w:type="paragraph" w:styleId="12">
    <w:name w:val="Balloon Text"/>
    <w:basedOn w:val="1"/>
    <w:link w:val="30"/>
    <w:semiHidden/>
    <w:unhideWhenUsed/>
    <w:qFormat/>
    <w:uiPriority w:val="99"/>
    <w:rPr>
      <w:sz w:val="18"/>
      <w:szCs w:val="18"/>
    </w:rPr>
  </w:style>
  <w:style w:type="paragraph" w:styleId="13">
    <w:name w:val="footer"/>
    <w:basedOn w:val="1"/>
    <w:link w:val="24"/>
    <w:semiHidden/>
    <w:unhideWhenUsed/>
    <w:qFormat/>
    <w:uiPriority w:val="99"/>
    <w:pPr>
      <w:tabs>
        <w:tab w:val="center" w:pos="4153"/>
        <w:tab w:val="right" w:pos="8306"/>
      </w:tabs>
      <w:snapToGrid w:val="0"/>
      <w:jc w:val="left"/>
    </w:pPr>
    <w:rPr>
      <w:sz w:val="18"/>
      <w:szCs w:val="18"/>
    </w:rPr>
  </w:style>
  <w:style w:type="paragraph" w:styleId="14">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spacing w:beforeAutospacing="1" w:afterAutospacing="1"/>
      <w:jc w:val="left"/>
    </w:pPr>
    <w:rPr>
      <w:kern w:val="0"/>
      <w:sz w:val="24"/>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qFormat/>
    <w:uiPriority w:val="0"/>
    <w:rPr>
      <w:rFonts w:cs="Times New Roman"/>
    </w:rPr>
  </w:style>
  <w:style w:type="character" w:styleId="21">
    <w:name w:val="annotation reference"/>
    <w:basedOn w:val="18"/>
    <w:qFormat/>
    <w:uiPriority w:val="0"/>
    <w:rPr>
      <w:sz w:val="21"/>
      <w:szCs w:val="21"/>
    </w:rPr>
  </w:style>
  <w:style w:type="character" w:customStyle="1" w:styleId="22">
    <w:name w:val="NormalCharacter"/>
    <w:qFormat/>
    <w:uiPriority w:val="0"/>
  </w:style>
  <w:style w:type="character" w:customStyle="1" w:styleId="23">
    <w:name w:val="页眉 Char"/>
    <w:basedOn w:val="18"/>
    <w:link w:val="14"/>
    <w:semiHidden/>
    <w:qFormat/>
    <w:uiPriority w:val="99"/>
    <w:rPr>
      <w:rFonts w:ascii="Times New Roman" w:hAnsi="Times New Roman" w:eastAsia="宋体" w:cs="Times New Roman"/>
      <w:sz w:val="18"/>
      <w:szCs w:val="18"/>
    </w:rPr>
  </w:style>
  <w:style w:type="character" w:customStyle="1" w:styleId="24">
    <w:name w:val="页脚 Char"/>
    <w:basedOn w:val="18"/>
    <w:link w:val="13"/>
    <w:semiHidden/>
    <w:qFormat/>
    <w:uiPriority w:val="99"/>
    <w:rPr>
      <w:rFonts w:ascii="Times New Roman" w:hAnsi="Times New Roman" w:eastAsia="宋体" w:cs="Times New Roman"/>
      <w:sz w:val="18"/>
      <w:szCs w:val="18"/>
    </w:rPr>
  </w:style>
  <w:style w:type="paragraph" w:customStyle="1" w:styleId="25">
    <w:name w:val="Other|1"/>
    <w:basedOn w:val="1"/>
    <w:qFormat/>
    <w:uiPriority w:val="0"/>
    <w:pPr>
      <w:widowControl w:val="0"/>
      <w:spacing w:line="228" w:lineRule="exact"/>
    </w:pPr>
    <w:rPr>
      <w:rFonts w:ascii="宋体" w:hAnsi="宋体" w:cs="宋体"/>
      <w:sz w:val="17"/>
      <w:szCs w:val="17"/>
      <w:lang w:val="zh-TW" w:eastAsia="zh-TW" w:bidi="zh-TW"/>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s2"/>
    <w:qFormat/>
    <w:uiPriority w:val="0"/>
  </w:style>
  <w:style w:type="character" w:customStyle="1" w:styleId="28">
    <w:name w:val="标题 1 Char"/>
    <w:link w:val="3"/>
    <w:qFormat/>
    <w:uiPriority w:val="9"/>
    <w:rPr>
      <w:b/>
      <w:kern w:val="44"/>
      <w:sz w:val="44"/>
      <w:szCs w:val="20"/>
    </w:rPr>
  </w:style>
  <w:style w:type="paragraph" w:customStyle="1" w:styleId="29">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30">
    <w:name w:val="批注框文本 Char"/>
    <w:basedOn w:val="18"/>
    <w:link w:val="12"/>
    <w:semiHidden/>
    <w:qFormat/>
    <w:uiPriority w:val="99"/>
    <w:rPr>
      <w:kern w:val="2"/>
      <w:sz w:val="18"/>
      <w:szCs w:val="18"/>
    </w:rPr>
  </w:style>
  <w:style w:type="paragraph" w:customStyle="1" w:styleId="31">
    <w:name w:val="发文落款"/>
    <w:basedOn w:val="26"/>
    <w:qFormat/>
    <w:uiPriority w:val="0"/>
    <w:pPr>
      <w:ind w:left="4094" w:right="607" w:firstLine="0"/>
      <w:jc w:val="center"/>
    </w:pPr>
  </w:style>
  <w:style w:type="paragraph" w:customStyle="1" w:styleId="32">
    <w:name w:val="_Style 3"/>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7473</Words>
  <Characters>7918</Characters>
  <Lines>51</Lines>
  <Paragraphs>14</Paragraphs>
  <TotalTime>19</TotalTime>
  <ScaleCrop>false</ScaleCrop>
  <LinksUpToDate>false</LinksUpToDate>
  <CharactersWithSpaces>8495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2022-07-28T06:21:00Z</dcterms:created>
  <dc:creator>吴国蒸</dc:creator>
  <cp:lastModifiedBy>WPS_1481265839</cp:lastModifiedBy>
  <cp:lastPrinted>2022-07-28T06:24:00Z</cp:lastPrinted>
  <dcterms:modified xsi:type="dcterms:W3CDTF">2023-06-21T01:43:55Z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43C98D745FDB48378755C410317B4DC9_13</vt:lpwstr>
  </property>
</Properties>
</file>