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8"/>
        <w:jc w:val="left"/>
        <w:rPr>
          <w:rFonts w:ascii="宋体" w:hAnsi="宋体"/>
          <w:b/>
          <w:bCs/>
          <w:color w:val="000000" w:themeColor="text1"/>
          <w:spacing w:val="40"/>
          <w:sz w:val="44"/>
          <w:szCs w:val="44"/>
          <w14:textFill>
            <w14:solidFill>
              <w14:schemeClr w14:val="tx1"/>
            </w14:solidFill>
          </w14:textFill>
        </w:rPr>
      </w:pPr>
    </w:p>
    <w:p>
      <w:pPr>
        <w:spacing w:line="360" w:lineRule="auto"/>
        <w:rPr>
          <w:rFonts w:ascii="宋体" w:hAnsi="宋体"/>
          <w:b/>
          <w:bCs/>
          <w:color w:val="000000" w:themeColor="text1"/>
          <w:spacing w:val="40"/>
          <w:sz w:val="44"/>
          <w:szCs w:val="44"/>
          <w14:textFill>
            <w14:solidFill>
              <w14:schemeClr w14:val="tx1"/>
            </w14:solidFill>
          </w14:textFill>
        </w:rPr>
      </w:pPr>
    </w:p>
    <w:p>
      <w:pPr>
        <w:spacing w:line="360" w:lineRule="auto"/>
        <w:rPr>
          <w:rFonts w:ascii="宋体" w:hAnsi="宋体"/>
          <w:b/>
          <w:bCs/>
          <w:color w:val="000000" w:themeColor="text1"/>
          <w:spacing w:val="40"/>
          <w:sz w:val="44"/>
          <w:szCs w:val="44"/>
          <w14:textFill>
            <w14:solidFill>
              <w14:schemeClr w14:val="tx1"/>
            </w14:solidFill>
          </w14:textFill>
        </w:rPr>
      </w:pPr>
    </w:p>
    <w:p>
      <w:pPr>
        <w:spacing w:after="240" w:line="600" w:lineRule="auto"/>
        <w:ind w:left="360" w:leftChars="1" w:hanging="358" w:hangingChars="81"/>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云港城项目9#、11#地块永久用电工程</w:t>
      </w:r>
    </w:p>
    <w:p>
      <w:pPr>
        <w:spacing w:line="360" w:lineRule="auto"/>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施工专业承包</w:t>
      </w:r>
    </w:p>
    <w:p>
      <w:pPr>
        <w:spacing w:line="360" w:lineRule="auto"/>
        <w:rPr>
          <w:rFonts w:ascii="宋体" w:hAnsi="宋体"/>
          <w:color w:val="000000" w:themeColor="text1"/>
          <w:sz w:val="36"/>
          <w:u w:val="single"/>
          <w14:textFill>
            <w14:solidFill>
              <w14:schemeClr w14:val="tx1"/>
            </w14:solidFill>
          </w14:textFill>
        </w:rPr>
      </w:pPr>
    </w:p>
    <w:p>
      <w:pPr>
        <w:spacing w:line="360" w:lineRule="auto"/>
        <w:rPr>
          <w:rFonts w:ascii="宋体" w:hAnsi="宋体"/>
          <w:b/>
          <w:bCs/>
          <w:color w:val="000000" w:themeColor="text1"/>
          <w:spacing w:val="26"/>
          <w:sz w:val="110"/>
          <w:szCs w:val="110"/>
          <w14:textFill>
            <w14:solidFill>
              <w14:schemeClr w14:val="tx1"/>
            </w14:solidFill>
          </w14:textFill>
        </w:rPr>
      </w:pPr>
    </w:p>
    <w:p>
      <w:pPr>
        <w:spacing w:line="360" w:lineRule="auto"/>
        <w:jc w:val="center"/>
        <w:rPr>
          <w:rFonts w:ascii="宋体" w:hAnsi="宋体"/>
          <w:b/>
          <w:bCs/>
          <w:color w:val="000000" w:themeColor="text1"/>
          <w:spacing w:val="26"/>
          <w:sz w:val="110"/>
          <w:szCs w:val="110"/>
          <w14:textFill>
            <w14:solidFill>
              <w14:schemeClr w14:val="tx1"/>
            </w14:solidFill>
          </w14:textFill>
        </w:rPr>
      </w:pPr>
      <w:r>
        <w:rPr>
          <w:rFonts w:hint="eastAsia" w:ascii="宋体" w:hAnsi="宋体"/>
          <w:b/>
          <w:bCs/>
          <w:color w:val="000000" w:themeColor="text1"/>
          <w:spacing w:val="26"/>
          <w:sz w:val="110"/>
          <w:szCs w:val="110"/>
          <w14:textFill>
            <w14:solidFill>
              <w14:schemeClr w14:val="tx1"/>
            </w14:solidFill>
          </w14:textFill>
        </w:rPr>
        <w:t>招标文件</w:t>
      </w:r>
    </w:p>
    <w:p>
      <w:pPr>
        <w:spacing w:line="360" w:lineRule="auto"/>
        <w:rPr>
          <w:rFonts w:ascii="宋体" w:hAnsi="宋体"/>
          <w:color w:val="000000" w:themeColor="text1"/>
          <w:sz w:val="32"/>
          <w14:textFill>
            <w14:solidFill>
              <w14:schemeClr w14:val="tx1"/>
            </w14:solidFill>
          </w14:textFill>
        </w:rPr>
      </w:pPr>
    </w:p>
    <w:p>
      <w:pPr>
        <w:spacing w:line="360" w:lineRule="auto"/>
        <w:rPr>
          <w:rFonts w:ascii="宋体" w:hAnsi="宋体"/>
          <w:color w:val="000000" w:themeColor="text1"/>
          <w:sz w:val="32"/>
          <w14:textFill>
            <w14:solidFill>
              <w14:schemeClr w14:val="tx1"/>
            </w14:solidFill>
          </w14:textFill>
        </w:rPr>
      </w:pPr>
    </w:p>
    <w:p>
      <w:pPr>
        <w:spacing w:line="360" w:lineRule="auto"/>
        <w:rPr>
          <w:rFonts w:ascii="宋体" w:hAnsi="宋体"/>
          <w:color w:val="000000" w:themeColor="text1"/>
          <w:sz w:val="52"/>
          <w14:textFill>
            <w14:solidFill>
              <w14:schemeClr w14:val="tx1"/>
            </w14:solidFill>
          </w14:textFill>
        </w:rPr>
      </w:pPr>
    </w:p>
    <w:p>
      <w:pPr>
        <w:spacing w:line="360" w:lineRule="auto"/>
        <w:rPr>
          <w:rFonts w:ascii="宋体" w:hAnsi="宋体"/>
          <w:color w:val="000000" w:themeColor="text1"/>
          <w:sz w:val="52"/>
          <w14:textFill>
            <w14:solidFill>
              <w14:schemeClr w14:val="tx1"/>
            </w14:solidFill>
          </w14:textFill>
        </w:rPr>
      </w:pPr>
    </w:p>
    <w:p>
      <w:pPr>
        <w:spacing w:line="360" w:lineRule="auto"/>
        <w:rPr>
          <w:rFonts w:ascii="宋体" w:hAnsi="宋体"/>
          <w:color w:val="000000" w:themeColor="text1"/>
          <w:sz w:val="30"/>
          <w:szCs w:val="30"/>
          <w14:textFill>
            <w14:solidFill>
              <w14:schemeClr w14:val="tx1"/>
            </w14:solidFill>
          </w14:textFill>
        </w:rPr>
      </w:pPr>
    </w:p>
    <w:p>
      <w:pPr>
        <w:spacing w:line="360" w:lineRule="auto"/>
        <w:ind w:firstLine="900" w:firstLineChars="3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招标单位：</w:t>
      </w:r>
      <w:r>
        <w:rPr>
          <w:rFonts w:hint="eastAsia" w:ascii="宋体" w:hAnsi="宋体"/>
          <w:color w:val="000000" w:themeColor="text1"/>
          <w:sz w:val="30"/>
          <w:szCs w:val="30"/>
          <w:u w:val="single"/>
          <w14:textFill>
            <w14:solidFill>
              <w14:schemeClr w14:val="tx1"/>
            </w14:solidFill>
          </w14:textFill>
        </w:rPr>
        <w:t>广东粤海置地发展有限公司</w:t>
      </w:r>
    </w:p>
    <w:p>
      <w:pPr>
        <w:spacing w:line="360" w:lineRule="auto"/>
        <w:ind w:firstLine="900" w:firstLineChars="3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招标代理单位：</w:t>
      </w:r>
      <w:r>
        <w:rPr>
          <w:rFonts w:hint="eastAsia" w:ascii="宋体" w:hAnsi="宋体"/>
          <w:color w:val="000000" w:themeColor="text1"/>
          <w:sz w:val="30"/>
          <w:szCs w:val="30"/>
          <w:u w:val="single"/>
          <w14:textFill>
            <w14:solidFill>
              <w14:schemeClr w14:val="tx1"/>
            </w14:solidFill>
          </w14:textFill>
        </w:rPr>
        <w:t>广州宏达工程顾问集团有限公司</w:t>
      </w:r>
    </w:p>
    <w:p>
      <w:pPr>
        <w:adjustRightInd w:val="0"/>
        <w:spacing w:line="360" w:lineRule="auto"/>
        <w:ind w:firstLine="900" w:firstLineChars="3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日期：</w:t>
      </w:r>
      <w:r>
        <w:rPr>
          <w:rFonts w:hint="eastAsia" w:ascii="宋体" w:hAnsi="宋体"/>
          <w:color w:val="000000" w:themeColor="text1"/>
          <w:sz w:val="30"/>
          <w:szCs w:val="30"/>
          <w:u w:val="single"/>
          <w14:textFill>
            <w14:solidFill>
              <w14:schemeClr w14:val="tx1"/>
            </w14:solidFill>
          </w14:textFill>
        </w:rPr>
        <w:t>2023</w:t>
      </w:r>
      <w:r>
        <w:rPr>
          <w:rFonts w:hint="eastAsia" w:ascii="宋体" w:hAnsi="宋体"/>
          <w:color w:val="000000" w:themeColor="text1"/>
          <w:sz w:val="30"/>
          <w:szCs w:val="30"/>
          <w14:textFill>
            <w14:solidFill>
              <w14:schemeClr w14:val="tx1"/>
            </w14:solidFill>
          </w14:textFill>
        </w:rPr>
        <w:t>年</w:t>
      </w:r>
      <w:r>
        <w:rPr>
          <w:rFonts w:hint="eastAsia" w:ascii="宋体" w:hAnsi="宋体"/>
          <w:color w:val="000000" w:themeColor="text1"/>
          <w:sz w:val="30"/>
          <w:szCs w:val="30"/>
          <w:u w:val="single"/>
          <w:lang w:val="en-US" w:eastAsia="zh-CN"/>
          <w14:textFill>
            <w14:solidFill>
              <w14:schemeClr w14:val="tx1"/>
            </w14:solidFill>
          </w14:textFill>
        </w:rPr>
        <w:t>6</w:t>
      </w:r>
      <w:r>
        <w:rPr>
          <w:rFonts w:hint="eastAsia" w:ascii="宋体" w:hAnsi="宋体"/>
          <w:color w:val="000000" w:themeColor="text1"/>
          <w:sz w:val="30"/>
          <w:szCs w:val="30"/>
          <w14:textFill>
            <w14:solidFill>
              <w14:schemeClr w14:val="tx1"/>
            </w14:solidFill>
          </w14:textFill>
        </w:rPr>
        <w:t>月</w:t>
      </w:r>
    </w:p>
    <w:p>
      <w:pPr>
        <w:jc w:val="center"/>
        <w:rPr>
          <w:rStyle w:val="41"/>
          <w:rFonts w:ascii="宋体" w:hAnsi="宋体"/>
          <w:b/>
          <w:bCs/>
          <w:color w:val="000000" w:themeColor="text1"/>
          <w:sz w:val="28"/>
          <w:szCs w:val="28"/>
          <w:u w:val="none"/>
          <w14:textFill>
            <w14:solidFill>
              <w14:schemeClr w14:val="tx1"/>
            </w14:solidFill>
          </w14:textFill>
        </w:rPr>
      </w:pPr>
      <w:r>
        <w:rPr>
          <w:rStyle w:val="41"/>
          <w:rFonts w:ascii="宋体" w:hAnsi="宋体"/>
          <w:b/>
          <w:bCs/>
          <w:color w:val="000000" w:themeColor="text1"/>
          <w14:textFill>
            <w14:solidFill>
              <w14:schemeClr w14:val="tx1"/>
            </w14:solidFill>
          </w14:textFill>
        </w:rPr>
        <w:br w:type="page"/>
      </w:r>
      <w:r>
        <w:rPr>
          <w:rStyle w:val="41"/>
          <w:rFonts w:hint="eastAsia" w:ascii="宋体" w:hAnsi="宋体"/>
          <w:b/>
          <w:bCs/>
          <w:color w:val="000000" w:themeColor="text1"/>
          <w:sz w:val="28"/>
          <w:szCs w:val="28"/>
          <w:u w:val="none"/>
          <w14:textFill>
            <w14:solidFill>
              <w14:schemeClr w14:val="tx1"/>
            </w14:solidFill>
          </w14:textFill>
        </w:rPr>
        <w:t>目录</w:t>
      </w:r>
    </w:p>
    <w:p>
      <w:pPr>
        <w:jc w:val="center"/>
        <w:rPr>
          <w:rFonts w:ascii="宋体" w:hAnsi="宋体"/>
          <w:b/>
          <w:caps/>
          <w:color w:val="000000" w:themeColor="text1"/>
          <w:kern w:val="0"/>
          <w14:textFill>
            <w14:solidFill>
              <w14:schemeClr w14:val="tx1"/>
            </w14:solidFill>
          </w14:textFill>
        </w:rPr>
      </w:pP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TOC \o "1-3" \h \z \u </w:instrText>
      </w:r>
      <w:r>
        <w:rPr>
          <w:rFonts w:asciiTheme="minorEastAsia" w:hAnsiTheme="minorEastAsia" w:eastAsiaTheme="minorEastAsia"/>
          <w:color w:val="000000" w:themeColor="text1"/>
          <w14:textFill>
            <w14:solidFill>
              <w14:schemeClr w14:val="tx1"/>
            </w14:solidFill>
          </w14:textFill>
        </w:rPr>
        <w:fldChar w:fldCharType="separate"/>
      </w:r>
      <w:r>
        <w:fldChar w:fldCharType="begin"/>
      </w:r>
      <w:r>
        <w:instrText xml:space="preserve"> HYPERLINK \l "_Toc114572530"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第一章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投标须知</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_Toc114572530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"_Toc114572531"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一、投标须知前附表</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_Toc114572531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"_Toc114572532"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二、投标须知修改表</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_Toc114572532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7</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"_Toc114572533"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三、投标须知通用条款</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_Toc114572533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18</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8"/>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"_Toc114572534"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（一）总则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_Toc114572534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18</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8"/>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"_Toc114572535"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（二）招标文件</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_Toc114572535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19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8"/>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"_Toc114572536"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（三）投标文件的编制</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_Toc114572536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20</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8"/>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"_Toc114572537"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（四）投标文件的提交</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_Toc114572537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26</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8"/>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"_Toc114572538"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（五）开标、评标、定标及合同签定</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_Toc114572538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27</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ind w:right="225" w:rightChars="107"/>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"_Toc114572539"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第二章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开标、评标及定标办法</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_Toc114572539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30</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"_Toc114572540"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一、开标、评标及定标办法修改表</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_Toc114572540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30</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9"/>
        <w:ind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"_Toc114572541"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二、开标、评标及定标办</w:t>
      </w:r>
      <w:bookmarkStart w:id="64" w:name="_GoBack"/>
      <w:bookmarkEnd w:id="64"/>
      <w:r>
        <w:rPr>
          <w:rStyle w:val="41"/>
          <w:rFonts w:hint="eastAsia" w:asciiTheme="minorEastAsia" w:hAnsiTheme="minorEastAsia" w:eastAsiaTheme="minorEastAsia"/>
          <w:color w:val="000000" w:themeColor="text1"/>
          <w14:textFill>
            <w14:solidFill>
              <w14:schemeClr w14:val="tx1"/>
            </w14:solidFill>
          </w14:textFill>
        </w:rPr>
        <w:t>法通用条款</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_Toc114572541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8"/>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"_Toc114572542"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（一）总则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_Toc114572542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39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18"/>
        <w:tabs>
          <w:tab w:val="right" w:leader="dot" w:pos="9072"/>
        </w:tabs>
        <w:ind w:left="840" w:right="225" w:rightChars="107"/>
        <w:rPr>
          <w:rFonts w:asciiTheme="minorEastAsia" w:hAnsiTheme="minorEastAsia" w:eastAsiaTheme="minorEastAsia" w:cstheme="minorBidi"/>
          <w:color w:val="000000" w:themeColor="text1"/>
          <w:sz w:val="21"/>
          <w:szCs w:val="22"/>
          <w14:textFill>
            <w14:solidFill>
              <w14:schemeClr w14:val="tx1"/>
            </w14:solidFill>
          </w14:textFill>
        </w:rPr>
      </w:pPr>
      <w:r>
        <w:fldChar w:fldCharType="begin"/>
      </w:r>
      <w:r>
        <w:instrText xml:space="preserve"> HYPERLINK \l "_Toc114572543"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（二）开标评标办法程序和细则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_Toc114572543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42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"_Toc114572550"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第三章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合同条款</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_Toc114572550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61</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"_Toc114572551"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第四章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投标文件格式</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_Toc114572551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62</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"_Toc114572574"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第五章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技术条件（工程建设标准）</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_Toc114572574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87</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"_Toc114572575"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第六章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图纸及勘察资料</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_Toc114572575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88</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"_Toc114572576" </w:instrText>
      </w:r>
      <w:r>
        <w:fldChar w:fldCharType="separate"/>
      </w:r>
      <w:r>
        <w:rPr>
          <w:rStyle w:val="41"/>
          <w:rFonts w:hint="eastAsia" w:asciiTheme="minorEastAsia" w:hAnsiTheme="minorEastAsia" w:eastAsiaTheme="minorEastAsia"/>
          <w:color w:val="000000" w:themeColor="text1"/>
          <w14:textFill>
            <w14:solidFill>
              <w14:schemeClr w14:val="tx1"/>
            </w14:solidFill>
          </w14:textFill>
        </w:rPr>
        <w:t>第七章</w:t>
      </w:r>
      <w:r>
        <w:rPr>
          <w:rStyle w:val="41"/>
          <w:rFonts w:asciiTheme="minorEastAsia" w:hAnsiTheme="minorEastAsia" w:eastAsiaTheme="minorEastAsia"/>
          <w:color w:val="000000" w:themeColor="text1"/>
          <w14:textFill>
            <w14:solidFill>
              <w14:schemeClr w14:val="tx1"/>
            </w14:solidFill>
          </w14:textFill>
        </w:rPr>
        <w:t xml:space="preserve"> </w:t>
      </w:r>
      <w:r>
        <w:rPr>
          <w:rStyle w:val="41"/>
          <w:rFonts w:hint="eastAsia" w:asciiTheme="minorEastAsia" w:hAnsiTheme="minorEastAsia" w:eastAsiaTheme="minorEastAsia"/>
          <w:color w:val="000000" w:themeColor="text1"/>
          <w14:textFill>
            <w14:solidFill>
              <w14:schemeClr w14:val="tx1"/>
            </w14:solidFill>
          </w14:textFill>
        </w:rPr>
        <w:t>工程量清单</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_Toc114572576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89</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rFonts w:asciiTheme="minorEastAsia" w:hAnsiTheme="minorEastAsia" w:eastAsiaTheme="minorEastAsia" w:cstheme="minorBidi"/>
          <w:caps w:val="0"/>
          <w:color w:val="000000" w:themeColor="text1"/>
          <w:kern w:val="2"/>
          <w:sz w:val="21"/>
          <w:szCs w:val="22"/>
          <w14:textFill>
            <w14:solidFill>
              <w14:schemeClr w14:val="tx1"/>
            </w14:solidFill>
          </w14:textFill>
        </w:rPr>
      </w:pPr>
      <w:r>
        <w:fldChar w:fldCharType="begin"/>
      </w:r>
      <w:r>
        <w:instrText xml:space="preserve"> HYPERLINK \l "_Toc114572577" </w:instrText>
      </w:r>
      <w:r>
        <w:fldChar w:fldCharType="separate"/>
      </w:r>
      <w:r>
        <w:rPr>
          <w:rStyle w:val="41"/>
          <w:rFonts w:hint="eastAsia" w:cs="宋体" w:asciiTheme="minorEastAsia" w:hAnsiTheme="minorEastAsia" w:eastAsiaTheme="minorEastAsia"/>
          <w:color w:val="000000" w:themeColor="text1"/>
          <w14:textFill>
            <w14:solidFill>
              <w14:schemeClr w14:val="tx1"/>
            </w14:solidFill>
          </w14:textFill>
        </w:rPr>
        <w:t>第八章</w:t>
      </w:r>
      <w:r>
        <w:rPr>
          <w:rStyle w:val="41"/>
          <w:rFonts w:cs="宋体" w:asciiTheme="minorEastAsia" w:hAnsiTheme="minorEastAsia" w:eastAsiaTheme="minorEastAsia"/>
          <w:color w:val="000000" w:themeColor="text1"/>
          <w14:textFill>
            <w14:solidFill>
              <w14:schemeClr w14:val="tx1"/>
            </w14:solidFill>
          </w14:textFill>
        </w:rPr>
        <w:t xml:space="preserve"> </w:t>
      </w:r>
      <w:r>
        <w:rPr>
          <w:rStyle w:val="41"/>
          <w:rFonts w:hint="eastAsia" w:cs="宋体" w:asciiTheme="minorEastAsia" w:hAnsiTheme="minorEastAsia" w:eastAsiaTheme="minorEastAsia"/>
          <w:color w:val="000000" w:themeColor="text1"/>
          <w14:textFill>
            <w14:solidFill>
              <w14:schemeClr w14:val="tx1"/>
            </w14:solidFill>
          </w14:textFill>
        </w:rPr>
        <w:t>最高投标限价</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PAGEREF _Toc114572577 \h </w:instrText>
      </w:r>
      <w:r>
        <w:rPr>
          <w:rFonts w:asciiTheme="minorEastAsia" w:hAnsiTheme="minorEastAsia" w:eastAsiaTheme="minorEastAsia"/>
          <w:color w:val="000000" w:themeColor="text1"/>
          <w14:textFill>
            <w14:solidFill>
              <w14:schemeClr w14:val="tx1"/>
            </w14:solidFill>
          </w14:textFill>
        </w:rPr>
        <w:fldChar w:fldCharType="separate"/>
      </w:r>
      <w:r>
        <w:rPr>
          <w:rFonts w:asciiTheme="minorEastAsia" w:hAnsiTheme="minorEastAsia" w:eastAsiaTheme="minorEastAsia"/>
          <w:color w:val="000000" w:themeColor="text1"/>
          <w14:textFill>
            <w14:solidFill>
              <w14:schemeClr w14:val="tx1"/>
            </w14:solidFill>
          </w14:textFill>
        </w:rPr>
        <w:t>90</w:t>
      </w:r>
      <w:r>
        <w:rPr>
          <w:rFonts w:asciiTheme="minorEastAsia" w:hAnsiTheme="minorEastAsia" w:eastAsiaTheme="minorEastAsia"/>
          <w:color w:val="000000" w:themeColor="text1"/>
          <w14:textFill>
            <w14:solidFill>
              <w14:schemeClr w14:val="tx1"/>
            </w14:solidFill>
          </w14:textFill>
        </w:rPr>
        <w:fldChar w:fldCharType="end"/>
      </w:r>
      <w:r>
        <w:rPr>
          <w:rFonts w:asciiTheme="minorEastAsia" w:hAnsiTheme="minorEastAsia" w:eastAsiaTheme="minorEastAsia"/>
          <w:color w:val="000000" w:themeColor="text1"/>
          <w14:textFill>
            <w14:solidFill>
              <w14:schemeClr w14:val="tx1"/>
            </w14:solidFill>
          </w14:textFill>
        </w:rPr>
        <w:fldChar w:fldCharType="end"/>
      </w:r>
    </w:p>
    <w:p>
      <w:pPr>
        <w:pStyle w:val="26"/>
        <w:rPr>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fldChar w:fldCharType="end"/>
      </w:r>
    </w:p>
    <w:p>
      <w:pPr>
        <w:pStyle w:val="5"/>
        <w:rPr>
          <w:rFonts w:ascii="宋体" w:hAnsi="宋体"/>
          <w:color w:val="000000" w:themeColor="text1"/>
          <w:kern w:val="44"/>
          <w:sz w:val="28"/>
          <w:szCs w:val="28"/>
          <w14:textFill>
            <w14:solidFill>
              <w14:schemeClr w14:val="tx1"/>
            </w14:solidFill>
          </w14:textFill>
        </w:rPr>
      </w:pPr>
      <w:r>
        <w:rPr>
          <w:rFonts w:ascii="宋体" w:hAnsi="宋体"/>
          <w:color w:val="000000" w:themeColor="text1"/>
          <w14:textFill>
            <w14:solidFill>
              <w14:schemeClr w14:val="tx1"/>
            </w14:solidFill>
          </w14:textFill>
        </w:rPr>
        <w:br w:type="page"/>
      </w:r>
    </w:p>
    <w:p>
      <w:pPr>
        <w:pStyle w:val="3"/>
        <w:rPr>
          <w:rFonts w:ascii="宋体" w:hAnsi="宋体"/>
          <w:color w:val="000000" w:themeColor="text1"/>
          <w14:textFill>
            <w14:solidFill>
              <w14:schemeClr w14:val="tx1"/>
            </w14:solidFill>
          </w14:textFill>
        </w:rPr>
      </w:pPr>
      <w:bookmarkStart w:id="0" w:name="_Toc114572530"/>
      <w:r>
        <w:rPr>
          <w:rFonts w:hint="eastAsia" w:ascii="宋体" w:hAnsi="宋体"/>
          <w:color w:val="000000" w:themeColor="text1"/>
          <w14:textFill>
            <w14:solidFill>
              <w14:schemeClr w14:val="tx1"/>
            </w14:solidFill>
          </w14:textFill>
        </w:rPr>
        <w:t>第一章 投标须知</w:t>
      </w:r>
      <w:bookmarkEnd w:id="0"/>
    </w:p>
    <w:p>
      <w:pPr>
        <w:pStyle w:val="7"/>
        <w:rPr>
          <w:rFonts w:ascii="宋体" w:hAnsi="宋体"/>
          <w:color w:val="000000" w:themeColor="text1"/>
          <w14:textFill>
            <w14:solidFill>
              <w14:schemeClr w14:val="tx1"/>
            </w14:solidFill>
          </w14:textFill>
        </w:rPr>
      </w:pPr>
      <w:bookmarkStart w:id="1" w:name="_Toc114572531"/>
      <w:r>
        <w:rPr>
          <w:rFonts w:hint="eastAsia" w:ascii="宋体" w:hAnsi="宋体"/>
          <w:color w:val="000000" w:themeColor="text1"/>
          <w14:textFill>
            <w14:solidFill>
              <w14:schemeClr w14:val="tx1"/>
            </w14:solidFill>
          </w14:textFill>
        </w:rPr>
        <w:t>一、投标须知前附表</w:t>
      </w:r>
      <w:bookmarkEnd w:id="1"/>
    </w:p>
    <w:p>
      <w:pPr>
        <w:pStyle w:val="2"/>
        <w:spacing w:line="360" w:lineRule="auto"/>
        <w:ind w:firstLine="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并不适用。</w:t>
      </w:r>
    </w:p>
    <w:tbl>
      <w:tblPr>
        <w:tblStyle w:val="3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000000" w:themeColor="text1"/>
                <w:kern w:val="2"/>
                <w:sz w:val="21"/>
                <w:szCs w:val="21"/>
                <w:lang w:val="en-US"/>
                <w14:textFill>
                  <w14:solidFill>
                    <w14:schemeClr w14:val="tx1"/>
                  </w14:solidFill>
                </w14:textFill>
              </w:rPr>
            </w:pPr>
            <w:r>
              <w:rPr>
                <w:rFonts w:hint="eastAsia" w:ascii="宋体" w:hAnsi="宋体"/>
                <w:color w:val="000000" w:themeColor="text1"/>
                <w:kern w:val="2"/>
                <w:sz w:val="21"/>
                <w:szCs w:val="21"/>
                <w:lang w:val="en-US"/>
                <w14:textFill>
                  <w14:solidFill>
                    <w14:schemeClr w14:val="tx1"/>
                  </w14:solidFill>
                </w14:textFill>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招标人（即发包人/代建人）：</w:t>
            </w:r>
            <w:r>
              <w:rPr>
                <w:rFonts w:hint="eastAsia" w:ascii="宋体" w:hAnsi="宋体"/>
                <w:color w:val="000000" w:themeColor="text1"/>
                <w:szCs w:val="21"/>
                <w:u w:val="single"/>
                <w14:textFill>
                  <w14:solidFill>
                    <w14:schemeClr w14:val="tx1"/>
                  </w14:solidFill>
                </w14:textFill>
              </w:rPr>
              <w:t>广东粤海置地发展有限公司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w:t>
            </w:r>
            <w:r>
              <w:rPr>
                <w:rFonts w:hint="eastAsia" w:ascii="宋体" w:hAnsi="宋体"/>
                <w:color w:val="000000" w:themeColor="text1"/>
                <w:szCs w:val="21"/>
                <w:u w:val="single"/>
                <w14:textFill>
                  <w14:solidFill>
                    <w14:schemeClr w14:val="tx1"/>
                  </w14:solidFill>
                </w14:textFill>
              </w:rPr>
              <w:t>广州宏达工程顾问集团有限公司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9#地块总承包单位：</w:t>
            </w:r>
            <w:r>
              <w:rPr>
                <w:rFonts w:hint="eastAsia" w:ascii="宋体" w:hAnsi="宋体"/>
                <w:color w:val="000000" w:themeColor="text1"/>
                <w:szCs w:val="21"/>
                <w:u w:val="single"/>
                <w14:textFill>
                  <w14:solidFill>
                    <w14:schemeClr w14:val="tx1"/>
                  </w14:solidFill>
                </w14:textFill>
              </w:rPr>
              <w:t>中国建筑第二工程局有限公司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11#地块总承包单位：</w:t>
            </w:r>
            <w:r>
              <w:rPr>
                <w:rFonts w:hint="eastAsia" w:ascii="宋体" w:hAnsi="宋体"/>
                <w:color w:val="000000" w:themeColor="text1"/>
                <w:szCs w:val="21"/>
                <w:u w:val="single"/>
                <w14:textFill>
                  <w14:solidFill>
                    <w14:schemeClr w14:val="tx1"/>
                  </w14:solidFill>
                </w14:textFill>
              </w:rPr>
              <w:t>中国建筑一局(集团)有限公司</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设计单位：</w:t>
            </w:r>
            <w:r>
              <w:rPr>
                <w:rFonts w:hint="eastAsia" w:ascii="宋体" w:hAnsi="宋体"/>
                <w:color w:val="000000" w:themeColor="text1"/>
                <w:szCs w:val="21"/>
                <w:u w:val="single"/>
                <w14:textFill>
                  <w14:solidFill>
                    <w14:schemeClr w14:val="tx1"/>
                  </w14:solidFill>
                </w14:textFill>
              </w:rPr>
              <w:t>广东岭南设计院有限公司</w:t>
            </w:r>
          </w:p>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监理单位：</w:t>
            </w:r>
            <w:r>
              <w:rPr>
                <w:rFonts w:hint="eastAsia" w:ascii="宋体" w:hAnsi="宋体"/>
                <w:color w:val="000000" w:themeColor="text1"/>
                <w:szCs w:val="21"/>
                <w:u w:val="single"/>
                <w14:textFill>
                  <w14:solidFill>
                    <w14:schemeClr w14:val="tx1"/>
                  </w14:solidFill>
                </w14:textFill>
              </w:rPr>
              <w:t>广州珠江监理咨询集团有限公司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云港城项目9#、11#地块永久用电工程施工专业承包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广州市白云区云城西路与云城南四路交叉路口。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pStyle w:val="103"/>
              <w:snapToGrid w:val="0"/>
              <w:spacing w:line="340" w:lineRule="exact"/>
              <w:ind w:firstLine="420"/>
              <w:rPr>
                <w:color w:val="000000" w:themeColor="text1"/>
                <w14:textFill>
                  <w14:solidFill>
                    <w14:schemeClr w14:val="tx1"/>
                  </w14:solidFill>
                </w14:textFill>
              </w:rPr>
            </w:pPr>
            <w:r>
              <w:rPr>
                <w:rFonts w:hint="eastAsia" w:ascii="宋体" w:hAnsi="宋体" w:eastAsia="宋体"/>
                <w:color w:val="000000" w:themeColor="text1"/>
                <w:kern w:val="2"/>
                <w:szCs w:val="21"/>
                <w:u w:val="single"/>
                <w14:textFill>
                  <w14:solidFill>
                    <w14:schemeClr w14:val="tx1"/>
                  </w14:solidFill>
                </w14:textFill>
              </w:rPr>
              <w:t>本合同价格包干方式为：红线外工程固定总价包干；红线内工程（母线槽除外）及母线槽工程采用分部分项工程综合单价包干，措施项目（以费率计算的绿色施工安全防护措施费及模板工程费除外）固定总价包干，以费率计算的绿色施工安全防护措施费和其他项目费以综合费率包干；绿色施工安全防护措施费如按合同计算的费率超出定额规定的费率时，进度支付和结算按定额规定的费率计算，如按合同计算的费率低于定额规定的费率时，则按合同计算的费率计算。模板工程费用已包含在分部分项工程中的相关清单项目中。</w:t>
            </w:r>
            <w:r>
              <w:rPr>
                <w:rFonts w:hint="eastAsia" w:eastAsia="宋体"/>
                <w:color w:val="000000" w:themeColor="text1"/>
                <w:kern w:val="2"/>
                <w:u w:val="single"/>
                <w14:textFill>
                  <w14:solidFill>
                    <w14:schemeClr w14:val="tx1"/>
                  </w14:solidFill>
                </w14:textFill>
              </w:rPr>
              <w:t>具体详见合同相关条款。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keepNext/>
              <w:keepLines/>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计划开工日期为</w:t>
            </w:r>
            <w:r>
              <w:rPr>
                <w:rFonts w:hint="eastAsia"/>
                <w:color w:val="000000" w:themeColor="text1"/>
                <w:u w:val="single"/>
                <w14:textFill>
                  <w14:solidFill>
                    <w14:schemeClr w14:val="tx1"/>
                  </w14:solidFill>
                </w14:textFill>
              </w:rPr>
              <w:t>2023年8月11日</w:t>
            </w:r>
            <w:r>
              <w:rPr>
                <w:rFonts w:hint="eastAsia" w:ascii="宋体" w:hAnsi="宋体"/>
                <w:color w:val="000000" w:themeColor="text1"/>
                <w:szCs w:val="21"/>
                <w:u w:val="single"/>
                <w14:textFill>
                  <w14:solidFill>
                    <w14:schemeClr w14:val="tx1"/>
                  </w14:solidFill>
                </w14:textFill>
              </w:rPr>
              <w:t>，施工总工期：170</w:t>
            </w:r>
            <w:r>
              <w:rPr>
                <w:rFonts w:ascii="宋体" w:hAnsi="宋体"/>
                <w:color w:val="000000" w:themeColor="text1"/>
                <w:szCs w:val="21"/>
                <w:u w:val="single"/>
                <w14:textFill>
                  <w14:solidFill>
                    <w14:schemeClr w14:val="tx1"/>
                  </w14:solidFill>
                </w14:textFill>
              </w:rPr>
              <w:t>日历天。</w:t>
            </w:r>
            <w:r>
              <w:rPr>
                <w:rFonts w:hint="eastAsia" w:ascii="宋体" w:hAnsi="宋体"/>
                <w:color w:val="000000" w:themeColor="text1"/>
                <w:szCs w:val="21"/>
                <w:u w:val="single"/>
                <w14:textFill>
                  <w14:solidFill>
                    <w14:schemeClr w14:val="tx1"/>
                  </w14:solidFill>
                </w14:textFill>
              </w:rPr>
              <w:t>其中：9#地块施工总工期为170日历天，暂定开工日期为2023年8月11日，暂定竣工日期为2024年1月27日；11#地块施工总工期为170天，暂定开工日期为2023</w:t>
            </w:r>
            <w:r>
              <w:rPr>
                <w:rFonts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8</w:t>
            </w:r>
            <w:r>
              <w:rPr>
                <w:rFonts w:ascii="宋体" w:hAnsi="宋体"/>
                <w:color w:val="000000" w:themeColor="text1"/>
                <w:szCs w:val="21"/>
                <w:u w:val="single"/>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11</w:t>
            </w:r>
            <w:r>
              <w:rPr>
                <w:rFonts w:ascii="宋体" w:hAnsi="宋体"/>
                <w:color w:val="000000" w:themeColor="text1"/>
                <w:szCs w:val="21"/>
                <w:u w:val="single"/>
                <w14:textFill>
                  <w14:solidFill>
                    <w14:schemeClr w14:val="tx1"/>
                  </w14:solidFill>
                </w14:textFill>
              </w:rPr>
              <w:t>日，暂定竣工日期暂定为</w:t>
            </w:r>
            <w:r>
              <w:rPr>
                <w:rFonts w:hint="eastAsia" w:ascii="宋体" w:hAnsi="宋体"/>
                <w:color w:val="000000" w:themeColor="text1"/>
                <w:szCs w:val="21"/>
                <w:u w:val="single"/>
                <w14:textFill>
                  <w14:solidFill>
                    <w14:schemeClr w14:val="tx1"/>
                  </w14:solidFill>
                </w14:textFill>
              </w:rPr>
              <w:t>2024</w:t>
            </w:r>
            <w:r>
              <w:rPr>
                <w:rFonts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1</w:t>
            </w:r>
            <w:r>
              <w:rPr>
                <w:rFonts w:ascii="宋体" w:hAnsi="宋体"/>
                <w:color w:val="000000" w:themeColor="text1"/>
                <w:szCs w:val="21"/>
                <w:u w:val="single"/>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27日。具体时间以总监理工程师发出的开工令上载明的日期为准。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工程量清单计价。并请见招标文件所附合同条款的约定。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120</w:t>
            </w:r>
            <w:r>
              <w:rPr>
                <w:rFonts w:hint="eastAsia" w:ascii="宋体" w:hAnsi="宋体"/>
                <w:color w:val="000000" w:themeColor="text1"/>
                <w:szCs w:val="21"/>
                <w14:textFill>
                  <w14:solidFill>
                    <w14:schemeClr w14:val="tx1"/>
                  </w14:solidFill>
                </w14:textFill>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1、投标保证金额度：</w:t>
            </w:r>
            <w:r>
              <w:rPr>
                <w:rFonts w:hint="eastAsia" w:asciiTheme="minorEastAsia" w:hAnsiTheme="minorEastAsia" w:eastAsiaTheme="minorEastAsia"/>
                <w:b/>
                <w:color w:val="000000" w:themeColor="text1"/>
                <w:szCs w:val="21"/>
                <w:u w:val="single"/>
                <w14:textFill>
                  <w14:solidFill>
                    <w14:schemeClr w14:val="tx1"/>
                  </w14:solidFill>
                </w14:textFill>
              </w:rPr>
              <w:t>10</w:t>
            </w:r>
            <w:r>
              <w:rPr>
                <w:rFonts w:hint="eastAsia" w:asciiTheme="minorEastAsia" w:hAnsiTheme="minorEastAsia" w:eastAsiaTheme="minorEastAsia"/>
                <w:b/>
                <w:color w:val="000000" w:themeColor="text1"/>
                <w:szCs w:val="21"/>
                <w14:textFill>
                  <w14:solidFill>
                    <w14:schemeClr w14:val="tx1"/>
                  </w14:solidFill>
                </w14:textFill>
              </w:rPr>
              <w:t>万元</w:t>
            </w:r>
            <w:r>
              <w:rPr>
                <w:rFonts w:hint="eastAsia" w:asciiTheme="minorEastAsia" w:hAnsiTheme="minorEastAsia" w:eastAsiaTheme="minorEastAsia"/>
                <w:color w:val="000000" w:themeColor="text1"/>
                <w:szCs w:val="21"/>
                <w14:textFill>
                  <w14:solidFill>
                    <w14:schemeClr w14:val="tx1"/>
                  </w14:solidFill>
                </w14:textFill>
              </w:rPr>
              <w:t>人民币。</w:t>
            </w:r>
          </w:p>
          <w:p>
            <w:pPr>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投标保证金可采用现金、支票、投标保函、投标保证保险的形式递交，须在递交投标文件截止时间前完成缴纳。</w:t>
            </w:r>
          </w:p>
          <w:p>
            <w:pPr>
              <w:spacing w:line="340" w:lineRule="exact"/>
              <w:ind w:firstLine="333" w:firstLineChars="159"/>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①</w:t>
            </w:r>
            <w:r>
              <w:rPr>
                <w:rFonts w:hint="eastAsia" w:cs="宋体" w:asciiTheme="minorEastAsia" w:hAnsiTheme="minorEastAsia" w:eastAsiaTheme="minorEastAsia"/>
                <w:color w:val="000000" w:themeColor="text1"/>
                <w:szCs w:val="21"/>
                <w14:textFill>
                  <w14:solidFill>
                    <w14:schemeClr w14:val="tx1"/>
                  </w14:solidFill>
                </w14:textFill>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340" w:lineRule="exact"/>
              <w:ind w:firstLine="315" w:firstLineChars="15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②如采用非电子形式的投标保函或投标保证保险提交投标保证金的</w:t>
            </w:r>
            <w:r>
              <w:rPr>
                <w:rFonts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在开标前不强制要求投标人提交纸质原件，由中标候选人在中标候选人公示前提交并在网上公示，投标人应在投标文件中提交投标保函或投标保证保险扫描件并加盖投标人电子印章。</w:t>
            </w:r>
          </w:p>
          <w:p>
            <w:pPr>
              <w:spacing w:line="340" w:lineRule="exact"/>
              <w:ind w:firstLine="315" w:firstLineChars="150"/>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③如采用电子保函方式提交投标保证金，具体操作详见《广州公共资源交易中心关于开通电子保函服务功能的通知》（http://www.gzggzy.cn/jtgg/822128.jhtml）。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000000" w:themeColor="text1"/>
                <w:kern w:val="2"/>
                <w:sz w:val="21"/>
                <w:szCs w:val="21"/>
                <w:u w:val="single"/>
                <w:lang w:val="en-US"/>
                <w14:textFill>
                  <w14:solidFill>
                    <w14:schemeClr w14:val="tx1"/>
                  </w14:solidFill>
                </w14:textFill>
              </w:rPr>
            </w:pPr>
            <w:r>
              <w:rPr>
                <w:rFonts w:hint="eastAsia" w:ascii="宋体" w:hAnsi="宋体"/>
                <w:color w:val="000000" w:themeColor="text1"/>
                <w:kern w:val="2"/>
                <w:sz w:val="21"/>
                <w:szCs w:val="21"/>
                <w:u w:val="single"/>
                <w:lang w:val="en-US"/>
                <w14:textFill>
                  <w14:solidFill>
                    <w14:schemeClr w14:val="tx1"/>
                  </w14:solidFill>
                </w14:textFill>
              </w:rPr>
              <w:t>时间：自招标公告发布之日起具备现场踏勘条件；</w:t>
            </w:r>
          </w:p>
          <w:p>
            <w:pPr>
              <w:pStyle w:val="20"/>
              <w:rPr>
                <w:rFonts w:ascii="宋体" w:hAnsi="宋体"/>
                <w:color w:val="000000" w:themeColor="text1"/>
                <w:kern w:val="2"/>
                <w:sz w:val="21"/>
                <w:szCs w:val="21"/>
                <w:u w:val="single"/>
                <w:lang w:val="en-US"/>
                <w14:textFill>
                  <w14:solidFill>
                    <w14:schemeClr w14:val="tx1"/>
                  </w14:solidFill>
                </w14:textFill>
              </w:rPr>
            </w:pPr>
            <w:r>
              <w:rPr>
                <w:rFonts w:hint="eastAsia" w:ascii="宋体" w:hAnsi="宋体"/>
                <w:color w:val="000000" w:themeColor="text1"/>
                <w:kern w:val="2"/>
                <w:sz w:val="21"/>
                <w:szCs w:val="21"/>
                <w:u w:val="single"/>
                <w:lang w:val="en-US"/>
                <w14:textFill>
                  <w14:solidFill>
                    <w14:schemeClr w14:val="tx1"/>
                  </w14:solidFill>
                </w14:textFill>
              </w:rPr>
              <w:t>方式：招标人不集中组织，由投标人自行踏勘；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1、疑问提交时间：</w:t>
            </w:r>
            <w:r>
              <w:rPr>
                <w:rFonts w:hint="eastAsia" w:asciiTheme="minorEastAsia" w:hAnsiTheme="minorEastAsia" w:eastAsiaTheme="minorEastAsia"/>
                <w:color w:val="000000" w:themeColor="text1"/>
                <w:szCs w:val="21"/>
                <w:u w:val="single"/>
                <w14:textFill>
                  <w14:solidFill>
                    <w14:schemeClr w14:val="tx1"/>
                  </w14:solidFill>
                </w14:textFill>
              </w:rPr>
              <w:t>以广州公共资源交易中心网站中“建设工程”→“项目查询（日程安排）”公布的为准</w:t>
            </w:r>
            <w:r>
              <w:rPr>
                <w:rFonts w:hint="eastAsia" w:asciiTheme="minorEastAsia" w:hAnsiTheme="minorEastAsia" w:eastAsiaTheme="minorEastAsia"/>
                <w:color w:val="000000" w:themeColor="text1"/>
                <w:szCs w:val="21"/>
                <w14:textFill>
                  <w14:solidFill>
                    <w14:schemeClr w14:val="tx1"/>
                  </w14:solidFill>
                </w14:textFill>
              </w:rPr>
              <w:t>；</w:t>
            </w:r>
          </w:p>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2、形式：投标人的疑问通过</w:t>
            </w:r>
            <w:r>
              <w:rPr>
                <w:rFonts w:hint="eastAsia" w:asciiTheme="minorEastAsia" w:hAnsiTheme="minorEastAsia" w:eastAsiaTheme="minorEastAsia"/>
                <w:color w:val="000000" w:themeColor="text1"/>
                <w:szCs w:val="21"/>
                <w:u w:val="single"/>
                <w14:textFill>
                  <w14:solidFill>
                    <w14:schemeClr w14:val="tx1"/>
                  </w14:solidFill>
                </w14:textFill>
              </w:rPr>
              <w:t>广州公共资源交易中心</w:t>
            </w:r>
            <w:r>
              <w:rPr>
                <w:rFonts w:hint="eastAsia" w:asciiTheme="minorEastAsia" w:hAnsiTheme="minorEastAsia" w:eastAsiaTheme="minorEastAsia"/>
                <w:color w:val="000000" w:themeColor="text1"/>
                <w:szCs w:val="21"/>
                <w14:textFill>
                  <w14:solidFill>
                    <w14:schemeClr w14:val="tx1"/>
                  </w14:solidFill>
                </w14:textFill>
              </w:rPr>
              <w:t>交易平台提交。</w:t>
            </w:r>
          </w:p>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3、招标人澄清、修补或答疑期限：在递交投标文件截止日期前</w:t>
            </w:r>
            <w:r>
              <w:rPr>
                <w:rFonts w:asciiTheme="minorEastAsia" w:hAnsiTheme="minorEastAsia" w:eastAsiaTheme="minorEastAsia"/>
                <w:color w:val="000000" w:themeColor="text1"/>
                <w:szCs w:val="21"/>
                <w:u w:val="single"/>
                <w14:textFill>
                  <w14:solidFill>
                    <w14:schemeClr w14:val="tx1"/>
                  </w14:solidFill>
                </w14:textFill>
              </w:rPr>
              <w:t>15</w:t>
            </w:r>
            <w:r>
              <w:rPr>
                <w:rFonts w:hint="eastAsia" w:asciiTheme="minorEastAsia" w:hAnsiTheme="minorEastAsia" w:eastAsiaTheme="minorEastAsia"/>
                <w:color w:val="000000" w:themeColor="text1"/>
                <w:szCs w:val="21"/>
                <w14:textFill>
                  <w14:solidFill>
                    <w14:schemeClr w14:val="tx1"/>
                  </w14:solidFill>
                </w14:textFill>
              </w:rPr>
              <w:t>日；</w:t>
            </w:r>
          </w:p>
          <w:p>
            <w:pPr>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hint="eastAsia" w:cs="宋体" w:asciiTheme="minorEastAsia" w:hAnsiTheme="minorEastAsia" w:eastAsiaTheme="minorEastAsia"/>
                <w:color w:val="000000" w:themeColor="text1"/>
                <w:szCs w:val="21"/>
                <w14:textFill>
                  <w14:solidFill>
                    <w14:schemeClr w14:val="tx1"/>
                  </w14:solidFill>
                </w14:textFill>
              </w:rPr>
              <w:t>网上答疑的操作指南为：</w:t>
            </w:r>
            <w:r>
              <w:rPr>
                <w:rFonts w:hint="eastAsia" w:cs="宋体" w:asciiTheme="minorEastAsia" w:hAnsiTheme="minorEastAsia" w:eastAsiaTheme="minorEastAsia"/>
                <w:color w:val="000000" w:themeColor="text1"/>
                <w:szCs w:val="21"/>
                <w:u w:val="single"/>
                <w14:textFill>
                  <w14:solidFill>
                    <w14:schemeClr w14:val="tx1"/>
                  </w14:solidFill>
                </w14:textFill>
              </w:rPr>
              <w:t>投标人登录广州公共资源交易中心数字交易平台→进入“我是投标人”页面→进入“招标答疑提问”页面→通过项目编号或名称找到所需的项目→在上述答疑时间内点击“答疑提问”→无记名或匿名提出问题。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（技术标和经济标同时开标）</w:t>
            </w:r>
          </w:p>
          <w:p>
            <w:pPr>
              <w:spacing w:line="34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1、开标开始时间：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分（与</w:t>
            </w:r>
            <w:r>
              <w:rPr>
                <w:rFonts w:ascii="宋体" w:hAnsi="宋体"/>
                <w:color w:val="000000" w:themeColor="text1"/>
                <w:szCs w:val="21"/>
                <w14:textFill>
                  <w14:solidFill>
                    <w14:schemeClr w14:val="tx1"/>
                  </w14:solidFill>
                </w14:textFill>
              </w:rPr>
              <w:t>投标截止时间</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同一时间</w:t>
            </w:r>
            <w:r>
              <w:rPr>
                <w:rFonts w:hint="eastAsia" w:ascii="宋体" w:hAnsi="宋体"/>
                <w:color w:val="000000" w:themeColor="text1"/>
                <w:szCs w:val="21"/>
                <w14:textFill>
                  <w14:solidFill>
                    <w14:schemeClr w14:val="tx1"/>
                  </w14:solidFill>
                </w14:textFill>
              </w:rPr>
              <w:t>），地点：</w:t>
            </w:r>
            <w:r>
              <w:rPr>
                <w:rFonts w:hint="eastAsia" w:ascii="宋体" w:hAnsi="宋体"/>
                <w:color w:val="000000" w:themeColor="text1"/>
                <w:szCs w:val="21"/>
                <w:u w:val="single"/>
                <w14:textFill>
                  <w14:solidFill>
                    <w14:schemeClr w14:val="tx1"/>
                  </w14:solidFill>
                </w14:textFill>
              </w:rPr>
              <w:t>广州公共资源交易中心第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开标室。投标人也可选择参加在线开标，具体按照交易平台相关指南进行操作。详见：广州公共资源交易中心网站。</w:t>
            </w:r>
          </w:p>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注：投标文件解密问题。投标人只用执行一次解密，招标人执行解密次数根据招标文件开标次数确定。</w:t>
            </w:r>
          </w:p>
          <w:p>
            <w:pPr>
              <w:numPr>
                <w:ilvl w:val="0"/>
                <w:numId w:val="3"/>
              </w:numPr>
              <w:spacing w:line="34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分；递交地点：</w:t>
            </w:r>
            <w:r>
              <w:rPr>
                <w:rFonts w:hint="eastAsia" w:ascii="宋体" w:hAnsi="宋体"/>
                <w:color w:val="000000" w:themeColor="text1"/>
                <w:szCs w:val="21"/>
                <w:u w:val="single"/>
                <w14:textFill>
                  <w14:solidFill>
                    <w14:schemeClr w14:val="tx1"/>
                  </w14:solidFill>
                </w14:textFill>
              </w:rPr>
              <w:t>广州公共资源交易中心第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开标室。</w:t>
            </w:r>
          </w:p>
          <w:p>
            <w:pPr>
              <w:spacing w:line="340" w:lineRule="exact"/>
              <w:ind w:left="-27" w:leftChars="-13" w:right="-59" w:rightChars="-28"/>
              <w:rPr>
                <w:rFonts w:ascii="宋体" w:hAnsi="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本项目不设置项目负责人签到。</w:t>
            </w:r>
          </w:p>
          <w:p>
            <w:pPr>
              <w:spacing w:line="340" w:lineRule="exac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14:textFill>
                  <w14:solidFill>
                    <w14:schemeClr w14:val="tx1"/>
                  </w14:solidFill>
                </w14:textFill>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000000" w:themeColor="text1"/>
                <w:kern w:val="2"/>
                <w:sz w:val="21"/>
                <w:lang w:val="en-US"/>
                <w14:textFill>
                  <w14:solidFill>
                    <w14:schemeClr w14:val="tx1"/>
                  </w14:solidFill>
                </w14:textFill>
              </w:rPr>
            </w:pPr>
            <w:r>
              <w:rPr>
                <w:rFonts w:hint="eastAsia" w:ascii="宋体" w:hAnsi="宋体"/>
                <w:color w:val="000000" w:themeColor="text1"/>
                <w:kern w:val="2"/>
                <w:sz w:val="21"/>
                <w:lang w:val="en-US"/>
                <w14:textFill>
                  <w14:solidFill>
                    <w14:schemeClr w14:val="tx1"/>
                  </w14:solidFill>
                </w14:textFill>
              </w:rPr>
              <w:t>采用评定分离定标办法。</w:t>
            </w:r>
          </w:p>
          <w:p>
            <w:pPr>
              <w:pStyle w:val="5"/>
              <w:spacing w:after="0"/>
              <w:ind w:firstLine="0"/>
              <w:rPr>
                <w:rFonts w:ascii="宋体" w:hAnsi="宋体"/>
                <w:color w:val="000000" w:themeColor="text1"/>
                <w:kern w:val="2"/>
                <w:sz w:val="21"/>
                <w:lang w:val="en-US"/>
                <w14:textFill>
                  <w14:solidFill>
                    <w14:schemeClr w14:val="tx1"/>
                  </w14:solidFill>
                </w14:textFill>
              </w:rPr>
            </w:pPr>
            <w:r>
              <w:rPr>
                <w:rFonts w:hint="eastAsia" w:ascii="宋体" w:hAnsi="宋体"/>
                <w:color w:val="000000" w:themeColor="text1"/>
                <w:kern w:val="2"/>
                <w:sz w:val="21"/>
                <w:lang w:val="en-US"/>
                <w14:textFill>
                  <w14:solidFill>
                    <w14:schemeClr w14:val="tx1"/>
                  </w14:solidFill>
                </w14:textFill>
              </w:rPr>
              <w:t>评标办法：定性评审法，详见第二章开标、评标及定标办法。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000000" w:themeColor="text1"/>
                <w:kern w:val="2"/>
                <w:sz w:val="21"/>
                <w:lang w:val="en-US"/>
                <w14:textFill>
                  <w14:solidFill>
                    <w14:schemeClr w14:val="tx1"/>
                  </w14:solidFill>
                </w14:textFill>
              </w:rPr>
            </w:pPr>
            <w:r>
              <w:rPr>
                <w:rFonts w:hint="eastAsia" w:ascii="宋体" w:hAnsi="宋体"/>
                <w:color w:val="000000" w:themeColor="text1"/>
                <w:kern w:val="2"/>
                <w:sz w:val="21"/>
                <w:lang w:val="en-US"/>
                <w14:textFill>
                  <w14:solidFill>
                    <w14:schemeClr w14:val="tx1"/>
                  </w14:solidFill>
                </w14:textFill>
              </w:rPr>
              <w:t>按合同条款提交履约担保。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本项目最高投标限价（</w:t>
            </w:r>
            <w:r>
              <w:rPr>
                <w:rFonts w:ascii="宋体" w:hAnsi="宋体"/>
                <w:color w:val="000000" w:themeColor="text1"/>
                <w:szCs w:val="21"/>
                <w:u w:val="single"/>
                <w14:textFill>
                  <w14:solidFill>
                    <w14:schemeClr w14:val="tx1"/>
                  </w14:solidFill>
                </w14:textFill>
              </w:rPr>
              <w:t>招标控制价</w:t>
            </w:r>
            <w:r>
              <w:rPr>
                <w:rFonts w:hint="eastAsia" w:ascii="宋体" w:hAnsi="宋体"/>
                <w:color w:val="000000" w:themeColor="text1"/>
                <w:szCs w:val="21"/>
                <w14:textFill>
                  <w14:solidFill>
                    <w14:schemeClr w14:val="tx1"/>
                  </w14:solidFill>
                </w14:textFill>
              </w:rPr>
              <w:t>）为人民币</w:t>
            </w:r>
            <w:r>
              <w:rPr>
                <w:rFonts w:hint="eastAsia" w:ascii="宋体" w:hAnsi="宋体"/>
                <w:color w:val="000000" w:themeColor="text1"/>
                <w:szCs w:val="21"/>
                <w:u w:val="single"/>
                <w:lang w:val="en-US" w:eastAsia="zh-CN"/>
                <w14:textFill>
                  <w14:solidFill>
                    <w14:schemeClr w14:val="tx1"/>
                  </w14:solidFill>
                </w14:textFill>
              </w:rPr>
              <w:t>44775164.95</w:t>
            </w:r>
            <w:r>
              <w:rPr>
                <w:rFonts w:hint="eastAsia" w:ascii="宋体" w:hAnsi="宋体"/>
                <w:color w:val="000000" w:themeColor="text1"/>
                <w:szCs w:val="21"/>
                <w14:textFill>
                  <w14:solidFill>
                    <w14:schemeClr w14:val="tx1"/>
                  </w14:solidFill>
                </w14:textFill>
              </w:rPr>
              <w:t>元。其中，11#地块红线外工程最高投标限价为人民币</w:t>
            </w:r>
            <w:r>
              <w:rPr>
                <w:rFonts w:hint="eastAsia" w:ascii="宋体" w:hAnsi="宋体"/>
                <w:color w:val="000000" w:themeColor="text1"/>
                <w:szCs w:val="21"/>
                <w:u w:val="single"/>
                <w:lang w:val="en-US" w:eastAsia="zh-CN"/>
                <w14:textFill>
                  <w14:solidFill>
                    <w14:schemeClr w14:val="tx1"/>
                  </w14:solidFill>
                </w14:textFill>
              </w:rPr>
              <w:t>12622062.08</w:t>
            </w:r>
            <w:r>
              <w:rPr>
                <w:rFonts w:hint="eastAsia" w:ascii="宋体" w:hAnsi="宋体"/>
                <w:color w:val="000000" w:themeColor="text1"/>
                <w:szCs w:val="21"/>
                <w14:textFill>
                  <w14:solidFill>
                    <w14:schemeClr w14:val="tx1"/>
                  </w14:solidFill>
                </w14:textFill>
              </w:rPr>
              <w:t>元；11#地块红线内（母线槽除外）工程最高投标限价为人民币</w:t>
            </w:r>
            <w:r>
              <w:rPr>
                <w:rFonts w:hint="eastAsia" w:ascii="宋体" w:hAnsi="宋体"/>
                <w:color w:val="000000" w:themeColor="text1"/>
                <w:szCs w:val="21"/>
                <w:u w:val="single"/>
                <w:lang w:val="en-US" w:eastAsia="zh-CN"/>
                <w14:textFill>
                  <w14:solidFill>
                    <w14:schemeClr w14:val="tx1"/>
                  </w14:solidFill>
                </w14:textFill>
              </w:rPr>
              <w:t>16035020.59</w:t>
            </w:r>
            <w:r>
              <w:rPr>
                <w:rFonts w:hint="eastAsia" w:ascii="宋体" w:hAnsi="宋体"/>
                <w:color w:val="000000" w:themeColor="text1"/>
                <w:szCs w:val="21"/>
                <w14:textFill>
                  <w14:solidFill>
                    <w14:schemeClr w14:val="tx1"/>
                  </w14:solidFill>
                </w14:textFill>
              </w:rPr>
              <w:t>元；11#地块母线槽工程最高投标限价为人民币</w:t>
            </w:r>
            <w:r>
              <w:rPr>
                <w:rFonts w:hint="eastAsia" w:ascii="宋体" w:hAnsi="宋体"/>
                <w:color w:val="000000" w:themeColor="text1"/>
                <w:szCs w:val="21"/>
                <w:u w:val="single"/>
                <w:lang w:val="en-US" w:eastAsia="zh-CN"/>
                <w14:textFill>
                  <w14:solidFill>
                    <w14:schemeClr w14:val="tx1"/>
                  </w14:solidFill>
                </w14:textFill>
              </w:rPr>
              <w:t>2349244.95</w:t>
            </w:r>
            <w:r>
              <w:rPr>
                <w:rFonts w:hint="eastAsia" w:ascii="宋体" w:hAnsi="宋体"/>
                <w:color w:val="000000" w:themeColor="text1"/>
                <w:szCs w:val="21"/>
                <w14:textFill>
                  <w14:solidFill>
                    <w14:schemeClr w14:val="tx1"/>
                  </w14:solidFill>
                </w14:textFill>
              </w:rPr>
              <w:t>元；9#地块红线外工程最高投标限价为人民币</w:t>
            </w:r>
            <w:r>
              <w:rPr>
                <w:rFonts w:hint="eastAsia" w:ascii="宋体" w:hAnsi="宋体"/>
                <w:color w:val="000000" w:themeColor="text1"/>
                <w:szCs w:val="21"/>
                <w:u w:val="single"/>
                <w:lang w:val="en-US" w:eastAsia="zh-CN"/>
                <w14:textFill>
                  <w14:solidFill>
                    <w14:schemeClr w14:val="tx1"/>
                  </w14:solidFill>
                </w14:textFill>
              </w:rPr>
              <w:t>2324931.97</w:t>
            </w:r>
            <w:r>
              <w:rPr>
                <w:rFonts w:hint="eastAsia" w:ascii="宋体" w:hAnsi="宋体"/>
                <w:color w:val="000000" w:themeColor="text1"/>
                <w:szCs w:val="21"/>
                <w14:textFill>
                  <w14:solidFill>
                    <w14:schemeClr w14:val="tx1"/>
                  </w14:solidFill>
                </w14:textFill>
              </w:rPr>
              <w:t>元；9#地块红线内（母线槽除外）工程最高投标限价为人民币</w:t>
            </w:r>
            <w:r>
              <w:rPr>
                <w:rFonts w:hint="eastAsia" w:ascii="宋体" w:hAnsi="宋体"/>
                <w:color w:val="000000" w:themeColor="text1"/>
                <w:szCs w:val="21"/>
                <w:u w:val="single"/>
                <w:lang w:val="en-US" w:eastAsia="zh-CN"/>
                <w14:textFill>
                  <w14:solidFill>
                    <w14:schemeClr w14:val="tx1"/>
                  </w14:solidFill>
                </w14:textFill>
              </w:rPr>
              <w:t>9074912.77</w:t>
            </w:r>
            <w:r>
              <w:rPr>
                <w:rFonts w:hint="eastAsia" w:ascii="宋体" w:hAnsi="宋体"/>
                <w:color w:val="000000" w:themeColor="text1"/>
                <w:szCs w:val="21"/>
                <w14:textFill>
                  <w14:solidFill>
                    <w14:schemeClr w14:val="tx1"/>
                  </w14:solidFill>
                </w14:textFill>
              </w:rPr>
              <w:t>元；9#地块母线槽工程最高投标限价为人民币</w:t>
            </w:r>
            <w:r>
              <w:rPr>
                <w:rFonts w:hint="eastAsia" w:ascii="宋体" w:hAnsi="宋体"/>
                <w:color w:val="000000" w:themeColor="text1"/>
                <w:szCs w:val="21"/>
                <w:u w:val="single"/>
                <w:lang w:val="en-US" w:eastAsia="zh-CN"/>
                <w14:textFill>
                  <w14:solidFill>
                    <w14:schemeClr w14:val="tx1"/>
                  </w14:solidFill>
                </w14:textFill>
              </w:rPr>
              <w:t>2368992.59</w:t>
            </w:r>
            <w:r>
              <w:rPr>
                <w:rFonts w:hint="eastAsia" w:ascii="宋体" w:hAnsi="宋体"/>
                <w:color w:val="000000" w:themeColor="text1"/>
                <w:szCs w:val="21"/>
                <w14:textFill>
                  <w14:solidFill>
                    <w14:schemeClr w14:val="tx1"/>
                  </w14:solidFill>
                </w14:textFill>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本项目绿色施工安全防护措施费（不含税）为</w:t>
            </w:r>
            <w:r>
              <w:rPr>
                <w:rFonts w:hint="eastAsia" w:ascii="宋体" w:hAnsi="宋体"/>
                <w:color w:val="000000" w:themeColor="text1"/>
                <w:szCs w:val="21"/>
                <w:u w:val="single"/>
                <w:lang w:val="en-US" w:eastAsia="zh-CN"/>
                <w14:textFill>
                  <w14:solidFill>
                    <w14:schemeClr w14:val="tx1"/>
                  </w14:solidFill>
                </w14:textFill>
              </w:rPr>
              <w:t>1478911.33</w:t>
            </w:r>
            <w:r>
              <w:rPr>
                <w:rFonts w:hint="eastAsia" w:ascii="宋体" w:hAnsi="宋体"/>
                <w:color w:val="000000" w:themeColor="text1"/>
                <w:szCs w:val="21"/>
                <w14:textFill>
                  <w14:solidFill>
                    <w14:schemeClr w14:val="tx1"/>
                  </w14:solidFill>
                </w14:textFill>
              </w:rPr>
              <w:t>元，暂列金额（不含税）为</w:t>
            </w:r>
            <w:r>
              <w:rPr>
                <w:rFonts w:hint="eastAsia" w:ascii="宋体" w:hAnsi="宋体"/>
                <w:color w:val="000000" w:themeColor="text1"/>
                <w:szCs w:val="21"/>
                <w:u w:val="single"/>
                <w:lang w:val="en-US"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元，暂估价为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详见招标文件所附合同条款约定。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000000" w:themeColor="text1"/>
                <w:szCs w:val="21"/>
                <w14:textFill>
                  <w14:solidFill>
                    <w14:schemeClr w14:val="tx1"/>
                  </w14:solidFill>
                </w14:textFill>
              </w:rPr>
            </w:pPr>
            <w:r>
              <w:rPr>
                <w:rFonts w:hint="eastAsia" w:ascii="宋体" w:hAnsi="宋体"/>
                <w:strike/>
                <w:color w:val="000000" w:themeColor="text1"/>
                <w:szCs w:val="21"/>
                <w14:textFill>
                  <w14:solidFill>
                    <w14:schemeClr w14:val="tx1"/>
                  </w14:solidFill>
                </w14:textFill>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ascii="宋体" w:hAnsi="宋体"/>
                <w:strike/>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工程成本警戒价为</w:t>
            </w:r>
            <w:r>
              <w:rPr>
                <w:rFonts w:hint="eastAsia" w:ascii="宋体" w:hAnsi="宋体"/>
                <w:strike/>
                <w:color w:val="000000" w:themeColor="text1"/>
                <w:szCs w:val="21"/>
                <w:u w:val="single"/>
                <w14:textFill>
                  <w14:solidFill>
                    <w14:schemeClr w14:val="tx1"/>
                  </w14:solidFill>
                </w14:textFill>
              </w:rPr>
              <w:t xml:space="preserve">      </w:t>
            </w:r>
            <w:r>
              <w:rPr>
                <w:rFonts w:ascii="宋体" w:hAnsi="宋体"/>
                <w:strike/>
                <w:color w:val="000000" w:themeColor="text1"/>
                <w:szCs w:val="21"/>
                <w14:textFill>
                  <w14:solidFill>
                    <w14:schemeClr w14:val="tx1"/>
                  </w14:solidFill>
                </w14:textFill>
              </w:rPr>
              <w:t>元（</w:t>
            </w:r>
            <w:r>
              <w:rPr>
                <w:rFonts w:ascii="宋体" w:hAnsi="宋体"/>
                <w:strike/>
                <w:color w:val="000000" w:themeColor="text1"/>
                <w:szCs w:val="21"/>
                <w:u w:val="single"/>
                <w14:textFill>
                  <w14:solidFill>
                    <w14:schemeClr w14:val="tx1"/>
                  </w14:solidFill>
                </w14:textFill>
              </w:rPr>
              <w:t>按招标控制价的</w:t>
            </w:r>
            <w:r>
              <w:rPr>
                <w:rFonts w:hint="eastAsia" w:ascii="宋体" w:hAnsi="宋体"/>
                <w:strike/>
                <w:color w:val="000000" w:themeColor="text1"/>
                <w:szCs w:val="21"/>
                <w:u w:val="single"/>
                <w14:textFill>
                  <w14:solidFill>
                    <w14:schemeClr w14:val="tx1"/>
                  </w14:solidFill>
                </w14:textFill>
              </w:rPr>
              <w:t xml:space="preserve">  </w:t>
            </w:r>
            <w:r>
              <w:rPr>
                <w:rFonts w:ascii="宋体" w:hAnsi="宋体"/>
                <w:strike/>
                <w:color w:val="000000" w:themeColor="text1"/>
                <w:szCs w:val="21"/>
                <w:u w:val="single"/>
                <w14:textFill>
                  <w14:solidFill>
                    <w14:schemeClr w14:val="tx1"/>
                  </w14:solidFill>
                </w14:textFill>
              </w:rPr>
              <w:t>%设置</w:t>
            </w:r>
            <w:r>
              <w:rPr>
                <w:rFonts w:ascii="宋体" w:hAnsi="宋体"/>
                <w:strike/>
                <w:color w:val="000000" w:themeColor="text1"/>
                <w:szCs w:val="21"/>
                <w14:textFill>
                  <w14:solidFill>
                    <w14:schemeClr w14:val="tx1"/>
                  </w14:solidFill>
                </w14:textFill>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13.5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增加</w:t>
            </w:r>
            <w:r>
              <w:rPr>
                <w:rFonts w:ascii="宋体" w:hAnsi="宋体"/>
                <w:color w:val="000000" w:themeColor="text1"/>
                <w:szCs w:val="21"/>
                <w14:textFill>
                  <w14:solidFill>
                    <w14:schemeClr w14:val="tx1"/>
                  </w14:solidFill>
                </w14:textFill>
              </w:rPr>
              <w:t>2.5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根据《建设工程质量检测管理办法》（建设部令第</w:t>
            </w:r>
            <w:r>
              <w:rPr>
                <w:rFonts w:ascii="宋体" w:hAnsi="宋体"/>
                <w:color w:val="000000" w:themeColor="text1"/>
                <w:kern w:val="0"/>
                <w:szCs w:val="21"/>
                <w:lang w:val="zh-CN"/>
                <w14:textFill>
                  <w14:solidFill>
                    <w14:schemeClr w14:val="tx1"/>
                  </w14:solidFill>
                </w14:textFill>
              </w:rPr>
              <w:t>141</w:t>
            </w:r>
            <w:r>
              <w:rPr>
                <w:rFonts w:hint="eastAsia" w:ascii="宋体" w:hAnsi="宋体"/>
                <w:color w:val="000000" w:themeColor="text1"/>
                <w:kern w:val="0"/>
                <w:szCs w:val="21"/>
                <w:lang w:val="zh-CN"/>
                <w14:textFill>
                  <w14:solidFill>
                    <w14:schemeClr w14:val="tx1"/>
                  </w14:solidFill>
                </w14:textFill>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kern w:val="0"/>
                <w:szCs w:val="21"/>
                <w:lang w:val="zh-CN"/>
                <w14:textFill>
                  <w14:solidFill>
                    <w14:schemeClr w14:val="tx1"/>
                  </w14:solidFill>
                </w14:textFill>
              </w:rPr>
            </w:pPr>
            <w:r>
              <w:rPr>
                <w:rFonts w:ascii="宋体" w:hAnsi="MS Mincho" w:eastAsia="MS Mincho" w:cs="MS Mincho"/>
                <w:color w:val="000000" w:themeColor="text1"/>
                <w:kern w:val="0"/>
                <w:szCs w:val="21"/>
                <w:lang w:val="zh-CN"/>
                <w14:textFill>
                  <w14:solidFill>
                    <w14:schemeClr w14:val="tx1"/>
                  </w14:solidFill>
                </w14:textFill>
              </w:rPr>
              <w:t>☑</w:t>
            </w:r>
            <w:r>
              <w:rPr>
                <w:rFonts w:hint="eastAsia" w:ascii="宋体" w:hAnsi="宋体"/>
                <w:color w:val="000000" w:themeColor="text1"/>
                <w:kern w:val="0"/>
                <w:szCs w:val="21"/>
                <w:lang w:val="zh-CN"/>
                <w14:textFill>
                  <w14:solidFill>
                    <w14:schemeClr w14:val="tx1"/>
                  </w14:solidFill>
                </w14:textFill>
              </w:rPr>
              <w:t>不允许；</w:t>
            </w:r>
          </w:p>
          <w:p>
            <w:pPr>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 xml:space="preserve">□允许：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1、按照</w:t>
            </w:r>
            <w:r>
              <w:rPr>
                <w:rFonts w:hint="eastAsia" w:cs="Courier New" w:asciiTheme="minorEastAsia" w:hAnsiTheme="minorEastAsia" w:eastAsiaTheme="minorEastAsia"/>
                <w:color w:val="000000" w:themeColor="text1"/>
                <w:szCs w:val="21"/>
                <w:u w:val="single"/>
                <w14:textFill>
                  <w14:solidFill>
                    <w14:schemeClr w14:val="tx1"/>
                  </w14:solidFill>
                </w14:textFill>
              </w:rPr>
              <w:t>广州公共资源交易中心</w:t>
            </w:r>
            <w:r>
              <w:rPr>
                <w:rFonts w:hint="eastAsia" w:cs="Courier New" w:asciiTheme="minorEastAsia" w:hAnsiTheme="minorEastAsia" w:eastAsiaTheme="minorEastAsia"/>
                <w:color w:val="000000" w:themeColor="text1"/>
                <w:szCs w:val="21"/>
                <w14:textFill>
                  <w14:solidFill>
                    <w14:schemeClr w14:val="tx1"/>
                  </w14:solidFill>
                </w14:textFill>
              </w:rPr>
              <w:t>交易平台关于全流程电子化项目的相关指南进行操作。详见：</w:t>
            </w:r>
            <w:r>
              <w:rPr>
                <w:rFonts w:hint="eastAsia" w:cs="Courier New" w:asciiTheme="minorEastAsia" w:hAnsiTheme="minorEastAsia" w:eastAsiaTheme="minorEastAsia"/>
                <w:color w:val="000000" w:themeColor="text1"/>
                <w:szCs w:val="21"/>
                <w:u w:val="single"/>
                <w14:textFill>
                  <w14:solidFill>
                    <w14:schemeClr w14:val="tx1"/>
                  </w14:solidFill>
                </w14:textFill>
              </w:rPr>
              <w:t>《房屋建筑和市政基础设施工程全流程电子化项目专章》</w:t>
            </w:r>
            <w:r>
              <w:rPr>
                <w:rFonts w:hint="eastAsia" w:cs="Courier New" w:asciiTheme="minorEastAsia" w:hAnsiTheme="minorEastAsia" w:eastAsiaTheme="minorEastAsia"/>
                <w:color w:val="000000" w:themeColor="text1"/>
                <w:szCs w:val="21"/>
                <w14:textFill>
                  <w14:solidFill>
                    <w14:schemeClr w14:val="tx1"/>
                  </w14:solidFill>
                </w14:textFill>
              </w:rPr>
              <w:t>。</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2、提交投标文件光盘备用</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3、补救方案</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（1）投标文件解密失败的补救方案：</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（2）评标时突发情况的补救方案</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pPr>
              <w:spacing w:line="340" w:lineRule="exact"/>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（3）除发生上述情况外，开标评标均以投标人通过</w:t>
            </w:r>
            <w:r>
              <w:rPr>
                <w:rFonts w:hint="eastAsia" w:cs="Courier New" w:asciiTheme="minorEastAsia" w:hAnsiTheme="minorEastAsia" w:eastAsiaTheme="minorEastAsia"/>
                <w:color w:val="000000" w:themeColor="text1"/>
                <w:szCs w:val="21"/>
                <w:u w:val="single"/>
                <w14:textFill>
                  <w14:solidFill>
                    <w14:schemeClr w14:val="tx1"/>
                  </w14:solidFill>
                </w14:textFill>
              </w:rPr>
              <w:t>广州公共资源交易中心</w:t>
            </w:r>
            <w:r>
              <w:rPr>
                <w:rFonts w:hint="eastAsia" w:cs="Courier New" w:asciiTheme="minorEastAsia" w:hAnsiTheme="minorEastAsia" w:eastAsiaTheme="minorEastAsia"/>
                <w:color w:val="000000" w:themeColor="text1"/>
                <w:szCs w:val="21"/>
                <w14:textFill>
                  <w14:solidFill>
                    <w14:schemeClr w14:val="tx1"/>
                  </w14:solidFill>
                </w14:textFill>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投标文件的组成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投标文件由技术标投标文件（含资格审查文件）和经济标投标文件二部分投标文件组成。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投标文件份数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投标文件为含电子签章的加密电子投标文件1套。</w:t>
            </w:r>
          </w:p>
          <w:p>
            <w:pPr>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项目中标后，在发出中标通知书前，中标单位必须</w:t>
            </w:r>
            <w:r>
              <w:rPr>
                <w:rFonts w:hint="eastAsia" w:ascii="Times New Roman" w:hAnsi="Times New Roman"/>
                <w:color w:val="000000" w:themeColor="text1"/>
                <w:u w:val="single"/>
                <w14:textFill>
                  <w14:solidFill>
                    <w14:schemeClr w14:val="tx1"/>
                  </w14:solidFill>
                </w14:textFill>
              </w:rPr>
              <w:t>向招标人</w:t>
            </w:r>
            <w:r>
              <w:rPr>
                <w:rFonts w:ascii="Times New Roman" w:hAnsi="Times New Roman"/>
                <w:color w:val="000000" w:themeColor="text1"/>
                <w:u w:val="single"/>
                <w14:textFill>
                  <w14:solidFill>
                    <w14:schemeClr w14:val="tx1"/>
                  </w14:solidFill>
                </w14:textFill>
              </w:rPr>
              <w:t>提供投标文件纸质版</w:t>
            </w:r>
            <w:r>
              <w:rPr>
                <w:rFonts w:hint="eastAsia" w:ascii="Times New Roman" w:hAnsi="Times New Roman"/>
                <w:color w:val="000000" w:themeColor="text1"/>
                <w:u w:val="single"/>
                <w14:textFill>
                  <w14:solidFill>
                    <w14:schemeClr w14:val="tx1"/>
                  </w14:solidFill>
                </w14:textFill>
              </w:rPr>
              <w:t>3</w:t>
            </w:r>
            <w:r>
              <w:rPr>
                <w:rFonts w:ascii="Times New Roman" w:hAnsi="Times New Roman"/>
                <w:color w:val="000000" w:themeColor="text1"/>
                <w:u w:val="single"/>
                <w14:textFill>
                  <w14:solidFill>
                    <w14:schemeClr w14:val="tx1"/>
                  </w14:solidFill>
                </w14:textFill>
              </w:rPr>
              <w:t>套，电子版（造价部分需提供</w:t>
            </w:r>
            <w:r>
              <w:rPr>
                <w:rFonts w:hint="eastAsia" w:ascii="Times New Roman" w:hAnsi="Times New Roman"/>
                <w:b/>
                <w:color w:val="000000" w:themeColor="text1"/>
                <w:u w:val="single"/>
                <w14:textFill>
                  <w14:solidFill>
                    <w14:schemeClr w14:val="tx1"/>
                  </w14:solidFill>
                </w14:textFill>
              </w:rPr>
              <w:t>造价</w:t>
            </w:r>
            <w:r>
              <w:rPr>
                <w:rFonts w:ascii="Times New Roman" w:hAnsi="Times New Roman"/>
                <w:color w:val="000000" w:themeColor="text1"/>
                <w:u w:val="single"/>
                <w14:textFill>
                  <w14:solidFill>
                    <w14:schemeClr w14:val="tx1"/>
                  </w14:solidFill>
                </w14:textFill>
              </w:rPr>
              <w:t>软件版本及导出清单）1套。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工人工资分账管理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本项目按照《广州市建设领域工人工资支付分账管理实施细则》</w:t>
            </w:r>
            <w:r>
              <w:rPr>
                <w:rFonts w:hint="eastAsia" w:ascii="Times New Roman" w:hAnsi="Times New Roman"/>
                <w:color w:val="000000" w:themeColor="text1"/>
                <w:u w:val="single"/>
                <w14:textFill>
                  <w14:solidFill>
                    <w14:schemeClr w14:val="tx1"/>
                  </w14:solidFill>
                </w14:textFill>
              </w:rPr>
              <w:t>（穗建规字〔2020〕37号）</w:t>
            </w:r>
            <w:r>
              <w:rPr>
                <w:rFonts w:ascii="Times New Roman" w:hAnsi="Times New Roman"/>
                <w:color w:val="000000" w:themeColor="text1"/>
                <w:u w:val="single"/>
                <w14:textFill>
                  <w14:solidFill>
                    <w14:schemeClr w14:val="tx1"/>
                  </w14:solidFill>
                </w14:textFill>
              </w:rPr>
              <w:t>实行工人工资分账管理。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进入定标阶段</w:t>
            </w:r>
            <w:r>
              <w:rPr>
                <w:rFonts w:hint="eastAsia" w:ascii="Times New Roman" w:hAnsi="Times New Roman"/>
                <w:color w:val="000000" w:themeColor="text1"/>
                <w:u w:val="single"/>
                <w14:textFill>
                  <w14:solidFill>
                    <w14:schemeClr w14:val="tx1"/>
                  </w14:solidFill>
                </w14:textFill>
              </w:rPr>
              <w:t>的</w:t>
            </w:r>
            <w:r>
              <w:rPr>
                <w:rFonts w:ascii="Times New Roman" w:hAnsi="Times New Roman"/>
                <w:color w:val="000000" w:themeColor="text1"/>
                <w:u w:val="single"/>
                <w14:textFill>
                  <w14:solidFill>
                    <w14:schemeClr w14:val="tx1"/>
                  </w14:solidFill>
                </w14:textFill>
              </w:rPr>
              <w:t>合格中标候选人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u w:val="single"/>
                <w14:textFill>
                  <w14:solidFill>
                    <w14:schemeClr w14:val="tx1"/>
                  </w14:solidFill>
                </w14:textFill>
              </w:rPr>
              <w:t>通过技术标</w:t>
            </w:r>
            <w:r>
              <w:rPr>
                <w:rFonts w:hint="eastAsia" w:ascii="Times New Roman" w:hAnsi="Times New Roman"/>
                <w:color w:val="000000" w:themeColor="text1"/>
                <w:u w:val="single"/>
                <w14:textFill>
                  <w14:solidFill>
                    <w14:schemeClr w14:val="tx1"/>
                  </w14:solidFill>
                </w14:textFill>
              </w:rPr>
              <w:t>、</w:t>
            </w:r>
            <w:r>
              <w:rPr>
                <w:rFonts w:ascii="Times New Roman" w:hAnsi="Times New Roman"/>
                <w:color w:val="000000" w:themeColor="text1"/>
                <w:u w:val="single"/>
                <w14:textFill>
                  <w14:solidFill>
                    <w14:schemeClr w14:val="tx1"/>
                  </w14:solidFill>
                </w14:textFill>
              </w:rPr>
              <w:t>经济标有效性审查的</w:t>
            </w:r>
            <w:r>
              <w:rPr>
                <w:rFonts w:hint="eastAsia" w:ascii="Times New Roman" w:hAnsi="Times New Roman"/>
                <w:color w:val="000000" w:themeColor="text1"/>
                <w:u w:val="single"/>
                <w14:textFill>
                  <w14:solidFill>
                    <w14:schemeClr w14:val="tx1"/>
                  </w14:solidFill>
                </w14:textFill>
              </w:rPr>
              <w:t>合格的</w:t>
            </w:r>
            <w:r>
              <w:rPr>
                <w:rFonts w:ascii="Times New Roman" w:hAnsi="Times New Roman"/>
                <w:color w:val="000000" w:themeColor="text1"/>
                <w:u w:val="single"/>
                <w14:textFill>
                  <w14:solidFill>
                    <w14:schemeClr w14:val="tx1"/>
                  </w14:solidFill>
                </w14:textFill>
              </w:rPr>
              <w:t>投标人</w:t>
            </w:r>
            <w:r>
              <w:rPr>
                <w:rFonts w:hint="eastAsia" w:ascii="Times New Roman" w:hAnsi="Times New Roman"/>
                <w:color w:val="000000" w:themeColor="text1"/>
                <w:u w:val="single"/>
                <w14:textFill>
                  <w14:solidFill>
                    <w14:schemeClr w14:val="tx1"/>
                  </w14:solidFill>
                </w14:textFill>
              </w:rPr>
              <w:t>大于等于3名的，则通过评审的全部投标人全部推荐为合格的中标候选人，合格中标候选人不排序。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10" w:type="dxa"/>
            <w:tcBorders>
              <w:top w:val="single" w:color="auto" w:sz="4" w:space="0"/>
              <w:left w:val="sing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定标委员会人数</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定标委员会由招标人依法依规</w:t>
            </w:r>
            <w:r>
              <w:rPr>
                <w:rFonts w:hint="eastAsia" w:ascii="Times New Roman" w:hAnsi="Times New Roman"/>
                <w:color w:val="000000" w:themeColor="text1"/>
                <w14:textFill>
                  <w14:solidFill>
                    <w14:schemeClr w14:val="tx1"/>
                  </w14:solidFill>
                </w14:textFill>
              </w:rPr>
              <w:t>以及本招标文件的规定</w:t>
            </w:r>
            <w:r>
              <w:rPr>
                <w:rFonts w:ascii="Times New Roman" w:hAnsi="Times New Roman"/>
                <w:color w:val="000000" w:themeColor="text1"/>
                <w14:textFill>
                  <w14:solidFill>
                    <w14:schemeClr w14:val="tx1"/>
                  </w14:solidFill>
                </w14:textFill>
              </w:rPr>
              <w:t>组建。</w:t>
            </w:r>
          </w:p>
        </w:tc>
      </w:tr>
    </w:tbl>
    <w:p>
      <w:pPr>
        <w:rPr>
          <w:rFonts w:ascii="宋体" w:hAnsi="宋体" w:cs="宋体"/>
          <w:strike/>
          <w:color w:val="000000" w:themeColor="text1"/>
          <w:kern w:val="0"/>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注：企业</w:t>
      </w:r>
      <w:r>
        <w:rPr>
          <w:rFonts w:hint="eastAsia" w:ascii="宋体" w:hAnsi="宋体" w:cs="宋体"/>
          <w:strike/>
          <w:color w:val="000000" w:themeColor="text1"/>
          <w:kern w:val="0"/>
          <w:sz w:val="24"/>
          <w14:textFill>
            <w14:solidFill>
              <w14:schemeClr w14:val="tx1"/>
            </w14:solidFill>
          </w14:textFill>
        </w:rPr>
        <w:t>综合诚信评价得分即</w:t>
      </w:r>
      <w:r>
        <w:rPr>
          <w:rFonts w:hint="eastAsia" w:ascii="宋体" w:hAnsi="宋体"/>
          <w:strike/>
          <w:color w:val="000000" w:themeColor="text1"/>
          <w:sz w:val="24"/>
          <w14:textFill>
            <w14:solidFill>
              <w14:schemeClr w14:val="tx1"/>
            </w14:solidFill>
          </w14:textFill>
        </w:rPr>
        <w:t>企业</w:t>
      </w:r>
      <w:r>
        <w:rPr>
          <w:rFonts w:hint="eastAsia" w:ascii="宋体" w:hAnsi="宋体" w:cs="宋体"/>
          <w:strike/>
          <w:color w:val="000000" w:themeColor="text1"/>
          <w:kern w:val="0"/>
          <w:sz w:val="24"/>
          <w14:textFill>
            <w14:solidFill>
              <w14:schemeClr w14:val="tx1"/>
            </w14:solidFill>
          </w14:textFill>
        </w:rPr>
        <w:t>综合诚信评价</w:t>
      </w:r>
      <w:r>
        <w:rPr>
          <w:rFonts w:ascii="宋体" w:hAnsi="宋体" w:cs="宋体"/>
          <w:strike/>
          <w:color w:val="000000" w:themeColor="text1"/>
          <w:kern w:val="0"/>
          <w:sz w:val="24"/>
          <w14:textFill>
            <w14:solidFill>
              <w14:schemeClr w14:val="tx1"/>
            </w14:solidFill>
          </w14:textFill>
        </w:rPr>
        <w:t>60</w:t>
      </w:r>
      <w:r>
        <w:rPr>
          <w:rFonts w:hint="eastAsia" w:ascii="宋体" w:hAnsi="宋体" w:cs="宋体"/>
          <w:strike/>
          <w:color w:val="000000" w:themeColor="text1"/>
          <w:kern w:val="0"/>
          <w:sz w:val="24"/>
          <w14:textFill>
            <w14:solidFill>
              <w14:schemeClr w14:val="tx1"/>
            </w14:solidFill>
          </w14:textFill>
        </w:rPr>
        <w:t>日诚信分，以下同。</w:t>
      </w:r>
    </w:p>
    <w:p>
      <w:pPr>
        <w:spacing w:after="240" w:line="480" w:lineRule="auto"/>
        <w:jc w:val="center"/>
        <w:outlineLvl w:val="1"/>
        <w:rPr>
          <w:rStyle w:val="54"/>
          <w:color w:val="000000" w:themeColor="text1"/>
          <w14:textFill>
            <w14:solidFill>
              <w14:schemeClr w14:val="tx1"/>
            </w14:solidFill>
          </w14:textFill>
        </w:rPr>
      </w:pPr>
      <w:r>
        <w:rPr>
          <w:rFonts w:ascii="宋体" w:hAnsi="宋体"/>
          <w:strike/>
          <w:color w:val="000000" w:themeColor="text1"/>
          <w14:textFill>
            <w14:solidFill>
              <w14:schemeClr w14:val="tx1"/>
            </w14:solidFill>
          </w14:textFill>
        </w:rPr>
        <w:br w:type="page"/>
      </w:r>
      <w:bookmarkStart w:id="2" w:name="_Toc114572532"/>
      <w:r>
        <w:rPr>
          <w:rStyle w:val="54"/>
          <w:rFonts w:hint="eastAsia"/>
          <w:color w:val="000000" w:themeColor="text1"/>
          <w14:textFill>
            <w14:solidFill>
              <w14:schemeClr w14:val="tx1"/>
            </w14:solidFill>
          </w14:textFill>
        </w:rPr>
        <w:t>二、投标须知修改表</w:t>
      </w:r>
      <w:bookmarkEnd w:id="2"/>
    </w:p>
    <w:p>
      <w:pPr>
        <w:pStyle w:val="5"/>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b/>
          <w:color w:val="000000" w:themeColor="text1"/>
          <w:szCs w:val="21"/>
          <w14:textFill>
            <w14:solidFill>
              <w14:schemeClr w14:val="tx1"/>
            </w14:solidFill>
          </w14:textFill>
        </w:rPr>
        <w:t xml:space="preserve"> http://zfcj.gz.gov.cn/</w:t>
      </w:r>
      <w:r>
        <w:rPr>
          <w:rFonts w:hint="eastAsia" w:ascii="宋体" w:hAnsi="宋体"/>
          <w:b/>
          <w:color w:val="000000" w:themeColor="text1"/>
          <w:szCs w:val="21"/>
          <w14:textFill>
            <w14:solidFill>
              <w14:schemeClr w14:val="tx1"/>
            </w14:solidFill>
          </w14:textFill>
        </w:rPr>
        <w:t>）下载查阅。</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2.5   </w:t>
      </w:r>
      <w:r>
        <w:rPr>
          <w:rFonts w:hint="eastAsia" w:ascii="宋体" w:hAnsi="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修改类型：增加</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ascii="宋体" w:hAnsi="宋体"/>
          <w:color w:val="000000" w:themeColor="text1"/>
          <w:szCs w:val="21"/>
          <w:u w:val="single"/>
          <w14:textFill>
            <w14:solidFill>
              <w14:schemeClr w14:val="tx1"/>
            </w14:solidFill>
          </w14:textFill>
        </w:rPr>
        <w:t>2.5</w:t>
      </w:r>
      <w:r>
        <w:rPr>
          <w:rFonts w:hint="eastAsia" w:ascii="宋体" w:hAnsi="宋体" w:cs="宋体"/>
          <w:color w:val="000000" w:themeColor="text1"/>
          <w:szCs w:val="21"/>
          <w:u w:val="single"/>
          <w14:textFill>
            <w14:solidFill>
              <w14:schemeClr w14:val="tx1"/>
            </w14:solidFill>
          </w14:textFill>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条款号：5.1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Cs w:val="21"/>
          <w:u w:val="single"/>
          <w14:textFill>
            <w14:solidFill>
              <w14:schemeClr w14:val="tx1"/>
            </w14:solidFill>
          </w14:textFill>
        </w:rPr>
        <w:t>投标人不进行踏勘的，视为已熟知现场条件，自行承担相关风险。</w:t>
      </w:r>
      <w:r>
        <w:rPr>
          <w:rFonts w:hint="eastAsia" w:ascii="宋体" w:hAnsi="宋体"/>
          <w:color w:val="000000" w:themeColor="text1"/>
          <w:szCs w:val="21"/>
          <w14:textFill>
            <w14:solidFill>
              <w14:schemeClr w14:val="tx1"/>
            </w14:solidFill>
          </w14:textFill>
        </w:rPr>
        <w:t>一旦中标，这种考察即被认为其结果已在中标文件中得到充分反映。考察现场的费用由投标人自己承担。</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条款号：8.1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8.1投标人若对招标文件（包括招标图纸）中有疑问，可以书面形式通过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交易平台提交给招标人或招标代理人，提交形式见本须知前附表第16项。</w:t>
      </w:r>
    </w:p>
    <w:p>
      <w:pPr>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u w:val="single"/>
          <w14:textFill>
            <w14:solidFill>
              <w14:schemeClr w14:val="tx1"/>
            </w14:solidFill>
          </w14:textFill>
        </w:rPr>
        <w:t>8.1招标答疑采用网上答疑方式进行。投标人若对招标文件有疑问的，可在规定的时间内通过广州公共资源交易中心网站凭密码进入提问区域将问题提交给招标人或招标代理人，提交问题时一律不得署名。</w:t>
      </w:r>
    </w:p>
    <w:p>
      <w:pPr>
        <w:pBdr>
          <w:bottom w:val="single" w:color="auto" w:sz="4" w:space="1"/>
        </w:pBdr>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条款号：8.2 </w:t>
      </w:r>
      <w:r>
        <w:rPr>
          <w:rFonts w:hint="eastAsia" w:ascii="宋体" w:hAnsi="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8.2招标答疑会会议纪要将在提交投标文件截止时间15日前在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交易平台“项目答疑纪要”专区公开发布。答疑纪要一经在交易平台发布，视作已发放给所有投标人。</w:t>
      </w:r>
    </w:p>
    <w:p>
      <w:pPr>
        <w:pBdr>
          <w:bottom w:val="single" w:color="auto" w:sz="6" w:space="1"/>
        </w:pBd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8.2招标答疑会会议纪要将在提交投标文件截止时间15日前在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 “项目答疑纪要”专区公开发布。答疑纪要一经在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交易平台发布，视作已发放给所有投标人。</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条款号：9</w:t>
      </w:r>
      <w:r>
        <w:rPr>
          <w:rFonts w:ascii="宋体" w:hAnsi="宋体"/>
          <w:b/>
          <w:color w:val="000000" w:themeColor="text1"/>
          <w:szCs w:val="21"/>
          <w14:textFill>
            <w14:solidFill>
              <w14:schemeClr w14:val="tx1"/>
            </w14:solidFill>
          </w14:textFill>
        </w:rPr>
        <w:t xml:space="preserve">.2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9.2招标文件的澄清或修改将在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交易平台“项目答疑纪要”专区公开发布。答疑纪要一经在交易平台发布，视作已发放给所有投标人，以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交易平台上网发布时间作为送达时间。</w:t>
      </w:r>
    </w:p>
    <w:p>
      <w:pPr>
        <w:pBdr>
          <w:bottom w:val="single" w:color="auto" w:sz="6" w:space="1"/>
        </w:pBdr>
        <w:spacing w:line="360" w:lineRule="auto"/>
        <w:ind w:firstLine="527" w:firstLineChars="25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9.2招标文件的澄清或修改将在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交易平台“项目答疑纪要”专区公开发布。答疑纪要一经在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交易平台发布，视作已发放给所有投标人，以</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交易平台上网发布时间作为送达时间。</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条款号：9.4</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 xml:space="preserve"> 修改类型：修改</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9.4招标文件的澄清或修改均以书面形式明确的内容为准。当招标文件的澄清、修改、补充等在同一内容的表述不一致时，以最后发出的书面文件为准。</w:t>
      </w:r>
    </w:p>
    <w:p>
      <w:pPr>
        <w:pBdr>
          <w:bottom w:val="single" w:color="auto" w:sz="6" w:space="1"/>
        </w:pBd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9.4招标文件的澄清或修改均以</w:t>
      </w:r>
      <w:r>
        <w:rPr>
          <w:rFonts w:hint="eastAsia" w:ascii="宋体" w:hAnsi="宋体"/>
          <w:color w:val="000000" w:themeColor="text1"/>
          <w:szCs w:val="21"/>
          <w:u w:val="single"/>
          <w14:textFill>
            <w14:solidFill>
              <w14:schemeClr w14:val="tx1"/>
            </w14:solidFill>
          </w14:textFill>
        </w:rPr>
        <w:t>网上答疑公布</w:t>
      </w:r>
      <w:r>
        <w:rPr>
          <w:rFonts w:hint="eastAsia" w:ascii="宋体" w:hAnsi="宋体"/>
          <w:color w:val="000000" w:themeColor="text1"/>
          <w:szCs w:val="21"/>
          <w14:textFill>
            <w14:solidFill>
              <w14:schemeClr w14:val="tx1"/>
            </w14:solidFill>
          </w14:textFill>
        </w:rPr>
        <w:t>的内容为准。当招标文件的澄清、修改、补充等在同一内容的表述不一致时，以最后发出的</w:t>
      </w:r>
      <w:r>
        <w:rPr>
          <w:rFonts w:hint="eastAsia" w:ascii="宋体" w:hAnsi="宋体"/>
          <w:color w:val="000000" w:themeColor="text1"/>
          <w:szCs w:val="21"/>
          <w:u w:val="single"/>
          <w14:textFill>
            <w14:solidFill>
              <w14:schemeClr w14:val="tx1"/>
            </w14:solidFill>
          </w14:textFill>
        </w:rPr>
        <w:t>文件</w:t>
      </w:r>
      <w:r>
        <w:rPr>
          <w:rFonts w:hint="eastAsia" w:ascii="宋体" w:hAnsi="宋体"/>
          <w:color w:val="000000" w:themeColor="text1"/>
          <w:szCs w:val="21"/>
          <w14:textFill>
            <w14:solidFill>
              <w14:schemeClr w14:val="tx1"/>
            </w14:solidFill>
          </w14:textFill>
        </w:rPr>
        <w:t>为准。</w:t>
      </w:r>
    </w:p>
    <w:p>
      <w:pPr>
        <w:tabs>
          <w:tab w:val="left" w:pos="1125"/>
        </w:tabs>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条款号：11.1  11.2  11.3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11.1 投标文件由技术部分（含资格审查文件）和经济部分二部分投标文件组成。</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11.2投标文件技术标部分主要包括下列内容:</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11.2.1 技术投标文件(按招标文件的要求填写)；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11.2.2 资格审查文件：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（1）投标人声明；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（2）法定代表人证明书、法定代表人签字或盖章的本投标文件授权委托证明书；</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（3）企业营业执照（取自库内上传件）；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（4）企业资质证书（取自库内上传件）；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（5）建筑施工企业安全生产许可证（取自库内上传件）；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（6）项目负责人（按网上投标登记时选择拟投标的项目负责人）</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（7）专职安全员（按网上投标登记时选择拟投标的专职安全员）</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（8）拟委托技术负责人的相关证书、资料（具体要求由招标人明确）</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（9）拟委派项目负责人的建造师或临时建造师证书或二级注册建造师电子注册证书或小型项目负责人相关证明（取自库内上传件）；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11.2.3项目管理机构配备。</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（1）投标人应列出该项目工程的施工组织机构构成和画出机构框架图及其负责人；</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（3）其他辅助说明资料。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11.2.5施工组织设计或施工方案。</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11.2.6按照招标文件要求填写的《参与编制技术标投标文件人员名单》。</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 经济部分投标文件主要包括下列内容：</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11.3.1 经济投标文件(按招标文件的要求填写)。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（1）投标总价封面、扉页；</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（2）总说明</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（3）工程项目投标报价汇总表；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（4）单项工程投标报价汇总表；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（5）单位工程投标报价汇总表；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（6）分部分项工程清单与计价表；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（7）单价措施项目清单与计价表；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（8）总价措施项目清单与计价表；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（9）综合单价分析表；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（10）其他项目清单与计价汇总表；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（11）暂列金额明细表；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（12）材料（工程设备）暂估价明细表；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（13）专业工程暂估价明细表；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（14）计日工表；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（15）总承包服务计价表；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（16）规费和税金项目计价表；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（17）人工、主要材料和设备一览表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11.3.3按照招标文件要求填写的《参与编制经济标投标文件人员名单》。</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投标文件由</w:t>
      </w:r>
      <w:r>
        <w:rPr>
          <w:rFonts w:hint="eastAsia" w:ascii="宋体" w:hAnsi="宋体"/>
          <w:b/>
          <w:color w:val="000000" w:themeColor="text1"/>
          <w:szCs w:val="21"/>
          <w14:textFill>
            <w14:solidFill>
              <w14:schemeClr w14:val="tx1"/>
            </w14:solidFill>
          </w14:textFill>
        </w:rPr>
        <w:t>技术标投标文件</w:t>
      </w:r>
      <w:r>
        <w:rPr>
          <w:rFonts w:hint="eastAsia" w:ascii="宋体" w:hAnsi="宋体"/>
          <w:b/>
          <w:color w:val="000000" w:themeColor="text1"/>
          <w:szCs w:val="21"/>
          <w:u w:val="single"/>
          <w14:textFill>
            <w14:solidFill>
              <w14:schemeClr w14:val="tx1"/>
            </w14:solidFill>
          </w14:textFill>
        </w:rPr>
        <w:t>（含资格审查文件）</w:t>
      </w:r>
      <w:r>
        <w:rPr>
          <w:rFonts w:hint="eastAsia" w:ascii="宋体" w:hAnsi="宋体"/>
          <w:b/>
          <w:color w:val="000000" w:themeColor="text1"/>
          <w:szCs w:val="21"/>
          <w14:textFill>
            <w14:solidFill>
              <w14:schemeClr w14:val="tx1"/>
            </w14:solidFill>
          </w14:textFill>
        </w:rPr>
        <w:t>和经济标投标文件</w:t>
      </w:r>
      <w:r>
        <w:rPr>
          <w:rFonts w:hint="eastAsia" w:ascii="宋体" w:hAnsi="宋体"/>
          <w:color w:val="000000" w:themeColor="text1"/>
          <w:szCs w:val="21"/>
          <w14:textFill>
            <w14:solidFill>
              <w14:schemeClr w14:val="tx1"/>
            </w14:solidFill>
          </w14:textFill>
        </w:rPr>
        <w:t>二部分投标文件组成。</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11.2</w:t>
      </w:r>
      <w:r>
        <w:rPr>
          <w:rFonts w:hint="eastAsia" w:ascii="宋体" w:hAnsi="宋体"/>
          <w:bCs/>
          <w:color w:val="000000" w:themeColor="text1"/>
          <w:szCs w:val="21"/>
          <w14:textFill>
            <w14:solidFill>
              <w14:schemeClr w14:val="tx1"/>
            </w14:solidFill>
          </w14:textFill>
        </w:rPr>
        <w:t>投标文件技术标部分主要包括下列内容</w:t>
      </w:r>
      <w:r>
        <w:rPr>
          <w:rFonts w:ascii="宋体" w:hAnsi="宋体"/>
          <w:bCs/>
          <w:color w:val="000000" w:themeColor="text1"/>
          <w:szCs w:val="21"/>
          <w14:textFill>
            <w14:solidFill>
              <w14:schemeClr w14:val="tx1"/>
            </w14:solidFill>
          </w14:textFill>
        </w:rPr>
        <w:t>:</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11.2.1</w:t>
      </w:r>
      <w:r>
        <w:rPr>
          <w:rFonts w:hint="eastAsia" w:ascii="宋体" w:hAnsi="宋体"/>
          <w:b/>
          <w:bCs/>
          <w:color w:val="000000" w:themeColor="text1"/>
          <w:szCs w:val="21"/>
          <w14:textFill>
            <w14:solidFill>
              <w14:schemeClr w14:val="tx1"/>
            </w14:solidFill>
          </w14:textFill>
        </w:rPr>
        <w:t>技术标投标文件</w:t>
      </w:r>
      <w:r>
        <w:rPr>
          <w:rFonts w:hint="eastAsia" w:ascii="宋体" w:hAnsi="宋体"/>
          <w:color w:val="000000" w:themeColor="text1"/>
          <w:szCs w:val="21"/>
          <w:u w:val="single"/>
          <w14:textFill>
            <w14:solidFill>
              <w14:schemeClr w14:val="tx1"/>
            </w14:solidFill>
          </w14:textFill>
        </w:rPr>
        <w:t>按招标文件的要求填写</w:t>
      </w:r>
      <w:r>
        <w:rPr>
          <w:rFonts w:hint="eastAsia" w:ascii="宋体" w:hAnsi="宋体"/>
          <w:bCs/>
          <w:color w:val="000000" w:themeColor="text1"/>
          <w:szCs w:val="21"/>
          <w14:textFill>
            <w14:solidFill>
              <w14:schemeClr w14:val="tx1"/>
            </w14:solidFill>
          </w14:textFill>
        </w:rPr>
        <w:t>；</w:t>
      </w:r>
    </w:p>
    <w:p>
      <w:pPr>
        <w:adjustRightInd w:val="0"/>
        <w:spacing w:line="360" w:lineRule="auto"/>
        <w:ind w:firstLine="422" w:firstLineChars="200"/>
        <w:rPr>
          <w:rFonts w:ascii="宋体" w:hAnsi="宋体"/>
          <w:b/>
          <w:color w:val="000000" w:themeColor="text1"/>
          <w:szCs w:val="21"/>
          <w:u w:val="single"/>
          <w14:textFill>
            <w14:solidFill>
              <w14:schemeClr w14:val="tx1"/>
            </w14:solidFill>
          </w14:textFill>
        </w:rPr>
      </w:pPr>
      <w:r>
        <w:rPr>
          <w:rFonts w:ascii="宋体" w:hAnsi="宋体"/>
          <w:b/>
          <w:color w:val="000000" w:themeColor="text1"/>
          <w:szCs w:val="21"/>
          <w:u w:val="single"/>
          <w14:textFill>
            <w14:solidFill>
              <w14:schemeClr w14:val="tx1"/>
            </w14:solidFill>
          </w14:textFill>
        </w:rPr>
        <w:t>11.2.</w:t>
      </w:r>
      <w:r>
        <w:rPr>
          <w:rFonts w:hint="eastAsia" w:ascii="宋体" w:hAnsi="宋体"/>
          <w:b/>
          <w:color w:val="000000" w:themeColor="text1"/>
          <w:szCs w:val="21"/>
          <w:u w:val="single"/>
          <w14:textFill>
            <w14:solidFill>
              <w14:schemeClr w14:val="tx1"/>
            </w14:solidFill>
          </w14:textFill>
        </w:rPr>
        <w:t>2资格审查文件。</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）投标人声明（须按本招标公告附件一格式）；</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）法人代表证明书、法人代表签字或盖章的本投标文件授权委托证明书；</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）企业营业执照</w:t>
      </w:r>
      <w:r>
        <w:rPr>
          <w:rFonts w:hint="eastAsia" w:ascii="宋体" w:hAnsi="宋体"/>
          <w:bCs/>
          <w:color w:val="000000" w:themeColor="text1"/>
          <w:szCs w:val="21"/>
          <w:u w:val="single"/>
          <w14:textFill>
            <w14:solidFill>
              <w14:schemeClr w14:val="tx1"/>
            </w14:solidFill>
          </w14:textFill>
        </w:rPr>
        <w:t>（取自平台内上传件）；</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）企业资质证书</w:t>
      </w:r>
      <w:r>
        <w:rPr>
          <w:rFonts w:hint="eastAsia" w:ascii="宋体" w:hAnsi="宋体"/>
          <w:bCs/>
          <w:color w:val="000000" w:themeColor="text1"/>
          <w:szCs w:val="21"/>
          <w:u w:val="single"/>
          <w14:textFill>
            <w14:solidFill>
              <w14:schemeClr w14:val="tx1"/>
            </w14:solidFill>
          </w14:textFill>
        </w:rPr>
        <w:t>（取自平台内上传件）；</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）建筑施工企业安全生产许可证</w:t>
      </w:r>
      <w:r>
        <w:rPr>
          <w:rFonts w:hint="eastAsia" w:ascii="宋体" w:hAnsi="宋体"/>
          <w:bCs/>
          <w:color w:val="000000" w:themeColor="text1"/>
          <w:szCs w:val="21"/>
          <w:u w:val="single"/>
          <w14:textFill>
            <w14:solidFill>
              <w14:schemeClr w14:val="tx1"/>
            </w14:solidFill>
          </w14:textFill>
        </w:rPr>
        <w:t>（取自平台内上传件）；</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（6）项目负责人（按网上投标登记时选择拟投标的项目负责人）；</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（7）专职安全员（按网上投标登记时选择拟投标的专职安全员）；</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w:t>
      </w:r>
      <w:r>
        <w:rPr>
          <w:rFonts w:hint="eastAsia" w:ascii="宋体" w:hAnsi="宋体" w:cs="宋体"/>
          <w:bCs/>
          <w:color w:val="000000" w:themeColor="text1"/>
          <w:szCs w:val="21"/>
          <w:u w:val="single"/>
          <w14:textFill>
            <w14:solidFill>
              <w14:schemeClr w14:val="tx1"/>
            </w14:solidFill>
          </w14:textFill>
        </w:rPr>
        <w:t>拟委派技术负责人的职称证书扫描件；</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（9）拟委派项目负责人的建造师注册证书（</w:t>
      </w:r>
      <w:r>
        <w:rPr>
          <w:rFonts w:hint="eastAsia" w:ascii="宋体" w:hAnsi="宋体"/>
          <w:bCs/>
          <w:color w:val="000000" w:themeColor="text1"/>
          <w:szCs w:val="21"/>
          <w:u w:val="single"/>
          <w14:textFill>
            <w14:solidFill>
              <w14:schemeClr w14:val="tx1"/>
            </w14:solidFill>
          </w14:textFill>
        </w:rPr>
        <w:t>取自平台内上传件</w:t>
      </w:r>
      <w:r>
        <w:rPr>
          <w:rFonts w:hint="eastAsia" w:ascii="宋体" w:hAnsi="宋体"/>
          <w:bCs/>
          <w:color w:val="000000" w:themeColor="text1"/>
          <w:szCs w:val="21"/>
          <w14:textFill>
            <w14:solidFill>
              <w14:schemeClr w14:val="tx1"/>
            </w14:solidFill>
          </w14:textFill>
        </w:rPr>
        <w:t>）；</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（10）项目负责人安全生产考核合格证明或在有效期内的安全生产考核合格证书（B类）或建筑施工企业项目负责人安全生产考核合格证书（取自平台内上传件）；</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（11）专职安全员须具有在有效期内的</w:t>
      </w:r>
      <w:r>
        <w:rPr>
          <w:rFonts w:hint="eastAsia" w:ascii="宋体" w:hAnsi="宋体" w:cs="宋体"/>
          <w:color w:val="000000" w:themeColor="text1"/>
          <w:szCs w:val="21"/>
          <w:shd w:val="clear" w:color="auto" w:fill="FFFFFF"/>
          <w14:textFill>
            <w14:solidFill>
              <w14:schemeClr w14:val="tx1"/>
            </w14:solidFill>
          </w14:textFill>
        </w:rPr>
        <w:t>安全生产考核合格证（C类）或建筑施工企业专职安全生产管理人员安全生产考核合格证书（C3）</w:t>
      </w:r>
      <w:r>
        <w:rPr>
          <w:rFonts w:hint="eastAsia" w:ascii="宋体" w:hAnsi="宋体"/>
          <w:bCs/>
          <w:color w:val="000000" w:themeColor="text1"/>
          <w:szCs w:val="21"/>
          <w14:textFill>
            <w14:solidFill>
              <w14:schemeClr w14:val="tx1"/>
            </w14:solidFill>
          </w14:textFill>
        </w:rPr>
        <w:t>（取自平台内上传件）；</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）资格审查前，投标人须在广州市住房和城乡建设局建立企业信用档案，拟担任本工程项目负责人、专职安全员须是本企业信用档案中的在册人员；</w:t>
      </w:r>
    </w:p>
    <w:p>
      <w:pPr>
        <w:pStyle w:val="2"/>
        <w:spacing w:line="360" w:lineRule="auto"/>
        <w:rPr>
          <w:rFonts w:asciiTheme="minorEastAsia" w:hAnsiTheme="minorEastAsia" w:eastAsia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olor w:val="000000" w:themeColor="text1"/>
          <w:sz w:val="21"/>
          <w:szCs w:val="21"/>
          <w:u w:val="single"/>
          <w14:textFill>
            <w14:solidFill>
              <w14:schemeClr w14:val="tx1"/>
            </w14:solidFill>
          </w14:textFill>
        </w:rPr>
        <w:t>（1</w:t>
      </w:r>
      <w:r>
        <w:rPr>
          <w:rFonts w:asciiTheme="minorEastAsia" w:hAnsiTheme="minorEastAsia" w:eastAsiaTheme="minorEastAsia"/>
          <w:color w:val="000000" w:themeColor="text1"/>
          <w:sz w:val="21"/>
          <w:szCs w:val="21"/>
          <w:u w:val="single"/>
          <w:lang w:val="en-US"/>
          <w14:textFill>
            <w14:solidFill>
              <w14:schemeClr w14:val="tx1"/>
            </w14:solidFill>
          </w14:textFill>
        </w:rPr>
        <w:t>3</w:t>
      </w:r>
      <w:r>
        <w:rPr>
          <w:rFonts w:hint="eastAsia" w:asciiTheme="minorEastAsia" w:hAnsiTheme="minorEastAsia" w:eastAsiaTheme="minorEastAsia"/>
          <w:color w:val="000000" w:themeColor="text1"/>
          <w:sz w:val="21"/>
          <w:szCs w:val="21"/>
          <w:u w:val="single"/>
          <w14:textFill>
            <w14:solidFill>
              <w14:schemeClr w14:val="tx1"/>
            </w14:solidFill>
          </w14:textFill>
        </w:rPr>
        <w:t>）未被纳入失信联合惩戒名单且被限制参加建设工程投标的（</w:t>
      </w:r>
      <w:r>
        <w:rPr>
          <w:rFonts w:hint="eastAsia" w:asciiTheme="minorEastAsia" w:hAnsiTheme="minorEastAsia" w:eastAsiaTheme="minorEastAsia"/>
          <w:b/>
          <w:color w:val="000000" w:themeColor="text1"/>
          <w:sz w:val="21"/>
          <w:szCs w:val="21"/>
          <w:u w:val="single"/>
          <w14:textFill>
            <w14:solidFill>
              <w14:schemeClr w14:val="tx1"/>
            </w14:solidFill>
          </w14:textFill>
        </w:rPr>
        <w:t>投标人无需提供资料，按交易系统比对的结果进行评审</w:t>
      </w:r>
      <w:r>
        <w:rPr>
          <w:rFonts w:hint="eastAsia" w:asciiTheme="minorEastAsia" w:hAnsiTheme="minorEastAsia" w:eastAsiaTheme="minorEastAsia"/>
          <w:color w:val="000000" w:themeColor="text1"/>
          <w:sz w:val="21"/>
          <w:szCs w:val="21"/>
          <w:u w:val="single"/>
          <w14:textFill>
            <w14:solidFill>
              <w14:schemeClr w14:val="tx1"/>
            </w14:solidFill>
          </w14:textFill>
        </w:rPr>
        <w:t>）。</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注：上述第</w:t>
      </w:r>
      <w:r>
        <w:rPr>
          <w:rFonts w:ascii="宋体" w:hAnsi="宋体"/>
          <w:bCs/>
          <w:color w:val="000000" w:themeColor="text1"/>
          <w:szCs w:val="21"/>
          <w:u w:val="single"/>
          <w14:textFill>
            <w14:solidFill>
              <w14:schemeClr w14:val="tx1"/>
            </w14:solidFill>
          </w14:textFill>
        </w:rPr>
        <w:t>11.2.</w:t>
      </w:r>
      <w:r>
        <w:rPr>
          <w:rFonts w:hint="eastAsia" w:ascii="宋体" w:hAnsi="宋体"/>
          <w:bCs/>
          <w:color w:val="000000" w:themeColor="text1"/>
          <w:szCs w:val="21"/>
          <w:u w:val="single"/>
          <w14:textFill>
            <w14:solidFill>
              <w14:schemeClr w14:val="tx1"/>
            </w14:solidFill>
          </w14:textFill>
        </w:rPr>
        <w:t>2（</w:t>
      </w:r>
      <w:r>
        <w:rPr>
          <w:rFonts w:ascii="宋体" w:hAnsi="宋体"/>
          <w:bCs/>
          <w:color w:val="000000" w:themeColor="text1"/>
          <w:szCs w:val="21"/>
          <w:u w:val="single"/>
          <w14:textFill>
            <w14:solidFill>
              <w14:schemeClr w14:val="tx1"/>
            </w14:solidFill>
          </w14:textFill>
        </w:rPr>
        <w:t>1</w:t>
      </w:r>
      <w:r>
        <w:rPr>
          <w:rFonts w:hint="eastAsia" w:ascii="宋体" w:hAnsi="宋体"/>
          <w:bCs/>
          <w:color w:val="000000" w:themeColor="text1"/>
          <w:szCs w:val="21"/>
          <w:u w:val="single"/>
          <w14:textFill>
            <w14:solidFill>
              <w14:schemeClr w14:val="tx1"/>
            </w14:solidFill>
          </w14:textFill>
        </w:rPr>
        <w:t>）</w:t>
      </w:r>
      <w:r>
        <w:rPr>
          <w:rFonts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（1</w:t>
      </w:r>
      <w:r>
        <w:rPr>
          <w:rFonts w:ascii="宋体" w:hAnsi="宋体"/>
          <w:bCs/>
          <w:color w:val="000000" w:themeColor="text1"/>
          <w:szCs w:val="21"/>
          <w:u w:val="single"/>
          <w14:textFill>
            <w14:solidFill>
              <w14:schemeClr w14:val="tx1"/>
            </w14:solidFill>
          </w14:textFill>
        </w:rPr>
        <w:t>3</w:t>
      </w:r>
      <w:r>
        <w:rPr>
          <w:rFonts w:hint="eastAsia" w:ascii="宋体" w:hAnsi="宋体"/>
          <w:bCs/>
          <w:color w:val="000000" w:themeColor="text1"/>
          <w:szCs w:val="21"/>
          <w:u w:val="single"/>
          <w14:textFill>
            <w14:solidFill>
              <w14:schemeClr w14:val="tx1"/>
            </w14:solidFill>
          </w14:textFill>
        </w:rPr>
        <w:t>）条没有要求提交的资料，不作为资格审查不合格的依据。</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11.2.3 项目管理机构配备。</w:t>
      </w:r>
    </w:p>
    <w:p>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（1）投标人应列出该项目工程的施工组织机构构成和画出机构框架图及其负责人；</w:t>
      </w:r>
    </w:p>
    <w:p>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（3）其他辅助说明资料。</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 xml:space="preserve">4 </w:t>
      </w:r>
      <w:r>
        <w:rPr>
          <w:rFonts w:hint="eastAsia" w:ascii="宋体" w:hAnsi="宋体"/>
          <w:bCs/>
          <w:color w:val="000000" w:themeColor="text1"/>
          <w:szCs w:val="21"/>
          <w:u w:val="single"/>
          <w14:textFill>
            <w14:solidFill>
              <w14:schemeClr w14:val="tx1"/>
            </w14:solidFill>
          </w14:textFill>
        </w:rPr>
        <w:t>施工组织设计。</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5</w:t>
      </w:r>
      <w:r>
        <w:rPr>
          <w:rFonts w:hint="eastAsia" w:ascii="宋体" w:hAnsi="宋体"/>
          <w:bCs/>
          <w:color w:val="000000" w:themeColor="text1"/>
          <w:szCs w:val="21"/>
          <w:u w:val="single"/>
          <w14:textFill>
            <w14:solidFill>
              <w14:schemeClr w14:val="tx1"/>
            </w14:solidFill>
          </w14:textFill>
        </w:rPr>
        <w:t xml:space="preserve"> 招标文件/合同版本响应承诺书。</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6</w:t>
      </w:r>
      <w:r>
        <w:rPr>
          <w:rFonts w:hint="eastAsia" w:ascii="宋体" w:hAnsi="宋体"/>
          <w:bCs/>
          <w:color w:val="000000" w:themeColor="text1"/>
          <w:szCs w:val="21"/>
          <w:u w:val="single"/>
          <w14:textFill>
            <w14:solidFill>
              <w14:schemeClr w14:val="tx1"/>
            </w14:solidFill>
          </w14:textFill>
        </w:rPr>
        <w:t xml:space="preserve"> 按照招标文件要求填写的《参与编制技术标投标文件人员名单》。</w:t>
      </w:r>
    </w:p>
    <w:p>
      <w:pPr>
        <w:adjustRightInd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w:t>
      </w:r>
      <w:r>
        <w:rPr>
          <w:rFonts w:ascii="宋体" w:hAnsi="宋体"/>
          <w:bCs/>
          <w:color w:val="000000" w:themeColor="text1"/>
          <w:szCs w:val="21"/>
          <w:u w:val="single"/>
          <w14:textFill>
            <w14:solidFill>
              <w14:schemeClr w14:val="tx1"/>
            </w14:solidFill>
          </w14:textFill>
        </w:rPr>
        <w:t>7</w:t>
      </w:r>
      <w:r>
        <w:rPr>
          <w:rFonts w:hint="eastAsia" w:ascii="宋体" w:hAnsi="宋体"/>
          <w:bCs/>
          <w:color w:val="000000" w:themeColor="text1"/>
          <w:szCs w:val="21"/>
          <w:u w:val="single"/>
          <w14:textFill>
            <w14:solidFill>
              <w14:schemeClr w14:val="tx1"/>
            </w14:solidFill>
          </w14:textFill>
        </w:rPr>
        <w:t xml:space="preserve"> 其他资料（详见本招标文件第四章要求）。</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11.2.8其他投标人认为应该提供的资料。</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11.3 </w:t>
      </w:r>
      <w:r>
        <w:rPr>
          <w:rFonts w:hint="eastAsia" w:ascii="宋体" w:hAnsi="宋体"/>
          <w:b/>
          <w:bCs/>
          <w:color w:val="000000" w:themeColor="text1"/>
          <w:szCs w:val="21"/>
          <w:u w:val="single"/>
          <w14:textFill>
            <w14:solidFill>
              <w14:schemeClr w14:val="tx1"/>
            </w14:solidFill>
          </w14:textFill>
        </w:rPr>
        <w:t>经济部分投标文件</w:t>
      </w:r>
      <w:r>
        <w:rPr>
          <w:rFonts w:hint="eastAsia" w:ascii="宋体" w:hAnsi="宋体"/>
          <w:bCs/>
          <w:color w:val="000000" w:themeColor="text1"/>
          <w:szCs w:val="21"/>
          <w14:textFill>
            <w14:solidFill>
              <w14:schemeClr w14:val="tx1"/>
            </w14:solidFill>
          </w14:textFill>
        </w:rPr>
        <w:t>主要包括下列内容:</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11.3.1 </w:t>
      </w:r>
      <w:r>
        <w:rPr>
          <w:rFonts w:hint="eastAsia" w:ascii="宋体" w:hAnsi="宋体"/>
          <w:color w:val="000000" w:themeColor="text1"/>
          <w:szCs w:val="21"/>
          <w:u w:val="single"/>
          <w14:textFill>
            <w14:solidFill>
              <w14:schemeClr w14:val="tx1"/>
            </w14:solidFill>
          </w14:textFill>
        </w:rPr>
        <w:t>经济标投标文件（按招标文件的要求填写）。</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bCs/>
          <w:color w:val="000000" w:themeColor="text1"/>
          <w:szCs w:val="21"/>
          <w:u w:val="single"/>
          <w14:textFill>
            <w14:solidFill>
              <w14:schemeClr w14:val="tx1"/>
            </w14:solidFill>
          </w14:textFill>
        </w:rPr>
        <w:t>（投标报价的工程量清单的组成、格式等由广州公共资源交易中心的投标文件管理软件自动生成）</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11.3.3 按照招标文件要求填写的《参与编制经济标投标文件人员名单》。</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11.3.4 《对投标文件编制的承诺》。</w:t>
      </w:r>
    </w:p>
    <w:p>
      <w:pPr>
        <w:pStyle w:val="5"/>
        <w:widowControl/>
        <w:pBdr>
          <w:top w:val="single" w:color="auto" w:sz="4" w:space="1"/>
        </w:pBdr>
        <w:adjustRightInd w:val="0"/>
        <w:spacing w:after="0"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条款号：12.2  12.3                                           修改类型：修改</w:t>
      </w:r>
    </w:p>
    <w:p>
      <w:pPr>
        <w:pStyle w:val="5"/>
        <w:spacing w:after="0" w:line="360" w:lineRule="auto"/>
        <w:ind w:firstLine="422" w:firstLineChars="200"/>
        <w:rPr>
          <w:rFonts w:ascii="宋体" w:hAnsi="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hint="eastAsia" w:ascii="宋体" w:hAnsi="宋体"/>
          <w:color w:val="000000" w:themeColor="text1"/>
          <w:sz w:val="21"/>
          <w:szCs w:val="21"/>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12.3 </w:t>
      </w:r>
      <w:r>
        <w:rPr>
          <w:rFonts w:hint="eastAsia" w:ascii="宋体" w:hAnsi="宋体"/>
          <w:bCs/>
          <w:color w:val="000000" w:themeColor="text1"/>
          <w:szCs w:val="21"/>
          <w14:textFill>
            <w14:solidFill>
              <w14:schemeClr w14:val="tx1"/>
            </w14:solidFill>
          </w14:textFill>
        </w:rPr>
        <w:t>投标文件应按</w:t>
      </w:r>
      <w:r>
        <w:rPr>
          <w:rFonts w:hint="eastAsia" w:ascii="宋体" w:hAnsi="宋体"/>
          <w:color w:val="000000" w:themeColor="text1"/>
          <w:szCs w:val="21"/>
          <w14:textFill>
            <w14:solidFill>
              <w14:schemeClr w14:val="tx1"/>
            </w14:solidFill>
          </w14:textFill>
        </w:rPr>
        <w:t>照交易平台关于全流程电子化项目的相关指南进行编制，详见：</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12.2 投标文件全部采用电子文档，</w:t>
      </w:r>
      <w:r>
        <w:rPr>
          <w:rFonts w:hint="eastAsia" w:ascii="宋体" w:hAnsi="宋体"/>
          <w:color w:val="000000" w:themeColor="text1"/>
          <w:szCs w:val="21"/>
          <w:u w:val="single"/>
          <w14:textFill>
            <w14:solidFill>
              <w14:schemeClr w14:val="tx1"/>
            </w14:solidFill>
          </w14:textFill>
        </w:rPr>
        <w:t>投标文件所附证书证件均为扫描件</w:t>
      </w:r>
      <w:r>
        <w:rPr>
          <w:rFonts w:hint="eastAsia" w:ascii="宋体" w:hAnsi="宋体"/>
          <w:color w:val="000000" w:themeColor="text1"/>
          <w:szCs w:val="21"/>
          <w14:textFill>
            <w14:solidFill>
              <w14:schemeClr w14:val="tx1"/>
            </w14:solidFill>
          </w14:textFill>
        </w:rPr>
        <w:t>，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广州公共资源交易中心网站</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w:t>
      </w:r>
      <w:r>
        <w:rPr>
          <w:rFonts w:hint="eastAsia" w:ascii="宋体" w:hAnsi="宋体"/>
          <w:bCs/>
          <w:color w:val="000000" w:themeColor="text1"/>
          <w:szCs w:val="21"/>
          <w14:textFill>
            <w14:solidFill>
              <w14:schemeClr w14:val="tx1"/>
            </w14:solidFill>
          </w14:textFill>
        </w:rPr>
        <w:t>投标文件应按</w:t>
      </w:r>
      <w:r>
        <w:rPr>
          <w:rFonts w:hint="eastAsia" w:ascii="宋体" w:hAnsi="宋体"/>
          <w:color w:val="000000" w:themeColor="text1"/>
          <w:szCs w:val="21"/>
          <w14:textFill>
            <w14:solidFill>
              <w14:schemeClr w14:val="tx1"/>
            </w14:solidFill>
          </w14:textFill>
        </w:rPr>
        <w:t>照交易平台关于全流程电子化项目的相关指南进行编制，详见：</w:t>
      </w:r>
      <w:r>
        <w:rPr>
          <w:rFonts w:hint="eastAsia" w:ascii="宋体" w:hAnsi="宋体"/>
          <w:color w:val="000000" w:themeColor="text1"/>
          <w:szCs w:val="21"/>
          <w:u w:val="single"/>
          <w14:textFill>
            <w14:solidFill>
              <w14:schemeClr w14:val="tx1"/>
            </w14:solidFill>
          </w14:textFill>
        </w:rPr>
        <w:t>广州公共资源交易中心网站</w:t>
      </w:r>
      <w:r>
        <w:rPr>
          <w:rFonts w:hint="eastAsia" w:ascii="宋体" w:hAnsi="宋体"/>
          <w:color w:val="000000" w:themeColor="text1"/>
          <w:szCs w:val="21"/>
          <w14:textFill>
            <w14:solidFill>
              <w14:schemeClr w14:val="tx1"/>
            </w14:solidFill>
          </w14:textFill>
        </w:rPr>
        <w:t>。</w:t>
      </w:r>
    </w:p>
    <w:p>
      <w:pPr>
        <w:pStyle w:val="5"/>
        <w:widowControl/>
        <w:adjustRightInd w:val="0"/>
        <w:spacing w:after="0"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 xml:space="preserve">条款号：13.1 </w:t>
      </w:r>
      <w:r>
        <w:rPr>
          <w:rFonts w:ascii="宋体" w:hAnsi="宋体" w:cs="宋体"/>
          <w:b/>
          <w:color w:val="000000" w:themeColor="text1"/>
          <w:sz w:val="21"/>
          <w:szCs w:val="21"/>
          <w14:textFill>
            <w14:solidFill>
              <w14:schemeClr w14:val="tx1"/>
            </w14:solidFill>
          </w14:textFill>
        </w:rPr>
        <w:t>13.4   13.5</w:t>
      </w:r>
      <w:r>
        <w:rPr>
          <w:rFonts w:hint="eastAsia" w:ascii="宋体" w:hAnsi="宋体" w:cs="宋体"/>
          <w:b/>
          <w:color w:val="000000" w:themeColor="text1"/>
          <w:sz w:val="21"/>
          <w:szCs w:val="21"/>
          <w14:textFill>
            <w14:solidFill>
              <w14:schemeClr w14:val="tx1"/>
            </w14:solidFill>
          </w14:textFill>
        </w:rPr>
        <w:t xml:space="preserve">                                    修改类型：修改</w:t>
      </w:r>
    </w:p>
    <w:p>
      <w:pPr>
        <w:pStyle w:val="5"/>
        <w:widowControl/>
        <w:adjustRightInd w:val="0"/>
        <w:spacing w:after="0" w:line="360" w:lineRule="auto"/>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hint="eastAsia" w:ascii="宋体" w:hAnsi="宋体" w:cs="宋体"/>
          <w:color w:val="000000" w:themeColor="text1"/>
          <w:sz w:val="21"/>
          <w:szCs w:val="21"/>
          <w14:textFill>
            <w14:solidFill>
              <w14:schemeClr w14:val="tx1"/>
            </w14:solidFill>
          </w14:textFill>
        </w:rPr>
        <w:t>13.1本工程的投标报价采用投标须知前附表第12项所规定的方式。投标报价（含单价及总价）精确到“分”。</w:t>
      </w:r>
    </w:p>
    <w:p>
      <w:pPr>
        <w:pStyle w:val="5"/>
        <w:widowControl/>
        <w:adjustRightInd w:val="0"/>
        <w:spacing w:after="0" w:line="360" w:lineRule="auto"/>
        <w:ind w:firstLineChars="200"/>
        <w:rPr>
          <w:rFonts w:ascii="宋体" w:hAnsi="宋体" w:cs="宋体"/>
          <w:color w:val="000000" w:themeColor="text1"/>
          <w:sz w:val="21"/>
          <w:szCs w:val="21"/>
          <w14:textFill>
            <w14:solidFill>
              <w14:schemeClr w14:val="tx1"/>
            </w14:solidFill>
          </w14:textFill>
        </w:rPr>
      </w:pPr>
      <w:bookmarkStart w:id="3" w:name="_Hlk54472844"/>
      <w:r>
        <w:rPr>
          <w:rFonts w:hint="eastAsia" w:ascii="宋体" w:hAnsi="宋体" w:cs="宋体"/>
          <w:color w:val="000000" w:themeColor="text1"/>
          <w:sz w:val="21"/>
          <w:szCs w:val="21"/>
          <w14:textFill>
            <w14:solidFill>
              <w14:schemeClr w14:val="tx1"/>
            </w14:solidFill>
          </w14:textFill>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widowControl/>
        <w:adjustRightInd w:val="0"/>
        <w:spacing w:after="0" w:line="360" w:lineRule="auto"/>
        <w:ind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13.5工程项目实施期间和结算时，招标文件工程量清单中漏列而由监理单位和招标人现场签证确认的工程项目、原设计没有而由招标人批准设计变更产生的工程项目，视为新增项目，按以下顺序确定价格：</w:t>
      </w:r>
      <w:bookmarkEnd w:id="3"/>
    </w:p>
    <w:p>
      <w:pPr>
        <w:pBdr>
          <w:bottom w:val="single" w:color="auto" w:sz="6" w:space="1"/>
        </w:pBdr>
        <w:adjustRightInd w:val="0"/>
        <w:spacing w:line="360" w:lineRule="auto"/>
        <w:ind w:firstLine="422"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s="宋体"/>
          <w:color w:val="000000" w:themeColor="text1"/>
          <w:szCs w:val="21"/>
          <w14:textFill>
            <w14:solidFill>
              <w14:schemeClr w14:val="tx1"/>
            </w14:solidFill>
          </w14:textFill>
        </w:rPr>
        <w:t>13.1 本工程的投标报价采用投标须知前附表第12项所规定的方式。</w:t>
      </w:r>
      <w:r>
        <w:rPr>
          <w:rFonts w:hint="eastAsia" w:ascii="宋体" w:hAnsi="宋体" w:cs="宋体"/>
          <w:color w:val="000000" w:themeColor="text1"/>
          <w:szCs w:val="21"/>
          <w:u w:val="single"/>
          <w14:textFill>
            <w14:solidFill>
              <w14:schemeClr w14:val="tx1"/>
            </w14:solidFill>
          </w14:textFill>
        </w:rPr>
        <w:t>投标文件中的大写金额和</w:t>
      </w:r>
      <w:r>
        <w:rPr>
          <w:rFonts w:hint="eastAsia" w:ascii="宋体" w:hAnsi="宋体" w:cs="宋体"/>
          <w:bCs/>
          <w:color w:val="000000" w:themeColor="text1"/>
          <w:szCs w:val="21"/>
          <w:u w:val="single"/>
          <w14:textFill>
            <w14:solidFill>
              <w14:schemeClr w14:val="tx1"/>
            </w14:solidFill>
          </w14:textFill>
        </w:rPr>
        <w:t>小写</w:t>
      </w:r>
      <w:r>
        <w:rPr>
          <w:rFonts w:hint="eastAsia" w:ascii="宋体" w:hAnsi="宋体" w:cs="宋体"/>
          <w:color w:val="000000" w:themeColor="text1"/>
          <w:szCs w:val="21"/>
          <w:u w:val="single"/>
          <w14:textFill>
            <w14:solidFill>
              <w14:schemeClr w14:val="tx1"/>
            </w14:solidFill>
          </w14:textFill>
        </w:rPr>
        <w:t>金额不一致的，以大写金额为准。投标报价精确到“分”。</w:t>
      </w:r>
    </w:p>
    <w:p>
      <w:pPr>
        <w:pBdr>
          <w:bottom w:val="single" w:color="auto" w:sz="6" w:space="1"/>
        </w:pBdr>
        <w:adjustRightIn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13.4投标人一旦中标，</w:t>
      </w:r>
      <w:r>
        <w:rPr>
          <w:rFonts w:hint="eastAsia" w:ascii="宋体" w:hAnsi="宋体" w:cs="宋体"/>
          <w:color w:val="000000" w:themeColor="text1"/>
          <w:szCs w:val="21"/>
          <w:u w:val="single"/>
          <w14:textFill>
            <w14:solidFill>
              <w14:schemeClr w14:val="tx1"/>
            </w14:solidFill>
          </w14:textFill>
        </w:rPr>
        <w:t>因计算的实际工程量与招标清单工程量出现偏差或因工程变更等原因导致的工程量偏差时，措施项目费按合同相关条款</w:t>
      </w:r>
      <w:r>
        <w:rPr>
          <w:rStyle w:val="98"/>
          <w:rFonts w:hint="eastAsia" w:ascii="宋体" w:hAnsi="宋体"/>
          <w:color w:val="000000" w:themeColor="text1"/>
          <w:szCs w:val="21"/>
          <w:u w:val="single"/>
          <w14:textFill>
            <w14:solidFill>
              <w14:schemeClr w14:val="tx1"/>
            </w14:solidFill>
          </w14:textFill>
        </w:rPr>
        <w:t>执行。</w:t>
      </w:r>
    </w:p>
    <w:p>
      <w:pPr>
        <w:pBdr>
          <w:bottom w:val="single" w:color="auto" w:sz="6" w:space="1"/>
        </w:pBdr>
        <w:adjustRightIn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13.5</w:t>
      </w:r>
      <w:r>
        <w:rPr>
          <w:rFonts w:hint="eastAsia" w:ascii="宋体" w:hAnsi="宋体" w:cs="宋体"/>
          <w:color w:val="000000" w:themeColor="text1"/>
          <w:szCs w:val="21"/>
          <w:u w:val="single"/>
          <w14:textFill>
            <w14:solidFill>
              <w14:schemeClr w14:val="tx1"/>
            </w14:solidFill>
          </w14:textFill>
        </w:rPr>
        <w:t>工程项目实施期间和结算时，设计变更产生的工程项目，按合同变更估价原则确定价格。</w:t>
      </w:r>
    </w:p>
    <w:p>
      <w:pPr>
        <w:pStyle w:val="5"/>
        <w:spacing w:after="0" w:line="420" w:lineRule="exact"/>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w:t>
      </w: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3.6</w:t>
      </w:r>
      <w:r>
        <w:rPr>
          <w:rFonts w:ascii="宋体" w:hAnsi="宋体" w:cs="宋体"/>
          <w:color w:val="000000" w:themeColor="text1"/>
          <w:sz w:val="21"/>
          <w:szCs w:val="21"/>
          <w14:textFill>
            <w14:solidFill>
              <w14:schemeClr w14:val="tx1"/>
            </w14:solidFill>
          </w14:textFill>
        </w:rPr>
        <w:t xml:space="preserve">    </w:t>
      </w:r>
      <w:r>
        <w:rPr>
          <w:rFonts w:ascii="宋体" w:hAnsi="宋体" w:cs="宋体"/>
          <w:b/>
          <w:color w:val="000000" w:themeColor="text1"/>
          <w:sz w:val="21"/>
          <w:szCs w:val="21"/>
          <w14:textFill>
            <w14:solidFill>
              <w14:schemeClr w14:val="tx1"/>
            </w14:solidFill>
          </w14:textFill>
        </w:rPr>
        <w:t xml:space="preserve">         修改类型：修改</w:t>
      </w:r>
    </w:p>
    <w:p>
      <w:pPr>
        <w:pStyle w:val="5"/>
        <w:spacing w:after="0" w:line="420" w:lineRule="exact"/>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ascii="宋体" w:hAnsi="宋体" w:cs="宋体"/>
          <w:color w:val="000000" w:themeColor="text1"/>
          <w:sz w:val="21"/>
          <w:szCs w:val="21"/>
          <w14:textFill>
            <w14:solidFill>
              <w14:schemeClr w14:val="tx1"/>
            </w14:solidFill>
          </w14:textFill>
        </w:rPr>
        <w:t xml:space="preserve">13.6 </w:t>
      </w:r>
      <w:r>
        <w:rPr>
          <w:rFonts w:hint="eastAsia" w:ascii="宋体" w:hAnsi="宋体" w:cs="宋体"/>
          <w:color w:val="000000" w:themeColor="text1"/>
          <w:sz w:val="21"/>
          <w:szCs w:val="21"/>
          <w14:textFill>
            <w14:solidFill>
              <w14:schemeClr w14:val="tx1"/>
            </w14:solidFill>
          </w14:textFill>
        </w:rPr>
        <w:t>暂列金额、暂估价</w:t>
      </w:r>
    </w:p>
    <w:p>
      <w:pPr>
        <w:pStyle w:val="5"/>
        <w:spacing w:after="0" w:line="420" w:lineRule="exact"/>
        <w:rPr>
          <w:rFonts w:ascii="宋体" w:hAnsi="宋体" w:cs="宋体"/>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现文：</w:t>
      </w:r>
      <w:r>
        <w:rPr>
          <w:rFonts w:ascii="宋体" w:hAnsi="宋体" w:cs="宋体"/>
          <w:color w:val="000000" w:themeColor="text1"/>
          <w:sz w:val="21"/>
          <w:szCs w:val="21"/>
          <w14:textFill>
            <w14:solidFill>
              <w14:schemeClr w14:val="tx1"/>
            </w14:solidFill>
          </w14:textFill>
        </w:rPr>
        <w:t xml:space="preserve">13.6 </w:t>
      </w:r>
      <w:r>
        <w:rPr>
          <w:rFonts w:hint="eastAsia" w:ascii="宋体" w:hAnsi="宋体" w:cs="宋体"/>
          <w:color w:val="000000" w:themeColor="text1"/>
          <w:sz w:val="21"/>
          <w:szCs w:val="21"/>
          <w14:textFill>
            <w14:solidFill>
              <w14:schemeClr w14:val="tx1"/>
            </w14:solidFill>
          </w14:textFill>
        </w:rPr>
        <w:t>暂列金额、暂估价</w:t>
      </w:r>
      <w:r>
        <w:rPr>
          <w:rFonts w:hint="eastAsia" w:ascii="宋体" w:hAnsi="宋体" w:cs="宋体"/>
          <w:color w:val="000000" w:themeColor="text1"/>
          <w:sz w:val="21"/>
          <w:szCs w:val="21"/>
          <w:u w:val="single"/>
          <w14:textFill>
            <w14:solidFill>
              <w14:schemeClr w14:val="tx1"/>
            </w14:solidFill>
          </w14:textFill>
        </w:rPr>
        <w:t>（合同另有约定的按合同约定执行）</w:t>
      </w:r>
    </w:p>
    <w:p>
      <w:pPr>
        <w:pStyle w:val="5"/>
        <w:pBdr>
          <w:top w:val="single" w:color="auto" w:sz="4" w:space="1"/>
        </w:pBdr>
        <w:spacing w:after="0" w:line="420" w:lineRule="exact"/>
        <w:ind w:left="424" w:leftChars="202" w:firstLine="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w:t>
      </w:r>
      <w:r>
        <w:rPr>
          <w:rFonts w:ascii="宋体" w:hAnsi="宋体" w:cs="宋体"/>
          <w:color w:val="000000" w:themeColor="text1"/>
          <w:sz w:val="21"/>
          <w:szCs w:val="21"/>
          <w14:textFill>
            <w14:solidFill>
              <w14:schemeClr w14:val="tx1"/>
            </w14:solidFill>
          </w14:textFill>
        </w:rPr>
        <w:t xml:space="preserve">16.1    </w:t>
      </w:r>
      <w:r>
        <w:rPr>
          <w:rFonts w:ascii="宋体" w:hAnsi="宋体" w:cs="宋体"/>
          <w:b/>
          <w:color w:val="000000" w:themeColor="text1"/>
          <w:sz w:val="21"/>
          <w:szCs w:val="21"/>
          <w14:textFill>
            <w14:solidFill>
              <w14:schemeClr w14:val="tx1"/>
            </w14:solidFill>
          </w14:textFill>
        </w:rPr>
        <w:t xml:space="preserve">  </w:t>
      </w:r>
      <w:r>
        <w:rPr>
          <w:rFonts w:hint="eastAsia" w:ascii="宋体" w:hAnsi="宋体" w:cs="宋体"/>
          <w:b/>
          <w:color w:val="000000" w:themeColor="text1"/>
          <w:sz w:val="21"/>
          <w:szCs w:val="21"/>
          <w14:textFill>
            <w14:solidFill>
              <w14:schemeClr w14:val="tx1"/>
            </w14:solidFill>
          </w14:textFill>
        </w:rPr>
        <w:t xml:space="preserve">                                         </w:t>
      </w:r>
      <w:r>
        <w:rPr>
          <w:rFonts w:ascii="宋体" w:hAnsi="宋体" w:cs="宋体"/>
          <w:b/>
          <w:color w:val="000000" w:themeColor="text1"/>
          <w:sz w:val="21"/>
          <w:szCs w:val="21"/>
          <w14:textFill>
            <w14:solidFill>
              <w14:schemeClr w14:val="tx1"/>
            </w14:solidFill>
          </w14:textFill>
        </w:rPr>
        <w:t>修改类型：修改</w:t>
      </w:r>
    </w:p>
    <w:p>
      <w:pPr>
        <w:pStyle w:val="5"/>
        <w:spacing w:after="0" w:line="420" w:lineRule="exact"/>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ascii="宋体" w:hAnsi="宋体" w:cs="宋体"/>
          <w:color w:val="000000" w:themeColor="text1"/>
          <w:sz w:val="21"/>
          <w:szCs w:val="21"/>
          <w14:textFill>
            <w14:solidFill>
              <w14:schemeClr w14:val="tx1"/>
            </w14:solidFill>
          </w14:textFill>
        </w:rPr>
        <w:t>16.1投标人应按投标须知前附表第14项所述金额和时间递交投标保证金。投标保证金以现金或者支票形式提交的，必须由投标人的银行基本账户转出。</w:t>
      </w:r>
    </w:p>
    <w:p>
      <w:pPr>
        <w:pStyle w:val="5"/>
        <w:pBdr>
          <w:bottom w:val="single" w:color="auto" w:sz="6" w:space="1"/>
        </w:pBdr>
        <w:spacing w:after="0" w:line="420" w:lineRule="exact"/>
        <w:ind w:firstLine="422" w:firstLineChars="200"/>
        <w:rPr>
          <w:rFonts w:ascii="宋体" w:hAnsi="宋体" w:cs="宋体"/>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现文：</w:t>
      </w:r>
      <w:r>
        <w:rPr>
          <w:rFonts w:ascii="宋体" w:hAnsi="宋体" w:cs="宋体"/>
          <w:color w:val="000000" w:themeColor="text1"/>
          <w:sz w:val="21"/>
          <w:szCs w:val="21"/>
          <w14:textFill>
            <w14:solidFill>
              <w14:schemeClr w14:val="tx1"/>
            </w14:solidFill>
          </w14:textFill>
        </w:rPr>
        <w:t>16.1投标人应按投标须知前附表第14项所述金额和时间递交投标保证金。</w:t>
      </w:r>
      <w:r>
        <w:rPr>
          <w:rFonts w:hint="eastAsia" w:ascii="宋体" w:hAnsi="宋体" w:cs="宋体"/>
          <w:color w:val="000000" w:themeColor="text1"/>
          <w:sz w:val="21"/>
          <w:szCs w:val="21"/>
          <w:u w:val="single"/>
          <w14:textFill>
            <w14:solidFill>
              <w14:schemeClr w14:val="tx1"/>
            </w14:solidFill>
          </w14:textFill>
        </w:rPr>
        <w:t>招标人应当允许投标人自主选择现金、银行保函、保证保险、专业工程担保公司担保等方式缴纳投标保证金。</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 xml:space="preserve">16.1.1 </w:t>
      </w:r>
      <w:r>
        <w:rPr>
          <w:rFonts w:hint="eastAsia" w:ascii="宋体" w:hAnsi="宋体" w:cs="宋体"/>
          <w:color w:val="000000" w:themeColor="text1"/>
          <w:sz w:val="21"/>
          <w:szCs w:val="21"/>
          <w:u w:val="single"/>
          <w14:textFill>
            <w14:solidFill>
              <w14:schemeClr w14:val="tx1"/>
            </w14:solidFill>
          </w14:textFill>
        </w:rPr>
        <w:t>采用现金或者支票形式提交的，投标保证金须从投标人的银行基本账户转出。</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 xml:space="preserve">16.1.2 </w:t>
      </w:r>
      <w:r>
        <w:rPr>
          <w:rFonts w:hint="eastAsia" w:ascii="宋体" w:hAnsi="宋体" w:cs="宋体"/>
          <w:color w:val="000000" w:themeColor="text1"/>
          <w:sz w:val="21"/>
          <w:szCs w:val="21"/>
          <w:u w:val="single"/>
          <w14:textFill>
            <w14:solidFill>
              <w14:schemeClr w14:val="tx1"/>
            </w14:solidFill>
          </w14:textFill>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cs="宋体"/>
          <w:color w:val="000000" w:themeColor="text1"/>
          <w:sz w:val="21"/>
          <w:szCs w:val="21"/>
          <w:u w:val="single"/>
          <w14:textFill>
            <w14:solidFill>
              <w14:schemeClr w14:val="tx1"/>
            </w14:solidFill>
          </w14:textFill>
        </w:rPr>
        <w:t>16.4条款所列情形的，应将纸质原件提交给招标人。</w:t>
      </w:r>
    </w:p>
    <w:p>
      <w:pPr>
        <w:pBdr>
          <w:bottom w:val="single" w:color="auto" w:sz="6" w:space="1"/>
        </w:pBdr>
        <w:adjustRightInd w:val="0"/>
        <w:spacing w:line="42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u w:val="single"/>
          <w14:textFill>
            <w14:solidFill>
              <w14:schemeClr w14:val="tx1"/>
            </w14:solidFill>
          </w14:textFill>
        </w:rPr>
        <w:t xml:space="preserve">16.1.3 </w:t>
      </w:r>
      <w:r>
        <w:rPr>
          <w:rFonts w:hint="eastAsia" w:ascii="宋体" w:hAnsi="宋体" w:cs="宋体"/>
          <w:color w:val="000000" w:themeColor="text1"/>
          <w:szCs w:val="21"/>
          <w:u w:val="single"/>
          <w14:textFill>
            <w14:solidFill>
              <w14:schemeClr w14:val="tx1"/>
            </w14:solidFill>
          </w14:textFill>
        </w:rPr>
        <w:t>采用电子形式的保函、担保或保证保险提交投标保证金的，具体操作要求详见广州公共资源交易中心有关指引，递交事宜请自行咨询交易中心。</w:t>
      </w:r>
    </w:p>
    <w:p>
      <w:pPr>
        <w:pStyle w:val="5"/>
        <w:spacing w:after="0" w:line="420" w:lineRule="exact"/>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w:t>
      </w:r>
      <w:r>
        <w:rPr>
          <w:rFonts w:ascii="宋体" w:hAnsi="宋体" w:cs="宋体"/>
          <w:b/>
          <w:color w:val="000000" w:themeColor="text1"/>
          <w:sz w:val="21"/>
          <w:szCs w:val="21"/>
          <w14:textFill>
            <w14:solidFill>
              <w14:schemeClr w14:val="tx1"/>
            </w14:solidFill>
          </w14:textFill>
        </w:rPr>
        <w:t xml:space="preserve">16.2-16.7      </w:t>
      </w:r>
      <w:r>
        <w:rPr>
          <w:rFonts w:hint="eastAsia" w:ascii="宋体" w:hAnsi="宋体" w:cs="宋体"/>
          <w:b/>
          <w:color w:val="000000" w:themeColor="text1"/>
          <w:sz w:val="21"/>
          <w:szCs w:val="21"/>
          <w14:textFill>
            <w14:solidFill>
              <w14:schemeClr w14:val="tx1"/>
            </w14:solidFill>
          </w14:textFill>
        </w:rPr>
        <w:t xml:space="preserve">                                  </w:t>
      </w:r>
      <w:r>
        <w:rPr>
          <w:rFonts w:ascii="宋体" w:hAnsi="宋体" w:cs="宋体"/>
          <w:b/>
          <w:color w:val="000000" w:themeColor="text1"/>
          <w:sz w:val="21"/>
          <w:szCs w:val="21"/>
          <w14:textFill>
            <w14:solidFill>
              <w14:schemeClr w14:val="tx1"/>
            </w14:solidFill>
          </w14:textFill>
        </w:rPr>
        <w:t xml:space="preserve"> </w:t>
      </w:r>
      <w:r>
        <w:rPr>
          <w:rFonts w:hint="eastAsia" w:ascii="宋体" w:hAnsi="宋体" w:cs="宋体"/>
          <w:b/>
          <w:color w:val="000000" w:themeColor="text1"/>
          <w:sz w:val="21"/>
          <w:szCs w:val="21"/>
          <w14:textFill>
            <w14:solidFill>
              <w14:schemeClr w14:val="tx1"/>
            </w14:solidFill>
          </w14:textFill>
        </w:rPr>
        <w:t>修改类型：修改</w:t>
      </w:r>
    </w:p>
    <w:p>
      <w:pPr>
        <w:pStyle w:val="5"/>
        <w:spacing w:after="0" w:line="420" w:lineRule="exact"/>
        <w:ind w:firstLine="422" w:firstLineChars="200"/>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原文：</w:t>
      </w:r>
      <w:r>
        <w:rPr>
          <w:rFonts w:ascii="宋体" w:hAnsi="宋体" w:cs="宋体"/>
          <w:color w:val="000000" w:themeColor="text1"/>
          <w:sz w:val="21"/>
          <w:szCs w:val="21"/>
          <w14:textFill>
            <w14:solidFill>
              <w14:schemeClr w14:val="tx1"/>
            </w14:solidFill>
          </w14:textFill>
        </w:rPr>
        <w:t>16.2招标人可委托</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交易平台具体实施保证金的收取和退还工作。通过</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交易平台递交投标保证金的相关事宜，请自行咨询</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16.3</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交易平台代收投标保证金的，其缴纳情况以</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交易平台数据库记录的信息为准。</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16.4开标时投标人没有按要求提供投标保证金的，其投标文件将被否决。</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16.5中标候选人以外的投标人的投标保证金将尽快退还，最迟不超过中标通知书发出之日起五日内。</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16.6中标人和其他中标候选人的投标保证金，在书面合同订立之日起五日内予以退还。</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16.7如有下列情况之一的，招标人不予退还投标保证金：</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16.7.1因投标人原因造成投标文件未解密的；</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16.7.2投标人在投标有效期内撤回投标文件；</w:t>
      </w:r>
    </w:p>
    <w:p>
      <w:pPr>
        <w:pStyle w:val="5"/>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16.7.3中标人未能在规定期限内按要求提交履约担保；</w:t>
      </w:r>
    </w:p>
    <w:p>
      <w:pPr>
        <w:pStyle w:val="5"/>
        <w:pBdr>
          <w:bottom w:val="single" w:color="auto" w:sz="6" w:space="1"/>
        </w:pBdr>
        <w:spacing w:after="0" w:line="420" w:lineRule="exact"/>
        <w:ind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16.7.4中标人未能在规定期限内签署合同协议。</w:t>
      </w:r>
    </w:p>
    <w:p>
      <w:pPr>
        <w:pStyle w:val="5"/>
        <w:pBdr>
          <w:bottom w:val="single" w:color="auto" w:sz="6" w:space="1"/>
        </w:pBdr>
        <w:spacing w:after="0" w:line="420" w:lineRule="exact"/>
        <w:ind w:firstLine="422" w:firstLineChars="200"/>
        <w:rPr>
          <w:rFonts w:ascii="宋体" w:hAnsi="宋体" w:cs="宋体"/>
          <w:color w:val="000000" w:themeColor="text1"/>
          <w:sz w:val="21"/>
          <w:szCs w:val="21"/>
          <w:u w:val="single"/>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现文：</w:t>
      </w:r>
      <w:r>
        <w:rPr>
          <w:rFonts w:ascii="宋体" w:hAnsi="宋体" w:cs="宋体"/>
          <w:color w:val="000000" w:themeColor="text1"/>
          <w:sz w:val="21"/>
          <w:szCs w:val="21"/>
          <w14:textFill>
            <w14:solidFill>
              <w14:schemeClr w14:val="tx1"/>
            </w14:solidFill>
          </w14:textFill>
        </w:rPr>
        <w:t>16.2</w:t>
      </w:r>
      <w:r>
        <w:rPr>
          <w:rFonts w:hint="eastAsia" w:ascii="宋体" w:hAnsi="宋体" w:cs="宋体"/>
          <w:color w:val="000000" w:themeColor="text1"/>
          <w:sz w:val="21"/>
          <w:szCs w:val="21"/>
          <w:u w:val="single"/>
          <w14:textFill>
            <w14:solidFill>
              <w14:schemeClr w14:val="tx1"/>
            </w14:solidFill>
          </w14:textFill>
        </w:rPr>
        <w:t>开标时投标人没有按要求提供投标保证金的，其投标文件将被否决。</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16.3投标保证金应依据法律法规的相关规定退还。</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16.4如有下列情况之一的，招标人不予退还投标保证金：</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16.4.1因投标人原因造成投标文件未解密的；</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16.4.2投标人在投标有效期内撤销投标文件；</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16.4.3中标人未能在规定期限内按要求提交履约担保；</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16.4.4中标人未能在规定期限内签署合同协议。</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u w:val="single"/>
          <w14:textFill>
            <w14:solidFill>
              <w14:schemeClr w14:val="tx1"/>
            </w14:solidFill>
          </w14:textFill>
        </w:rPr>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16.5投标人如存在下列情况之一的，将被拒绝1年内参与招标人后续工程投标：</w:t>
      </w:r>
    </w:p>
    <w:p>
      <w:pPr>
        <w:pStyle w:val="5"/>
        <w:pBdr>
          <w:bottom w:val="single" w:color="auto" w:sz="6" w:space="1"/>
        </w:pBdr>
        <w:spacing w:after="0" w:line="420" w:lineRule="exact"/>
        <w:ind w:firstLineChars="200"/>
        <w:rPr>
          <w:rFonts w:ascii="宋体" w:hAnsi="宋体" w:cs="宋体"/>
          <w:color w:val="000000" w:themeColor="text1"/>
          <w:sz w:val="21"/>
          <w:szCs w:val="21"/>
          <w:u w:val="single"/>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u w:val="single"/>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pStyle w:val="5"/>
        <w:widowControl/>
        <w:adjustRightInd w:val="0"/>
        <w:spacing w:after="0"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条款号：17.1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17.1投标人应采用单位数字证书，按招标文件要求在相应位置加盖电子印章。投标文件中需个人签字或盖章的，应在线下完成后扫描上传。按照交易平台关于全流程电子化项目的相关指南进行操作。详见：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17.1投标人应采用单位数字证书，按招标文件要求在相应位置加盖电子印章。投标文件中需个人签字或盖章的，应加盖个人电子印章或在线下完成后扫描上传。</w:t>
      </w:r>
      <w:r>
        <w:rPr>
          <w:rFonts w:hint="eastAsia" w:ascii="宋体" w:hAnsi="宋体"/>
          <w:color w:val="000000" w:themeColor="text1"/>
          <w:szCs w:val="21"/>
          <w:u w:val="single"/>
          <w14:textFill>
            <w14:solidFill>
              <w14:schemeClr w14:val="tx1"/>
            </w14:solidFill>
          </w14:textFill>
        </w:rPr>
        <w:t>由广州投标文件管理软件系统生成的“工程量清单主表--工程量清单报价表”封面页和扉页可以仅采用单位数字证书加盖电子印章处理。</w:t>
      </w:r>
      <w:r>
        <w:rPr>
          <w:rFonts w:hint="eastAsia" w:ascii="宋体" w:hAnsi="宋体"/>
          <w:color w:val="000000" w:themeColor="text1"/>
          <w:szCs w:val="21"/>
          <w14:textFill>
            <w14:solidFill>
              <w14:schemeClr w14:val="tx1"/>
            </w14:solidFill>
          </w14:textFill>
        </w:rPr>
        <w:t>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广州公共资源交易中心网站。</w:t>
      </w:r>
    </w:p>
    <w:p>
      <w:pPr>
        <w:spacing w:line="360" w:lineRule="auto"/>
        <w:ind w:firstLine="413" w:firstLineChars="196"/>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条款号：18.1、18.2                                       修改类型：修改</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18.1递交的电子投标文件（不含备用光盘）必须进行加密。按照交易平台关于全流程电子化项目的相关指南进行操作。详见：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pBdr>
          <w:bottom w:val="single" w:color="auto" w:sz="6" w:space="1"/>
        </w:pBd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 未按要求加密的投标文件，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交易平台将予以拒收。</w:t>
      </w:r>
    </w:p>
    <w:p>
      <w:pPr>
        <w:pBdr>
          <w:bottom w:val="single" w:color="auto" w:sz="6" w:space="1"/>
        </w:pBd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18.1递交的电子投标文件（不含备用光盘）必须进行加密。按照交易平台关于全流程电子化项目的相关指南进行操作。详见：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广州公共资源交易中心网站</w:t>
      </w:r>
      <w:r>
        <w:rPr>
          <w:rFonts w:hint="eastAsia" w:ascii="宋体" w:hAnsi="宋体"/>
          <w:color w:val="000000" w:themeColor="text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18.2 未按要求加密的投标文件，</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19.1</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19.2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19.</w:t>
      </w:r>
      <w:r>
        <w:rPr>
          <w:rFonts w:hint="eastAsia" w:ascii="宋体" w:hAnsi="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19.1投标人通过</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交易平台递交电子投标文件。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19.2投标人完成电子投标文件上传后，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交易平台即时向投标人发出递交回执通知。递交时间以递交回执通知载明的传输完成时间为准。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19.3逾期送达的电子投标文件，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19.1投标人通过</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交易平台递交电子投标文件。</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19.2投标人完成电子投标文件上传后，</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19.3逾期送达的电子投标文件，</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条款号：19.5修改类型：修改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19.5如技术标和经济标先后分别开启，</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交易平台将按招标文件规定的时间分别开启技术标和经济标。</w:t>
      </w:r>
    </w:p>
    <w:p>
      <w:pPr>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u w:val="single"/>
          <w14:textFill>
            <w14:solidFill>
              <w14:schemeClr w14:val="tx1"/>
            </w14:solidFill>
          </w14:textFill>
        </w:rPr>
        <w:t>19.5技术标和经济标同时开启，广州公共资源交易中心交易平台将按招标文件规定的时间同时开启技术标和经济标。</w:t>
      </w:r>
    </w:p>
    <w:p>
      <w:pPr>
        <w:pBdr>
          <w:top w:val="single" w:color="auto" w:sz="4" w:space="1"/>
        </w:pBdr>
        <w:adjustRightIn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条款号：19.6                                            修改类型：</w:t>
      </w:r>
      <w:r>
        <w:rPr>
          <w:rFonts w:hint="eastAsia" w:ascii="宋体" w:hAnsi="宋体" w:cs="宋体"/>
          <w:b/>
          <w:color w:val="000000" w:themeColor="text1"/>
          <w:szCs w:val="21"/>
          <w14:textFill>
            <w14:solidFill>
              <w14:schemeClr w14:val="tx1"/>
            </w14:solidFill>
          </w14:textFill>
        </w:rPr>
        <w:t>删除</w:t>
      </w:r>
    </w:p>
    <w:p>
      <w:pPr>
        <w:pBdr>
          <w:bottom w:val="single" w:color="auto" w:sz="6" w:space="1"/>
        </w:pBdr>
        <w:adjustRightInd w:val="0"/>
        <w:spacing w:line="360" w:lineRule="auto"/>
        <w:ind w:firstLine="413" w:firstLineChars="196"/>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b/>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21.1 本须知前附表第17项规定的投标截止时间后送达的电子投标文件，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交易平台将予以拒收。</w:t>
      </w:r>
    </w:p>
    <w:p>
      <w:pPr>
        <w:pBdr>
          <w:bottom w:val="single" w:color="auto" w:sz="6" w:space="1"/>
        </w:pBdr>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21.1 本须知前附表第17项规定的投标截止时间后送达的电子投标文件，</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交易平台将予以拒收。</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27.1</w:t>
      </w:r>
      <w:r>
        <w:rPr>
          <w:rFonts w:hint="eastAsia" w:ascii="宋体" w:hAnsi="宋体"/>
          <w:b/>
          <w:color w:val="000000" w:themeColor="text1"/>
          <w:szCs w:val="21"/>
          <w14:textFill>
            <w14:solidFill>
              <w14:schemeClr w14:val="tx1"/>
            </w14:solidFill>
          </w14:textFill>
        </w:rPr>
        <w:t>、2</w:t>
      </w:r>
      <w:r>
        <w:rPr>
          <w:rFonts w:ascii="宋体" w:hAnsi="宋体"/>
          <w:b/>
          <w:color w:val="000000" w:themeColor="text1"/>
          <w:szCs w:val="21"/>
          <w14:textFill>
            <w14:solidFill>
              <w14:schemeClr w14:val="tx1"/>
            </w14:solidFill>
          </w14:textFill>
        </w:rPr>
        <w:t xml:space="preserve">7.4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27.1招标人将在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交易平台、广东省招标投标监管网和中国招标投标公共服务平台公示中标候选人，公示期为三天。</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27.4在产生中标候选人后，招标人将中标候选人的投标文件商务部分文件的所有内容（包括报价清单、人员、业绩、奖项等资料）在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交易平台和广东省招标投标监管网公开。</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27.1招标人将在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27.4在产生合格的中标候选人后，招标人将合格的中标候选人的投标文件商务部分文件的</w:t>
      </w:r>
      <w:r>
        <w:rPr>
          <w:rFonts w:hint="eastAsia" w:ascii="宋体" w:hAnsi="宋体"/>
          <w:color w:val="000000" w:themeColor="text1"/>
          <w:szCs w:val="21"/>
          <w:u w:val="single"/>
          <w14:textFill>
            <w14:solidFill>
              <w14:schemeClr w14:val="tx1"/>
            </w14:solidFill>
          </w14:textFill>
        </w:rPr>
        <w:t>人员、业绩、奖项等资料</w:t>
      </w:r>
      <w:r>
        <w:rPr>
          <w:rFonts w:hint="eastAsia" w:ascii="宋体" w:hAnsi="宋体"/>
          <w:color w:val="000000" w:themeColor="text1"/>
          <w:szCs w:val="21"/>
          <w14:textFill>
            <w14:solidFill>
              <w14:schemeClr w14:val="tx1"/>
            </w14:solidFill>
          </w14:textFill>
        </w:rPr>
        <w:t>在</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交易平台和广东省招标投标监管网公开。</w:t>
      </w:r>
    </w:p>
    <w:p>
      <w:pPr>
        <w:spacing w:line="360" w:lineRule="auto"/>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条款号：28.1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bCs/>
          <w:color w:val="000000" w:themeColor="text1"/>
          <w:szCs w:val="21"/>
          <w14:textFill>
            <w14:solidFill>
              <w14:schemeClr w14:val="tx1"/>
            </w14:solidFill>
          </w14:textFill>
        </w:rPr>
        <w:t>28.1 招标人与中标人将于中标通知书发出之日起30日内，按照招标文件中合同版本和中标人的投标文件商定签订合同。</w:t>
      </w:r>
    </w:p>
    <w:p>
      <w:pPr>
        <w:pBdr>
          <w:bottom w:val="single" w:color="auto" w:sz="6" w:space="1"/>
        </w:pBdr>
        <w:spacing w:line="360" w:lineRule="auto"/>
        <w:ind w:firstLine="42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bCs/>
          <w:color w:val="000000" w:themeColor="text1"/>
          <w:szCs w:val="21"/>
          <w14:textFill>
            <w14:solidFill>
              <w14:schemeClr w14:val="tx1"/>
            </w14:solidFill>
          </w14:textFill>
        </w:rPr>
        <w:t>28.1 中标人将于中标通知书发出之日起30日内，按照招标文件中合同版本和中标人的投标文件</w:t>
      </w:r>
      <w:r>
        <w:rPr>
          <w:rFonts w:hint="eastAsia" w:ascii="宋体" w:hAnsi="宋体"/>
          <w:bCs/>
          <w:color w:val="000000" w:themeColor="text1"/>
          <w:szCs w:val="21"/>
          <w:u w:val="single"/>
          <w14:textFill>
            <w14:solidFill>
              <w14:schemeClr w14:val="tx1"/>
            </w14:solidFill>
          </w14:textFill>
        </w:rPr>
        <w:t>与9#地块施工总承包单位签订《云港城项目9#地块永久用电工程施工专业承包合同》；与11#地块总承包单位签订《云港城项目11#地块永久用电工程施工专业承包合同》。</w:t>
      </w:r>
    </w:p>
    <w:p>
      <w:pPr>
        <w:spacing w:line="360" w:lineRule="auto"/>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条款号：28.4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4 招标人支付工程款时，中标人应提供工程所在地发票。</w:t>
      </w:r>
    </w:p>
    <w:p>
      <w:pPr>
        <w:pBdr>
          <w:bottom w:val="single" w:color="auto" w:sz="6" w:space="1"/>
        </w:pBdr>
        <w:spacing w:line="360" w:lineRule="auto"/>
        <w:ind w:firstLine="42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招标人</w:t>
      </w:r>
      <w:r>
        <w:rPr>
          <w:rFonts w:hint="eastAsia" w:ascii="宋体" w:hAnsi="宋体"/>
          <w:color w:val="000000" w:themeColor="text1"/>
          <w:szCs w:val="21"/>
          <w14:textFill>
            <w14:solidFill>
              <w14:schemeClr w14:val="tx1"/>
            </w14:solidFill>
          </w14:textFill>
        </w:rPr>
        <w:t>支付工程款时，中标人应</w:t>
      </w:r>
      <w:r>
        <w:rPr>
          <w:rFonts w:hint="eastAsia" w:ascii="宋体" w:hAnsi="宋体"/>
          <w:color w:val="000000" w:themeColor="text1"/>
          <w:szCs w:val="21"/>
          <w:u w:val="single"/>
          <w14:textFill>
            <w14:solidFill>
              <w14:schemeClr w14:val="tx1"/>
            </w14:solidFill>
          </w14:textFill>
        </w:rPr>
        <w:t>按合同规定开具发票</w:t>
      </w:r>
      <w:r>
        <w:rPr>
          <w:rFonts w:hint="eastAsia" w:ascii="宋体" w:hAnsi="宋体"/>
          <w:color w:val="000000" w:themeColor="text1"/>
          <w:szCs w:val="21"/>
          <w14:textFill>
            <w14:solidFill>
              <w14:schemeClr w14:val="tx1"/>
            </w14:solidFill>
          </w14:textFill>
        </w:rPr>
        <w:t>。</w:t>
      </w:r>
    </w:p>
    <w:p>
      <w:pPr>
        <w:spacing w:line="360" w:lineRule="auto"/>
        <w:ind w:firstLine="42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条款号：29.1、29.2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bCs/>
          <w:color w:val="000000" w:themeColor="text1"/>
          <w:szCs w:val="21"/>
          <w14:textFill>
            <w14:solidFill>
              <w14:schemeClr w14:val="tx1"/>
            </w14:solidFill>
          </w14:textFill>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spacing w:line="360" w:lineRule="auto"/>
        <w:ind w:firstLine="42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29.2</w:t>
      </w:r>
      <w:r>
        <w:rPr>
          <w:rFonts w:hint="eastAsia" w:ascii="宋体" w:hAnsi="宋体"/>
          <w:bCs/>
          <w:color w:val="000000" w:themeColor="text1"/>
          <w:szCs w:val="21"/>
          <w14:textFill>
            <w14:solidFill>
              <w14:schemeClr w14:val="tx1"/>
            </w14:solidFill>
          </w14:textFill>
        </w:rPr>
        <w:t>在收到中标通知书后的15日内，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pPr>
        <w:spacing w:line="360" w:lineRule="auto"/>
        <w:ind w:firstLine="420"/>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bCs/>
          <w:color w:val="000000" w:themeColor="text1"/>
          <w:szCs w:val="21"/>
          <w14:textFill>
            <w14:solidFill>
              <w14:schemeClr w14:val="tx1"/>
            </w14:solidFill>
          </w14:textFill>
        </w:rPr>
        <w:t>29.1</w:t>
      </w:r>
      <w:r>
        <w:rPr>
          <w:rFonts w:hint="eastAsia" w:ascii="宋体" w:hAnsi="宋体"/>
          <w:bCs/>
          <w:color w:val="000000" w:themeColor="text1"/>
          <w:szCs w:val="21"/>
          <w:u w:val="single"/>
          <w14:textFill>
            <w14:solidFill>
              <w14:schemeClr w14:val="tx1"/>
            </w14:solidFill>
          </w14:textFill>
        </w:rPr>
        <w:t>中标人应按合同条款提交履约担保。</w:t>
      </w:r>
    </w:p>
    <w:p>
      <w:pPr>
        <w:snapToGrid w:val="0"/>
        <w:spacing w:line="360" w:lineRule="auto"/>
        <w:ind w:firstLine="525" w:firstLineChars="25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29.2</w:t>
      </w:r>
      <w:r>
        <w:rPr>
          <w:rFonts w:hint="eastAsia" w:ascii="宋体" w:hAnsi="宋体"/>
          <w:bCs/>
          <w:color w:val="000000" w:themeColor="text1"/>
          <w:szCs w:val="21"/>
          <w14:textFill>
            <w14:solidFill>
              <w14:schemeClr w14:val="tx1"/>
            </w14:solidFill>
          </w14:textFill>
        </w:rPr>
        <w:t xml:space="preserve"> 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pPr>
        <w:pBdr>
          <w:top w:val="single" w:color="auto" w:sz="4" w:space="1"/>
        </w:pBdr>
        <w:spacing w:line="480" w:lineRule="auto"/>
        <w:ind w:firstLine="472" w:firstLineChars="224"/>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条款号：31</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修改类型：修改</w:t>
      </w:r>
    </w:p>
    <w:p>
      <w:pPr>
        <w:spacing w:line="360" w:lineRule="auto"/>
        <w:ind w:firstLine="422" w:firstLineChars="200"/>
        <w:rPr>
          <w:rFonts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原文：</w:t>
      </w:r>
      <w:r>
        <w:rPr>
          <w:rFonts w:hint="eastAsia" w:ascii="宋体" w:hAnsi="宋体"/>
          <w:color w:val="000000" w:themeColor="text1"/>
          <w:kern w:val="0"/>
          <w:szCs w:val="21"/>
          <w14:textFill>
            <w14:solidFill>
              <w14:schemeClr w14:val="tx1"/>
            </w14:solidFill>
          </w14:textFill>
        </w:rPr>
        <w:t>31．其它费用</w:t>
      </w:r>
    </w:p>
    <w:p>
      <w:pPr>
        <w:spacing w:line="360" w:lineRule="auto"/>
        <w:ind w:firstLine="422" w:firstLineChars="200"/>
        <w:rPr>
          <w:rFonts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现文：</w:t>
      </w:r>
      <w:r>
        <w:rPr>
          <w:rFonts w:hint="eastAsia" w:ascii="宋体" w:hAnsi="宋体"/>
          <w:color w:val="000000" w:themeColor="text1"/>
          <w:kern w:val="0"/>
          <w:szCs w:val="21"/>
          <w14:textFill>
            <w14:solidFill>
              <w14:schemeClr w14:val="tx1"/>
            </w14:solidFill>
          </w14:textFill>
        </w:rPr>
        <w:t>31．其它费用</w:t>
      </w:r>
    </w:p>
    <w:p>
      <w:pPr>
        <w:pBdr>
          <w:bottom w:val="single" w:color="auto" w:sz="6" w:space="1"/>
        </w:pBdr>
        <w:adjustRightInd w:val="0"/>
        <w:spacing w:line="360" w:lineRule="auto"/>
        <w:ind w:firstLine="472" w:firstLineChars="225"/>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（1）本项目招标交易服务费由中标人承担，并向广州公共资源交易中心交纳。</w:t>
      </w:r>
    </w:p>
    <w:p>
      <w:pPr>
        <w:pBdr>
          <w:top w:val="single" w:color="auto" w:sz="4" w:space="1"/>
        </w:pBdr>
        <w:spacing w:line="480" w:lineRule="auto"/>
        <w:ind w:firstLine="472" w:firstLineChars="224"/>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条款号：32.3</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修改类型：修改</w:t>
      </w:r>
    </w:p>
    <w:p>
      <w:pPr>
        <w:spacing w:line="44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4" w:space="1"/>
        </w:pBdr>
        <w:spacing w:line="440" w:lineRule="exact"/>
        <w:ind w:firstLine="422" w:firstLineChars="200"/>
        <w:rPr>
          <w:rFonts w:ascii="宋体" w:hAnsi="宋体"/>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现文：</w:t>
      </w:r>
      <w:r>
        <w:rPr>
          <w:rFonts w:hint="eastAsia" w:ascii="宋体" w:hAnsi="宋体"/>
          <w:color w:val="000000" w:themeColor="text1"/>
          <w:szCs w:val="21"/>
          <w14:textFill>
            <w14:solidFill>
              <w14:schemeClr w14:val="tx1"/>
            </w14:solidFill>
          </w14:textFill>
        </w:rPr>
        <w:t>32.3</w:t>
      </w:r>
      <w:r>
        <w:rPr>
          <w:rFonts w:hint="eastAsia" w:ascii="宋体" w:hAnsi="宋体"/>
          <w:color w:val="000000" w:themeColor="text1"/>
          <w:szCs w:val="21"/>
          <w:u w:val="single"/>
          <w14:textFill>
            <w14:solidFill>
              <w14:schemeClr w14:val="tx1"/>
            </w14:solidFill>
          </w14:textFill>
        </w:rPr>
        <w:t>投标人如在本项目中存在串通投标、弄虚作假骗取中标、行贿情形的，中标无效，行政监督部门将对其违法行为进行政处罚</w:t>
      </w:r>
      <w:r>
        <w:rPr>
          <w:rFonts w:hint="eastAsia" w:ascii="宋体" w:hAnsi="宋体"/>
          <w:color w:val="000000" w:themeColor="text1"/>
          <w:szCs w:val="21"/>
          <w14:textFill>
            <w14:solidFill>
              <w14:schemeClr w14:val="tx1"/>
            </w14:solidFill>
          </w14:textFill>
        </w:rPr>
        <w:t>。该投标人将被招标人列入黑名单并限制其参与招标人后续项目的投标。</w:t>
      </w:r>
    </w:p>
    <w:p>
      <w:pPr>
        <w:spacing w:line="44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color w:val="000000" w:themeColor="text1"/>
          <w:szCs w:val="21"/>
          <w14:textFill>
            <w14:solidFill>
              <w14:schemeClr w14:val="tx1"/>
            </w14:solidFill>
          </w14:textFill>
        </w:rPr>
        <w:t xml:space="preserve">33. 投标人信誉的要求  </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修改类型：</w:t>
      </w:r>
      <w:r>
        <w:rPr>
          <w:rFonts w:hint="eastAsia" w:ascii="宋体" w:hAnsi="宋体"/>
          <w:b/>
          <w:color w:val="000000" w:themeColor="text1"/>
          <w:szCs w:val="21"/>
          <w14:textFill>
            <w14:solidFill>
              <w14:schemeClr w14:val="tx1"/>
            </w14:solidFill>
          </w14:textFill>
        </w:rPr>
        <w:t>删除</w:t>
      </w:r>
    </w:p>
    <w:p>
      <w:pPr>
        <w:spacing w:line="440" w:lineRule="exact"/>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原文：</w:t>
      </w:r>
      <w:r>
        <w:rPr>
          <w:rFonts w:ascii="宋体" w:hAnsi="宋体"/>
          <w:color w:val="000000" w:themeColor="text1"/>
          <w14:textFill>
            <w14:solidFill>
              <w14:schemeClr w14:val="tx1"/>
            </w14:solidFill>
          </w14:textFill>
        </w:rPr>
        <w:t xml:space="preserve">33. </w:t>
      </w:r>
      <w:r>
        <w:rPr>
          <w:rFonts w:hint="eastAsia" w:ascii="宋体" w:hAnsi="宋体"/>
          <w:color w:val="000000" w:themeColor="text1"/>
          <w14:textFill>
            <w14:solidFill>
              <w14:schemeClr w14:val="tx1"/>
            </w14:solidFill>
          </w14:textFill>
        </w:rPr>
        <w:t>投标人信誉的要求</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存在下列情形之一的，招标人可以限制其投标（需在招标文件中明确评定方法）</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）被住房城乡建设行政主管部门在全国建筑市场监管一体化工作平台列入建筑市场主体“黑名单”；</w:t>
      </w:r>
    </w:p>
    <w:p>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）被发改委、人力资源社会保障、质检总局等有关部门、单位在“信用中国”网站中列入联合惩戒失信黑名单。</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34                                               </w:t>
      </w:r>
      <w:r>
        <w:rPr>
          <w:rFonts w:hint="eastAsia" w:ascii="宋体" w:hAnsi="宋体"/>
          <w:b/>
          <w:color w:val="000000" w:themeColor="text1"/>
          <w:szCs w:val="21"/>
          <w14:textFill>
            <w14:solidFill>
              <w14:schemeClr w14:val="tx1"/>
            </w14:solidFill>
          </w14:textFill>
        </w:rPr>
        <w:t>修改类型：增加</w:t>
      </w:r>
    </w:p>
    <w:p>
      <w:pPr>
        <w:pBdr>
          <w:bottom w:val="single" w:color="auto" w:sz="6" w:space="1"/>
        </w:pBdr>
        <w:spacing w:line="360" w:lineRule="auto"/>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u w:val="single"/>
          <w14:textFill>
            <w14:solidFill>
              <w14:schemeClr w14:val="tx1"/>
            </w14:solidFill>
          </w14:textFill>
        </w:rPr>
        <w:t>3</w:t>
      </w:r>
      <w:r>
        <w:rPr>
          <w:rFonts w:ascii="宋体" w:hAnsi="宋体"/>
          <w:color w:val="000000" w:themeColor="text1"/>
          <w:szCs w:val="21"/>
          <w:u w:val="single"/>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pPr>
        <w:spacing w:line="360" w:lineRule="auto"/>
        <w:ind w:firstLine="211" w:firstLineChars="100"/>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注：以上修改，仅限于本范本中有可供选择条款的情形。</w:t>
      </w: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（以下无正文）</w:t>
      </w:r>
    </w:p>
    <w:p>
      <w:pPr>
        <w:pStyle w:val="7"/>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4" w:name="_Toc114572533"/>
      <w:r>
        <w:rPr>
          <w:rFonts w:hint="eastAsia" w:ascii="宋体" w:hAnsi="宋体"/>
          <w:color w:val="000000" w:themeColor="text1"/>
          <w14:textFill>
            <w14:solidFill>
              <w14:schemeClr w14:val="tx1"/>
            </w14:solidFill>
          </w14:textFill>
        </w:rPr>
        <w:t>三、投标须知通用条款</w:t>
      </w:r>
      <w:bookmarkEnd w:id="4"/>
    </w:p>
    <w:p>
      <w:pPr>
        <w:pStyle w:val="8"/>
        <w:rPr>
          <w:color w:val="000000" w:themeColor="text1"/>
          <w14:textFill>
            <w14:solidFill>
              <w14:schemeClr w14:val="tx1"/>
            </w14:solidFill>
          </w14:textFill>
        </w:rPr>
      </w:pPr>
      <w:bookmarkStart w:id="5" w:name="_Toc114572534"/>
      <w:r>
        <w:rPr>
          <w:rFonts w:hint="eastAsia"/>
          <w:color w:val="000000" w:themeColor="text1"/>
          <w14:textFill>
            <w14:solidFill>
              <w14:schemeClr w14:val="tx1"/>
            </w14:solidFill>
          </w14:textFill>
        </w:rPr>
        <w:t>（一）总则</w:t>
      </w:r>
      <w:bookmarkEnd w:id="5"/>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、定义</w:t>
      </w:r>
    </w:p>
    <w:p>
      <w:pPr>
        <w:pStyle w:val="5"/>
        <w:spacing w:after="0" w:line="360" w:lineRule="auto"/>
        <w:ind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本招标文件使用的下列词语具有如下规定的意义：</w:t>
      </w:r>
    </w:p>
    <w:p>
      <w:pPr>
        <w:pStyle w:val="5"/>
        <w:spacing w:after="0" w:line="360" w:lineRule="auto"/>
        <w:ind w:firstLine="480" w:firstLineChars="200"/>
        <w:rPr>
          <w:rFonts w:ascii="宋体" w:hAnsi="宋体"/>
          <w:b/>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）“招标人”、“项目建设管理单位”（或称“项目代建单位”、“代建人”）、“招标代理”、“设计单位”、“监理单位”均已在投标须知前附表中列明。</w:t>
      </w:r>
    </w:p>
    <w:p>
      <w:pPr>
        <w:pStyle w:val="5"/>
        <w:spacing w:after="0"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）“投标人”指向招标人提交投标文件的当事人。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）“承包人”指其投标被招标人接受并与总承包单位签订承包合同的分包单位。</w:t>
      </w:r>
    </w:p>
    <w:p>
      <w:pPr>
        <w:pStyle w:val="5"/>
        <w:spacing w:after="0"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14:textFill>
            <w14:solidFill>
              <w14:schemeClr w14:val="tx1"/>
            </w14:solidFill>
          </w14:textFill>
        </w:rPr>
        <w:t>招标文件的澄清与修改</w:t>
      </w:r>
      <w:r>
        <w:rPr>
          <w:rFonts w:hint="eastAsia" w:ascii="宋体" w:hAnsi="宋体"/>
          <w:color w:val="000000" w:themeColor="text1"/>
          <w:sz w:val="24"/>
          <w14:textFill>
            <w14:solidFill>
              <w14:schemeClr w14:val="tx1"/>
            </w14:solidFill>
          </w14:textFill>
        </w:rPr>
        <w:t>文件。</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）“投标文件”指投标人根据本项目招标文件向招标人提交的全部文件。</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、招标说明</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2.1</w:t>
      </w:r>
      <w:r>
        <w:rPr>
          <w:rFonts w:hint="eastAsia" w:ascii="宋体" w:hAnsi="宋体"/>
          <w:bCs/>
          <w:color w:val="000000" w:themeColor="text1"/>
          <w:sz w:val="24"/>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2.2</w:t>
      </w:r>
      <w:r>
        <w:rPr>
          <w:rFonts w:hint="eastAsia" w:ascii="宋体" w:hAnsi="宋体"/>
          <w:bCs/>
          <w:color w:val="000000" w:themeColor="text1"/>
          <w:sz w:val="24"/>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设计说明：详见招标图纸。</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2.4</w:t>
      </w:r>
      <w:r>
        <w:rPr>
          <w:rFonts w:hint="eastAsia" w:ascii="宋体" w:hAnsi="宋体"/>
          <w:bCs/>
          <w:color w:val="000000" w:themeColor="text1"/>
          <w:sz w:val="24"/>
          <w14:textFill>
            <w14:solidFill>
              <w14:schemeClr w14:val="tx1"/>
            </w14:solidFill>
          </w14:textFill>
        </w:rPr>
        <w:t>工程施工特点：详见招标图纸。</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2.5</w:t>
      </w:r>
      <w:r>
        <w:rPr>
          <w:rFonts w:hint="eastAsia" w:ascii="宋体" w:hAnsi="宋体"/>
          <w:bCs/>
          <w:color w:val="000000" w:themeColor="text1"/>
          <w:sz w:val="24"/>
          <w:u w:val="single"/>
          <w14:textFill>
            <w14:solidFill>
              <w14:schemeClr w14:val="tx1"/>
            </w14:solidFill>
          </w14:textFill>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．资金来源</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w:t>
      </w:r>
      <w:r>
        <w:rPr>
          <w:rFonts w:hint="eastAsia" w:ascii="宋体" w:hAnsi="宋体"/>
          <w:bCs/>
          <w:color w:val="000000" w:themeColor="text1"/>
          <w:sz w:val="24"/>
          <w14:textFill>
            <w14:solidFill>
              <w14:schemeClr w14:val="tx1"/>
            </w14:solidFill>
          </w14:textFill>
        </w:rPr>
        <w:t>本招标工程项目资金来源见投标须知前附表第</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项</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r>
        <w:rPr>
          <w:rFonts w:hint="eastAsia" w:ascii="宋体" w:hAnsi="宋体"/>
          <w:b/>
          <w:color w:val="000000" w:themeColor="text1"/>
          <w:sz w:val="24"/>
          <w14:textFill>
            <w14:solidFill>
              <w14:schemeClr w14:val="tx1"/>
            </w14:solidFill>
          </w14:textFill>
        </w:rPr>
        <w:t>．合格投标人的条件</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详见本项目招标公告</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w:t>
      </w:r>
      <w:r>
        <w:rPr>
          <w:rFonts w:hint="eastAsia" w:ascii="宋体" w:hAnsi="宋体"/>
          <w:b/>
          <w:color w:val="000000" w:themeColor="text1"/>
          <w:sz w:val="24"/>
          <w14:textFill>
            <w14:solidFill>
              <w14:schemeClr w14:val="tx1"/>
            </w14:solidFill>
          </w14:textFill>
        </w:rPr>
        <w:t>．踏勘现场</w:t>
      </w:r>
    </w:p>
    <w:p>
      <w:pPr>
        <w:spacing w:line="360" w:lineRule="auto"/>
        <w:ind w:firstLine="480" w:firstLineChars="200"/>
        <w:rPr>
          <w:rFonts w:ascii="宋体" w:hAnsi="宋体"/>
          <w:bCs/>
          <w:color w:val="000000" w:themeColor="text1"/>
          <w:sz w:val="24"/>
          <w:u w:val="single"/>
          <w14:textFill>
            <w14:solidFill>
              <w14:schemeClr w14:val="tx1"/>
            </w14:solidFill>
          </w14:textFill>
        </w:rPr>
      </w:pPr>
      <w:r>
        <w:rPr>
          <w:rFonts w:ascii="宋体" w:hAnsi="宋体"/>
          <w:bCs/>
          <w:color w:val="000000" w:themeColor="text1"/>
          <w:sz w:val="24"/>
          <w14:textFill>
            <w14:solidFill>
              <w14:schemeClr w14:val="tx1"/>
            </w14:solidFill>
          </w14:textFill>
        </w:rPr>
        <w:t>5.1</w:t>
      </w:r>
      <w:r>
        <w:rPr>
          <w:rFonts w:hint="eastAsia" w:ascii="宋体" w:hAnsi="宋体"/>
          <w:color w:val="000000" w:themeColor="text1"/>
          <w:sz w:val="24"/>
          <w:szCs w:val="24"/>
          <w14:textFill>
            <w14:solidFill>
              <w14:schemeClr w14:val="tx1"/>
            </w14:solidFill>
          </w14:textFill>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000000" w:themeColor="text1"/>
          <w:sz w:val="24"/>
          <w:szCs w:val="24"/>
          <w:u w:val="single"/>
          <w14:textFill>
            <w14:solidFill>
              <w14:schemeClr w14:val="tx1"/>
            </w14:solidFill>
          </w14:textFill>
        </w:rPr>
        <w:t>投标人不进行踏勘的，视为已熟知现场条件，自行承担相关风险。</w:t>
      </w:r>
      <w:r>
        <w:rPr>
          <w:rFonts w:hint="eastAsia" w:ascii="宋体" w:hAnsi="宋体"/>
          <w:color w:val="000000" w:themeColor="text1"/>
          <w:sz w:val="24"/>
          <w:szCs w:val="24"/>
          <w14:textFill>
            <w14:solidFill>
              <w14:schemeClr w14:val="tx1"/>
            </w14:solidFill>
          </w14:textFill>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5.2 </w:t>
      </w:r>
      <w:r>
        <w:rPr>
          <w:rFonts w:hint="eastAsia" w:ascii="宋体" w:hAnsi="宋体"/>
          <w:bCs/>
          <w:color w:val="000000" w:themeColor="text1"/>
          <w:sz w:val="24"/>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5.3 </w:t>
      </w:r>
      <w:r>
        <w:rPr>
          <w:rFonts w:hint="eastAsia" w:ascii="宋体" w:hAnsi="宋体"/>
          <w:bCs/>
          <w:color w:val="000000" w:themeColor="text1"/>
          <w:sz w:val="24"/>
          <w14:textFill>
            <w14:solidFill>
              <w14:schemeClr w14:val="tx1"/>
            </w14:solidFill>
          </w14:textFill>
        </w:rPr>
        <w:t>经招标人允许，投标人可为踏勘目的进入招标人的项目现场。</w:t>
      </w:r>
      <w:r>
        <w:rPr>
          <w:rFonts w:hint="eastAsia" w:ascii="宋体" w:hAnsi="宋体"/>
          <w:color w:val="000000" w:themeColor="text1"/>
          <w:sz w:val="24"/>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w:t>
      </w:r>
      <w:r>
        <w:rPr>
          <w:rFonts w:hint="eastAsia" w:ascii="宋体" w:hAnsi="宋体"/>
          <w:b/>
          <w:color w:val="000000" w:themeColor="text1"/>
          <w:sz w:val="24"/>
          <w14:textFill>
            <w14:solidFill>
              <w14:schemeClr w14:val="tx1"/>
            </w14:solidFill>
          </w14:textFill>
        </w:rPr>
        <w:t>．投标费用</w:t>
      </w:r>
    </w:p>
    <w:p>
      <w:pPr>
        <w:tabs>
          <w:tab w:val="left" w:pos="105"/>
        </w:tabs>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不论投标结果如何，投标人应承担</w:t>
      </w:r>
      <w:r>
        <w:rPr>
          <w:rFonts w:hint="eastAsia" w:ascii="宋体" w:hAnsi="宋体"/>
          <w:bCs/>
          <w:color w:val="000000" w:themeColor="text1"/>
          <w:sz w:val="24"/>
          <w14:textFill>
            <w14:solidFill>
              <w14:schemeClr w14:val="tx1"/>
            </w14:solidFill>
          </w14:textFill>
        </w:rPr>
        <w:t>自身</w:t>
      </w:r>
      <w:r>
        <w:rPr>
          <w:rFonts w:hint="eastAsia" w:ascii="宋体" w:hAnsi="宋体"/>
          <w:color w:val="000000" w:themeColor="text1"/>
          <w:sz w:val="24"/>
          <w14:textFill>
            <w14:solidFill>
              <w14:schemeClr w14:val="tx1"/>
            </w14:solidFill>
          </w14:textFill>
        </w:rPr>
        <w:t>因投标文件编制、递交及其他</w:t>
      </w:r>
      <w:r>
        <w:rPr>
          <w:rFonts w:hint="eastAsia" w:ascii="宋体" w:hAnsi="宋体"/>
          <w:bCs/>
          <w:color w:val="000000" w:themeColor="text1"/>
          <w:sz w:val="24"/>
          <w14:textFill>
            <w14:solidFill>
              <w14:schemeClr w14:val="tx1"/>
            </w14:solidFill>
          </w14:textFill>
        </w:rPr>
        <w:t>参加本招标活动</w:t>
      </w:r>
      <w:r>
        <w:rPr>
          <w:rFonts w:hint="eastAsia" w:ascii="宋体" w:hAnsi="宋体"/>
          <w:color w:val="000000" w:themeColor="text1"/>
          <w:sz w:val="24"/>
          <w14:textFill>
            <w14:solidFill>
              <w14:schemeClr w14:val="tx1"/>
            </w14:solidFill>
          </w14:textFill>
        </w:rPr>
        <w:t>所涉及的一切费用，招标人对上述费用不负任何责任。</w:t>
      </w:r>
    </w:p>
    <w:p>
      <w:pPr>
        <w:pStyle w:val="8"/>
        <w:spacing w:before="156" w:after="156" w:line="360" w:lineRule="auto"/>
        <w:rPr>
          <w:color w:val="000000" w:themeColor="text1"/>
          <w14:textFill>
            <w14:solidFill>
              <w14:schemeClr w14:val="tx1"/>
            </w14:solidFill>
          </w14:textFill>
        </w:rPr>
      </w:pPr>
      <w:bookmarkStart w:id="6" w:name="_Toc114572535"/>
      <w:r>
        <w:rPr>
          <w:rFonts w:hint="eastAsia"/>
          <w:color w:val="000000" w:themeColor="text1"/>
          <w14:textFill>
            <w14:solidFill>
              <w14:schemeClr w14:val="tx1"/>
            </w14:solidFill>
          </w14:textFill>
        </w:rPr>
        <w:t>（二）招标文件</w:t>
      </w:r>
      <w:bookmarkEnd w:id="6"/>
    </w:p>
    <w:p>
      <w:pPr>
        <w:tabs>
          <w:tab w:val="left" w:pos="105"/>
        </w:tabs>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w:t>
      </w:r>
      <w:r>
        <w:rPr>
          <w:rFonts w:hint="eastAsia" w:ascii="宋体" w:hAnsi="宋体"/>
          <w:b/>
          <w:color w:val="000000" w:themeColor="text1"/>
          <w:sz w:val="24"/>
          <w14:textFill>
            <w14:solidFill>
              <w14:schemeClr w14:val="tx1"/>
            </w14:solidFill>
          </w14:textFill>
        </w:rPr>
        <w:t>招标文件的组成</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7.1</w:t>
      </w:r>
      <w:r>
        <w:rPr>
          <w:rFonts w:hint="eastAsia" w:ascii="宋体" w:hAnsi="宋体"/>
          <w:color w:val="000000" w:themeColor="text1"/>
          <w:sz w:val="24"/>
          <w14:textFill>
            <w14:solidFill>
              <w14:schemeClr w14:val="tx1"/>
            </w14:solidFill>
          </w14:textFill>
        </w:rPr>
        <w:t>本招标文件包括下列文件，以及所有按本须知第</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条发出的招标答疑会会议纪要和按本须知第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条发出的澄清或修改：</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第一章</w:t>
      </w:r>
      <w:r>
        <w:rPr>
          <w:rFonts w:hint="eastAsia" w:ascii="宋体" w:hAnsi="宋体"/>
          <w:color w:val="000000" w:themeColor="text1"/>
          <w:sz w:val="24"/>
          <w14:textFill>
            <w14:solidFill>
              <w14:schemeClr w14:val="tx1"/>
            </w14:solidFill>
          </w14:textFill>
        </w:rPr>
        <w:t>投标须知</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第二章</w:t>
      </w:r>
      <w:r>
        <w:rPr>
          <w:rFonts w:hint="eastAsia" w:ascii="宋体" w:hAnsi="宋体"/>
          <w:color w:val="000000" w:themeColor="text1"/>
          <w:sz w:val="24"/>
          <w14:textFill>
            <w14:solidFill>
              <w14:schemeClr w14:val="tx1"/>
            </w14:solidFill>
          </w14:textFill>
        </w:rPr>
        <w:t>开标、评标及定标办法</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第三章合同条款</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第四章</w:t>
      </w:r>
      <w:r>
        <w:rPr>
          <w:rFonts w:hint="eastAsia" w:ascii="宋体" w:hAnsi="宋体"/>
          <w:color w:val="000000" w:themeColor="text1"/>
          <w:sz w:val="24"/>
          <w14:textFill>
            <w14:solidFill>
              <w14:schemeClr w14:val="tx1"/>
            </w14:solidFill>
          </w14:textFill>
        </w:rPr>
        <w:t>投标文件格式</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第五章</w:t>
      </w:r>
      <w:r>
        <w:rPr>
          <w:rFonts w:hint="eastAsia" w:ascii="宋体" w:hAnsi="宋体"/>
          <w:color w:val="000000" w:themeColor="text1"/>
          <w:sz w:val="24"/>
          <w14:textFill>
            <w14:solidFill>
              <w14:schemeClr w14:val="tx1"/>
            </w14:solidFill>
          </w14:textFill>
        </w:rPr>
        <w:t>技术条件（工程建设标准）（另册）</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第六章</w:t>
      </w:r>
      <w:r>
        <w:rPr>
          <w:rFonts w:hint="eastAsia" w:ascii="宋体" w:hAnsi="宋体"/>
          <w:color w:val="000000" w:themeColor="text1"/>
          <w:sz w:val="24"/>
          <w14:textFill>
            <w14:solidFill>
              <w14:schemeClr w14:val="tx1"/>
            </w14:solidFill>
          </w14:textFill>
        </w:rPr>
        <w:t>图纸及勘察资料（另册）</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第七章招标</w:t>
      </w:r>
      <w:r>
        <w:rPr>
          <w:rFonts w:hint="eastAsia" w:ascii="宋体" w:hAnsi="宋体"/>
          <w:color w:val="000000" w:themeColor="text1"/>
          <w:sz w:val="24"/>
          <w14:textFill>
            <w14:solidFill>
              <w14:schemeClr w14:val="tx1"/>
            </w14:solidFill>
          </w14:textFill>
        </w:rPr>
        <w:t>工程量清单（另册）</w:t>
      </w:r>
    </w:p>
    <w:p>
      <w:pPr>
        <w:pStyle w:val="5"/>
        <w:spacing w:after="0" w:line="360" w:lineRule="auto"/>
        <w:ind w:left="-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第八章最高投标限价</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投标人一旦中标，招标文件的内容对招标人和中标人双方均有约束力。</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8</w:t>
      </w:r>
      <w:r>
        <w:rPr>
          <w:rFonts w:hint="eastAsia" w:ascii="宋体" w:hAnsi="宋体"/>
          <w:b/>
          <w:bCs/>
          <w:color w:val="000000" w:themeColor="text1"/>
          <w:sz w:val="24"/>
          <w14:textFill>
            <w14:solidFill>
              <w14:schemeClr w14:val="tx1"/>
            </w14:solidFill>
          </w14:textFill>
        </w:rPr>
        <w:t>．招标答疑</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8.1</w:t>
      </w:r>
      <w:r>
        <w:rPr>
          <w:rFonts w:hint="eastAsia" w:ascii="宋体" w:hAnsi="宋体"/>
          <w:color w:val="000000" w:themeColor="text1"/>
          <w:sz w:val="24"/>
          <w:u w:val="single"/>
          <w14:textFill>
            <w14:solidFill>
              <w14:schemeClr w14:val="tx1"/>
            </w14:solidFill>
          </w14:textFill>
        </w:rPr>
        <w:t>招标答疑采用网上答疑方式进行。投标人若对招标文件有疑问的，可在规定的时间内通过广州公共资源交易中心网站凭密码进入提问区域将问题提交给招标人或招标代理人，提交问题时一律不得署名。</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pPr>
        <w:pStyle w:val="5"/>
        <w:spacing w:after="0"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8.2</w:t>
      </w:r>
      <w:r>
        <w:rPr>
          <w:rFonts w:hint="eastAsia" w:ascii="宋体" w:hAnsi="宋体"/>
          <w:color w:val="000000" w:themeColor="text1"/>
          <w:sz w:val="24"/>
          <w:szCs w:val="24"/>
          <w14:textFill>
            <w14:solidFill>
              <w14:schemeClr w14:val="tx1"/>
            </w14:solidFill>
          </w14:textFill>
        </w:rPr>
        <w:t>招标答疑会会议纪要将在提交投标文件截止时间15日前在</w:t>
      </w:r>
      <w:r>
        <w:rPr>
          <w:rFonts w:hint="eastAsia" w:ascii="宋体" w:hAnsi="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交易平台“项目答疑纪要”专区公开发布。答疑纪要一经在</w:t>
      </w:r>
      <w:r>
        <w:rPr>
          <w:rFonts w:hint="eastAsia" w:ascii="宋体" w:hAnsi="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交易平台发布，视作已发放给所有投标人。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w:t>
      </w:r>
      <w:r>
        <w:rPr>
          <w:rFonts w:hint="eastAsia" w:ascii="宋体" w:hAnsi="宋体"/>
          <w:color w:val="000000" w:themeColor="text1"/>
          <w:sz w:val="24"/>
          <w14:textFill>
            <w14:solidFill>
              <w14:schemeClr w14:val="tx1"/>
            </w14:solidFill>
          </w14:textFill>
        </w:rPr>
        <w:t>答疑会会议纪要为招标文件的一部分。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若招标答疑会会议纪要与招标文件有矛盾，以答疑会议纪要最后发出的书面形式的文件为准。</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9.</w:t>
      </w:r>
      <w:r>
        <w:rPr>
          <w:rFonts w:hint="eastAsia" w:ascii="宋体" w:hAnsi="宋体"/>
          <w:b/>
          <w:bCs/>
          <w:color w:val="000000" w:themeColor="text1"/>
          <w:sz w:val="24"/>
          <w14:textFill>
            <w14:solidFill>
              <w14:schemeClr w14:val="tx1"/>
            </w14:solidFill>
          </w14:textFill>
        </w:rPr>
        <w:t>招标文件的澄清与修改</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w:t>
      </w:r>
      <w:r>
        <w:rPr>
          <w:rFonts w:hint="eastAsia" w:ascii="宋体" w:hAnsi="宋体"/>
          <w:color w:val="000000" w:themeColor="text1"/>
          <w:sz w:val="24"/>
          <w14:textFill>
            <w14:solidFill>
              <w14:schemeClr w14:val="tx1"/>
            </w14:solidFill>
          </w14:textFill>
        </w:rPr>
        <w:t>招标文件发出后</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在提交投标文件截止时间15日前，招标人可对招标文件进行必要的澄清或修改。</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9.2招标文件的澄清或修改将在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交易平台“项目答疑纪要”专区公开发布。答疑纪要一经在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交易平台发布，视作已发放给所有投标人，以</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交易平台上网发布时间作为送达时间。</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w:t>
      </w:r>
      <w:r>
        <w:rPr>
          <w:rFonts w:hint="eastAsia" w:ascii="宋体" w:hAnsi="宋体"/>
          <w:color w:val="000000" w:themeColor="text1"/>
          <w:sz w:val="24"/>
          <w14:textFill>
            <w14:solidFill>
              <w14:schemeClr w14:val="tx1"/>
            </w14:solidFill>
          </w14:textFill>
        </w:rPr>
        <w:t>招标文件的修改内容为招标文件的组成部分。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9.4</w:t>
      </w:r>
      <w:r>
        <w:rPr>
          <w:rFonts w:hint="eastAsia" w:ascii="宋体" w:hAnsi="宋体"/>
          <w:color w:val="000000" w:themeColor="text1"/>
          <w:sz w:val="24"/>
          <w14:textFill>
            <w14:solidFill>
              <w14:schemeClr w14:val="tx1"/>
            </w14:solidFill>
          </w14:textFill>
        </w:rPr>
        <w:t>招标文件的澄清或修改均以</w:t>
      </w:r>
      <w:r>
        <w:rPr>
          <w:rFonts w:hint="eastAsia" w:ascii="宋体" w:hAnsi="宋体"/>
          <w:color w:val="000000" w:themeColor="text1"/>
          <w:sz w:val="24"/>
          <w:u w:val="single"/>
          <w14:textFill>
            <w14:solidFill>
              <w14:schemeClr w14:val="tx1"/>
            </w14:solidFill>
          </w14:textFill>
        </w:rPr>
        <w:t>网上答疑公布</w:t>
      </w:r>
      <w:r>
        <w:rPr>
          <w:rFonts w:hint="eastAsia" w:ascii="宋体" w:hAnsi="宋体"/>
          <w:color w:val="000000" w:themeColor="text1"/>
          <w:sz w:val="24"/>
          <w14:textFill>
            <w14:solidFill>
              <w14:schemeClr w14:val="tx1"/>
            </w14:solidFill>
          </w14:textFill>
        </w:rPr>
        <w:t>的内容为准。当招标文件的澄清、修改、补充等在同一内容的表述不一致时，以最后发出的</w:t>
      </w:r>
      <w:r>
        <w:rPr>
          <w:rFonts w:hint="eastAsia" w:ascii="宋体" w:hAnsi="宋体"/>
          <w:color w:val="000000" w:themeColor="text1"/>
          <w:sz w:val="24"/>
          <w:u w:val="single"/>
          <w14:textFill>
            <w14:solidFill>
              <w14:schemeClr w14:val="tx1"/>
            </w14:solidFill>
          </w14:textFill>
        </w:rPr>
        <w:t>文件</w:t>
      </w:r>
      <w:r>
        <w:rPr>
          <w:rFonts w:hint="eastAsia" w:ascii="宋体" w:hAnsi="宋体"/>
          <w:color w:val="000000" w:themeColor="text1"/>
          <w:sz w:val="24"/>
          <w14:textFill>
            <w14:solidFill>
              <w14:schemeClr w14:val="tx1"/>
            </w14:solidFill>
          </w14:textFill>
        </w:rPr>
        <w:t>为准。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9.5</w:t>
      </w:r>
      <w:r>
        <w:rPr>
          <w:rFonts w:hint="eastAsia" w:ascii="宋体" w:hAnsi="宋体"/>
          <w:color w:val="000000" w:themeColor="text1"/>
          <w:sz w:val="24"/>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line="360" w:lineRule="auto"/>
        <w:rPr>
          <w:color w:val="000000" w:themeColor="text1"/>
          <w14:textFill>
            <w14:solidFill>
              <w14:schemeClr w14:val="tx1"/>
            </w14:solidFill>
          </w14:textFill>
        </w:rPr>
      </w:pPr>
      <w:bookmarkStart w:id="7" w:name="_Toc114572536"/>
      <w:r>
        <w:rPr>
          <w:rFonts w:hint="eastAsia"/>
          <w:color w:val="000000" w:themeColor="text1"/>
          <w14:textFill>
            <w14:solidFill>
              <w14:schemeClr w14:val="tx1"/>
            </w14:solidFill>
          </w14:textFill>
        </w:rPr>
        <w:t>（三）投标文件的编制</w:t>
      </w:r>
      <w:bookmarkEnd w:id="7"/>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w:t>
      </w:r>
      <w:r>
        <w:rPr>
          <w:rFonts w:hint="eastAsia" w:ascii="宋体" w:hAnsi="宋体"/>
          <w:b/>
          <w:bCs/>
          <w:color w:val="000000" w:themeColor="text1"/>
          <w:sz w:val="24"/>
          <w14:textFill>
            <w14:solidFill>
              <w14:schemeClr w14:val="tx1"/>
            </w14:solidFill>
          </w14:textFill>
        </w:rPr>
        <w:t>．投标文件的语言及度量衡单位</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10.1 </w:t>
      </w:r>
      <w:r>
        <w:rPr>
          <w:rFonts w:hint="eastAsia" w:ascii="宋体" w:hAnsi="宋体"/>
          <w:color w:val="000000" w:themeColor="text1"/>
          <w:sz w:val="24"/>
          <w14:textFill>
            <w14:solidFill>
              <w14:schemeClr w14:val="tx1"/>
            </w14:solidFill>
          </w14:textFill>
        </w:rPr>
        <w:t>投标文件和与投标有关的所有文件均应使用中文。</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10.2 </w:t>
      </w:r>
      <w:r>
        <w:rPr>
          <w:rFonts w:hint="eastAsia" w:ascii="宋体" w:hAnsi="宋体"/>
          <w:color w:val="000000" w:themeColor="text1"/>
          <w:sz w:val="24"/>
          <w14:textFill>
            <w14:solidFill>
              <w14:schemeClr w14:val="tx1"/>
            </w14:solidFill>
          </w14:textFill>
        </w:rPr>
        <w:t>除工程规范另有规定外，投标文件使用的度量衡单位，均采用中华人民共和国法定计量单位。</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11</w:t>
      </w:r>
      <w:r>
        <w:rPr>
          <w:rFonts w:hint="eastAsia" w:ascii="宋体" w:hAnsi="宋体"/>
          <w:b/>
          <w:bCs/>
          <w:color w:val="000000" w:themeColor="text1"/>
          <w:sz w:val="24"/>
          <w14:textFill>
            <w14:solidFill>
              <w14:schemeClr w14:val="tx1"/>
            </w14:solidFill>
          </w14:textFill>
        </w:rPr>
        <w:t>．投标文件的组成</w:t>
      </w:r>
    </w:p>
    <w:p>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投标文件由</w:t>
      </w:r>
      <w:r>
        <w:rPr>
          <w:rFonts w:hint="eastAsia" w:ascii="宋体" w:hAnsi="宋体"/>
          <w:b/>
          <w:color w:val="000000" w:themeColor="text1"/>
          <w:sz w:val="24"/>
          <w14:textFill>
            <w14:solidFill>
              <w14:schemeClr w14:val="tx1"/>
            </w14:solidFill>
          </w14:textFill>
        </w:rPr>
        <w:t>技术标投标文件</w:t>
      </w:r>
      <w:r>
        <w:rPr>
          <w:rFonts w:hint="eastAsia" w:ascii="宋体" w:hAnsi="宋体"/>
          <w:b/>
          <w:color w:val="000000" w:themeColor="text1"/>
          <w:sz w:val="24"/>
          <w:u w:val="single"/>
          <w14:textFill>
            <w14:solidFill>
              <w14:schemeClr w14:val="tx1"/>
            </w14:solidFill>
          </w14:textFill>
        </w:rPr>
        <w:t>（含资格审查文件）</w:t>
      </w:r>
      <w:r>
        <w:rPr>
          <w:rFonts w:hint="eastAsia" w:ascii="宋体" w:hAnsi="宋体"/>
          <w:b/>
          <w:color w:val="000000" w:themeColor="text1"/>
          <w:sz w:val="24"/>
          <w14:textFill>
            <w14:solidFill>
              <w14:schemeClr w14:val="tx1"/>
            </w14:solidFill>
          </w14:textFill>
        </w:rPr>
        <w:t>和经济标投标文件</w:t>
      </w:r>
      <w:r>
        <w:rPr>
          <w:rFonts w:hint="eastAsia" w:ascii="宋体" w:hAnsi="宋体"/>
          <w:color w:val="000000" w:themeColor="text1"/>
          <w:sz w:val="24"/>
          <w14:textFill>
            <w14:solidFill>
              <w14:schemeClr w14:val="tx1"/>
            </w14:solidFill>
          </w14:textFill>
        </w:rPr>
        <w:t>二部分投标文件组成。</w:t>
      </w:r>
    </w:p>
    <w:p>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11.2</w:t>
      </w:r>
      <w:r>
        <w:rPr>
          <w:rFonts w:hint="eastAsia" w:ascii="宋体" w:hAnsi="宋体"/>
          <w:bCs/>
          <w:color w:val="000000" w:themeColor="text1"/>
          <w:sz w:val="24"/>
          <w14:textFill>
            <w14:solidFill>
              <w14:schemeClr w14:val="tx1"/>
            </w14:solidFill>
          </w14:textFill>
        </w:rPr>
        <w:t xml:space="preserve"> 投标文件技术标部分主要包括下列内容</w:t>
      </w:r>
      <w:r>
        <w:rPr>
          <w:rFonts w:ascii="宋体" w:hAnsi="宋体"/>
          <w:bCs/>
          <w:color w:val="000000" w:themeColor="text1"/>
          <w:sz w:val="24"/>
          <w14:textFill>
            <w14:solidFill>
              <w14:schemeClr w14:val="tx1"/>
            </w14:solidFill>
          </w14:textFill>
        </w:rPr>
        <w:t>:</w:t>
      </w:r>
    </w:p>
    <w:p>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11.2.1</w:t>
      </w:r>
      <w:r>
        <w:rPr>
          <w:rFonts w:hint="eastAsia" w:ascii="宋体" w:hAnsi="宋体"/>
          <w:b/>
          <w:bCs/>
          <w:color w:val="000000" w:themeColor="text1"/>
          <w:sz w:val="24"/>
          <w14:textFill>
            <w14:solidFill>
              <w14:schemeClr w14:val="tx1"/>
            </w14:solidFill>
          </w14:textFill>
        </w:rPr>
        <w:t>技术标投标文件</w:t>
      </w:r>
      <w:r>
        <w:rPr>
          <w:rFonts w:hint="eastAsia" w:ascii="宋体" w:hAnsi="宋体"/>
          <w:color w:val="000000" w:themeColor="text1"/>
          <w:sz w:val="24"/>
          <w:u w:val="single"/>
          <w14:textFill>
            <w14:solidFill>
              <w14:schemeClr w14:val="tx1"/>
            </w14:solidFill>
          </w14:textFill>
        </w:rPr>
        <w:t>按招标文件的要求填写</w:t>
      </w:r>
      <w:r>
        <w:rPr>
          <w:rFonts w:hint="eastAsia" w:ascii="宋体" w:hAnsi="宋体"/>
          <w:bCs/>
          <w:color w:val="000000" w:themeColor="text1"/>
          <w:sz w:val="24"/>
          <w14:textFill>
            <w14:solidFill>
              <w14:schemeClr w14:val="tx1"/>
            </w14:solidFill>
          </w14:textFill>
        </w:rPr>
        <w:t>；</w:t>
      </w:r>
    </w:p>
    <w:p>
      <w:pPr>
        <w:adjustRightInd w:val="0"/>
        <w:spacing w:line="360" w:lineRule="auto"/>
        <w:ind w:firstLine="482" w:firstLineChars="200"/>
        <w:rPr>
          <w:rFonts w:ascii="宋体" w:hAnsi="宋体"/>
          <w:b/>
          <w:color w:val="000000" w:themeColor="text1"/>
          <w:sz w:val="24"/>
          <w:u w:val="single"/>
          <w14:textFill>
            <w14:solidFill>
              <w14:schemeClr w14:val="tx1"/>
            </w14:solidFill>
          </w14:textFill>
        </w:rPr>
      </w:pPr>
      <w:r>
        <w:rPr>
          <w:rFonts w:ascii="宋体" w:hAnsi="宋体"/>
          <w:b/>
          <w:color w:val="000000" w:themeColor="text1"/>
          <w:sz w:val="24"/>
          <w:u w:val="single"/>
          <w14:textFill>
            <w14:solidFill>
              <w14:schemeClr w14:val="tx1"/>
            </w14:solidFill>
          </w14:textFill>
        </w:rPr>
        <w:t>11.2.</w:t>
      </w:r>
      <w:r>
        <w:rPr>
          <w:rFonts w:hint="eastAsia" w:ascii="宋体" w:hAnsi="宋体"/>
          <w:b/>
          <w:color w:val="000000" w:themeColor="text1"/>
          <w:sz w:val="24"/>
          <w:u w:val="single"/>
          <w14:textFill>
            <w14:solidFill>
              <w14:schemeClr w14:val="tx1"/>
            </w14:solidFill>
          </w14:textFill>
        </w:rPr>
        <w:t>2资格审查文件。</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1</w:t>
      </w:r>
      <w:r>
        <w:rPr>
          <w:rFonts w:hint="eastAsia" w:ascii="宋体" w:hAnsi="宋体"/>
          <w:color w:val="000000" w:themeColor="text1"/>
          <w:sz w:val="24"/>
          <w:szCs w:val="24"/>
          <w:u w:val="single"/>
          <w14:textFill>
            <w14:solidFill>
              <w14:schemeClr w14:val="tx1"/>
            </w14:solidFill>
          </w14:textFill>
        </w:rPr>
        <w:t>）投标人声明</w:t>
      </w:r>
      <w:r>
        <w:rPr>
          <w:rFonts w:hint="eastAsia"/>
          <w:color w:val="000000" w:themeColor="text1"/>
          <w:sz w:val="24"/>
          <w:szCs w:val="24"/>
          <w:u w:val="single"/>
          <w14:textFill>
            <w14:solidFill>
              <w14:schemeClr w14:val="tx1"/>
            </w14:solidFill>
          </w14:textFill>
        </w:rPr>
        <w:t>（须按本招标公告附件一格式）；</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）法人代表证明书、法人代表签字或盖章的本投标文件授权委托证明书；</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）企业营业执照</w:t>
      </w:r>
      <w:r>
        <w:rPr>
          <w:rFonts w:hint="eastAsia" w:ascii="宋体" w:hAnsi="宋体"/>
          <w:bCs/>
          <w:color w:val="000000" w:themeColor="text1"/>
          <w:sz w:val="24"/>
          <w:szCs w:val="24"/>
          <w:u w:val="single"/>
          <w14:textFill>
            <w14:solidFill>
              <w14:schemeClr w14:val="tx1"/>
            </w14:solidFill>
          </w14:textFill>
        </w:rPr>
        <w:t>（取自平台内上传件）；</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4</w:t>
      </w:r>
      <w:r>
        <w:rPr>
          <w:rFonts w:hint="eastAsia" w:ascii="宋体" w:hAnsi="宋体"/>
          <w:color w:val="000000" w:themeColor="text1"/>
          <w:sz w:val="24"/>
          <w:szCs w:val="24"/>
          <w:u w:val="single"/>
          <w14:textFill>
            <w14:solidFill>
              <w14:schemeClr w14:val="tx1"/>
            </w14:solidFill>
          </w14:textFill>
        </w:rPr>
        <w:t>）企业资质证书</w:t>
      </w:r>
      <w:r>
        <w:rPr>
          <w:rFonts w:hint="eastAsia" w:ascii="宋体" w:hAnsi="宋体"/>
          <w:bCs/>
          <w:color w:val="000000" w:themeColor="text1"/>
          <w:sz w:val="24"/>
          <w:szCs w:val="24"/>
          <w:u w:val="single"/>
          <w14:textFill>
            <w14:solidFill>
              <w14:schemeClr w14:val="tx1"/>
            </w14:solidFill>
          </w14:textFill>
        </w:rPr>
        <w:t>（取自平台内上传件）；</w:t>
      </w:r>
    </w:p>
    <w:p>
      <w:pPr>
        <w:adjustRightIn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）建筑施工企业安全生产许可证</w:t>
      </w:r>
      <w:r>
        <w:rPr>
          <w:rFonts w:hint="eastAsia" w:ascii="宋体" w:hAnsi="宋体"/>
          <w:bCs/>
          <w:color w:val="000000" w:themeColor="text1"/>
          <w:sz w:val="24"/>
          <w:szCs w:val="24"/>
          <w:u w:val="single"/>
          <w14:textFill>
            <w14:solidFill>
              <w14:schemeClr w14:val="tx1"/>
            </w14:solidFill>
          </w14:textFill>
        </w:rPr>
        <w:t>（取自平台内上传件）；</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（6）项目负责人（按网上投标登记时选择拟投标的项目负责人）；</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（7）专职安全员（按网上投标登记时选择拟投标的专职安全员）；</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r>
        <w:rPr>
          <w:rFonts w:hint="eastAsia" w:ascii="宋体" w:hAnsi="宋体"/>
          <w:bCs/>
          <w:color w:val="000000" w:themeColor="text1"/>
          <w:sz w:val="24"/>
          <w:szCs w:val="24"/>
          <w:u w:val="single"/>
          <w14:textFill>
            <w14:solidFill>
              <w14:schemeClr w14:val="tx1"/>
            </w14:solidFill>
          </w14:textFill>
        </w:rPr>
        <w:t>拟委派技术负责人的职称证书扫描件</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（9）拟委派项目负责人的建造师注册证书（</w:t>
      </w:r>
      <w:r>
        <w:rPr>
          <w:rFonts w:hint="eastAsia" w:ascii="宋体" w:hAnsi="宋体"/>
          <w:bCs/>
          <w:color w:val="000000" w:themeColor="text1"/>
          <w:sz w:val="24"/>
          <w:szCs w:val="24"/>
          <w:u w:val="single"/>
          <w14:textFill>
            <w14:solidFill>
              <w14:schemeClr w14:val="tx1"/>
            </w14:solidFill>
          </w14:textFill>
        </w:rPr>
        <w:t>取自平台内上传件</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（10）项目负责人安全生产考核合格证明或在有效期内的安全生产考核合格证书（B类）或建筑施工企业项目负责人安全生产考核合格证书（取自平台内上传件）；</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（11）专职安全员须具有在有效期内的安全生产考核合格证（C类）或建筑施工企业专职安全生产管理人员安全生产考核合格证书（C3）（取自平台内上传件）；</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）资格审查前，投标人须在广州市住房和城乡建设局建立企业信用档案，拟担任本工程项目负责人、专职安全员须是本企业信用档案中的在册人员；</w:t>
      </w:r>
    </w:p>
    <w:p>
      <w:pPr>
        <w:pStyle w:val="2"/>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u w:val="single"/>
          <w14:textFill>
            <w14:solidFill>
              <w14:schemeClr w14:val="tx1"/>
            </w14:solidFill>
          </w14:textFill>
        </w:rPr>
        <w:t>（</w:t>
      </w:r>
      <w:r>
        <w:rPr>
          <w:rFonts w:asciiTheme="minorEastAsia" w:hAnsiTheme="minorEastAsia" w:eastAsiaTheme="minorEastAsia"/>
          <w:color w:val="000000" w:themeColor="text1"/>
          <w:sz w:val="24"/>
          <w:szCs w:val="24"/>
          <w:u w:val="single"/>
          <w14:textFill>
            <w14:solidFill>
              <w14:schemeClr w14:val="tx1"/>
            </w14:solidFill>
          </w14:textFill>
        </w:rPr>
        <w:t>1</w:t>
      </w:r>
      <w:r>
        <w:rPr>
          <w:rFonts w:asciiTheme="minorEastAsia" w:hAnsiTheme="minorEastAsia" w:eastAsiaTheme="minorEastAsia"/>
          <w:color w:val="000000" w:themeColor="text1"/>
          <w:sz w:val="24"/>
          <w:szCs w:val="24"/>
          <w:u w:val="single"/>
          <w:lang w:val="en-US"/>
          <w14:textFill>
            <w14:solidFill>
              <w14:schemeClr w14:val="tx1"/>
            </w14:solidFill>
          </w14:textFill>
        </w:rPr>
        <w:t>3</w:t>
      </w:r>
      <w:r>
        <w:rPr>
          <w:rFonts w:hint="eastAsia" w:asciiTheme="minorEastAsia" w:hAnsiTheme="minorEastAsia" w:eastAsiaTheme="minorEastAsia"/>
          <w:color w:val="000000" w:themeColor="text1"/>
          <w:sz w:val="24"/>
          <w:szCs w:val="24"/>
          <w:u w:val="single"/>
          <w14:textFill>
            <w14:solidFill>
              <w14:schemeClr w14:val="tx1"/>
            </w14:solidFill>
          </w14:textFill>
        </w:rPr>
        <w:t>）未被纳入失信联合惩戒名单且被限制参加建设工程投标的（</w:t>
      </w:r>
      <w:r>
        <w:rPr>
          <w:rFonts w:hint="eastAsia" w:asciiTheme="minorEastAsia" w:hAnsiTheme="minorEastAsia" w:eastAsiaTheme="minorEastAsia"/>
          <w:b/>
          <w:color w:val="000000" w:themeColor="text1"/>
          <w:sz w:val="24"/>
          <w:szCs w:val="24"/>
          <w:u w:val="single"/>
          <w14:textFill>
            <w14:solidFill>
              <w14:schemeClr w14:val="tx1"/>
            </w14:solidFill>
          </w14:textFill>
        </w:rPr>
        <w:t>投标人无需提供资料，按交易系统比对的结果进行评审</w:t>
      </w:r>
      <w:r>
        <w:rPr>
          <w:rFonts w:hint="eastAsia" w:asciiTheme="minorEastAsia" w:hAnsiTheme="minorEastAsia" w:eastAsiaTheme="minorEastAsia"/>
          <w:color w:val="000000" w:themeColor="text1"/>
          <w:sz w:val="24"/>
          <w:szCs w:val="24"/>
          <w:u w:val="single"/>
          <w14:textFill>
            <w14:solidFill>
              <w14:schemeClr w14:val="tx1"/>
            </w14:solidFill>
          </w14:textFill>
        </w:rPr>
        <w:t>）。</w:t>
      </w:r>
    </w:p>
    <w:p>
      <w:pPr>
        <w:adjustRightIn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注：上述第</w:t>
      </w:r>
      <w:r>
        <w:rPr>
          <w:rFonts w:ascii="宋体" w:hAnsi="宋体"/>
          <w:bCs/>
          <w:color w:val="000000" w:themeColor="text1"/>
          <w:sz w:val="24"/>
          <w:szCs w:val="24"/>
          <w:u w:val="single"/>
          <w14:textFill>
            <w14:solidFill>
              <w14:schemeClr w14:val="tx1"/>
            </w14:solidFill>
          </w14:textFill>
        </w:rPr>
        <w:t>11.2.</w:t>
      </w:r>
      <w:r>
        <w:rPr>
          <w:rFonts w:hint="eastAsia" w:ascii="宋体" w:hAnsi="宋体"/>
          <w:bCs/>
          <w:color w:val="000000" w:themeColor="text1"/>
          <w:sz w:val="24"/>
          <w:szCs w:val="24"/>
          <w:u w:val="single"/>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1</w:t>
      </w:r>
      <w:r>
        <w:rPr>
          <w:rFonts w:hint="eastAsia" w:ascii="宋体" w:hAnsi="宋体"/>
          <w:bCs/>
          <w:color w:val="000000" w:themeColor="text1"/>
          <w:sz w:val="24"/>
          <w:szCs w:val="24"/>
          <w:u w:val="single"/>
          <w14:textFill>
            <w14:solidFill>
              <w14:schemeClr w14:val="tx1"/>
            </w14:solidFill>
          </w14:textFill>
        </w:rPr>
        <w:t>）</w:t>
      </w:r>
      <w:r>
        <w:rPr>
          <w:rFonts w:ascii="宋体" w:hAnsi="宋体"/>
          <w:bCs/>
          <w:color w:val="000000" w:themeColor="text1"/>
          <w:sz w:val="24"/>
          <w:szCs w:val="24"/>
          <w:u w:val="single"/>
          <w14:textFill>
            <w14:solidFill>
              <w14:schemeClr w14:val="tx1"/>
            </w14:solidFill>
          </w14:textFill>
        </w:rPr>
        <w:t>—</w:t>
      </w:r>
      <w:r>
        <w:rPr>
          <w:rFonts w:hint="eastAsia" w:ascii="宋体" w:hAnsi="宋体"/>
          <w:bCs/>
          <w:color w:val="000000" w:themeColor="text1"/>
          <w:sz w:val="24"/>
          <w:szCs w:val="24"/>
          <w:u w:val="single"/>
          <w14:textFill>
            <w14:solidFill>
              <w14:schemeClr w14:val="tx1"/>
            </w14:solidFill>
          </w14:textFill>
        </w:rPr>
        <w:t>（1</w:t>
      </w:r>
      <w:r>
        <w:rPr>
          <w:rFonts w:ascii="宋体" w:hAnsi="宋体"/>
          <w:bCs/>
          <w:color w:val="000000" w:themeColor="text1"/>
          <w:sz w:val="24"/>
          <w:szCs w:val="24"/>
          <w:u w:val="single"/>
          <w14:textFill>
            <w14:solidFill>
              <w14:schemeClr w14:val="tx1"/>
            </w14:solidFill>
          </w14:textFill>
        </w:rPr>
        <w:t>3</w:t>
      </w:r>
      <w:r>
        <w:rPr>
          <w:rFonts w:hint="eastAsia" w:ascii="宋体" w:hAnsi="宋体"/>
          <w:bCs/>
          <w:color w:val="000000" w:themeColor="text1"/>
          <w:sz w:val="24"/>
          <w:szCs w:val="24"/>
          <w:u w:val="single"/>
          <w14:textFill>
            <w14:solidFill>
              <w14:schemeClr w14:val="tx1"/>
            </w14:solidFill>
          </w14:textFill>
        </w:rPr>
        <w:t>）条没有要求提交的资料，不作为资格审查不合格的依据。</w:t>
      </w:r>
    </w:p>
    <w:p>
      <w:pPr>
        <w:adjustRightInd w:val="0"/>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11.2.3 项目管理机构配备。</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（1）投标人应列出该项目工程的施工组织机构构成和画出机构框架图及其负责人；</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（3）其他辅助说明资料。</w:t>
      </w:r>
    </w:p>
    <w:p>
      <w:pPr>
        <w:adjustRightIn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11.2.</w:t>
      </w:r>
      <w:r>
        <w:rPr>
          <w:rFonts w:ascii="宋体" w:hAnsi="宋体"/>
          <w:bCs/>
          <w:color w:val="000000" w:themeColor="text1"/>
          <w:sz w:val="24"/>
          <w:szCs w:val="24"/>
          <w:u w:val="single"/>
          <w14:textFill>
            <w14:solidFill>
              <w14:schemeClr w14:val="tx1"/>
            </w14:solidFill>
          </w14:textFill>
        </w:rPr>
        <w:t xml:space="preserve">4 </w:t>
      </w:r>
      <w:r>
        <w:rPr>
          <w:rFonts w:hint="eastAsia" w:ascii="宋体" w:hAnsi="宋体"/>
          <w:bCs/>
          <w:color w:val="000000" w:themeColor="text1"/>
          <w:sz w:val="24"/>
          <w:szCs w:val="24"/>
          <w:u w:val="single"/>
          <w14:textFill>
            <w14:solidFill>
              <w14:schemeClr w14:val="tx1"/>
            </w14:solidFill>
          </w14:textFill>
        </w:rPr>
        <w:t>施工组织设计。</w:t>
      </w:r>
    </w:p>
    <w:p>
      <w:pPr>
        <w:adjustRightIn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11.2.</w:t>
      </w:r>
      <w:r>
        <w:rPr>
          <w:rFonts w:ascii="宋体" w:hAnsi="宋体"/>
          <w:bCs/>
          <w:color w:val="000000" w:themeColor="text1"/>
          <w:sz w:val="24"/>
          <w:szCs w:val="24"/>
          <w:u w:val="single"/>
          <w14:textFill>
            <w14:solidFill>
              <w14:schemeClr w14:val="tx1"/>
            </w14:solidFill>
          </w14:textFill>
        </w:rPr>
        <w:t>5</w:t>
      </w:r>
      <w:r>
        <w:rPr>
          <w:rFonts w:hint="eastAsia" w:ascii="宋体" w:hAnsi="宋体"/>
          <w:bCs/>
          <w:color w:val="000000" w:themeColor="text1"/>
          <w:sz w:val="24"/>
          <w:szCs w:val="24"/>
          <w:u w:val="single"/>
          <w14:textFill>
            <w14:solidFill>
              <w14:schemeClr w14:val="tx1"/>
            </w14:solidFill>
          </w14:textFill>
        </w:rPr>
        <w:t xml:space="preserve"> 招标文件/合同版本响应承诺书。</w:t>
      </w:r>
    </w:p>
    <w:p>
      <w:pPr>
        <w:adjustRightIn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11.2.</w:t>
      </w:r>
      <w:r>
        <w:rPr>
          <w:rFonts w:ascii="宋体" w:hAnsi="宋体"/>
          <w:bCs/>
          <w:color w:val="000000" w:themeColor="text1"/>
          <w:sz w:val="24"/>
          <w:szCs w:val="24"/>
          <w:u w:val="single"/>
          <w14:textFill>
            <w14:solidFill>
              <w14:schemeClr w14:val="tx1"/>
            </w14:solidFill>
          </w14:textFill>
        </w:rPr>
        <w:t>6</w:t>
      </w:r>
      <w:r>
        <w:rPr>
          <w:rFonts w:hint="eastAsia" w:ascii="宋体" w:hAnsi="宋体"/>
          <w:bCs/>
          <w:color w:val="000000" w:themeColor="text1"/>
          <w:sz w:val="24"/>
          <w:szCs w:val="24"/>
          <w:u w:val="single"/>
          <w14:textFill>
            <w14:solidFill>
              <w14:schemeClr w14:val="tx1"/>
            </w14:solidFill>
          </w14:textFill>
        </w:rPr>
        <w:t xml:space="preserve"> 按照招标文件要求填写的《参与编制技术标投标文件人员名单》。</w:t>
      </w:r>
    </w:p>
    <w:p>
      <w:pPr>
        <w:adjustRightIn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ascii="宋体" w:hAnsi="宋体"/>
          <w:bCs/>
          <w:color w:val="000000" w:themeColor="text1"/>
          <w:sz w:val="24"/>
          <w:szCs w:val="24"/>
          <w:u w:val="single"/>
          <w14:textFill>
            <w14:solidFill>
              <w14:schemeClr w14:val="tx1"/>
            </w14:solidFill>
          </w14:textFill>
        </w:rPr>
        <w:t xml:space="preserve">11.2.7 </w:t>
      </w:r>
      <w:r>
        <w:rPr>
          <w:rFonts w:hint="eastAsia" w:ascii="宋体" w:hAnsi="宋体"/>
          <w:bCs/>
          <w:color w:val="000000" w:themeColor="text1"/>
          <w:sz w:val="24"/>
          <w:szCs w:val="24"/>
          <w:u w:val="single"/>
          <w14:textFill>
            <w14:solidFill>
              <w14:schemeClr w14:val="tx1"/>
            </w14:solidFill>
          </w14:textFill>
        </w:rPr>
        <w:t>其他资料（详见本招标文件第四章要求）。</w:t>
      </w:r>
    </w:p>
    <w:p>
      <w:pPr>
        <w:adjustRightIn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11.2.</w:t>
      </w:r>
      <w:r>
        <w:rPr>
          <w:rFonts w:ascii="宋体" w:hAnsi="宋体"/>
          <w:bCs/>
          <w:color w:val="000000" w:themeColor="text1"/>
          <w:sz w:val="24"/>
          <w:szCs w:val="24"/>
          <w:u w:val="single"/>
          <w14:textFill>
            <w14:solidFill>
              <w14:schemeClr w14:val="tx1"/>
            </w14:solidFill>
          </w14:textFill>
        </w:rPr>
        <w:t>8</w:t>
      </w:r>
      <w:r>
        <w:rPr>
          <w:rFonts w:hint="eastAsia" w:ascii="宋体" w:hAnsi="宋体"/>
          <w:bCs/>
          <w:color w:val="000000" w:themeColor="text1"/>
          <w:sz w:val="24"/>
          <w:szCs w:val="24"/>
          <w:u w:val="single"/>
          <w14:textFill>
            <w14:solidFill>
              <w14:schemeClr w14:val="tx1"/>
            </w14:solidFill>
          </w14:textFill>
        </w:rPr>
        <w:t xml:space="preserve"> 其他投标人认为应该提供的资料。</w:t>
      </w:r>
    </w:p>
    <w:p>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11.3 </w:t>
      </w:r>
      <w:r>
        <w:rPr>
          <w:rFonts w:hint="eastAsia" w:ascii="宋体" w:hAnsi="宋体"/>
          <w:b/>
          <w:bCs/>
          <w:color w:val="000000" w:themeColor="text1"/>
          <w:sz w:val="24"/>
          <w:u w:val="single"/>
          <w14:textFill>
            <w14:solidFill>
              <w14:schemeClr w14:val="tx1"/>
            </w14:solidFill>
          </w14:textFill>
        </w:rPr>
        <w:t>经济部分投标文件</w:t>
      </w:r>
      <w:r>
        <w:rPr>
          <w:rFonts w:hint="eastAsia" w:ascii="宋体" w:hAnsi="宋体"/>
          <w:bCs/>
          <w:color w:val="000000" w:themeColor="text1"/>
          <w:sz w:val="24"/>
          <w14:textFill>
            <w14:solidFill>
              <w14:schemeClr w14:val="tx1"/>
            </w14:solidFill>
          </w14:textFill>
        </w:rPr>
        <w:t>主要包括下列内容:</w:t>
      </w:r>
    </w:p>
    <w:p>
      <w:pPr>
        <w:adjustRightIn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11.3.1 </w:t>
      </w:r>
      <w:r>
        <w:rPr>
          <w:rFonts w:hint="eastAsia" w:ascii="宋体" w:hAnsi="宋体"/>
          <w:color w:val="000000" w:themeColor="text1"/>
          <w:sz w:val="24"/>
          <w:u w:val="single"/>
          <w14:textFill>
            <w14:solidFill>
              <w14:schemeClr w14:val="tx1"/>
            </w14:solidFill>
          </w14:textFill>
        </w:rPr>
        <w:t>经济标投标文件（按招标文件的要求填写）。</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bCs/>
          <w:color w:val="000000" w:themeColor="text1"/>
          <w:sz w:val="24"/>
          <w:szCs w:val="24"/>
          <w:u w:val="single"/>
          <w14:textFill>
            <w14:solidFill>
              <w14:schemeClr w14:val="tx1"/>
            </w14:solidFill>
          </w14:textFill>
        </w:rPr>
        <w:t>（投标报价的工程量清单的组成、格式等由广州公共资源交易中心的投标文件管理软件自动生成）</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11.3.3 按照招标文件要求填写的《参与编制经济标投标文件人员名单》。</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11.3.4 《对投标文件编制的承诺》。</w:t>
      </w:r>
    </w:p>
    <w:p>
      <w:pPr>
        <w:pStyle w:val="5"/>
        <w:spacing w:after="0" w:line="360" w:lineRule="auto"/>
        <w:ind w:firstLine="480" w:firstLineChars="200"/>
        <w:rPr>
          <w:rFonts w:ascii="宋体" w:hAnsi="宋体"/>
          <w:bCs/>
          <w:strike/>
          <w:color w:val="000000" w:themeColor="text1"/>
          <w:sz w:val="24"/>
          <w:szCs w:val="24"/>
          <w:u w:val="single"/>
          <w14:textFill>
            <w14:solidFill>
              <w14:schemeClr w14:val="tx1"/>
            </w14:solidFill>
          </w14:textFill>
        </w:rPr>
      </w:pPr>
      <w:r>
        <w:rPr>
          <w:rFonts w:hint="eastAsia" w:ascii="宋体" w:hAnsi="宋体"/>
          <w:bCs/>
          <w:strike/>
          <w:color w:val="000000" w:themeColor="text1"/>
          <w:sz w:val="24"/>
          <w:szCs w:val="24"/>
          <w14:textFill>
            <w14:solidFill>
              <w14:schemeClr w14:val="tx1"/>
            </w14:solidFill>
          </w14:textFill>
        </w:rPr>
        <w:t>11.3.4 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12</w:t>
      </w:r>
      <w:r>
        <w:rPr>
          <w:rFonts w:hint="eastAsia" w:ascii="宋体" w:hAnsi="宋体"/>
          <w:b/>
          <w:bCs/>
          <w:color w:val="000000" w:themeColor="text1"/>
          <w:sz w:val="24"/>
          <w14:textFill>
            <w14:solidFill>
              <w14:schemeClr w14:val="tx1"/>
            </w14:solidFill>
          </w14:textFill>
        </w:rPr>
        <w:t>．投标文件格式</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投标文件包括本须知第</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 投标文件全部采用电子文档，</w:t>
      </w:r>
      <w:r>
        <w:rPr>
          <w:rFonts w:hint="eastAsia" w:ascii="宋体" w:hAnsi="宋体"/>
          <w:color w:val="000000" w:themeColor="text1"/>
          <w:sz w:val="24"/>
          <w:u w:val="single"/>
          <w14:textFill>
            <w14:solidFill>
              <w14:schemeClr w14:val="tx1"/>
            </w14:solidFill>
          </w14:textFill>
        </w:rPr>
        <w:t>投标文件所附证书证件均为扫描件，</w:t>
      </w:r>
      <w:r>
        <w:rPr>
          <w:rFonts w:hint="eastAsia" w:ascii="宋体" w:hAnsi="宋体"/>
          <w:color w:val="000000" w:themeColor="text1"/>
          <w:sz w:val="24"/>
          <w14:textFill>
            <w14:solidFill>
              <w14:schemeClr w14:val="tx1"/>
            </w14:solidFill>
          </w14:textFill>
        </w:rPr>
        <w:t>并采用单位数字证书，按招标文件要求在相应位置加盖电子印章。投标文件中需个人签字或盖章的，应加盖个人电子印章或在线下完成后扫描上传。按照交易平台关于</w:t>
      </w:r>
      <w:r>
        <w:rPr>
          <w:rFonts w:hint="eastAsia" w:ascii="宋体" w:hAnsi="宋体"/>
          <w:color w:val="000000" w:themeColor="text1"/>
          <w:sz w:val="24"/>
          <w:szCs w:val="24"/>
          <w14:textFill>
            <w14:solidFill>
              <w14:schemeClr w14:val="tx1"/>
            </w14:solidFill>
          </w14:textFill>
        </w:rPr>
        <w:t>全流程电子化项目的相关指南进行操作。详见：</w:t>
      </w:r>
      <w:r>
        <w:rPr>
          <w:rFonts w:hint="eastAsia" w:ascii="宋体" w:hAnsi="宋体"/>
          <w:color w:val="000000" w:themeColor="text1"/>
          <w:sz w:val="24"/>
          <w:u w:val="single"/>
          <w14:textFill>
            <w14:solidFill>
              <w14:schemeClr w14:val="tx1"/>
            </w14:solidFill>
          </w14:textFill>
        </w:rPr>
        <w:t>广州公共资源交易中心网站</w:t>
      </w:r>
      <w:r>
        <w:rPr>
          <w:rFonts w:hint="eastAsia" w:ascii="宋体" w:hAnsi="宋体"/>
          <w:color w:val="000000" w:themeColor="text1"/>
          <w:sz w:val="24"/>
          <w:szCs w:val="24"/>
          <w14:textFill>
            <w14:solidFill>
              <w14:schemeClr w14:val="tx1"/>
            </w14:solidFill>
          </w14:textFill>
        </w:rPr>
        <w:t>。</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12.3 </w:t>
      </w:r>
      <w:r>
        <w:rPr>
          <w:rFonts w:hint="eastAsia" w:ascii="宋体" w:hAnsi="宋体"/>
          <w:bCs/>
          <w:color w:val="000000" w:themeColor="text1"/>
          <w:sz w:val="24"/>
          <w:szCs w:val="24"/>
          <w14:textFill>
            <w14:solidFill>
              <w14:schemeClr w14:val="tx1"/>
            </w14:solidFill>
          </w14:textFill>
        </w:rPr>
        <w:t>投标文件应按</w:t>
      </w:r>
      <w:r>
        <w:rPr>
          <w:rFonts w:hint="eastAsia" w:ascii="宋体" w:hAnsi="宋体"/>
          <w:color w:val="000000" w:themeColor="text1"/>
          <w:sz w:val="24"/>
          <w14:textFill>
            <w14:solidFill>
              <w14:schemeClr w14:val="tx1"/>
            </w14:solidFill>
          </w14:textFill>
        </w:rPr>
        <w:t>照交易平台关于全流程电子化项目的相关指南进行编制，详见：</w:t>
      </w:r>
      <w:r>
        <w:rPr>
          <w:rFonts w:hint="eastAsia" w:ascii="宋体" w:hAnsi="宋体"/>
          <w:color w:val="000000" w:themeColor="text1"/>
          <w:sz w:val="24"/>
          <w:u w:val="single"/>
          <w14:textFill>
            <w14:solidFill>
              <w14:schemeClr w14:val="tx1"/>
            </w14:solidFill>
          </w14:textFill>
        </w:rPr>
        <w:t>广州公共资源交易中心网站</w:t>
      </w:r>
      <w:r>
        <w:rPr>
          <w:rFonts w:hint="eastAsia" w:ascii="宋体" w:hAnsi="宋体"/>
          <w:color w:val="000000" w:themeColor="text1"/>
          <w:sz w:val="24"/>
          <w14:textFill>
            <w14:solidFill>
              <w14:schemeClr w14:val="tx1"/>
            </w14:solidFill>
          </w14:textFill>
        </w:rPr>
        <w:t>。</w:t>
      </w:r>
    </w:p>
    <w:p>
      <w:pPr>
        <w:pStyle w:val="5"/>
        <w:spacing w:after="0" w:line="360" w:lineRule="auto"/>
        <w:ind w:firstLine="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如不按上述要求编制引起系统无法检索、读取相关信息的，其后果由投标人承担。</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13</w:t>
      </w:r>
      <w:r>
        <w:rPr>
          <w:rFonts w:hint="eastAsia" w:ascii="宋体" w:hAnsi="宋体"/>
          <w:b/>
          <w:bCs/>
          <w:color w:val="000000" w:themeColor="text1"/>
          <w:sz w:val="24"/>
          <w14:textFill>
            <w14:solidFill>
              <w14:schemeClr w14:val="tx1"/>
            </w14:solidFill>
          </w14:textFill>
        </w:rPr>
        <w:t>．投标报价及造价承包和变更结算方式</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r>
        <w:rPr>
          <w:rFonts w:hint="eastAsia" w:ascii="宋体" w:hAnsi="宋体"/>
          <w:color w:val="000000" w:themeColor="text1"/>
          <w:sz w:val="24"/>
          <w14:textFill>
            <w14:solidFill>
              <w14:schemeClr w14:val="tx1"/>
            </w14:solidFill>
          </w14:textFill>
        </w:rPr>
        <w:t>本工程的投标报价采用投标须知前附表第12项所规定的方式。</w:t>
      </w:r>
      <w:r>
        <w:rPr>
          <w:rFonts w:hint="eastAsia" w:ascii="宋体" w:hAnsi="宋体"/>
          <w:color w:val="000000" w:themeColor="text1"/>
          <w:sz w:val="24"/>
          <w:u w:val="single"/>
          <w14:textFill>
            <w14:solidFill>
              <w14:schemeClr w14:val="tx1"/>
            </w14:solidFill>
          </w14:textFill>
        </w:rPr>
        <w:t>投标文件中的大写金额和小写金额不一致的，以大写金额为准。投标报价精确到“分”。</w:t>
      </w:r>
    </w:p>
    <w:p>
      <w:pPr>
        <w:pStyle w:val="5"/>
        <w:spacing w:after="0" w:line="360" w:lineRule="auto"/>
        <w:ind w:firstLine="480" w:firstLineChars="200"/>
        <w:rPr>
          <w:rFonts w:ascii="宋体" w:hAnsi="宋体" w:cs="宋体"/>
          <w:color w:val="000000" w:themeColor="text1"/>
          <w:kern w:val="2"/>
          <w:sz w:val="24"/>
          <w:szCs w:val="24"/>
          <w:lang w:val="en-US"/>
          <w14:textFill>
            <w14:solidFill>
              <w14:schemeClr w14:val="tx1"/>
            </w14:solidFill>
          </w14:textFill>
        </w:rPr>
      </w:pPr>
      <w:r>
        <w:rPr>
          <w:rFonts w:hint="eastAsia" w:ascii="宋体" w:hAnsi="宋体" w:cs="宋体"/>
          <w:color w:val="000000" w:themeColor="text1"/>
          <w:kern w:val="2"/>
          <w:sz w:val="24"/>
          <w:szCs w:val="24"/>
          <w:lang w:val="en-US"/>
          <w14:textFill>
            <w14:solidFill>
              <w14:schemeClr w14:val="tx1"/>
            </w14:solidFill>
          </w14:textFill>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adjustRightIn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adjustRightIn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13.4投标人一旦中标，</w:t>
      </w:r>
      <w:r>
        <w:rPr>
          <w:rFonts w:hint="eastAsia" w:ascii="宋体" w:hAnsi="宋体" w:cs="宋体"/>
          <w:color w:val="000000" w:themeColor="text1"/>
          <w:sz w:val="24"/>
          <w:szCs w:val="24"/>
          <w:u w:val="single"/>
          <w14:textFill>
            <w14:solidFill>
              <w14:schemeClr w14:val="tx1"/>
            </w14:solidFill>
          </w14:textFill>
        </w:rPr>
        <w:t>因计算的实际工程量与招标清单工程量出现偏差或因工程变更等原因导致的工程量偏差时，措施项目费按合同相关条款执行。</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color w:val="000000" w:themeColor="text1"/>
          <w:sz w:val="24"/>
          <w:szCs w:val="24"/>
          <w:u w:val="single"/>
          <w14:textFill>
            <w14:solidFill>
              <w14:schemeClr w14:val="tx1"/>
            </w14:solidFill>
          </w14:textFill>
        </w:rPr>
        <w:t>工程项目实施期间和结算时，设计变更产生的工程项目，按合同变更估价原则确定价格。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w:t>
      </w:r>
      <w:r>
        <w:rPr>
          <w:rFonts w:hint="eastAsia" w:ascii="宋体" w:hAnsi="宋体"/>
          <w:color w:val="000000" w:themeColor="text1"/>
          <w:sz w:val="24"/>
          <w14:textFill>
            <w14:solidFill>
              <w14:schemeClr w14:val="tx1"/>
            </w14:solidFill>
          </w14:textFill>
        </w:rPr>
        <w:t>暂列金额、暂估价</w:t>
      </w:r>
      <w:r>
        <w:rPr>
          <w:rFonts w:hint="eastAsia" w:ascii="宋体" w:hAnsi="宋体"/>
          <w:color w:val="000000" w:themeColor="text1"/>
          <w:sz w:val="24"/>
          <w:u w:val="single"/>
          <w14:textFill>
            <w14:solidFill>
              <w14:schemeClr w14:val="tx1"/>
            </w14:solidFill>
          </w14:textFill>
        </w:rPr>
        <w:t>（合同另有约定的按合同约定执行）</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13.6.1</w:t>
      </w:r>
      <w:r>
        <w:rPr>
          <w:rFonts w:hint="eastAsia" w:ascii="宋体" w:hAnsi="宋体"/>
          <w:color w:val="000000" w:themeColor="text1"/>
          <w:sz w:val="24"/>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暂估价是指招标人在工程量清单中提供的用于支付必然发生但暂时不能确定价格的材料的单价以及专业工程的金额。</w:t>
      </w:r>
    </w:p>
    <w:p>
      <w:pPr>
        <w:pStyle w:val="5"/>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bookmarkStart w:id="8" w:name="_Hlk56095983"/>
      <w:r>
        <w:rPr>
          <w:rFonts w:ascii="宋体" w:hAnsi="宋体"/>
          <w:color w:val="000000" w:themeColor="text1"/>
          <w:sz w:val="24"/>
          <w14:textFill>
            <w14:solidFill>
              <w14:schemeClr w14:val="tx1"/>
            </w14:solidFill>
          </w14:textFill>
        </w:rPr>
        <w:t>13.6.3</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13.6.4</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款规定确定。</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13.6.5</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bookmarkEnd w:id="8"/>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13.6.6 </w:t>
      </w:r>
      <w:r>
        <w:rPr>
          <w:rFonts w:hint="eastAsia" w:ascii="宋体" w:hAnsi="宋体"/>
          <w:color w:val="000000" w:themeColor="text1"/>
          <w:sz w:val="24"/>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甲方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13.7</w:t>
      </w:r>
      <w:r>
        <w:rPr>
          <w:rFonts w:hint="eastAsia" w:ascii="宋体" w:hAnsi="宋体"/>
          <w:color w:val="000000" w:themeColor="text1"/>
          <w:sz w:val="24"/>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13.8</w:t>
      </w:r>
      <w:r>
        <w:rPr>
          <w:rFonts w:hint="eastAsia" w:ascii="宋体" w:hAnsi="宋体"/>
          <w:color w:val="000000" w:themeColor="text1"/>
          <w:sz w:val="24"/>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个同等档次品牌或分包商供投标人报价时选择</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13.9</w:t>
      </w:r>
      <w:r>
        <w:rPr>
          <w:rFonts w:hint="eastAsia" w:ascii="宋体" w:hAnsi="宋体"/>
          <w:color w:val="000000" w:themeColor="text1"/>
          <w:sz w:val="24"/>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14</w:t>
      </w:r>
      <w:r>
        <w:rPr>
          <w:rFonts w:hint="eastAsia" w:ascii="宋体" w:hAnsi="宋体"/>
          <w:b/>
          <w:bCs/>
          <w:color w:val="000000" w:themeColor="text1"/>
          <w:sz w:val="24"/>
          <w14:textFill>
            <w14:solidFill>
              <w14:schemeClr w14:val="tx1"/>
            </w14:solidFill>
          </w14:textFill>
        </w:rPr>
        <w:t>．投标货币</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14.1 </w:t>
      </w:r>
      <w:r>
        <w:rPr>
          <w:rFonts w:hint="eastAsia" w:ascii="宋体" w:hAnsi="宋体"/>
          <w:color w:val="000000" w:themeColor="text1"/>
          <w:sz w:val="24"/>
          <w14:textFill>
            <w14:solidFill>
              <w14:schemeClr w14:val="tx1"/>
            </w14:solidFill>
          </w14:textFill>
        </w:rPr>
        <w:t>本工程投标报价采用的币种为人民币。</w:t>
      </w:r>
    </w:p>
    <w:p>
      <w:pPr>
        <w:pStyle w:val="5"/>
        <w:spacing w:after="0" w:line="360" w:lineRule="auto"/>
        <w:ind w:firstLine="482" w:firstLineChars="200"/>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15</w:t>
      </w:r>
      <w:r>
        <w:rPr>
          <w:rFonts w:hint="eastAsia" w:ascii="宋体" w:hAnsi="宋体"/>
          <w:b/>
          <w:bCs/>
          <w:color w:val="000000" w:themeColor="text1"/>
          <w:sz w:val="24"/>
          <w14:textFill>
            <w14:solidFill>
              <w14:schemeClr w14:val="tx1"/>
            </w14:solidFill>
          </w14:textFill>
        </w:rPr>
        <w:t>．投标有效期</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15.1 </w:t>
      </w:r>
      <w:r>
        <w:rPr>
          <w:rFonts w:hint="eastAsia" w:ascii="宋体" w:hAnsi="宋体"/>
          <w:color w:val="000000" w:themeColor="text1"/>
          <w:sz w:val="24"/>
          <w14:textFill>
            <w14:solidFill>
              <w14:schemeClr w14:val="tx1"/>
            </w14:solidFill>
          </w14:textFill>
        </w:rPr>
        <w:t>投标有效期见投标须知前附表第</w:t>
      </w: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项所规定的期限，在此期限内，凡符合本招标文件要求的投标文件均保持有效。</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15.2 </w:t>
      </w:r>
      <w:r>
        <w:rPr>
          <w:rFonts w:hint="eastAsia" w:ascii="宋体" w:hAnsi="宋体"/>
          <w:color w:val="000000" w:themeColor="text1"/>
          <w:sz w:val="24"/>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条关于投标保证金的退还与不予退还的规定仍然适用。</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16</w:t>
      </w:r>
      <w:r>
        <w:rPr>
          <w:rFonts w:hint="eastAsia" w:ascii="宋体" w:hAnsi="宋体"/>
          <w:b/>
          <w:bCs/>
          <w:color w:val="000000" w:themeColor="text1"/>
          <w:sz w:val="24"/>
          <w14:textFill>
            <w14:solidFill>
              <w14:schemeClr w14:val="tx1"/>
            </w14:solidFill>
          </w14:textFill>
        </w:rPr>
        <w:t>．投标保证金</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lang w:val="en-US"/>
          <w14:textFill>
            <w14:solidFill>
              <w14:schemeClr w14:val="tx1"/>
            </w14:solidFill>
          </w14:textFill>
        </w:rPr>
        <w:t>16.1投标人应按投标须知前附表第14项所述金额和时间递交投标保证金。</w:t>
      </w:r>
      <w:r>
        <w:rPr>
          <w:rFonts w:hint="eastAsia" w:ascii="宋体" w:hAnsi="宋体"/>
          <w:color w:val="000000" w:themeColor="text1"/>
          <w:kern w:val="2"/>
          <w:sz w:val="24"/>
          <w:szCs w:val="22"/>
          <w:u w:val="single"/>
          <w:lang w:val="en-US"/>
          <w14:textFill>
            <w14:solidFill>
              <w14:schemeClr w14:val="tx1"/>
            </w14:solidFill>
          </w14:textFill>
        </w:rPr>
        <w:t>招标人应当允许投标人自主选择现金、银行保函、保证保险、专业工程担保公司担保等方式缴纳投标保证金。</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16.1.1 采用现金或者支票形式提交的，投标保证金须从投标人的银行基本账户转出。</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5"/>
        <w:spacing w:after="0" w:line="360" w:lineRule="auto"/>
        <w:ind w:firstLine="480" w:firstLineChars="200"/>
        <w:rPr>
          <w:rFonts w:ascii="宋体" w:hAnsi="宋体"/>
          <w:color w:val="000000" w:themeColor="text1"/>
          <w:kern w:val="2"/>
          <w:sz w:val="24"/>
          <w:szCs w:val="22"/>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16.1.3 采用电子形式的保函、担保或保证保险提交投标保证金的，具体操作要求详见广州公共资源交易中心有关指引，递交事宜请自行咨询交易中心。</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16.2开标时投标人没有按要求提供投标保证金的，其投标文件将被否决。</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16.3投标保证金应依据法律法规的相关规定退还。</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16.4如有下列情况之一的，招标人不予退还投标保证金：</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16.4.1因投标人原因造成投标文件未解密的；</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16.4.2投标人在投标有效期内撤销投标文件；</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16.4.3中标人未能在规定期限内按要求提交履约担保；</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16.4.4中标人未能在规定期限内签署合同协议。</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16.5投标人如存在下列情况之一的，将被拒绝1年内参与招标人后续工程投标：</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16.5.1投标人存在16.4条款所列情形且投标人提交的保函、担保或保证保险无法兑付的；</w:t>
      </w:r>
    </w:p>
    <w:p>
      <w:pPr>
        <w:pStyle w:val="5"/>
        <w:spacing w:after="0" w:line="360" w:lineRule="auto"/>
        <w:ind w:firstLine="480" w:firstLineChars="200"/>
        <w:rPr>
          <w:rFonts w:ascii="宋体" w:hAnsi="宋体"/>
          <w:color w:val="000000" w:themeColor="text1"/>
          <w:kern w:val="2"/>
          <w:sz w:val="24"/>
          <w:szCs w:val="22"/>
          <w:u w:val="single"/>
          <w:lang w:val="en-US"/>
          <w14:textFill>
            <w14:solidFill>
              <w14:schemeClr w14:val="tx1"/>
            </w14:solidFill>
          </w14:textFill>
        </w:rPr>
      </w:pPr>
      <w:r>
        <w:rPr>
          <w:rFonts w:hint="eastAsia" w:ascii="宋体" w:hAnsi="宋体"/>
          <w:color w:val="000000" w:themeColor="text1"/>
          <w:kern w:val="2"/>
          <w:sz w:val="24"/>
          <w:szCs w:val="22"/>
          <w:u w:val="single"/>
          <w:lang w:val="en-US"/>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17</w:t>
      </w:r>
      <w:r>
        <w:rPr>
          <w:rFonts w:hint="eastAsia" w:ascii="宋体" w:hAnsi="宋体"/>
          <w:b/>
          <w:bCs/>
          <w:color w:val="000000" w:themeColor="text1"/>
          <w:sz w:val="24"/>
          <w14:textFill>
            <w14:solidFill>
              <w14:schemeClr w14:val="tx1"/>
            </w14:solidFill>
          </w14:textFill>
        </w:rPr>
        <w:t>．投标文件的签署</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szCs w:val="24"/>
          <w14:textFill>
            <w14:solidFill>
              <w14:schemeClr w14:val="tx1"/>
            </w14:solidFill>
          </w14:textFill>
        </w:rPr>
        <w:t>投标人应采用单位数字证书，按招标文件要求在相应位置加盖电子印章。投标文件中需个人签字或盖章的，应加盖个人电子印章或在线下完成后扫描上传。</w:t>
      </w:r>
      <w:r>
        <w:rPr>
          <w:rFonts w:hint="eastAsia" w:ascii="宋体" w:hAnsi="宋体"/>
          <w:color w:val="000000" w:themeColor="text1"/>
          <w:sz w:val="24"/>
          <w:szCs w:val="24"/>
          <w:u w:val="single"/>
          <w14:textFill>
            <w14:solidFill>
              <w14:schemeClr w14:val="tx1"/>
            </w14:solidFill>
          </w14:textFill>
        </w:rPr>
        <w:t>由广州投标文件管理软件系统生成的“工程量清单主表--工程量清单报价表”封面页和扉页可以仅采用单位数字证书加盖电子印章处理。</w:t>
      </w:r>
      <w:r>
        <w:rPr>
          <w:rFonts w:hint="eastAsia" w:ascii="宋体" w:hAnsi="宋体"/>
          <w:color w:val="000000" w:themeColor="text1"/>
          <w:sz w:val="24"/>
          <w:szCs w:val="24"/>
          <w14:textFill>
            <w14:solidFill>
              <w14:schemeClr w14:val="tx1"/>
            </w14:solidFill>
          </w14:textFill>
        </w:rPr>
        <w:t>按照交易平台关于全流程电子化项目的相关指南进行操作。详见：</w:t>
      </w:r>
      <w:r>
        <w:rPr>
          <w:rFonts w:hint="eastAsia" w:ascii="宋体" w:hAnsi="宋体"/>
          <w:color w:val="000000" w:themeColor="text1"/>
          <w:sz w:val="24"/>
          <w:szCs w:val="24"/>
          <w:u w:val="single"/>
          <w14:textFill>
            <w14:solidFill>
              <w14:schemeClr w14:val="tx1"/>
            </w14:solidFill>
          </w14:textFill>
        </w:rPr>
        <w:t>广州公共资源交易中心网站。</w:t>
      </w:r>
    </w:p>
    <w:p>
      <w:pPr>
        <w:pStyle w:val="8"/>
        <w:spacing w:before="156" w:after="156" w:line="360" w:lineRule="auto"/>
        <w:rPr>
          <w:color w:val="000000" w:themeColor="text1"/>
          <w14:textFill>
            <w14:solidFill>
              <w14:schemeClr w14:val="tx1"/>
            </w14:solidFill>
          </w14:textFill>
        </w:rPr>
      </w:pPr>
      <w:bookmarkStart w:id="9" w:name="_Toc114572537"/>
      <w:r>
        <w:rPr>
          <w:rFonts w:hint="eastAsia"/>
          <w:color w:val="000000" w:themeColor="text1"/>
          <w14:textFill>
            <w14:solidFill>
              <w14:schemeClr w14:val="tx1"/>
            </w14:solidFill>
          </w14:textFill>
        </w:rPr>
        <w:t>（四）投标文件的提交</w:t>
      </w:r>
      <w:bookmarkEnd w:id="9"/>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18</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投标文件的密封和标记</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.1</w:t>
      </w:r>
      <w:r>
        <w:rPr>
          <w:rFonts w:hint="eastAsia" w:ascii="宋体" w:hAnsi="宋体"/>
          <w:color w:val="000000" w:themeColor="text1"/>
          <w:sz w:val="24"/>
          <w:szCs w:val="32"/>
          <w14:textFill>
            <w14:solidFill>
              <w14:schemeClr w14:val="tx1"/>
            </w14:solidFill>
          </w14:textFill>
        </w:rPr>
        <w:t>递交的电子投标文件（不含备用光盘）必须进行加密。按照交易平台关于全流程电子化项目的相关指南进行操作。详见：</w:t>
      </w:r>
      <w:r>
        <w:rPr>
          <w:rFonts w:hint="eastAsia" w:ascii="宋体" w:hAnsi="宋体"/>
          <w:color w:val="000000" w:themeColor="text1"/>
          <w:sz w:val="24"/>
          <w:szCs w:val="32"/>
          <w:u w:val="single"/>
          <w14:textFill>
            <w14:solidFill>
              <w14:schemeClr w14:val="tx1"/>
            </w14:solidFill>
          </w14:textFill>
        </w:rPr>
        <w:t>广州公共资源交易中心网站</w:t>
      </w:r>
      <w:r>
        <w:rPr>
          <w:rFonts w:hint="eastAsia" w:ascii="宋体" w:hAnsi="宋体"/>
          <w:color w:val="000000" w:themeColor="text1"/>
          <w:sz w:val="24"/>
          <w:szCs w:val="32"/>
          <w14:textFill>
            <w14:solidFill>
              <w14:schemeClr w14:val="tx1"/>
            </w14:solidFill>
          </w14:textFill>
        </w:rPr>
        <w:t>。</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8.2</w:t>
      </w:r>
      <w:r>
        <w:rPr>
          <w:rFonts w:hint="eastAsia" w:ascii="宋体" w:hAnsi="宋体"/>
          <w:bCs/>
          <w:color w:val="000000" w:themeColor="text1"/>
          <w:sz w:val="24"/>
          <w14:textFill>
            <w14:solidFill>
              <w14:schemeClr w14:val="tx1"/>
            </w14:solidFill>
          </w14:textFill>
        </w:rPr>
        <w:t>未按要求加密的投标文件，</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交易平台将予以拒收。</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19</w:t>
      </w:r>
      <w:r>
        <w:rPr>
          <w:rFonts w:hint="eastAsia" w:ascii="宋体" w:hAnsi="宋体"/>
          <w:b/>
          <w:bCs/>
          <w:color w:val="000000" w:themeColor="text1"/>
          <w:sz w:val="24"/>
          <w14:textFill>
            <w14:solidFill>
              <w14:schemeClr w14:val="tx1"/>
            </w14:solidFill>
          </w14:textFill>
        </w:rPr>
        <w:t>．投标文件的递交和接收</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19.1投标人通过</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交易平台递交电子投标文件。</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19.2投标人完成电子投标文件上传后，</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交易平台即时向投标人发出递交回执通知。递交时间以递交回执通知载明的传输完成时间为准。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19.3逾期送达的电子投标文件，</w:t>
      </w:r>
      <w:r>
        <w:rPr>
          <w:rFonts w:hint="eastAsia" w:ascii="宋体" w:hAnsi="宋体"/>
          <w:bCs/>
          <w:color w:val="000000" w:themeColor="text1"/>
          <w:sz w:val="24"/>
          <w:u w:val="single"/>
          <w14:textFill>
            <w14:solidFill>
              <w14:schemeClr w14:val="tx1"/>
            </w14:solidFill>
          </w14:textFill>
        </w:rPr>
        <w:t>广州公共资源交易中心</w:t>
      </w:r>
      <w:r>
        <w:rPr>
          <w:rFonts w:hint="eastAsia" w:ascii="宋体" w:hAnsi="宋体"/>
          <w:bCs/>
          <w:color w:val="000000" w:themeColor="text1"/>
          <w:sz w:val="24"/>
          <w14:textFill>
            <w14:solidFill>
              <w14:schemeClr w14:val="tx1"/>
            </w14:solidFill>
          </w14:textFill>
        </w:rPr>
        <w:t>交易平台将予以拒收。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投标截止前，招标人拒绝接收符合条件的投标文件，投标人可向招标投标监督机构投诉。</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u w:val="single"/>
          <w14:textFill>
            <w14:solidFill>
              <w14:schemeClr w14:val="tx1"/>
            </w14:solidFill>
          </w14:textFill>
        </w:rPr>
        <w:t>技术标和经济标同时开启，广州公共资源交易中心交易平台将按招标文件规定的时间同时开启技术标和经济标。</w:t>
      </w:r>
    </w:p>
    <w:p>
      <w:pPr>
        <w:spacing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20</w:t>
      </w:r>
      <w:r>
        <w:rPr>
          <w:rFonts w:hint="eastAsia" w:ascii="宋体" w:hAnsi="宋体"/>
          <w:b/>
          <w:bCs/>
          <w:color w:val="000000" w:themeColor="text1"/>
          <w:sz w:val="24"/>
          <w14:textFill>
            <w14:solidFill>
              <w14:schemeClr w14:val="tx1"/>
            </w14:solidFill>
          </w14:textFill>
        </w:rPr>
        <w:t>．投标文件提交的截止时间</w:t>
      </w:r>
    </w:p>
    <w:p>
      <w:pPr>
        <w:spacing w:line="360" w:lineRule="auto"/>
        <w:ind w:firstLine="480" w:firstLineChars="200"/>
        <w:rPr>
          <w:rFonts w:ascii="宋体" w:hAns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20.1</w:t>
      </w:r>
      <w:r>
        <w:rPr>
          <w:rFonts w:hint="eastAsia" w:ascii="宋体" w:hAnsi="宋体"/>
          <w:color w:val="000000" w:themeColor="text1"/>
          <w:sz w:val="24"/>
          <w14:textFill>
            <w14:solidFill>
              <w14:schemeClr w14:val="tx1"/>
            </w14:solidFill>
          </w14:textFill>
        </w:rPr>
        <w:t>投标人应在投标须知前附表第17项所述的时间前提交投标文件。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14:textFill>
            <w14:solidFill>
              <w14:schemeClr w14:val="tx1"/>
            </w14:solidFill>
          </w14:textFill>
        </w:rPr>
        <w:t>招标人可按本须知第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 </w:t>
      </w:r>
      <w:r>
        <w:rPr>
          <w:rFonts w:hint="eastAsia" w:ascii="宋体" w:hAnsi="宋体"/>
          <w:color w:val="000000" w:themeColor="text1"/>
          <w:sz w:val="24"/>
          <w14:textFill>
            <w14:solidFill>
              <w14:schemeClr w14:val="tx1"/>
            </w14:solidFill>
          </w14:textFill>
        </w:rPr>
        <w:t>到投标截止时间止，招标人收到的投标文件少于3家的，招标人将重新组织招标（当</w:t>
      </w:r>
      <w:r>
        <w:rPr>
          <w:rFonts w:ascii="宋体" w:hAnsi="宋体"/>
          <w:color w:val="000000" w:themeColor="text1"/>
          <w:sz w:val="24"/>
          <w14:textFill>
            <w14:solidFill>
              <w14:schemeClr w14:val="tx1"/>
            </w14:solidFill>
          </w14:textFill>
        </w:rPr>
        <w:t>N</w:t>
      </w:r>
      <w:r>
        <w:rPr>
          <w:rFonts w:hint="eastAsia" w:ascii="宋体" w:hAnsi="宋体"/>
          <w:color w:val="000000" w:themeColor="text1"/>
          <w:sz w:val="24"/>
          <w14:textFill>
            <w14:solidFill>
              <w14:schemeClr w14:val="tx1"/>
            </w14:solidFill>
          </w14:textFill>
        </w:rPr>
        <w:t>个标段同时招标且不允许兼中时，若有效投标单位不足</w:t>
      </w:r>
      <w:r>
        <w:rPr>
          <w:rFonts w:ascii="宋体" w:hAnsi="宋体"/>
          <w:color w:val="000000" w:themeColor="text1"/>
          <w:sz w:val="24"/>
          <w14:textFill>
            <w14:solidFill>
              <w14:schemeClr w14:val="tx1"/>
            </w14:solidFill>
          </w14:textFill>
        </w:rPr>
        <w:t>N+</w:t>
      </w:r>
      <w:r>
        <w:rPr>
          <w:rFonts w:hint="eastAsia" w:ascii="宋体" w:hAnsi="宋体"/>
          <w:color w:val="000000" w:themeColor="text1"/>
          <w:sz w:val="24"/>
          <w14:textFill>
            <w14:solidFill>
              <w14:schemeClr w14:val="tx1"/>
            </w14:solidFill>
          </w14:textFill>
        </w:rPr>
        <w:t>4家，则重新组织招标）。</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21</w:t>
      </w:r>
      <w:r>
        <w:rPr>
          <w:rFonts w:hint="eastAsia" w:ascii="宋体" w:hAnsi="宋体"/>
          <w:b/>
          <w:bCs/>
          <w:color w:val="000000" w:themeColor="text1"/>
          <w:sz w:val="24"/>
          <w14:textFill>
            <w14:solidFill>
              <w14:schemeClr w14:val="tx1"/>
            </w14:solidFill>
          </w14:textFill>
        </w:rPr>
        <w:t>．迟交的投标文件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w:t>
      </w:r>
      <w:r>
        <w:rPr>
          <w:rFonts w:hint="eastAsia" w:ascii="宋体" w:hAnsi="宋体"/>
          <w:color w:val="000000" w:themeColor="text1"/>
          <w:sz w:val="24"/>
          <w14:textFill>
            <w14:solidFill>
              <w14:schemeClr w14:val="tx1"/>
            </w14:solidFill>
          </w14:textFill>
        </w:rPr>
        <w:t>本须知前附表第17项规定的投标截止时间后送达的电子投标文件，</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交易平台将予以拒收。</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22</w:t>
      </w:r>
      <w:r>
        <w:rPr>
          <w:rFonts w:hint="eastAsia" w:ascii="宋体" w:hAnsi="宋体"/>
          <w:b/>
          <w:bCs/>
          <w:color w:val="000000" w:themeColor="text1"/>
          <w:sz w:val="24"/>
          <w14:textFill>
            <w14:solidFill>
              <w14:schemeClr w14:val="tx1"/>
            </w14:solidFill>
          </w14:textFill>
        </w:rPr>
        <w:t>．投标文件的修改与撤回</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w:t>
      </w:r>
      <w:r>
        <w:rPr>
          <w:rFonts w:hint="eastAsia" w:ascii="宋体" w:hAnsi="宋体"/>
          <w:color w:val="000000" w:themeColor="text1"/>
          <w:sz w:val="24"/>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22.2投标人修改或撤回已递交</w:t>
      </w:r>
      <w:r>
        <w:rPr>
          <w:rFonts w:hint="eastAsia" w:ascii="宋体" w:hAnsi="宋体"/>
          <w:color w:val="000000" w:themeColor="text1"/>
          <w:sz w:val="24"/>
          <w:szCs w:val="24"/>
          <w14:textFill>
            <w14:solidFill>
              <w14:schemeClr w14:val="tx1"/>
            </w14:solidFill>
          </w14:textFill>
        </w:rPr>
        <w:t>的</w:t>
      </w:r>
      <w:r>
        <w:rPr>
          <w:rFonts w:ascii="宋体" w:hAnsi="宋体"/>
          <w:color w:val="000000" w:themeColor="text1"/>
          <w:sz w:val="24"/>
          <w:szCs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，需在</w:t>
      </w:r>
      <w:r>
        <w:rPr>
          <w:rFonts w:hint="eastAsia" w:ascii="宋体" w:hAnsi="宋体"/>
          <w:color w:val="000000" w:themeColor="text1"/>
          <w:sz w:val="24"/>
          <w14:textFill>
            <w14:solidFill>
              <w14:schemeClr w14:val="tx1"/>
            </w14:solidFill>
          </w14:textFill>
        </w:rPr>
        <w:t>交易平台发出修改或撤回</w:t>
      </w:r>
      <w:r>
        <w:rPr>
          <w:rFonts w:ascii="宋体" w:hAnsi="宋体"/>
          <w:color w:val="000000" w:themeColor="text1"/>
          <w:sz w:val="24"/>
          <w:szCs w:val="24"/>
          <w14:textFill>
            <w14:solidFill>
              <w14:schemeClr w14:val="tx1"/>
            </w14:solidFill>
          </w14:textFill>
        </w:rPr>
        <w:t>通知，</w:t>
      </w:r>
      <w:r>
        <w:rPr>
          <w:rFonts w:hint="eastAsia" w:ascii="宋体" w:hAnsi="宋体"/>
          <w:color w:val="000000" w:themeColor="text1"/>
          <w:sz w:val="24"/>
          <w:szCs w:val="24"/>
          <w14:textFill>
            <w14:solidFill>
              <w14:schemeClr w14:val="tx1"/>
            </w14:solidFill>
          </w14:textFill>
        </w:rPr>
        <w:t>并按</w:t>
      </w:r>
      <w:r>
        <w:rPr>
          <w:rFonts w:ascii="宋体" w:hAnsi="宋体"/>
          <w:color w:val="000000" w:themeColor="text1"/>
          <w:sz w:val="24"/>
          <w:szCs w:val="24"/>
          <w14:textFill>
            <w14:solidFill>
              <w14:schemeClr w14:val="tx1"/>
            </w14:solidFill>
          </w14:textFill>
        </w:rPr>
        <w:t>要求加盖电子印章。</w:t>
      </w:r>
      <w:r>
        <w:rPr>
          <w:rFonts w:ascii="宋体" w:hAnsi="宋体"/>
          <w:bCs/>
          <w:iCs/>
          <w:color w:val="000000" w:themeColor="text1"/>
          <w:sz w:val="24"/>
          <w:szCs w:val="24"/>
          <w14:textFill>
            <w14:solidFill>
              <w14:schemeClr w14:val="tx1"/>
            </w14:solidFill>
          </w14:textFill>
        </w:rPr>
        <w:t>电子招标投标交易平台收到通知后，</w:t>
      </w:r>
      <w:r>
        <w:rPr>
          <w:rFonts w:ascii="宋体" w:hAnsi="宋体"/>
          <w:color w:val="000000" w:themeColor="text1"/>
          <w:sz w:val="24"/>
          <w:szCs w:val="24"/>
          <w14:textFill>
            <w14:solidFill>
              <w14:schemeClr w14:val="tx1"/>
            </w14:solidFill>
          </w14:textFill>
        </w:rPr>
        <w:t>即时向投标人发出确认回执通知。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22.3修改后再次递交的，按19点的规定执行。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4在投标截止时间之后，投标人不得补充、修改和更换投标文件。</w:t>
      </w:r>
    </w:p>
    <w:p>
      <w:pPr>
        <w:pStyle w:val="8"/>
        <w:spacing w:line="360" w:lineRule="auto"/>
        <w:rPr>
          <w:color w:val="000000" w:themeColor="text1"/>
          <w14:textFill>
            <w14:solidFill>
              <w14:schemeClr w14:val="tx1"/>
            </w14:solidFill>
          </w14:textFill>
        </w:rPr>
      </w:pPr>
      <w:bookmarkStart w:id="10" w:name="_Toc114572538"/>
      <w:r>
        <w:rPr>
          <w:rFonts w:hint="eastAsia"/>
          <w:color w:val="000000" w:themeColor="text1"/>
          <w14:textFill>
            <w14:solidFill>
              <w14:schemeClr w14:val="tx1"/>
            </w14:solidFill>
          </w14:textFill>
        </w:rPr>
        <w:t>（五）开标、评标、定标及合同签定</w:t>
      </w:r>
      <w:bookmarkEnd w:id="10"/>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23</w:t>
      </w:r>
      <w:r>
        <w:rPr>
          <w:rFonts w:hint="eastAsia" w:ascii="宋体" w:hAnsi="宋体"/>
          <w:b/>
          <w:bCs/>
          <w:color w:val="000000" w:themeColor="text1"/>
          <w:sz w:val="24"/>
          <w14:textFill>
            <w14:solidFill>
              <w14:schemeClr w14:val="tx1"/>
            </w14:solidFill>
          </w14:textFill>
        </w:rPr>
        <w:t>．开标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详见第二章开标、评标及定标办法</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24</w:t>
      </w:r>
      <w:r>
        <w:rPr>
          <w:rFonts w:hint="eastAsia" w:ascii="宋体" w:hAnsi="宋体"/>
          <w:b/>
          <w:bCs/>
          <w:color w:val="000000" w:themeColor="text1"/>
          <w:sz w:val="24"/>
          <w14:textFill>
            <w14:solidFill>
              <w14:schemeClr w14:val="tx1"/>
            </w14:solidFill>
          </w14:textFill>
        </w:rPr>
        <w:t>．评标过程的保密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24.1 </w:t>
      </w:r>
      <w:r>
        <w:rPr>
          <w:rFonts w:hint="eastAsia" w:ascii="宋体" w:hAnsi="宋体"/>
          <w:color w:val="000000" w:themeColor="text1"/>
          <w:sz w:val="24"/>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25</w:t>
      </w:r>
      <w:r>
        <w:rPr>
          <w:rFonts w:hint="eastAsia" w:ascii="宋体" w:hAnsi="宋体"/>
          <w:b/>
          <w:bCs/>
          <w:color w:val="000000" w:themeColor="text1"/>
          <w:sz w:val="24"/>
          <w14:textFill>
            <w14:solidFill>
              <w14:schemeClr w14:val="tx1"/>
            </w14:solidFill>
          </w14:textFill>
        </w:rPr>
        <w:t>．投标文件的澄清，计算错误的修正</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26</w:t>
      </w:r>
      <w:r>
        <w:rPr>
          <w:rFonts w:hint="eastAsia" w:ascii="宋体" w:hAnsi="宋体"/>
          <w:b/>
          <w:bCs/>
          <w:color w:val="000000" w:themeColor="text1"/>
          <w:sz w:val="24"/>
          <w14:textFill>
            <w14:solidFill>
              <w14:schemeClr w14:val="tx1"/>
            </w14:solidFill>
          </w14:textFill>
        </w:rPr>
        <w:t>．投标文件的评审、比较和否决</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27</w:t>
      </w:r>
      <w:r>
        <w:rPr>
          <w:rFonts w:hint="eastAsia" w:ascii="宋体" w:hAnsi="宋体"/>
          <w:b/>
          <w:bCs/>
          <w:color w:val="000000" w:themeColor="text1"/>
          <w:sz w:val="24"/>
          <w14:textFill>
            <w14:solidFill>
              <w14:schemeClr w14:val="tx1"/>
            </w14:solidFill>
          </w14:textFill>
        </w:rPr>
        <w:t>．中标通知书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27.1</w:t>
      </w:r>
      <w:r>
        <w:rPr>
          <w:rFonts w:hint="eastAsia" w:ascii="宋体" w:hAnsi="宋体"/>
          <w:color w:val="000000" w:themeColor="text1"/>
          <w:sz w:val="24"/>
          <w14:textFill>
            <w14:solidFill>
              <w14:schemeClr w14:val="tx1"/>
            </w14:solidFill>
          </w14:textFill>
        </w:rPr>
        <w:t>招标人将在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27.2</w:t>
      </w:r>
      <w:r>
        <w:rPr>
          <w:rFonts w:hint="eastAsia" w:ascii="宋体" w:hAnsi="宋体"/>
          <w:color w:val="000000" w:themeColor="text1"/>
          <w:sz w:val="24"/>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27.3</w:t>
      </w:r>
      <w:r>
        <w:rPr>
          <w:rFonts w:hint="eastAsia" w:ascii="宋体" w:hAnsi="宋体"/>
          <w:color w:val="000000" w:themeColor="text1"/>
          <w:sz w:val="24"/>
          <w14:textFill>
            <w14:solidFill>
              <w14:schemeClr w14:val="tx1"/>
            </w14:solidFill>
          </w14:textFill>
        </w:rPr>
        <w:t>中标人必须在收到中标通知书后</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小时之内以书面形式回复招标人，确认收到。</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27.4在产生中标候选人后，招标人将中标候选人的投标文件商务部分文件的</w:t>
      </w:r>
      <w:r>
        <w:rPr>
          <w:rFonts w:hint="eastAsia" w:ascii="宋体" w:hAnsi="宋体"/>
          <w:color w:val="000000" w:themeColor="text1"/>
          <w:sz w:val="24"/>
          <w:u w:val="single"/>
          <w14:textFill>
            <w14:solidFill>
              <w14:schemeClr w14:val="tx1"/>
            </w14:solidFill>
          </w14:textFill>
        </w:rPr>
        <w:t>人员、业绩、奖项等资料</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交易平台和广东省招标投标监管网</w:t>
      </w:r>
      <w:r>
        <w:rPr>
          <w:rFonts w:hint="eastAsia" w:ascii="宋体" w:hAnsi="宋体"/>
          <w:color w:val="000000" w:themeColor="text1"/>
          <w:sz w:val="24"/>
          <w14:textFill>
            <w14:solidFill>
              <w14:schemeClr w14:val="tx1"/>
            </w14:solidFill>
          </w14:textFill>
        </w:rPr>
        <w:t>公开。</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28</w:t>
      </w:r>
      <w:r>
        <w:rPr>
          <w:rFonts w:hint="eastAsia" w:ascii="宋体" w:hAnsi="宋体"/>
          <w:b/>
          <w:bCs/>
          <w:color w:val="000000" w:themeColor="text1"/>
          <w:sz w:val="24"/>
          <w14:textFill>
            <w14:solidFill>
              <w14:schemeClr w14:val="tx1"/>
            </w14:solidFill>
          </w14:textFill>
        </w:rPr>
        <w:t>．合同协议书的签订</w:t>
      </w:r>
    </w:p>
    <w:p>
      <w:pPr>
        <w:spacing w:line="360" w:lineRule="auto"/>
        <w:ind w:firstLine="480" w:firstLineChars="200"/>
        <w:rPr>
          <w:rFonts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 xml:space="preserve">28.1 </w:t>
      </w:r>
      <w:r>
        <w:rPr>
          <w:rFonts w:hint="eastAsia" w:ascii="宋体" w:hAnsi="宋体"/>
          <w:color w:val="000000" w:themeColor="text1"/>
          <w:sz w:val="24"/>
          <w14:textFill>
            <w14:solidFill>
              <w14:schemeClr w14:val="tx1"/>
            </w14:solidFill>
          </w14:textFill>
        </w:rPr>
        <w:t>中标人将于中标通知书发出之日起30日内，按照招标文件中合同版本和中标人的投标文件</w:t>
      </w:r>
      <w:r>
        <w:rPr>
          <w:rFonts w:hint="eastAsia" w:ascii="宋体" w:hAnsi="宋体"/>
          <w:color w:val="000000" w:themeColor="text1"/>
          <w:sz w:val="24"/>
          <w:u w:val="single"/>
          <w14:textFill>
            <w14:solidFill>
              <w14:schemeClr w14:val="tx1"/>
            </w14:solidFill>
          </w14:textFill>
        </w:rPr>
        <w:t>与9#地块施工总承包单位签订《云港城项目9#地块永久用电工程施工专业承包合同》；与11#地块总承包单位签订《云港城项目11#地块永久用电工程施工专业承包合同》。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后，中标人未按上款的规定与总承包单位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28.3</w:t>
      </w:r>
      <w:r>
        <w:rPr>
          <w:rFonts w:hint="eastAsia" w:ascii="宋体" w:hAnsi="宋体"/>
          <w:color w:val="000000" w:themeColor="text1"/>
          <w:sz w:val="24"/>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28.4</w:t>
      </w:r>
      <w:r>
        <w:rPr>
          <w:rFonts w:hint="eastAsia" w:ascii="宋体" w:hAnsi="宋体"/>
          <w:color w:val="000000" w:themeColor="text1"/>
          <w:sz w:val="24"/>
          <w:szCs w:val="24"/>
          <w:u w:val="single"/>
          <w14:textFill>
            <w14:solidFill>
              <w14:schemeClr w14:val="tx1"/>
            </w14:solidFill>
          </w14:textFill>
        </w:rPr>
        <w:t>招标人</w:t>
      </w:r>
      <w:r>
        <w:rPr>
          <w:rFonts w:hint="eastAsia" w:ascii="宋体" w:hAnsi="宋体"/>
          <w:color w:val="000000" w:themeColor="text1"/>
          <w:sz w:val="24"/>
          <w:szCs w:val="24"/>
          <w14:textFill>
            <w14:solidFill>
              <w14:schemeClr w14:val="tx1"/>
            </w14:solidFill>
          </w14:textFill>
        </w:rPr>
        <w:t>支付工程款时，中标人应</w:t>
      </w:r>
      <w:r>
        <w:rPr>
          <w:rFonts w:hint="eastAsia" w:ascii="宋体" w:hAnsi="宋体"/>
          <w:color w:val="000000" w:themeColor="text1"/>
          <w:sz w:val="24"/>
          <w:szCs w:val="24"/>
          <w:u w:val="single"/>
          <w14:textFill>
            <w14:solidFill>
              <w14:schemeClr w14:val="tx1"/>
            </w14:solidFill>
          </w14:textFill>
        </w:rPr>
        <w:t>按合同规定开具发票</w:t>
      </w:r>
      <w:r>
        <w:rPr>
          <w:rFonts w:hint="eastAsia" w:ascii="宋体" w:hAnsi="宋体"/>
          <w:color w:val="000000" w:themeColor="text1"/>
          <w:sz w:val="24"/>
          <w:szCs w:val="24"/>
          <w14:textFill>
            <w14:solidFill>
              <w14:schemeClr w14:val="tx1"/>
            </w14:solidFill>
          </w14:textFill>
        </w:rPr>
        <w:t>。</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29</w:t>
      </w:r>
      <w:r>
        <w:rPr>
          <w:rFonts w:hint="eastAsia" w:ascii="宋体" w:hAnsi="宋体"/>
          <w:b/>
          <w:bCs/>
          <w:color w:val="000000" w:themeColor="text1"/>
          <w:sz w:val="24"/>
          <w14:textFill>
            <w14:solidFill>
              <w14:schemeClr w14:val="tx1"/>
            </w14:solidFill>
          </w14:textFill>
        </w:rPr>
        <w:t>．履约担保</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29.1</w:t>
      </w:r>
      <w:r>
        <w:rPr>
          <w:rFonts w:hint="eastAsia" w:ascii="宋体" w:hAnsi="宋体"/>
          <w:color w:val="000000" w:themeColor="text1"/>
          <w:sz w:val="24"/>
          <w14:textFill>
            <w14:solidFill>
              <w14:schemeClr w14:val="tx1"/>
            </w14:solidFill>
          </w14:textFill>
        </w:rPr>
        <w:t>中标人应按合同条款提交履约担保。</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29.2</w:t>
      </w:r>
      <w:r>
        <w:rPr>
          <w:rFonts w:hint="eastAsia" w:ascii="宋体" w:hAnsi="宋体"/>
          <w:color w:val="000000" w:themeColor="text1"/>
          <w:sz w:val="24"/>
          <w14:textFill>
            <w14:solidFill>
              <w14:schemeClr w14:val="tx1"/>
            </w14:solidFill>
          </w14:textFill>
        </w:rPr>
        <w:t>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30</w:t>
      </w:r>
      <w:r>
        <w:rPr>
          <w:rFonts w:hint="eastAsia" w:ascii="宋体" w:hAnsi="宋体"/>
          <w:b/>
          <w:bCs/>
          <w:color w:val="000000" w:themeColor="text1"/>
          <w:sz w:val="24"/>
          <w14:textFill>
            <w14:solidFill>
              <w14:schemeClr w14:val="tx1"/>
            </w14:solidFill>
          </w14:textFill>
        </w:rPr>
        <w:t>．合同生效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30.1</w:t>
      </w:r>
      <w:r>
        <w:rPr>
          <w:rFonts w:hint="eastAsia" w:ascii="宋体" w:hAnsi="宋体"/>
          <w:color w:val="000000" w:themeColor="text1"/>
          <w:sz w:val="24"/>
          <w14:textFill>
            <w14:solidFill>
              <w14:schemeClr w14:val="tx1"/>
            </w14:solidFill>
          </w14:textFill>
        </w:rPr>
        <w:t>在合同双方全权代表在合同协议书上签字，并分别加盖双方单位的公章后，合同正式生效。</w:t>
      </w:r>
    </w:p>
    <w:p>
      <w:pPr>
        <w:numPr>
          <w:ilvl w:val="0"/>
          <w:numId w:val="4"/>
        </w:num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其它费用 </w:t>
      </w:r>
    </w:p>
    <w:p>
      <w:pPr>
        <w:pStyle w:val="85"/>
        <w:spacing w:line="360" w:lineRule="auto"/>
        <w:ind w:left="420" w:firstLine="0" w:firstLineChars="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（1）本项目招标交易服务费由中标人承担，并</w:t>
      </w:r>
      <w:r>
        <w:rPr>
          <w:rFonts w:hint="eastAsia" w:ascii="宋体" w:hAnsi="宋体"/>
          <w:color w:val="000000" w:themeColor="text1"/>
          <w:sz w:val="24"/>
          <w:u w:val="single"/>
          <w14:textFill>
            <w14:solidFill>
              <w14:schemeClr w14:val="tx1"/>
            </w14:solidFill>
          </w14:textFill>
        </w:rPr>
        <w:t>向广州公共资源交易中心交纳</w:t>
      </w:r>
      <w:r>
        <w:rPr>
          <w:rFonts w:hint="eastAsia" w:ascii="宋体" w:hAnsi="宋体"/>
          <w:color w:val="000000" w:themeColor="text1"/>
          <w:sz w:val="24"/>
          <w:szCs w:val="24"/>
          <w:u w:val="single"/>
          <w14:textFill>
            <w14:solidFill>
              <w14:schemeClr w14:val="tx1"/>
            </w14:solidFill>
          </w14:textFill>
        </w:rPr>
        <w:t>。</w:t>
      </w:r>
    </w:p>
    <w:p>
      <w:pPr>
        <w:pStyle w:val="5"/>
        <w:spacing w:after="0"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32</w:t>
      </w:r>
      <w:r>
        <w:rPr>
          <w:rFonts w:hint="eastAsia" w:ascii="宋体" w:hAnsi="宋体"/>
          <w:b/>
          <w:bCs/>
          <w:color w:val="000000" w:themeColor="text1"/>
          <w:sz w:val="24"/>
          <w14:textFill>
            <w14:solidFill>
              <w14:schemeClr w14:val="tx1"/>
            </w14:solidFill>
          </w14:textFill>
        </w:rPr>
        <w:t>．腐败与欺诈行为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在招标和合同实施期间，招标人要求投标人和承包人遵守最高的道德标准。</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对本条款的规定，特定义如下词汇：</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如果投标人被认定在本招标的竞争中有腐败或欺诈行为，则会被取消投标资格。</w:t>
      </w:r>
    </w:p>
    <w:p>
      <w:pPr>
        <w:pStyle w:val="5"/>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360" w:lineRule="auto"/>
        <w:ind w:firstLine="540" w:firstLineChars="224"/>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33</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投标人信誉的要求</w:t>
      </w:r>
    </w:p>
    <w:p>
      <w:pPr>
        <w:pStyle w:val="5"/>
        <w:spacing w:after="0"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存在下列情形之一的，招标人可以限制其投标</w:t>
      </w:r>
      <w:r>
        <w:rPr>
          <w:rFonts w:hint="eastAsia" w:ascii="宋体" w:hAnsi="宋体"/>
          <w:strike/>
          <w:color w:val="000000" w:themeColor="text1"/>
          <w:sz w:val="24"/>
          <w:u w:val="single"/>
          <w14:textFill>
            <w14:solidFill>
              <w14:schemeClr w14:val="tx1"/>
            </w14:solidFill>
          </w14:textFill>
        </w:rPr>
        <w:t>（需在招标文件中明确评定方法）</w:t>
      </w:r>
      <w:r>
        <w:rPr>
          <w:rFonts w:hint="eastAsia" w:ascii="宋体" w:hAnsi="宋体"/>
          <w:strike/>
          <w:color w:val="000000" w:themeColor="text1"/>
          <w:sz w:val="24"/>
          <w14:textFill>
            <w14:solidFill>
              <w14:schemeClr w14:val="tx1"/>
            </w14:solidFill>
          </w14:textFill>
        </w:rPr>
        <w:t>。</w:t>
      </w:r>
    </w:p>
    <w:p>
      <w:pPr>
        <w:pStyle w:val="5"/>
        <w:spacing w:after="0"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w:t>
      </w:r>
      <w:r>
        <w:rPr>
          <w:rFonts w:ascii="宋体" w:hAnsi="宋体"/>
          <w:strike/>
          <w:color w:val="000000" w:themeColor="text1"/>
          <w:sz w:val="24"/>
          <w14:textFill>
            <w14:solidFill>
              <w14:schemeClr w14:val="tx1"/>
            </w14:solidFill>
          </w14:textFill>
        </w:rPr>
        <w:t>1）被住房城乡建设行政主管部门在全国建筑市场监管一体化工作平台列入建筑市场主体“黑名单”；</w:t>
      </w:r>
    </w:p>
    <w:p>
      <w:pPr>
        <w:pStyle w:val="5"/>
        <w:spacing w:after="0" w:line="360" w:lineRule="auto"/>
        <w:ind w:firstLine="480" w:firstLineChars="200"/>
        <w:rPr>
          <w:rFonts w:ascii="宋体" w:hAns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w:t>
      </w:r>
      <w:r>
        <w:rPr>
          <w:rFonts w:ascii="宋体" w:hAnsi="宋体"/>
          <w:strike/>
          <w:color w:val="000000" w:themeColor="text1"/>
          <w:sz w:val="24"/>
          <w14:textFill>
            <w14:solidFill>
              <w14:schemeClr w14:val="tx1"/>
            </w14:solidFill>
          </w14:textFill>
        </w:rPr>
        <w:t>2）被发改委、人力资源社会保障、质检总局等有关部门、单位在“信用中国”网站中列入联合惩戒失信黑名单。</w:t>
      </w:r>
    </w:p>
    <w:p>
      <w:pPr>
        <w:spacing w:line="360" w:lineRule="auto"/>
        <w:ind w:firstLine="540" w:firstLineChars="224"/>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3</w:t>
      </w:r>
      <w:r>
        <w:rPr>
          <w:rFonts w:ascii="宋体" w:hAnsi="宋体"/>
          <w:b/>
          <w:bCs/>
          <w:color w:val="000000" w:themeColor="text1"/>
          <w:sz w:val="24"/>
          <w:u w:val="single"/>
          <w14:textFill>
            <w14:solidFill>
              <w14:schemeClr w14:val="tx1"/>
            </w14:solidFill>
          </w14:textFill>
        </w:rPr>
        <w:t>4</w:t>
      </w:r>
      <w:r>
        <w:rPr>
          <w:rFonts w:hint="eastAsia" w:ascii="宋体" w:hAnsi="宋体"/>
          <w:b/>
          <w:bCs/>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招标人（招标代理机构）填报中标候选人公示信息、</w:t>
      </w:r>
      <w:r>
        <w:rPr>
          <w:rFonts w:ascii="宋体" w:hAnsi="宋体"/>
          <w:color w:val="000000" w:themeColor="text1"/>
          <w:sz w:val="24"/>
          <w:u w:val="single"/>
          <w14:textFill>
            <w14:solidFill>
              <w14:schemeClr w14:val="tx1"/>
            </w14:solidFill>
          </w14:textFill>
        </w:rPr>
        <w:t>组织</w:t>
      </w:r>
      <w:r>
        <w:rPr>
          <w:rFonts w:hint="eastAsia" w:ascii="宋体" w:hAnsi="宋体"/>
          <w:color w:val="000000" w:themeColor="text1"/>
          <w:sz w:val="24"/>
          <w:u w:val="single"/>
          <w14:textFill>
            <w14:solidFill>
              <w14:schemeClr w14:val="tx1"/>
            </w14:solidFill>
          </w14:textFill>
        </w:rPr>
        <w:t>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pPr>
        <w:widowControl/>
        <w:spacing w:line="360" w:lineRule="auto"/>
        <w:jc w:val="left"/>
        <w:rPr>
          <w:rFonts w:ascii="宋体" w:hAnsi="宋体"/>
          <w:b/>
          <w:color w:val="000000" w:themeColor="text1"/>
          <w:kern w:val="44"/>
          <w:sz w:val="28"/>
          <w:szCs w:val="28"/>
          <w:lang w:val="zh-CN"/>
          <w14:textFill>
            <w14:solidFill>
              <w14:schemeClr w14:val="tx1"/>
            </w14:solidFill>
          </w14:textFill>
        </w:rPr>
      </w:pPr>
      <w:r>
        <w:rPr>
          <w:rFonts w:ascii="宋体" w:hAnsi="宋体"/>
          <w:color w:val="000000" w:themeColor="text1"/>
          <w14:textFill>
            <w14:solidFill>
              <w14:schemeClr w14:val="tx1"/>
            </w14:solidFill>
          </w14:textFill>
        </w:rPr>
        <w:br w:type="page"/>
      </w:r>
    </w:p>
    <w:p>
      <w:pPr>
        <w:pStyle w:val="3"/>
        <w:spacing w:before="0" w:after="80"/>
        <w:rPr>
          <w:rFonts w:ascii="宋体" w:hAnsi="宋体"/>
          <w:color w:val="000000" w:themeColor="text1"/>
          <w14:textFill>
            <w14:solidFill>
              <w14:schemeClr w14:val="tx1"/>
            </w14:solidFill>
          </w14:textFill>
        </w:rPr>
      </w:pPr>
      <w:bookmarkStart w:id="11" w:name="_Toc114572539"/>
      <w:r>
        <w:rPr>
          <w:rFonts w:hint="eastAsia" w:ascii="宋体" w:hAnsi="宋体"/>
          <w:color w:val="000000" w:themeColor="text1"/>
          <w14:textFill>
            <w14:solidFill>
              <w14:schemeClr w14:val="tx1"/>
            </w14:solidFill>
          </w14:textFill>
        </w:rPr>
        <w:t>第二章 开标、评标及定标办法</w:t>
      </w:r>
      <w:bookmarkEnd w:id="11"/>
    </w:p>
    <w:p>
      <w:pPr>
        <w:pStyle w:val="7"/>
        <w:spacing w:before="80" w:after="80" w:line="360" w:lineRule="auto"/>
        <w:rPr>
          <w:rFonts w:ascii="宋体" w:hAnsi="宋体"/>
          <w:color w:val="000000" w:themeColor="text1"/>
          <w14:textFill>
            <w14:solidFill>
              <w14:schemeClr w14:val="tx1"/>
            </w14:solidFill>
          </w14:textFill>
        </w:rPr>
      </w:pPr>
      <w:bookmarkStart w:id="12" w:name="_Toc114572540"/>
      <w:r>
        <w:rPr>
          <w:rFonts w:hint="eastAsia" w:ascii="宋体" w:hAnsi="宋体"/>
          <w:color w:val="000000" w:themeColor="text1"/>
          <w:sz w:val="28"/>
          <w:szCs w:val="28"/>
          <w14:textFill>
            <w14:solidFill>
              <w14:schemeClr w14:val="tx1"/>
            </w14:solidFill>
          </w14:textFill>
        </w:rPr>
        <w:t>一、</w:t>
      </w:r>
      <w:r>
        <w:rPr>
          <w:rFonts w:hint="eastAsia" w:ascii="宋体" w:hAnsi="宋体"/>
          <w:color w:val="000000" w:themeColor="text1"/>
          <w14:textFill>
            <w14:solidFill>
              <w14:schemeClr w14:val="tx1"/>
            </w14:solidFill>
          </w14:textFill>
        </w:rPr>
        <w:t>开标、评标及定标办法修改表</w:t>
      </w:r>
      <w:bookmarkEnd w:id="12"/>
    </w:p>
    <w:p>
      <w:pPr>
        <w:pStyle w:val="5"/>
        <w:spacing w:after="0"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声明：本</w:t>
      </w:r>
      <w:r>
        <w:rPr>
          <w:rFonts w:hint="eastAsia" w:ascii="宋体" w:hAnsi="宋体"/>
          <w:b/>
          <w:color w:val="000000" w:themeColor="text1"/>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ascii="宋体" w:hAnsi="宋体"/>
          <w:b/>
          <w:color w:val="000000" w:themeColor="text1"/>
          <w:szCs w:val="21"/>
          <w14:textFill>
            <w14:solidFill>
              <w14:schemeClr w14:val="tx1"/>
            </w14:solidFill>
          </w14:textFill>
        </w:rPr>
        <w:t>文不再有效。本招标文件中不再转录</w:t>
      </w:r>
      <w:r>
        <w:rPr>
          <w:rFonts w:hint="eastAsia" w:ascii="宋体" w:hAnsi="宋体"/>
          <w:b/>
          <w:color w:val="000000" w:themeColor="text1"/>
          <w14:textFill>
            <w14:solidFill>
              <w14:schemeClr w14:val="tx1"/>
            </w14:solidFill>
          </w14:textFill>
        </w:rPr>
        <w:t>开标、评标及定标办法</w:t>
      </w:r>
      <w:r>
        <w:rPr>
          <w:rFonts w:hint="eastAsia" w:ascii="宋体" w:hAnsi="宋体"/>
          <w:b/>
          <w:color w:val="000000" w:themeColor="text1"/>
          <w:szCs w:val="21"/>
          <w14:textFill>
            <w14:solidFill>
              <w14:schemeClr w14:val="tx1"/>
            </w14:solidFill>
          </w14:textFill>
        </w:rPr>
        <w:t>通用条款，请投标人自行到广州市住房和城乡建设局网站（网址：</w:t>
      </w:r>
      <w:r>
        <w:fldChar w:fldCharType="begin"/>
      </w:r>
      <w:r>
        <w:instrText xml:space="preserve"> HYPERLINK "http://www.gzcc.gov.cn/）下载GZZB2018-3" </w:instrText>
      </w:r>
      <w:r>
        <w:fldChar w:fldCharType="separate"/>
      </w:r>
      <w:r>
        <w:rPr>
          <w:color w:val="000000" w:themeColor="text1"/>
          <w14:textFill>
            <w14:solidFill>
              <w14:schemeClr w14:val="tx1"/>
            </w14:solidFill>
          </w14:textFill>
        </w:rPr>
        <w:t xml:space="preserve"> </w:t>
      </w:r>
      <w:r>
        <w:rPr>
          <w:rStyle w:val="41"/>
          <w:rFonts w:ascii="宋体" w:hAnsi="宋体"/>
          <w:b/>
          <w:color w:val="000000" w:themeColor="text1"/>
          <w:szCs w:val="21"/>
          <w14:textFill>
            <w14:solidFill>
              <w14:schemeClr w14:val="tx1"/>
            </w14:solidFill>
          </w14:textFill>
        </w:rPr>
        <w:t>http://zfcj.gz.gov.cn/</w:t>
      </w:r>
      <w:r>
        <w:rPr>
          <w:rStyle w:val="41"/>
          <w:rFonts w:hint="eastAsia" w:ascii="宋体" w:hAnsi="宋体"/>
          <w:b/>
          <w:color w:val="000000" w:themeColor="text1"/>
          <w:szCs w:val="21"/>
          <w14:textFill>
            <w14:solidFill>
              <w14:schemeClr w14:val="tx1"/>
            </w14:solidFill>
          </w14:textFill>
        </w:rPr>
        <w:t>）下载GZZB2018-3</w:t>
      </w:r>
      <w:r>
        <w:rPr>
          <w:rStyle w:val="41"/>
          <w:rFonts w:hint="eastAsia" w:ascii="宋体" w:hAnsi="宋体"/>
          <w:b/>
          <w:color w:val="000000" w:themeColor="text1"/>
          <w:szCs w:val="21"/>
          <w14:textFill>
            <w14:solidFill>
              <w14:schemeClr w14:val="tx1"/>
            </w14:solidFill>
          </w14:textFill>
        </w:rPr>
        <w:fldChar w:fldCharType="end"/>
      </w:r>
      <w:r>
        <w:rPr>
          <w:rFonts w:hint="eastAsia" w:ascii="宋体" w:hAnsi="宋体"/>
          <w:b/>
          <w:color w:val="000000" w:themeColor="text1"/>
          <w:szCs w:val="21"/>
          <w14:textFill>
            <w14:solidFill>
              <w14:schemeClr w14:val="tx1"/>
            </w14:solidFill>
          </w14:textFill>
        </w:rPr>
        <w:t>范本查阅。</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bCs/>
          <w:color w:val="000000" w:themeColor="text1"/>
          <w:szCs w:val="21"/>
          <w14:textFill>
            <w14:solidFill>
              <w14:schemeClr w14:val="tx1"/>
            </w14:solidFill>
          </w14:textFill>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bCs/>
          <w:color w:val="000000" w:themeColor="text1"/>
          <w:szCs w:val="21"/>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修改类型：删除</w:t>
      </w:r>
    </w:p>
    <w:p>
      <w:pPr>
        <w:pBdr>
          <w:bottom w:val="single" w:color="auto" w:sz="6" w:space="1"/>
        </w:pBd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条款号：36.5.1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在投标截止时间后半小时内，投标人通过</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交易平台对已递交的电子投标文件进行解密。投标人完成解密后，再由</w:t>
      </w:r>
      <w:r>
        <w:rPr>
          <w:rFonts w:hint="eastAsia" w:ascii="宋体" w:hAnsi="宋体"/>
          <w:color w:val="000000" w:themeColor="text1"/>
          <w:szCs w:val="21"/>
          <w:u w:val="single"/>
          <w14:textFill>
            <w14:solidFill>
              <w14:schemeClr w14:val="tx1"/>
            </w14:solidFill>
          </w14:textFill>
        </w:rPr>
        <w:t>招标代理机构</w:t>
      </w:r>
      <w:r>
        <w:rPr>
          <w:rFonts w:hint="eastAsia" w:ascii="宋体" w:hAnsi="宋体"/>
          <w:color w:val="000000" w:themeColor="text1"/>
          <w:szCs w:val="21"/>
          <w14:textFill>
            <w14:solidFill>
              <w14:schemeClr w14:val="tx1"/>
            </w14:solidFill>
          </w14:textFill>
        </w:rPr>
        <w:t>进行解密，解密完成后，公布招标项目名称、投标人名称、投标保证金的递交情况、投标报价、工期及其他内容；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条款号：36.5.3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36.5.3投标人代表、招标人代表、监标人、记录人等有关人员在开标记录上签字确认；若有关人员不签字的，不影响开标程序；</w:t>
      </w:r>
      <w:r>
        <w:rPr>
          <w:rFonts w:hint="eastAsia" w:ascii="宋体" w:hAnsi="宋体"/>
          <w:color w:val="000000" w:themeColor="text1"/>
          <w:szCs w:val="21"/>
          <w:u w:val="single"/>
          <w14:textFill>
            <w14:solidFill>
              <w14:schemeClr w14:val="tx1"/>
            </w14:solidFill>
          </w14:textFill>
        </w:rPr>
        <w:t>若投标人不参加现场开标会的，或不签字确认的，视同该投标人认可开标结果。</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38.1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olor w:val="000000" w:themeColor="text1"/>
          <w:szCs w:val="21"/>
          <w:u w:val="single"/>
          <w14:textFill>
            <w14:solidFill>
              <w14:schemeClr w14:val="tx1"/>
            </w14:solidFill>
          </w14:textFill>
        </w:rPr>
        <w:t>要求投标人对投标文件含义不明确、对同类问题表述不一致、有明显文字和计算错误的内容以及细微偏差的内容作出澄清。</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39                                         </w:t>
      </w:r>
      <w:r>
        <w:rPr>
          <w:rFonts w:hint="eastAsia" w:ascii="宋体" w:hAnsi="宋体"/>
          <w:b/>
          <w:color w:val="000000" w:themeColor="text1"/>
          <w:szCs w:val="21"/>
          <w14:textFill>
            <w14:solidFill>
              <w14:schemeClr w14:val="tx1"/>
            </w14:solidFill>
          </w14:textFill>
        </w:rPr>
        <w:t>修改类型：修改</w:t>
      </w:r>
    </w:p>
    <w:p>
      <w:pPr>
        <w:spacing w:line="360" w:lineRule="auto"/>
        <w:ind w:firstLine="472" w:firstLineChars="22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39．定标</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39.1 招标人根据评标委员会递交的评标报告，最终审定中标人。</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39.2 依法必须进行公开招标的项目，招标人应当确定排名第一的中标候选人为中标人。</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70" w:firstLineChars="224"/>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ind w:firstLine="422" w:firstLineChars="200"/>
        <w:rPr>
          <w:rFonts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ascii="宋体" w:hAnsi="宋体"/>
          <w:color w:val="000000" w:themeColor="text1"/>
          <w:szCs w:val="21"/>
          <w:u w:val="single"/>
          <w14:textFill>
            <w14:solidFill>
              <w14:schemeClr w14:val="tx1"/>
            </w14:solidFill>
          </w14:textFill>
        </w:rPr>
        <w:t>39</w:t>
      </w:r>
      <w:r>
        <w:rPr>
          <w:rFonts w:hint="eastAsia" w:ascii="宋体" w:hAnsi="宋体"/>
          <w:color w:val="000000" w:themeColor="text1"/>
          <w:szCs w:val="21"/>
          <w:u w:val="single"/>
          <w14:textFill>
            <w14:solidFill>
              <w14:schemeClr w14:val="tx1"/>
            </w14:solidFill>
          </w14:textFill>
        </w:rPr>
        <w:t>．确定中标人</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39.1 </w:t>
      </w:r>
      <w:r>
        <w:rPr>
          <w:rFonts w:hint="eastAsia" w:ascii="宋体" w:hAnsi="宋体"/>
          <w:color w:val="000000" w:themeColor="text1"/>
          <w:szCs w:val="21"/>
          <w:u w:val="single"/>
          <w14:textFill>
            <w14:solidFill>
              <w14:schemeClr w14:val="tx1"/>
            </w14:solidFill>
          </w14:textFill>
        </w:rPr>
        <w:t>招标人根据定标委员会递交的定标报告</w:t>
      </w:r>
      <w:r>
        <w:rPr>
          <w:rFonts w:hint="eastAsia" w:ascii="宋体" w:hAnsi="宋体"/>
          <w:color w:val="000000" w:themeColor="text1"/>
          <w:szCs w:val="21"/>
          <w14:textFill>
            <w14:solidFill>
              <w14:schemeClr w14:val="tx1"/>
            </w14:solidFill>
          </w14:textFill>
        </w:rPr>
        <w:t>，最终审定中标人。</w:t>
      </w:r>
    </w:p>
    <w:p>
      <w:pPr>
        <w:spacing w:line="360" w:lineRule="auto"/>
        <w:ind w:firstLine="420" w:firstLineChars="200"/>
        <w:rPr>
          <w:rFonts w:ascii="宋体" w:hAnsi="宋体"/>
          <w:strike/>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 xml:space="preserve">39.2 </w:t>
      </w:r>
      <w:r>
        <w:rPr>
          <w:rFonts w:hint="eastAsia" w:ascii="宋体" w:hAnsi="宋体"/>
          <w:strike/>
          <w:color w:val="000000" w:themeColor="text1"/>
          <w:szCs w:val="21"/>
          <w14:textFill>
            <w14:solidFill>
              <w14:schemeClr w14:val="tx1"/>
            </w14:solidFill>
          </w14:textFill>
        </w:rPr>
        <w:t>依法必须进行公开招标的项目，招标人应当确定排名第一的中标候选人为中标人。</w:t>
      </w:r>
    </w:p>
    <w:p>
      <w:pPr>
        <w:spacing w:line="360" w:lineRule="auto"/>
        <w:ind w:firstLine="420" w:firstLineChars="200"/>
        <w:rPr>
          <w:rFonts w:ascii="宋体" w:hAnsi="宋体"/>
          <w:strike/>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39.3</w:t>
      </w:r>
      <w:r>
        <w:rPr>
          <w:rFonts w:hint="eastAsia" w:ascii="宋体" w:hAnsi="宋体"/>
          <w:strike/>
          <w:color w:val="000000" w:themeColor="text1"/>
          <w:szCs w:val="21"/>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strike/>
          <w:color w:val="000000" w:themeColor="text1"/>
          <w:szCs w:val="21"/>
          <w14:textFill>
            <w14:solidFill>
              <w14:schemeClr w14:val="tx1"/>
            </w14:solidFill>
          </w14:textFill>
        </w:rPr>
        <w:t>39.4</w:t>
      </w:r>
      <w:r>
        <w:rPr>
          <w:rFonts w:hint="eastAsia" w:ascii="宋体" w:hAnsi="宋体"/>
          <w:strike/>
          <w:color w:val="000000" w:themeColor="text1"/>
          <w:szCs w:val="21"/>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pBdr>
          <w:bottom w:val="single" w:color="auto" w:sz="6" w:space="1"/>
        </w:pBdr>
        <w:spacing w:line="360" w:lineRule="auto"/>
        <w:ind w:firstLine="472" w:firstLineChars="225"/>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39.5 </w:t>
      </w:r>
      <w:r>
        <w:rPr>
          <w:rFonts w:hint="eastAsia" w:ascii="宋体" w:hAnsi="宋体"/>
          <w:color w:val="000000" w:themeColor="text1"/>
          <w:szCs w:val="21"/>
          <w:u w:val="single"/>
          <w14:textFill>
            <w14:solidFill>
              <w14:schemeClr w14:val="tx1"/>
            </w14:solidFill>
          </w14:textFill>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pPr>
        <w:pBdr>
          <w:bottom w:val="single" w:color="auto" w:sz="6" w:space="1"/>
        </w:pBdr>
        <w:spacing w:line="360" w:lineRule="auto"/>
        <w:ind w:firstLine="472" w:firstLine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w:t>
      </w:r>
      <w:r>
        <w:rPr>
          <w:rFonts w:ascii="宋体" w:hAnsi="宋体"/>
          <w:color w:val="000000" w:themeColor="text1"/>
          <w:szCs w:val="21"/>
          <w:u w:val="single"/>
          <w14:textFill>
            <w14:solidFill>
              <w14:schemeClr w14:val="tx1"/>
            </w14:solidFill>
          </w14:textFill>
        </w:rPr>
        <w:t xml:space="preserve">9.6 </w:t>
      </w:r>
      <w:r>
        <w:rPr>
          <w:rFonts w:hint="eastAsia" w:ascii="宋体" w:hAnsi="宋体"/>
          <w:color w:val="000000" w:themeColor="text1"/>
          <w:szCs w:val="21"/>
          <w:u w:val="single"/>
          <w14:textFill>
            <w14:solidFill>
              <w14:schemeClr w14:val="tx1"/>
            </w14:solidFill>
          </w14:textFill>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条款号：（二）开标评标办法程序和细则修改类型：删除</w:t>
      </w:r>
    </w:p>
    <w:p>
      <w:pPr>
        <w:pBdr>
          <w:bottom w:val="single" w:color="auto" w:sz="6" w:space="1"/>
        </w:pBdr>
        <w:spacing w:line="360" w:lineRule="auto"/>
        <w:ind w:firstLine="474" w:firstLineChars="225"/>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注：以下评标办法所述企业综合诚信评价分数即投标截止当日广州市住房和城乡建设局网站上公布的企业综合诚信评价60日诚信分。</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条款号：4</w:t>
      </w:r>
      <w:r>
        <w:rPr>
          <w:rFonts w:ascii="宋体" w:hAnsi="宋体"/>
          <w:b/>
          <w:color w:val="000000" w:themeColor="text1"/>
          <w:szCs w:val="21"/>
          <w14:textFill>
            <w14:solidFill>
              <w14:schemeClr w14:val="tx1"/>
            </w14:solidFill>
          </w14:textFill>
        </w:rPr>
        <w:t xml:space="preserve">0      </w:t>
      </w:r>
      <w:r>
        <w:rPr>
          <w:rFonts w:hint="eastAsia" w:ascii="宋体" w:hAnsi="宋体"/>
          <w:b/>
          <w:color w:val="000000" w:themeColor="text1"/>
          <w:szCs w:val="21"/>
          <w14:textFill>
            <w14:solidFill>
              <w14:schemeClr w14:val="tx1"/>
            </w14:solidFill>
          </w14:textFill>
        </w:rPr>
        <w:t xml:space="preserve">  修改类型：修改</w:t>
      </w:r>
    </w:p>
    <w:p>
      <w:pP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40．开标和评标程序</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40.1技术标（含资格审查文件）与经济标投标文件同时公开开标；</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40.2由评标委员会对所有已公开开标的投标人进行资格审查；</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40.3技术标投标文件有效性审查；</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40.4技术标详细审查评分；</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40.5经济标详细审查评分；</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40.6评标委员会按照投标人总得分由高至低排序；</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40.7经济标投标文件有效性审查；</w:t>
      </w:r>
    </w:p>
    <w:p>
      <w:pP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40.8评标委员会按排序向招标人推荐中标候选人名单，并递交资格审查报告及评标报告。</w:t>
      </w:r>
    </w:p>
    <w:p>
      <w:pPr>
        <w:snapToGrid w:val="0"/>
        <w:spacing w:line="360" w:lineRule="auto"/>
        <w:ind w:firstLine="422" w:firstLineChars="200"/>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hint="eastAsia" w:ascii="宋体"/>
          <w:color w:val="000000" w:themeColor="text1"/>
          <w:szCs w:val="21"/>
          <w14:textFill>
            <w14:solidFill>
              <w14:schemeClr w14:val="tx1"/>
            </w14:solidFill>
          </w14:textFill>
        </w:rPr>
        <w:t>40．开标和评标程序</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40.1技术标（含资格审查文件）与经济标投标文件同时公开开标；</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40.2由评标委员会对所有已公开开标的投标人进行资格审查；</w:t>
      </w:r>
    </w:p>
    <w:p>
      <w:pPr>
        <w:snapToGrid w:val="0"/>
        <w:spacing w:line="360" w:lineRule="auto"/>
        <w:ind w:firstLine="420" w:firstLineChars="200"/>
        <w:rPr>
          <w:rFonts w:ascii="宋体"/>
          <w:color w:val="000000" w:themeColor="text1"/>
          <w:szCs w:val="21"/>
          <w:u w:val="single"/>
          <w14:textFill>
            <w14:solidFill>
              <w14:schemeClr w14:val="tx1"/>
            </w14:solidFill>
          </w14:textFill>
        </w:rPr>
      </w:pPr>
      <w:r>
        <w:rPr>
          <w:rFonts w:ascii="宋体"/>
          <w:color w:val="000000" w:themeColor="text1"/>
          <w:szCs w:val="21"/>
          <w14:textFill>
            <w14:solidFill>
              <w14:schemeClr w14:val="tx1"/>
            </w14:solidFill>
          </w14:textFill>
        </w:rPr>
        <w:t>40.3</w:t>
      </w:r>
      <w:r>
        <w:rPr>
          <w:rFonts w:hint="eastAsia" w:ascii="宋体"/>
          <w:color w:val="000000" w:themeColor="text1"/>
          <w:szCs w:val="21"/>
          <w:u w:val="single"/>
          <w14:textFill>
            <w14:solidFill>
              <w14:schemeClr w14:val="tx1"/>
            </w14:solidFill>
          </w14:textFill>
        </w:rPr>
        <w:t>对通过资格审查的投标单位进行技术标投标文件有效性审查；</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40.4</w:t>
      </w:r>
      <w:r>
        <w:rPr>
          <w:rFonts w:hint="eastAsia" w:ascii="宋体"/>
          <w:color w:val="000000" w:themeColor="text1"/>
          <w:szCs w:val="21"/>
          <w:u w:val="single"/>
          <w14:textFill>
            <w14:solidFill>
              <w14:schemeClr w14:val="tx1"/>
            </w14:solidFill>
          </w14:textFill>
        </w:rPr>
        <w:t>技术标详细审查</w:t>
      </w:r>
      <w:r>
        <w:rPr>
          <w:rFonts w:hint="eastAsia" w:ascii="宋体"/>
          <w:color w:val="000000" w:themeColor="text1"/>
          <w:szCs w:val="21"/>
          <w14:textFill>
            <w14:solidFill>
              <w14:schemeClr w14:val="tx1"/>
            </w14:solidFill>
          </w14:textFill>
        </w:rPr>
        <w:t>；</w:t>
      </w:r>
    </w:p>
    <w:p>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40.5</w:t>
      </w:r>
      <w:r>
        <w:rPr>
          <w:rFonts w:hint="eastAsia" w:ascii="宋体" w:hAnsi="宋体"/>
          <w:color w:val="000000" w:themeColor="text1"/>
          <w:szCs w:val="21"/>
          <w:u w:val="single"/>
          <w14:textFill>
            <w14:solidFill>
              <w14:schemeClr w14:val="tx1"/>
            </w14:solidFill>
          </w14:textFill>
        </w:rPr>
        <w:t>对通过技术标投标文件有效性审查的投标单位进行</w:t>
      </w:r>
      <w:r>
        <w:rPr>
          <w:rFonts w:hint="eastAsia" w:ascii="宋体"/>
          <w:color w:val="000000" w:themeColor="text1"/>
          <w:szCs w:val="21"/>
          <w:u w:val="single"/>
          <w14:textFill>
            <w14:solidFill>
              <w14:schemeClr w14:val="tx1"/>
            </w14:solidFill>
          </w14:textFill>
        </w:rPr>
        <w:t>经济标投标文件有效性审查</w:t>
      </w:r>
      <w:r>
        <w:rPr>
          <w:rFonts w:hint="eastAsia" w:ascii="宋体" w:hAnsi="宋体"/>
          <w:color w:val="000000" w:themeColor="text1"/>
          <w:szCs w:val="21"/>
          <w:u w:val="single"/>
          <w14:textFill>
            <w14:solidFill>
              <w14:schemeClr w14:val="tx1"/>
            </w14:solidFill>
          </w14:textFill>
        </w:rPr>
        <w:t>（含投标报价算术校核）</w:t>
      </w:r>
      <w:r>
        <w:rPr>
          <w:rFonts w:hint="eastAsia" w:ascii="宋体"/>
          <w:color w:val="000000" w:themeColor="text1"/>
          <w:szCs w:val="21"/>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40.</w:t>
      </w:r>
      <w:r>
        <w:rPr>
          <w:rFonts w:ascii="宋体"/>
          <w:color w:val="000000" w:themeColor="text1"/>
          <w:szCs w:val="21"/>
          <w14:textFill>
            <w14:solidFill>
              <w14:schemeClr w14:val="tx1"/>
            </w14:solidFill>
          </w14:textFill>
        </w:rPr>
        <w:t>6</w:t>
      </w:r>
      <w:r>
        <w:rPr>
          <w:rFonts w:hint="eastAsia" w:ascii="宋体"/>
          <w:color w:val="000000" w:themeColor="text1"/>
          <w:szCs w:val="21"/>
          <w:u w:val="single"/>
          <w14:textFill>
            <w14:solidFill>
              <w14:schemeClr w14:val="tx1"/>
            </w14:solidFill>
          </w14:textFill>
        </w:rPr>
        <w:t>评标委员会向招标人推荐合格的中标候选人名单，合格中标候选人不排序，并递交资格审查报告及评标报告。</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41.1      </w:t>
      </w:r>
      <w:r>
        <w:rPr>
          <w:rFonts w:hint="eastAsia" w:ascii="宋体" w:hAnsi="宋体"/>
          <w:b/>
          <w:color w:val="000000" w:themeColor="text1"/>
          <w:szCs w:val="21"/>
          <w14:textFill>
            <w14:solidFill>
              <w14:schemeClr w14:val="tx1"/>
            </w14:solidFill>
          </w14:textFill>
        </w:rPr>
        <w:t xml:space="preserve">                                   修改类型：修改</w:t>
      </w:r>
    </w:p>
    <w:p>
      <w:pP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ascii="宋体" w:hAnsi="宋体"/>
          <w:color w:val="000000" w:themeColor="text1"/>
          <w:szCs w:val="21"/>
          <w14:textFill>
            <w14:solidFill>
              <w14:schemeClr w14:val="tx1"/>
            </w14:solidFill>
          </w14:textFill>
        </w:rPr>
        <w:t xml:space="preserve">41.1 </w:t>
      </w:r>
      <w:r>
        <w:rPr>
          <w:rFonts w:hint="eastAsia" w:ascii="宋体" w:hAnsi="宋体"/>
          <w:color w:val="000000" w:themeColor="text1"/>
          <w:szCs w:val="21"/>
          <w14:textFill>
            <w14:solidFill>
              <w14:schemeClr w14:val="tx1"/>
            </w14:solidFill>
          </w14:textFill>
        </w:rPr>
        <w:t>开标由招标人主持；</w:t>
      </w:r>
    </w:p>
    <w:p>
      <w:pPr>
        <w:pBdr>
          <w:bottom w:val="single" w:color="auto" w:sz="6" w:space="1"/>
        </w:pBdr>
        <w:adjustRightIn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w:t>
      </w:r>
      <w:r>
        <w:rPr>
          <w:rFonts w:ascii="宋体" w:hAnsi="宋体"/>
          <w:color w:val="000000" w:themeColor="text1"/>
          <w:szCs w:val="21"/>
          <w14:textFill>
            <w14:solidFill>
              <w14:schemeClr w14:val="tx1"/>
            </w14:solidFill>
          </w14:textFill>
        </w:rPr>
        <w:t xml:space="preserve">41.1 </w:t>
      </w:r>
      <w:r>
        <w:rPr>
          <w:rFonts w:hint="eastAsia" w:ascii="宋体" w:hAnsi="宋体"/>
          <w:color w:val="000000" w:themeColor="text1"/>
          <w:szCs w:val="21"/>
          <w14:textFill>
            <w14:solidFill>
              <w14:schemeClr w14:val="tx1"/>
            </w14:solidFill>
          </w14:textFill>
        </w:rPr>
        <w:t>开标由招标人</w:t>
      </w:r>
      <w:r>
        <w:rPr>
          <w:rFonts w:hint="eastAsia" w:ascii="宋体" w:hAnsi="宋体"/>
          <w:color w:val="000000" w:themeColor="text1"/>
          <w:szCs w:val="21"/>
          <w:u w:val="single"/>
          <w14:textFill>
            <w14:solidFill>
              <w14:schemeClr w14:val="tx1"/>
            </w14:solidFill>
          </w14:textFill>
        </w:rPr>
        <w:t>或招标代理</w:t>
      </w:r>
      <w:r>
        <w:rPr>
          <w:rFonts w:hint="eastAsia" w:ascii="宋体" w:hAnsi="宋体"/>
          <w:color w:val="000000" w:themeColor="text1"/>
          <w:szCs w:val="21"/>
          <w14:textFill>
            <w14:solidFill>
              <w14:schemeClr w14:val="tx1"/>
            </w14:solidFill>
          </w14:textFill>
        </w:rPr>
        <w:t>主持；</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条款号：41.2.1</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spacing w:line="360" w:lineRule="auto"/>
        <w:ind w:firstLine="472" w:firstLineChars="22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原文：4</w:t>
      </w:r>
      <w:r>
        <w:rPr>
          <w:rFonts w:ascii="宋体" w:hAnsi="宋体"/>
          <w:b/>
          <w:color w:val="000000" w:themeColor="text1"/>
          <w:szCs w:val="21"/>
          <w14:textFill>
            <w14:solidFill>
              <w14:schemeClr w14:val="tx1"/>
            </w14:solidFill>
          </w14:textFill>
        </w:rPr>
        <w:t>1.2.1</w:t>
      </w:r>
      <w:r>
        <w:rPr>
          <w:rFonts w:hint="eastAsia" w:ascii="宋体" w:hAnsi="宋体"/>
          <w:color w:val="000000" w:themeColor="text1"/>
          <w:szCs w:val="21"/>
          <w14:textFill>
            <w14:solidFill>
              <w14:schemeClr w14:val="tx1"/>
            </w14:solidFill>
          </w14:textFill>
        </w:rPr>
        <w:t>投标截止期前，各投标人递交投标文件（包括技术标投标文件、经济标投标文件）至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交易平台。有关投标文件提交的事项详见第一章投标须知。</w:t>
      </w:r>
    </w:p>
    <w:p>
      <w:pPr>
        <w:pBdr>
          <w:bottom w:val="single" w:color="auto" w:sz="6" w:space="1"/>
        </w:pBdr>
        <w:spacing w:line="360" w:lineRule="auto"/>
        <w:ind w:firstLine="527" w:firstLineChars="25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现文：4</w:t>
      </w:r>
      <w:r>
        <w:rPr>
          <w:rFonts w:ascii="宋体" w:hAnsi="宋体"/>
          <w:b/>
          <w:color w:val="000000" w:themeColor="text1"/>
          <w:szCs w:val="21"/>
          <w14:textFill>
            <w14:solidFill>
              <w14:schemeClr w14:val="tx1"/>
            </w14:solidFill>
          </w14:textFill>
        </w:rPr>
        <w:t>1.2.1</w:t>
      </w:r>
      <w:r>
        <w:rPr>
          <w:rFonts w:hint="eastAsia" w:ascii="宋体" w:hAnsi="宋体"/>
          <w:color w:val="000000" w:themeColor="text1"/>
          <w:szCs w:val="21"/>
          <w14:textFill>
            <w14:solidFill>
              <w14:schemeClr w14:val="tx1"/>
            </w14:solidFill>
          </w14:textFill>
        </w:rPr>
        <w:t>投标截止期前，各投标人递交投标文件（包括技术标投标文件、经济标投标文件）至</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交易平台。有关投标文件提交的事项详见第一章投标须知。</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41.2.2            </w:t>
      </w:r>
      <w:r>
        <w:rPr>
          <w:rFonts w:hint="eastAsia" w:ascii="宋体" w:hAnsi="宋体"/>
          <w:b/>
          <w:color w:val="000000" w:themeColor="text1"/>
          <w:szCs w:val="21"/>
          <w14:textFill>
            <w14:solidFill>
              <w14:schemeClr w14:val="tx1"/>
            </w14:solidFill>
          </w14:textFill>
        </w:rPr>
        <w:t xml:space="preserve">                            修改类型：删除</w:t>
      </w:r>
    </w:p>
    <w:p>
      <w:pPr>
        <w:pBdr>
          <w:bottom w:val="single" w:color="auto" w:sz="6" w:space="1"/>
        </w:pBdr>
        <w:spacing w:line="360" w:lineRule="auto"/>
        <w:ind w:firstLine="527" w:firstLineChars="25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41.2.2开标前，首先由招标人随机抽取确定该工程计算评标参考价的等分点值X。</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41.2.</w:t>
      </w: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snapToGrid w:val="0"/>
        <w:spacing w:line="360" w:lineRule="auto"/>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原文：</w:t>
      </w:r>
      <w:r>
        <w:rPr>
          <w:rFonts w:hint="eastAsia" w:ascii="宋体"/>
          <w:color w:val="000000" w:themeColor="text1"/>
          <w:szCs w:val="21"/>
          <w14:textFill>
            <w14:solidFill>
              <w14:schemeClr w14:val="tx1"/>
            </w14:solidFill>
          </w14:textFill>
        </w:rPr>
        <w:t>41.2.3开标时，投标人代表有权出席开标会，也可以自主决定不参加开标会，若投标人代表对开标过程提出异议，该投标人代表须同时出示本人身份证原件。</w:t>
      </w:r>
    </w:p>
    <w:p>
      <w:pPr>
        <w:pBdr>
          <w:bottom w:val="single" w:color="auto" w:sz="4" w:space="1"/>
        </w:pBdr>
        <w:snapToGrid w:val="0"/>
        <w:spacing w:line="360" w:lineRule="auto"/>
        <w:ind w:firstLine="422" w:firstLineChars="200"/>
        <w:rPr>
          <w:rFonts w:ascii="宋体"/>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现文</w:t>
      </w:r>
      <w:r>
        <w:rPr>
          <w:rFonts w:hint="eastAsia" w:ascii="宋体"/>
          <w:color w:val="000000" w:themeColor="text1"/>
          <w:szCs w:val="21"/>
          <w14:textFill>
            <w14:solidFill>
              <w14:schemeClr w14:val="tx1"/>
            </w14:solidFill>
          </w14:textFill>
        </w:rPr>
        <w:t>：41.2.3开标时，投标人代表有权出席开标会</w:t>
      </w:r>
      <w:r>
        <w:rPr>
          <w:rFonts w:hint="eastAsia" w:ascii="宋体"/>
          <w:color w:val="000000" w:themeColor="text1"/>
          <w:szCs w:val="21"/>
          <w:u w:val="single"/>
          <w14:textFill>
            <w14:solidFill>
              <w14:schemeClr w14:val="tx1"/>
            </w14:solidFill>
          </w14:textFill>
        </w:rPr>
        <w:t>或在线开标</w:t>
      </w:r>
      <w:r>
        <w:rPr>
          <w:rFonts w:hint="eastAsia" w:ascii="宋体"/>
          <w:color w:val="000000" w:themeColor="text1"/>
          <w:szCs w:val="21"/>
          <w14:textFill>
            <w14:solidFill>
              <w14:schemeClr w14:val="tx1"/>
            </w14:solidFill>
          </w14:textFill>
        </w:rPr>
        <w:t>，也可以自主决定不参加开标会，若投标人代表对开标过程提出异议，</w:t>
      </w:r>
      <w:r>
        <w:rPr>
          <w:rFonts w:hint="eastAsia" w:ascii="宋体"/>
          <w:color w:val="000000" w:themeColor="text1"/>
          <w:szCs w:val="21"/>
          <w:u w:val="single"/>
          <w14:textFill>
            <w14:solidFill>
              <w14:schemeClr w14:val="tx1"/>
            </w14:solidFill>
          </w14:textFill>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color w:val="000000" w:themeColor="text1"/>
          <w:szCs w:val="21"/>
          <w14:textFill>
            <w14:solidFill>
              <w14:schemeClr w14:val="tx1"/>
            </w14:solidFill>
          </w14:textFill>
        </w:rPr>
        <w:t>。</w:t>
      </w:r>
    </w:p>
    <w:p>
      <w:pPr>
        <w:adjustRightIn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2、43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修改类型：修改</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原文：42. </w:t>
      </w:r>
      <w:r>
        <w:rPr>
          <w:rFonts w:hint="eastAsia" w:ascii="宋体" w:hAnsi="宋体" w:cs="宋体"/>
          <w:bCs/>
          <w:color w:val="000000" w:themeColor="text1"/>
          <w:szCs w:val="21"/>
          <w14:textFill>
            <w14:solidFill>
              <w14:schemeClr w14:val="tx1"/>
            </w14:solidFill>
          </w14:textFill>
        </w:rPr>
        <w:t>资格审查及评标细则</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r>
        <w:rPr>
          <w:rFonts w:hint="eastAsia" w:ascii="宋体" w:hAnsi="宋体" w:cs="宋体"/>
          <w:bCs/>
          <w:color w:val="000000" w:themeColor="text1"/>
          <w:szCs w:val="21"/>
          <w14:textFill>
            <w14:solidFill>
              <w14:schemeClr w14:val="tx1"/>
            </w14:solidFill>
          </w14:textFill>
        </w:rPr>
        <w:t>资格审查及评标均由招标人依法组建的评标委员会负责。</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评标委员会的组成：方式。</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方式一：评标委员会为综合评标委员会，负责评标工作。</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方式二：评标委员会由技术评审组和经济评审组组成。其中：资格审查、技术评审由技术评标组负责，经济评审由经济评审组负责。</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43．投标人资格审查</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现文：42. </w:t>
      </w:r>
      <w:r>
        <w:rPr>
          <w:rFonts w:hint="eastAsia" w:ascii="宋体" w:hAnsi="宋体" w:cs="宋体"/>
          <w:bCs/>
          <w:color w:val="000000" w:themeColor="text1"/>
          <w:szCs w:val="21"/>
          <w14:textFill>
            <w14:solidFill>
              <w14:schemeClr w14:val="tx1"/>
            </w14:solidFill>
          </w14:textFill>
        </w:rPr>
        <w:t>资格审查及评标细则</w:t>
      </w:r>
    </w:p>
    <w:p>
      <w:pPr>
        <w:adjustRightIn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r>
        <w:rPr>
          <w:rFonts w:hint="eastAsia" w:ascii="宋体" w:hAnsi="宋体" w:cs="宋体"/>
          <w:bCs/>
          <w:color w:val="000000" w:themeColor="text1"/>
          <w:szCs w:val="21"/>
          <w:u w:val="single"/>
          <w14:textFill>
            <w14:solidFill>
              <w14:schemeClr w14:val="tx1"/>
            </w14:solidFill>
          </w14:textFill>
        </w:rPr>
        <w:t>资格审查及评标均由招标人依法组建的评标委员会负责。</w:t>
      </w:r>
    </w:p>
    <w:p>
      <w:pPr>
        <w:adjustRightInd w:val="0"/>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评标委员会的组成：</w:t>
      </w:r>
      <w:r>
        <w:rPr>
          <w:rFonts w:hint="eastAsia" w:ascii="宋体" w:hAnsi="宋体"/>
          <w:color w:val="000000" w:themeColor="text1"/>
          <w:szCs w:val="21"/>
          <w:u w:val="single"/>
          <w14:textFill>
            <w14:solidFill>
              <w14:schemeClr w14:val="tx1"/>
            </w14:solidFill>
          </w14:textFill>
        </w:rPr>
        <w:t>方式一：评标委员会为综合评标委员会，负责</w:t>
      </w:r>
      <w:r>
        <w:rPr>
          <w:rFonts w:hint="eastAsia"/>
          <w:color w:val="000000" w:themeColor="text1"/>
          <w:szCs w:val="21"/>
          <w:u w:val="single"/>
          <w14:textFill>
            <w14:solidFill>
              <w14:schemeClr w14:val="tx1"/>
            </w14:solidFill>
          </w14:textFill>
        </w:rPr>
        <w:t>资格审查及</w:t>
      </w:r>
      <w:r>
        <w:rPr>
          <w:rFonts w:hint="eastAsia" w:ascii="宋体" w:hAnsi="宋体"/>
          <w:color w:val="000000" w:themeColor="text1"/>
          <w:szCs w:val="21"/>
          <w:u w:val="single"/>
          <w14:textFill>
            <w14:solidFill>
              <w14:schemeClr w14:val="tx1"/>
            </w14:solidFill>
          </w14:textFill>
        </w:rPr>
        <w:t>评标工作。</w:t>
      </w:r>
    </w:p>
    <w:p>
      <w:pPr>
        <w:pStyle w:val="5"/>
        <w:tabs>
          <w:tab w:val="left" w:pos="7380"/>
        </w:tabs>
        <w:snapToGrid w:val="0"/>
        <w:spacing w:after="0" w:line="360" w:lineRule="auto"/>
        <w:ind w:firstLineChars="20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43．投标人资格审查</w:t>
      </w:r>
    </w:p>
    <w:p>
      <w:pPr>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color w:val="000000" w:themeColor="text1"/>
          <w:szCs w:val="21"/>
          <w:u w:val="single"/>
          <w14:textFill>
            <w14:solidFill>
              <w14:schemeClr w14:val="tx1"/>
            </w14:solidFill>
          </w14:textFill>
        </w:rPr>
        <w:t>评委发现资格审查文件中含义不明确、对同类问题表述不一致、有明显文字和计算错误的，应当要求投标人作必要的澄清、说明后再判定投标人是否通过资格审查，不得直接认定其不通过资格审查。</w:t>
      </w:r>
    </w:p>
    <w:p>
      <w:pPr>
        <w:pBdr>
          <w:top w:val="single" w:color="auto" w:sz="4" w:space="1"/>
        </w:pBd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w:t>
      </w:r>
      <w:r>
        <w:rPr>
          <w:rFonts w:hint="eastAsia" w:ascii="宋体" w:hAnsi="宋体" w:cs="宋体"/>
          <w:b/>
          <w:color w:val="000000" w:themeColor="text1"/>
          <w:szCs w:val="21"/>
          <w14:textFill>
            <w14:solidFill>
              <w14:schemeClr w14:val="tx1"/>
            </w14:solidFill>
          </w14:textFill>
        </w:rPr>
        <w:t>号：</w:t>
      </w:r>
      <w:r>
        <w:rPr>
          <w:rFonts w:ascii="宋体" w:hAnsi="宋体" w:cs="宋体"/>
          <w:b/>
          <w:color w:val="000000" w:themeColor="text1"/>
          <w:szCs w:val="21"/>
          <w14:textFill>
            <w14:solidFill>
              <w14:schemeClr w14:val="tx1"/>
            </w14:solidFill>
          </w14:textFill>
        </w:rPr>
        <w:t xml:space="preserve">43.6                                         </w:t>
      </w:r>
      <w:r>
        <w:rPr>
          <w:rFonts w:hint="eastAsia" w:ascii="宋体" w:hAnsi="宋体" w:cs="宋体"/>
          <w:b/>
          <w:color w:val="000000" w:themeColor="text1"/>
          <w:szCs w:val="21"/>
          <w14:textFill>
            <w14:solidFill>
              <w14:schemeClr w14:val="tx1"/>
            </w14:solidFill>
          </w14:textFill>
        </w:rPr>
        <w:t>修改类型：修改</w:t>
      </w:r>
    </w:p>
    <w:p>
      <w:pPr>
        <w:spacing w:line="360" w:lineRule="auto"/>
        <w:ind w:firstLine="422" w:firstLineChars="200"/>
        <w:rPr>
          <w:rFonts w:ascii="宋体" w:cs="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s="宋体"/>
          <w:b/>
          <w:color w:val="000000" w:themeColor="text1"/>
          <w:szCs w:val="21"/>
          <w14:textFill>
            <w14:solidFill>
              <w14:schemeClr w14:val="tx1"/>
            </w14:solidFill>
          </w14:textFill>
        </w:rPr>
        <w:t>：</w:t>
      </w:r>
      <w:r>
        <w:rPr>
          <w:rFonts w:ascii="宋体" w:hAnsi="宋体" w:cs="宋体"/>
          <w:bCs/>
          <w:color w:val="000000" w:themeColor="text1"/>
          <w:szCs w:val="21"/>
          <w14:textFill>
            <w14:solidFill>
              <w14:schemeClr w14:val="tx1"/>
            </w14:solidFill>
          </w14:textFill>
        </w:rPr>
        <w:t>43.6</w:t>
      </w:r>
      <w:r>
        <w:rPr>
          <w:rFonts w:hint="eastAsia" w:ascii="宋体" w:hAnsi="宋体" w:cs="宋体"/>
          <w:bCs/>
          <w:color w:val="000000" w:themeColor="text1"/>
          <w:szCs w:val="21"/>
          <w14:textFill>
            <w14:solidFill>
              <w14:schemeClr w14:val="tx1"/>
            </w14:solidFill>
          </w14:textFill>
        </w:rPr>
        <w:t>资格审查合格的投标人少于</w:t>
      </w:r>
      <w:r>
        <w:rPr>
          <w:rFonts w:ascii="宋体" w:hAnsi="宋体" w:cs="宋体"/>
          <w:bCs/>
          <w:color w:val="000000" w:themeColor="text1"/>
          <w:szCs w:val="21"/>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名的（当</w:t>
      </w:r>
      <w:r>
        <w:rPr>
          <w:rFonts w:ascii="宋体" w:hAnsi="宋体" w:cs="宋体"/>
          <w:bCs/>
          <w:color w:val="000000" w:themeColor="text1"/>
          <w:szCs w:val="21"/>
          <w14:textFill>
            <w14:solidFill>
              <w14:schemeClr w14:val="tx1"/>
            </w14:solidFill>
          </w14:textFill>
        </w:rPr>
        <w:t>N</w:t>
      </w:r>
      <w:r>
        <w:rPr>
          <w:rFonts w:hint="eastAsia" w:ascii="宋体" w:hAnsi="宋体" w:cs="宋体"/>
          <w:bCs/>
          <w:color w:val="000000" w:themeColor="text1"/>
          <w:szCs w:val="21"/>
          <w14:textFill>
            <w14:solidFill>
              <w14:schemeClr w14:val="tx1"/>
            </w14:solidFill>
          </w14:textFill>
        </w:rPr>
        <w:t>个标段同时招标且不允许兼中时，资格审查合格的投标人少于</w:t>
      </w:r>
      <w:r>
        <w:rPr>
          <w:rFonts w:ascii="宋体" w:hAnsi="宋体" w:cs="宋体"/>
          <w:bCs/>
          <w:color w:val="000000" w:themeColor="text1"/>
          <w:szCs w:val="21"/>
          <w14:textFill>
            <w14:solidFill>
              <w14:schemeClr w14:val="tx1"/>
            </w14:solidFill>
          </w14:textFill>
        </w:rPr>
        <w:t>N+2</w:t>
      </w:r>
      <w:r>
        <w:rPr>
          <w:rFonts w:hint="eastAsia" w:ascii="宋体" w:hAnsi="宋体" w:cs="宋体"/>
          <w:bCs/>
          <w:color w:val="000000" w:themeColor="text1"/>
          <w:szCs w:val="21"/>
          <w14:textFill>
            <w14:solidFill>
              <w14:schemeClr w14:val="tx1"/>
            </w14:solidFill>
          </w14:textFill>
        </w:rPr>
        <w:t>名），则本项目招标失败。</w:t>
      </w:r>
    </w:p>
    <w:p>
      <w:pPr>
        <w:pBdr>
          <w:bottom w:val="single" w:color="auto" w:sz="6" w:space="1"/>
        </w:pBdr>
        <w:adjustRightInd w:val="0"/>
        <w:spacing w:line="360" w:lineRule="auto"/>
        <w:ind w:firstLine="422" w:firstLineChars="200"/>
        <w:rPr>
          <w:rFonts w:asci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ascii="宋体" w:hAnsi="宋体" w:cs="宋体"/>
          <w:bCs/>
          <w:color w:val="000000" w:themeColor="text1"/>
          <w:szCs w:val="21"/>
          <w14:textFill>
            <w14:solidFill>
              <w14:schemeClr w14:val="tx1"/>
            </w14:solidFill>
          </w14:textFill>
        </w:rPr>
        <w:t>43.6</w:t>
      </w:r>
      <w:r>
        <w:rPr>
          <w:rFonts w:hint="eastAsia" w:ascii="宋体" w:hAnsi="宋体" w:cs="宋体"/>
          <w:color w:val="000000" w:themeColor="text1"/>
          <w:szCs w:val="21"/>
          <w:u w:val="single"/>
          <w14:textFill>
            <w14:solidFill>
              <w14:schemeClr w14:val="tx1"/>
            </w14:solidFill>
          </w14:textFill>
        </w:rPr>
        <w:t>资格审查合格的投标人少于</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名的，则本项目招标失败</w:t>
      </w:r>
      <w:r>
        <w:rPr>
          <w:rFonts w:hint="eastAsia" w:ascii="宋体" w:hAnsi="宋体" w:cs="宋体"/>
          <w:color w:val="000000" w:themeColor="text1"/>
          <w:szCs w:val="21"/>
          <w14:textFill>
            <w14:solidFill>
              <w14:schemeClr w14:val="tx1"/>
            </w14:solidFill>
          </w14:textFill>
        </w:rPr>
        <w:t>。</w:t>
      </w:r>
    </w:p>
    <w:p>
      <w:pP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条款号：4</w:t>
      </w: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.1                                         修改类型：修改</w:t>
      </w:r>
    </w:p>
    <w:p>
      <w:pPr>
        <w:spacing w:line="360" w:lineRule="auto"/>
        <w:ind w:firstLine="422" w:firstLineChars="20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adjustRightInd w:val="0"/>
        <w:spacing w:line="360" w:lineRule="auto"/>
        <w:ind w:firstLine="422" w:firstLineChars="200"/>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olor w:val="000000" w:themeColor="text1"/>
          <w:szCs w:val="21"/>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color w:val="000000" w:themeColor="text1"/>
          <w:szCs w:val="21"/>
          <w:u w:val="single"/>
          <w14:textFill>
            <w14:solidFill>
              <w14:schemeClr w14:val="tx1"/>
            </w14:solidFill>
          </w14:textFill>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w:t>
      </w:r>
      <w:r>
        <w:rPr>
          <w:rFonts w:hint="eastAsia" w:ascii="宋体" w:hAnsi="宋体" w:cs="宋体"/>
          <w:b/>
          <w:color w:val="000000" w:themeColor="text1"/>
          <w:szCs w:val="21"/>
          <w14:textFill>
            <w14:solidFill>
              <w14:schemeClr w14:val="tx1"/>
            </w14:solidFill>
          </w14:textFill>
        </w:rPr>
        <w:t>号：</w:t>
      </w:r>
      <w:r>
        <w:rPr>
          <w:rFonts w:ascii="宋体" w:hAnsi="宋体" w:cs="宋体"/>
          <w:b/>
          <w:color w:val="000000" w:themeColor="text1"/>
          <w:szCs w:val="21"/>
          <w14:textFill>
            <w14:solidFill>
              <w14:schemeClr w14:val="tx1"/>
            </w14:solidFill>
          </w14:textFill>
        </w:rPr>
        <w:t xml:space="preserve">44.2                                         </w:t>
      </w:r>
      <w:r>
        <w:rPr>
          <w:rFonts w:hint="eastAsia" w:ascii="宋体" w:hAnsi="宋体" w:cs="宋体"/>
          <w:b/>
          <w:color w:val="000000" w:themeColor="text1"/>
          <w:szCs w:val="21"/>
          <w14:textFill>
            <w14:solidFill>
              <w14:schemeClr w14:val="tx1"/>
            </w14:solidFill>
          </w14:textFill>
        </w:rPr>
        <w:t>修改类型：修改</w:t>
      </w:r>
    </w:p>
    <w:p>
      <w:pPr>
        <w:spacing w:line="360" w:lineRule="auto"/>
        <w:ind w:firstLine="422" w:firstLineChars="200"/>
        <w:rPr>
          <w:rFonts w:ascii="宋体" w:cs="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s="宋体"/>
          <w:b/>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adjustRightInd w:val="0"/>
        <w:spacing w:line="360" w:lineRule="auto"/>
        <w:ind w:firstLine="422" w:firstLineChars="200"/>
        <w:rPr>
          <w:rFonts w:asci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44.2</w:t>
      </w:r>
      <w:r>
        <w:rPr>
          <w:rFonts w:hint="eastAsia" w:ascii="宋体" w:hAnsi="宋体" w:cs="宋体"/>
          <w:bCs/>
          <w:color w:val="000000" w:themeColor="text1"/>
          <w:szCs w:val="21"/>
          <w:u w:val="single"/>
          <w14:textFill>
            <w14:solidFill>
              <w14:schemeClr w14:val="tx1"/>
            </w14:solidFill>
          </w14:textFill>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pP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条款号：45．                                        修改类型：修改</w:t>
      </w:r>
    </w:p>
    <w:p>
      <w:pPr>
        <w:pBdr>
          <w:bottom w:val="single" w:color="auto" w:sz="6" w:space="1"/>
        </w:pBdr>
        <w:adjustRightInd w:val="0"/>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原文：</w:t>
      </w:r>
      <w:r>
        <w:rPr>
          <w:rFonts w:hint="eastAsia" w:ascii="宋体" w:hAnsi="宋体" w:cs="宋体"/>
          <w:color w:val="000000" w:themeColor="text1"/>
          <w:szCs w:val="21"/>
          <w14:textFill>
            <w14:solidFill>
              <w14:schemeClr w14:val="tx1"/>
            </w14:solidFill>
          </w14:textFill>
        </w:rPr>
        <w:t>45．经济标评审和得分汇总</w:t>
      </w:r>
    </w:p>
    <w:p>
      <w:pPr>
        <w:pBdr>
          <w:bottom w:val="single" w:color="auto" w:sz="6" w:space="1"/>
        </w:pBdr>
        <w:adjustRightIn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45.1若通过技术标有效性审查的投标人中有投标报价均大于等于最高投标限价*D%（D的取值范围为[94,100],由招标人自主确定）的（具体金额为：</w:t>
      </w:r>
      <w:r>
        <w:rPr>
          <w:rFonts w:hint="eastAsia" w:ascii="宋体" w:hAnsi="宋体" w:cs="宋体"/>
          <w:color w:val="000000" w:themeColor="text1"/>
          <w:szCs w:val="21"/>
          <w:u w:val="single"/>
          <w:lang w:bidi="ar"/>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元），则本项目招标失败，由招标人依法重新招标。</w:t>
      </w:r>
    </w:p>
    <w:p>
      <w:pPr>
        <w:pBdr>
          <w:bottom w:val="single" w:color="auto" w:sz="6" w:space="1"/>
        </w:pBdr>
        <w:adjustRightIn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现文：</w:t>
      </w:r>
      <w:r>
        <w:rPr>
          <w:rFonts w:hint="eastAsia" w:ascii="宋体" w:hAnsi="宋体" w:cs="宋体"/>
          <w:color w:val="000000" w:themeColor="text1"/>
          <w:szCs w:val="21"/>
          <w14:textFill>
            <w14:solidFill>
              <w14:schemeClr w14:val="tx1"/>
            </w14:solidFill>
          </w14:textFill>
        </w:rPr>
        <w:t>45．经济标评审</w:t>
      </w:r>
    </w:p>
    <w:p>
      <w:pPr>
        <w:pBdr>
          <w:bottom w:val="single" w:color="auto" w:sz="6" w:space="1"/>
        </w:pBdr>
        <w:adjustRightInd w:val="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45.1若通过技术标有效性审查的投标人中有投标报价均大于等于最高投标限价*D%（D的取值范围为</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100</w:t>
      </w:r>
      <w:r>
        <w:rPr>
          <w:rFonts w:hint="eastAsia"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）的，则本项目招标失败，由招标人依法重新招标</w:t>
      </w:r>
      <w:r>
        <w:rPr>
          <w:rFonts w:hint="eastAsia" w:ascii="宋体" w:hAnsi="宋体" w:cs="宋体"/>
          <w:strike/>
          <w:color w:val="000000" w:themeColor="text1"/>
          <w:szCs w:val="21"/>
          <w14:textFill>
            <w14:solidFill>
              <w14:schemeClr w14:val="tx1"/>
            </w14:solidFill>
          </w14:textFill>
        </w:rPr>
        <w:t>；</w:t>
      </w:r>
      <w:r>
        <w:rPr>
          <w:rFonts w:hint="eastAsia" w:ascii="宋体" w:hAnsi="宋体" w:cs="宋体"/>
          <w:strike/>
          <w:color w:val="000000" w:themeColor="text1"/>
          <w:szCs w:val="21"/>
          <w:u w:val="single"/>
          <w14:textFill>
            <w14:solidFill>
              <w14:schemeClr w14:val="tx1"/>
            </w14:solidFill>
          </w14:textFill>
        </w:rPr>
        <w:t>如</w:t>
      </w:r>
      <w:r>
        <w:rPr>
          <w:rFonts w:hint="eastAsia" w:ascii="宋体" w:hAnsi="宋体"/>
          <w:strike/>
          <w:color w:val="000000" w:themeColor="text1"/>
          <w:szCs w:val="21"/>
          <w:u w:val="single"/>
          <w14:textFill>
            <w14:solidFill>
              <w14:schemeClr w14:val="tx1"/>
            </w14:solidFill>
          </w14:textFill>
        </w:rPr>
        <w:t>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cs="宋体"/>
          <w:color w:val="000000" w:themeColor="text1"/>
          <w:szCs w:val="21"/>
          <w:u w:val="single"/>
          <w14:textFill>
            <w14:solidFill>
              <w14:schemeClr w14:val="tx1"/>
            </w14:solidFill>
          </w14:textFill>
        </w:rPr>
        <w:t>。</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45.2                                         </w:t>
      </w:r>
      <w:r>
        <w:rPr>
          <w:rFonts w:hint="eastAsia" w:ascii="宋体" w:hAnsi="宋体"/>
          <w:b/>
          <w:color w:val="000000" w:themeColor="text1"/>
          <w:szCs w:val="21"/>
          <w14:textFill>
            <w14:solidFill>
              <w14:schemeClr w14:val="tx1"/>
            </w14:solidFill>
          </w14:textFill>
        </w:rPr>
        <w:t>修改类型：删除</w:t>
      </w:r>
    </w:p>
    <w:p>
      <w:pPr>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按方法计算评标参考价：</w:t>
      </w:r>
    </w:p>
    <w:p>
      <w:pPr>
        <w:widowControl/>
        <w:spacing w:line="360" w:lineRule="auto"/>
        <w:ind w:firstLine="422" w:firstLineChars="200"/>
        <w:rPr>
          <w:rFonts w:ascii="宋体" w:hAnsi="宋体"/>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方法一：加权平均法</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技术标或技术标加诚信得分（具体由招标人自定）前</w:t>
      </w:r>
      <w:r>
        <w:rPr>
          <w:rFonts w:ascii="宋体" w:hAnsi="宋体" w:cs="仿宋"/>
          <w:color w:val="000000" w:themeColor="text1"/>
          <w:szCs w:val="21"/>
          <w14:textFill>
            <w14:solidFill>
              <w14:schemeClr w14:val="tx1"/>
            </w14:solidFill>
          </w14:textFill>
        </w:rPr>
        <w:t>N</w:t>
      </w:r>
      <w:r>
        <w:rPr>
          <w:rFonts w:hint="eastAsia" w:ascii="宋体" w:hAnsi="宋体" w:cs="仿宋"/>
          <w:color w:val="000000" w:themeColor="text1"/>
          <w:szCs w:val="21"/>
          <w14:textFill>
            <w14:solidFill>
              <w14:schemeClr w14:val="tx1"/>
            </w14:solidFill>
          </w14:textFill>
        </w:rPr>
        <w:t>名（N≥5，具体由招标人自定）的经济报价加权平均，计算评标参考价。公式如下：</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评标参考价</w:t>
      </w:r>
      <w:r>
        <w:rPr>
          <w:rFonts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Σ（投标人的投标报价</w:t>
      </w:r>
      <w:r>
        <w:rPr>
          <w:rFonts w:ascii="宋体" w:hAnsi="宋体" w:cs="仿宋"/>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报价权重）。</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其中：报价权重的计算方法为：将</w:t>
      </w:r>
      <w:r>
        <w:rPr>
          <w:rFonts w:ascii="宋体" w:hAnsi="宋体" w:cs="仿宋"/>
          <w:color w:val="000000" w:themeColor="text1"/>
          <w:szCs w:val="21"/>
          <w14:textFill>
            <w14:solidFill>
              <w14:schemeClr w14:val="tx1"/>
            </w14:solidFill>
          </w14:textFill>
        </w:rPr>
        <w:t>N</w:t>
      </w:r>
      <w:r>
        <w:rPr>
          <w:rFonts w:hint="eastAsia" w:ascii="宋体" w:hAnsi="宋体" w:cs="仿宋"/>
          <w:color w:val="000000" w:themeColor="text1"/>
          <w:szCs w:val="21"/>
          <w14:textFill>
            <w14:solidFill>
              <w14:schemeClr w14:val="tx1"/>
            </w14:solidFill>
          </w14:textFill>
        </w:rPr>
        <w:t>名投标人按技术分由高至低进行排序，第一名投标人的权重为（</w:t>
      </w:r>
      <w:r>
        <w:rPr>
          <w:rFonts w:ascii="宋体" w:hAnsi="宋体" w:cs="仿宋"/>
          <w:color w:val="000000" w:themeColor="text1"/>
          <w:szCs w:val="21"/>
          <w14:textFill>
            <w14:solidFill>
              <w14:schemeClr w14:val="tx1"/>
            </w14:solidFill>
          </w14:textFill>
        </w:rPr>
        <w:fldChar w:fldCharType="begin"/>
      </w:r>
      <w:r>
        <w:rPr>
          <w:rFonts w:ascii="宋体" w:hAnsi="宋体" w:cs="仿宋"/>
          <w:color w:val="000000" w:themeColor="text1"/>
          <w:szCs w:val="21"/>
          <w14:textFill>
            <w14:solidFill>
              <w14:schemeClr w14:val="tx1"/>
            </w14:solidFill>
          </w14:textFill>
        </w:rPr>
        <w:instrText xml:space="preserve"> QUOTE </w:instrText>
      </w:r>
      <w:r>
        <w:rPr>
          <w:rFonts w:ascii="宋体" w:hAnsi="宋体"/>
          <w:color w:val="000000" w:themeColor="text1"/>
          <w:szCs w:val="21"/>
          <w14:textFill>
            <w14:solidFill>
              <w14:schemeClr w14:val="tx1"/>
            </w14:solidFill>
          </w14:textFill>
        </w:rPr>
        <w:drawing>
          <wp:inline distT="0" distB="0" distL="0" distR="0">
            <wp:extent cx="381635" cy="4495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drawing>
          <wp:inline distT="0" distB="0" distL="0" distR="0">
            <wp:extent cx="381635" cy="44958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end"/>
      </w:r>
      <w:r>
        <w:rPr>
          <w:rFonts w:hint="eastAsia" w:ascii="宋体" w:hAnsi="宋体" w:cs="仿宋"/>
          <w:color w:val="000000" w:themeColor="text1"/>
          <w:szCs w:val="21"/>
          <w14:textFill>
            <w14:solidFill>
              <w14:schemeClr w14:val="tx1"/>
            </w14:solidFill>
          </w14:textFill>
        </w:rPr>
        <w:t>），第二名投标人的权重为（</w:t>
      </w:r>
      <w:r>
        <w:rPr>
          <w:rFonts w:ascii="宋体" w:hAnsi="宋体" w:cs="仿宋"/>
          <w:color w:val="000000" w:themeColor="text1"/>
          <w:szCs w:val="21"/>
          <w14:textFill>
            <w14:solidFill>
              <w14:schemeClr w14:val="tx1"/>
            </w14:solidFill>
          </w14:textFill>
        </w:rPr>
        <w:fldChar w:fldCharType="begin"/>
      </w:r>
      <w:r>
        <w:rPr>
          <w:rFonts w:ascii="宋体" w:hAnsi="宋体" w:cs="仿宋"/>
          <w:color w:val="000000" w:themeColor="text1"/>
          <w:szCs w:val="21"/>
          <w14:textFill>
            <w14:solidFill>
              <w14:schemeClr w14:val="tx1"/>
            </w14:solidFill>
          </w14:textFill>
        </w:rPr>
        <w:instrText xml:space="preserve"> QUOTE </w:instrText>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separate"/>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end"/>
      </w:r>
      <w:r>
        <w:rPr>
          <w:rFonts w:hint="eastAsia" w:ascii="宋体" w:hAnsi="宋体" w:cs="仿宋"/>
          <w:color w:val="000000" w:themeColor="text1"/>
          <w:szCs w:val="21"/>
          <w14:textFill>
            <w14:solidFill>
              <w14:schemeClr w14:val="tx1"/>
            </w14:solidFill>
          </w14:textFill>
        </w:rPr>
        <w:t>），以此类推，最后一名投标人的权重为（</w:t>
      </w:r>
      <w:r>
        <w:rPr>
          <w:rFonts w:ascii="宋体" w:hAnsi="宋体" w:cs="仿宋"/>
          <w:color w:val="000000" w:themeColor="text1"/>
          <w:szCs w:val="21"/>
          <w14:textFill>
            <w14:solidFill>
              <w14:schemeClr w14:val="tx1"/>
            </w14:solidFill>
          </w14:textFill>
        </w:rPr>
        <w:fldChar w:fldCharType="begin"/>
      </w:r>
      <w:r>
        <w:rPr>
          <w:rFonts w:ascii="宋体" w:hAnsi="宋体" w:cs="仿宋"/>
          <w:color w:val="000000" w:themeColor="text1"/>
          <w:szCs w:val="21"/>
          <w14:textFill>
            <w14:solidFill>
              <w14:schemeClr w14:val="tx1"/>
            </w14:solidFill>
          </w14:textFill>
        </w:rPr>
        <w:instrText xml:space="preserve"> QUOTE </w:instrText>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separate"/>
      </w:r>
      <w:r>
        <w:rPr>
          <w:rFonts w:ascii="宋体" w:hAnsi="宋体"/>
          <w:color w:val="000000" w:themeColor="text1"/>
          <w:position w:val="-23"/>
          <w:szCs w:val="21"/>
          <w14:textFill>
            <w14:solidFill>
              <w14:schemeClr w14:val="tx1"/>
            </w14:solidFill>
          </w14:textFill>
        </w:rPr>
        <w:drawing>
          <wp:inline distT="0" distB="0" distL="0" distR="0">
            <wp:extent cx="322580" cy="40068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color w:val="000000" w:themeColor="text1"/>
          <w:szCs w:val="21"/>
          <w14:textFill>
            <w14:solidFill>
              <w14:schemeClr w14:val="tx1"/>
            </w14:solidFill>
          </w14:textFill>
        </w:rPr>
        <w:fldChar w:fldCharType="end"/>
      </w:r>
      <w:r>
        <w:rPr>
          <w:rFonts w:hint="eastAsia" w:ascii="宋体" w:hAnsi="宋体" w:cs="仿宋"/>
          <w:color w:val="000000" w:themeColor="text1"/>
          <w:szCs w:val="21"/>
          <w14:textFill>
            <w14:solidFill>
              <w14:schemeClr w14:val="tx1"/>
            </w14:solidFill>
          </w14:textFill>
        </w:rPr>
        <w:t>）。</w:t>
      </w:r>
    </w:p>
    <w:p>
      <w:pPr>
        <w:widowControl/>
        <w:spacing w:line="360" w:lineRule="auto"/>
        <w:ind w:firstLine="422" w:firstLineChars="200"/>
        <w:rPr>
          <w:rFonts w:ascii="宋体" w:hAnsi="宋体"/>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方法二：区间抽取法</w:t>
      </w:r>
    </w:p>
    <w:p>
      <w:pPr>
        <w:widowControl/>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000000" w:themeColor="text1"/>
          <w:kern w:val="0"/>
          <w:szCs w:val="21"/>
          <w:vertAlign w:val="subscript"/>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评标参考价</w:t>
      </w:r>
      <w:r>
        <w:rPr>
          <w:rFonts w:ascii="宋体" w:hAnsi="宋体" w:cs="仿宋"/>
          <w:color w:val="000000" w:themeColor="text1"/>
          <w:kern w:val="0"/>
          <w:szCs w:val="21"/>
          <w14:textFill>
            <w14:solidFill>
              <w14:schemeClr w14:val="tx1"/>
            </w14:solidFill>
          </w14:textFill>
        </w:rPr>
        <w:t>=</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高</w:t>
      </w: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低</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/100*</w:t>
      </w:r>
      <w:r>
        <w:rPr>
          <w:rFonts w:hint="eastAsia" w:ascii="宋体" w:hAnsi="宋体" w:cs="仿宋"/>
          <w:color w:val="000000" w:themeColor="text1"/>
          <w:kern w:val="0"/>
          <w:szCs w:val="21"/>
          <w14:textFill>
            <w14:solidFill>
              <w14:schemeClr w14:val="tx1"/>
            </w14:solidFill>
          </w14:textFill>
        </w:rPr>
        <w:t>Ｘ</w:t>
      </w: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低</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Q</w:t>
      </w:r>
      <w:r>
        <w:rPr>
          <w:rFonts w:hint="eastAsia" w:ascii="宋体" w:hAnsi="宋体" w:cs="仿宋"/>
          <w:color w:val="000000" w:themeColor="text1"/>
          <w:szCs w:val="21"/>
          <w:vertAlign w:val="subscript"/>
          <w14:textFill>
            <w14:solidFill>
              <w14:schemeClr w14:val="tx1"/>
            </w14:solidFill>
          </w14:textFill>
        </w:rPr>
        <w:t>低</w:t>
      </w:r>
      <w:r>
        <w:rPr>
          <w:rFonts w:hint="eastAsia" w:ascii="宋体" w:hAnsi="宋体" w:cs="仿宋"/>
          <w:color w:val="000000" w:themeColor="text1"/>
          <w:szCs w:val="21"/>
          <w14:textFill>
            <w14:solidFill>
              <w14:schemeClr w14:val="tx1"/>
            </w14:solidFill>
          </w14:textFill>
        </w:rPr>
        <w:t>：为达到或超过技术标及格分数线的投标人最低报价与工程成本警示价两者中的较高值；</w:t>
      </w:r>
    </w:p>
    <w:p>
      <w:pPr>
        <w:spacing w:line="360" w:lineRule="auto"/>
        <w:ind w:firstLine="420" w:firstLineChars="200"/>
        <w:rPr>
          <w:rFonts w:ascii="宋体" w:hAnsi="宋体" w:cs="仿宋"/>
          <w:color w:val="000000" w:themeColor="text1"/>
          <w:szCs w:val="21"/>
          <w14:textFill>
            <w14:solidFill>
              <w14:schemeClr w14:val="tx1"/>
            </w14:solidFill>
          </w14:textFill>
        </w:rPr>
      </w:pPr>
      <w:r>
        <w:rPr>
          <w:rFonts w:ascii="宋体" w:hAnsi="宋体" w:cs="仿宋"/>
          <w:color w:val="000000" w:themeColor="text1"/>
          <w:kern w:val="0"/>
          <w:szCs w:val="21"/>
          <w14:textFill>
            <w14:solidFill>
              <w14:schemeClr w14:val="tx1"/>
            </w14:solidFill>
          </w14:textFill>
        </w:rPr>
        <w:t>Q</w:t>
      </w:r>
      <w:r>
        <w:rPr>
          <w:rFonts w:hint="eastAsia" w:ascii="宋体" w:hAnsi="宋体" w:cs="仿宋"/>
          <w:color w:val="000000" w:themeColor="text1"/>
          <w:kern w:val="0"/>
          <w:szCs w:val="21"/>
          <w:vertAlign w:val="subscript"/>
          <w14:textFill>
            <w14:solidFill>
              <w14:schemeClr w14:val="tx1"/>
            </w14:solidFill>
          </w14:textFill>
        </w:rPr>
        <w:t>高</w:t>
      </w:r>
      <w:r>
        <w:rPr>
          <w:rFonts w:hint="eastAsia" w:ascii="宋体" w:hAnsi="宋体" w:cs="仿宋"/>
          <w:color w:val="000000" w:themeColor="text1"/>
          <w:szCs w:val="21"/>
          <w14:textFill>
            <w14:solidFill>
              <w14:schemeClr w14:val="tx1"/>
            </w14:solidFill>
          </w14:textFill>
        </w:rPr>
        <w:t>：为（最高投标限价</w:t>
      </w:r>
      <w:r>
        <w:rPr>
          <w:rFonts w:ascii="宋体" w:hAnsi="宋体" w:cs="仿宋"/>
          <w:color w:val="000000" w:themeColor="text1"/>
          <w:szCs w:val="21"/>
          <w14:textFill>
            <w14:solidFill>
              <w14:schemeClr w14:val="tx1"/>
            </w14:solidFill>
          </w14:textFill>
        </w:rPr>
        <w:t>*D%</w:t>
      </w:r>
      <w:r>
        <w:rPr>
          <w:rFonts w:hint="eastAsia" w:ascii="宋体" w:hAnsi="宋体" w:cs="仿宋"/>
          <w:color w:val="000000" w:themeColor="text1"/>
          <w:szCs w:val="21"/>
          <w14:textFill>
            <w14:solidFill>
              <w14:schemeClr w14:val="tx1"/>
            </w14:solidFill>
          </w14:textFill>
        </w:rPr>
        <w:t>）（</w:t>
      </w:r>
      <w:r>
        <w:rPr>
          <w:rFonts w:ascii="宋体" w:hAnsi="宋体" w:cs="仿宋"/>
          <w:color w:val="000000" w:themeColor="text1"/>
          <w:szCs w:val="21"/>
          <w14:textFill>
            <w14:solidFill>
              <w14:schemeClr w14:val="tx1"/>
            </w14:solidFill>
          </w14:textFill>
        </w:rPr>
        <w:t>D</w:t>
      </w:r>
      <w:r>
        <w:rPr>
          <w:rFonts w:hint="eastAsia" w:ascii="宋体" w:hAnsi="宋体" w:cs="仿宋"/>
          <w:color w:val="000000" w:themeColor="text1"/>
          <w:szCs w:val="21"/>
          <w14:textFill>
            <w14:solidFill>
              <w14:schemeClr w14:val="tx1"/>
            </w14:solidFill>
          </w14:textFill>
        </w:rPr>
        <w:t>的取值范围为</w:t>
      </w:r>
      <w:r>
        <w:rPr>
          <w:rFonts w:ascii="宋体" w:hAnsi="宋体" w:cs="仿宋"/>
          <w:color w:val="000000" w:themeColor="text1"/>
          <w:szCs w:val="21"/>
          <w14:textFill>
            <w14:solidFill>
              <w14:schemeClr w14:val="tx1"/>
            </w14:solidFill>
          </w14:textFill>
        </w:rPr>
        <w:t>[94,100],</w:t>
      </w:r>
      <w:r>
        <w:rPr>
          <w:rFonts w:hint="eastAsia" w:ascii="宋体" w:hAnsi="宋体" w:cs="仿宋"/>
          <w:color w:val="000000" w:themeColor="text1"/>
          <w:szCs w:val="21"/>
          <w14:textFill>
            <w14:solidFill>
              <w14:schemeClr w14:val="tx1"/>
            </w14:solidFill>
          </w14:textFill>
        </w:rPr>
        <w:t>由招标人自定）</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X:</w:t>
      </w:r>
      <w:r>
        <w:rPr>
          <w:rFonts w:hint="eastAsia" w:ascii="宋体" w:hAnsi="宋体" w:cs="仿宋"/>
          <w:color w:val="000000" w:themeColor="text1"/>
          <w:szCs w:val="21"/>
          <w14:textFill>
            <w14:solidFill>
              <w14:schemeClr w14:val="tx1"/>
            </w14:solidFill>
          </w14:textFill>
        </w:rPr>
        <w:t>为等分点值，在开标前从</w:t>
      </w:r>
      <w:r>
        <w:rPr>
          <w:rFonts w:ascii="宋体" w:hAnsi="宋体" w:cs="仿宋"/>
          <w:color w:val="000000" w:themeColor="text1"/>
          <w:szCs w:val="21"/>
          <w14:textFill>
            <w14:solidFill>
              <w14:schemeClr w14:val="tx1"/>
            </w14:solidFill>
          </w14:textFill>
        </w:rPr>
        <w:t>[0,100]</w:t>
      </w:r>
      <w:r>
        <w:rPr>
          <w:rFonts w:hint="eastAsia" w:ascii="宋体" w:hAnsi="宋体" w:cs="仿宋"/>
          <w:color w:val="000000" w:themeColor="text1"/>
          <w:szCs w:val="21"/>
          <w14:textFill>
            <w14:solidFill>
              <w14:schemeClr w14:val="tx1"/>
            </w14:solidFill>
          </w14:textFill>
        </w:rPr>
        <w:t>整数中随机抽取</w:t>
      </w:r>
    </w:p>
    <w:p>
      <w:pPr>
        <w:pBdr>
          <w:top w:val="single" w:color="auto" w:sz="4" w:space="1"/>
        </w:pBd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45.3                                        </w:t>
      </w:r>
      <w:r>
        <w:rPr>
          <w:rFonts w:hint="eastAsia" w:ascii="宋体" w:hAnsi="宋体"/>
          <w:b/>
          <w:color w:val="000000" w:themeColor="text1"/>
          <w:szCs w:val="21"/>
          <w14:textFill>
            <w14:solidFill>
              <w14:schemeClr w14:val="tx1"/>
            </w14:solidFill>
          </w14:textFill>
        </w:rPr>
        <w:t>修改类型：删除</w:t>
      </w:r>
    </w:p>
    <w:p>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5.3</w:t>
      </w:r>
      <w:r>
        <w:rPr>
          <w:rFonts w:hint="eastAsia" w:ascii="宋体" w:hAnsi="宋体"/>
          <w:color w:val="000000" w:themeColor="text1"/>
          <w:szCs w:val="21"/>
          <w14:textFill>
            <w14:solidFill>
              <w14:schemeClr w14:val="tx1"/>
            </w14:solidFill>
          </w14:textFill>
        </w:rPr>
        <w:t>当标价等于评标参考价时得</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分，标价每高于评标参考价</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，扣</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分，每低于评标参考价</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，扣</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分，扣至</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分为止，得出经济分，精确到小数点后两位。</w:t>
      </w:r>
    </w:p>
    <w:p>
      <w:pPr>
        <w:pBdr>
          <w:top w:val="single" w:color="auto" w:sz="4" w:space="1"/>
        </w:pBd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45.4                                        </w:t>
      </w:r>
      <w:r>
        <w:rPr>
          <w:rFonts w:hint="eastAsia"/>
          <w:b/>
          <w:color w:val="000000" w:themeColor="text1"/>
          <w:szCs w:val="21"/>
          <w14:textFill>
            <w14:solidFill>
              <w14:schemeClr w14:val="tx1"/>
            </w14:solidFill>
          </w14:textFill>
        </w:rPr>
        <w:t>修改类型：删除</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ascii="宋体" w:hAnsi="宋体"/>
          <w:color w:val="000000" w:themeColor="text1"/>
          <w:szCs w:val="21"/>
          <w14:textFill>
            <w14:solidFill>
              <w14:schemeClr w14:val="tx1"/>
            </w14:solidFill>
          </w14:textFill>
        </w:rPr>
        <w:t>45.4</w:t>
      </w:r>
      <w:r>
        <w:rPr>
          <w:rFonts w:ascii="Times New Roman" w:hAnsi="Times New Roman"/>
          <w:color w:val="000000" w:themeColor="text1"/>
          <w:szCs w:val="21"/>
          <w14:textFill>
            <w14:solidFill>
              <w14:schemeClr w14:val="tx1"/>
            </w14:solidFill>
          </w14:textFill>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single" w:color="auto" w:sz="4" w:space="1"/>
        </w:pBd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 xml:space="preserve">46.1                                        </w:t>
      </w:r>
      <w:r>
        <w:rPr>
          <w:rFonts w:hint="eastAsia"/>
          <w:b/>
          <w:color w:val="000000" w:themeColor="text1"/>
          <w:szCs w:val="21"/>
          <w14:textFill>
            <w14:solidFill>
              <w14:schemeClr w14:val="tx1"/>
            </w14:solidFill>
          </w14:textFill>
        </w:rPr>
        <w:t>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46.1经济标的有效性审查：</w:t>
      </w:r>
      <w:r>
        <w:rPr>
          <w:rFonts w:hint="eastAsia" w:ascii="宋体" w:hAnsi="宋体" w:cs="宋体"/>
          <w:bCs/>
          <w:color w:val="000000" w:themeColor="text1"/>
          <w:szCs w:val="21"/>
          <w:u w:val="single"/>
          <w14:textFill>
            <w14:solidFill>
              <w14:schemeClr w14:val="tx1"/>
            </w14:solidFill>
          </w14:textFill>
        </w:rPr>
        <w:t>评标委员会对技术标有效性审查合格的投标文件进行经济标有效性审查</w:t>
      </w:r>
      <w:r>
        <w:rPr>
          <w:rFonts w:hint="eastAsia" w:ascii="宋体" w:hAnsi="宋体" w:cs="宋体"/>
          <w:bCs/>
          <w:color w:val="000000" w:themeColor="text1"/>
          <w:szCs w:val="21"/>
          <w14:textFill>
            <w14:solidFill>
              <w14:schemeClr w14:val="tx1"/>
            </w14:solidFill>
          </w14:textFill>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47</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47.评标委员会按只有通过有效性审查的投标人的投标文件方可进入下一阶段评审的评审原则，根据有效性审查结果，</w:t>
      </w:r>
      <w:r>
        <w:rPr>
          <w:rFonts w:hint="eastAsia" w:ascii="宋体" w:hAnsi="宋体" w:cs="宋体"/>
          <w:bCs/>
          <w:color w:val="000000" w:themeColor="text1"/>
          <w:szCs w:val="21"/>
          <w:u w:val="single"/>
          <w14:textFill>
            <w14:solidFill>
              <w14:schemeClr w14:val="tx1"/>
            </w14:solidFill>
          </w14:textFill>
        </w:rPr>
        <w:t>取消被否决投标的投标人被推荐为合格中标候选人的资格，其余通过全部有效性审查的投标人均被推荐为合格中标候选人。</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48</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14:textFill>
            <w14:solidFill>
              <w14:schemeClr w14:val="tx1"/>
            </w14:solidFill>
          </w14:textFill>
        </w:rPr>
        <w:t>48.</w:t>
      </w:r>
      <w:r>
        <w:rPr>
          <w:rFonts w:hint="eastAsia" w:ascii="宋体" w:hAnsi="宋体" w:cs="宋体"/>
          <w:bCs/>
          <w:szCs w:val="21"/>
        </w:rPr>
        <w:t>评标委员会应将通过全部有效性审查的投标人</w:t>
      </w:r>
      <w:r>
        <w:rPr>
          <w:rFonts w:hint="eastAsia" w:ascii="宋体" w:hAnsi="宋体" w:cs="宋体"/>
          <w:bCs/>
          <w:color w:val="000000" w:themeColor="text1"/>
          <w:szCs w:val="21"/>
          <w:u w:val="single"/>
          <w14:textFill>
            <w14:solidFill>
              <w14:schemeClr w14:val="tx1"/>
            </w14:solidFill>
          </w14:textFill>
        </w:rPr>
        <w:t>推荐合格中标候选人名单，合格</w:t>
      </w:r>
      <w:r>
        <w:rPr>
          <w:rFonts w:hint="eastAsia" w:ascii="Times New Roman" w:hAnsi="Times New Roman"/>
          <w:color w:val="000000" w:themeColor="text1"/>
          <w:u w:val="single"/>
          <w14:textFill>
            <w14:solidFill>
              <w14:schemeClr w14:val="tx1"/>
            </w14:solidFill>
          </w14:textFill>
        </w:rPr>
        <w:t>中标候选人不排序</w:t>
      </w:r>
      <w:r>
        <w:rPr>
          <w:rFonts w:hint="eastAsia" w:ascii="宋体" w:hAnsi="宋体" w:cs="宋体"/>
          <w:bCs/>
          <w:color w:val="000000" w:themeColor="text1"/>
          <w:szCs w:val="21"/>
          <w:u w:val="single"/>
          <w14:textFill>
            <w14:solidFill>
              <w14:schemeClr w14:val="tx1"/>
            </w14:solidFill>
          </w14:textFill>
        </w:rPr>
        <w:t>，并编制评标报告</w:t>
      </w:r>
      <w:r>
        <w:rPr>
          <w:rFonts w:hint="eastAsia" w:ascii="Times New Roman" w:hAnsi="Times New Roman"/>
          <w:color w:val="000000" w:themeColor="text1"/>
          <w:u w:val="single"/>
          <w14:textFill>
            <w14:solidFill>
              <w14:schemeClr w14:val="tx1"/>
            </w14:solidFill>
          </w14:textFill>
        </w:rPr>
        <w:t>。合格的中标候选人少于</w:t>
      </w:r>
      <w:r>
        <w:rPr>
          <w:rFonts w:ascii="Times New Roman" w:hAnsi="Times New Roman"/>
          <w:color w:val="000000" w:themeColor="text1"/>
          <w:u w:val="single"/>
          <w14:textFill>
            <w14:solidFill>
              <w14:schemeClr w14:val="tx1"/>
            </w14:solidFill>
          </w14:textFill>
        </w:rPr>
        <w:t>3</w:t>
      </w:r>
      <w:r>
        <w:rPr>
          <w:rFonts w:hint="eastAsia" w:ascii="Times New Roman" w:hAnsi="Times New Roman"/>
          <w:color w:val="000000" w:themeColor="text1"/>
          <w:u w:val="single"/>
          <w14:textFill>
            <w14:solidFill>
              <w14:schemeClr w14:val="tx1"/>
            </w14:solidFill>
          </w14:textFill>
        </w:rPr>
        <w:t>家的，应当重新招标。</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49</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rFonts w:ascii="Times New Roman" w:hAnsi="Times New Roman"/>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若通过经济标有效性审查的投标人不足三家，应当依法重新招标。（当N个标段同时招标且不允许兼中时，若有效投标人不足N+2家，应当依法重新招标）</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ascii="宋体" w:hAnsi="宋体" w:cs="宋体"/>
          <w:bCs/>
          <w:color w:val="000000" w:themeColor="text1"/>
          <w:szCs w:val="21"/>
          <w14:textFill>
            <w14:solidFill>
              <w14:schemeClr w14:val="tx1"/>
            </w14:solidFill>
          </w14:textFill>
        </w:rPr>
        <w:t>49.</w:t>
      </w:r>
      <w:r>
        <w:rPr>
          <w:rFonts w:hint="eastAsia" w:ascii="宋体" w:hAnsi="宋体"/>
          <w:color w:val="000000" w:themeColor="text1"/>
          <w:szCs w:val="21"/>
          <w14:textFill>
            <w14:solidFill>
              <w14:schemeClr w14:val="tx1"/>
            </w14:solidFill>
          </w14:textFill>
        </w:rPr>
        <w:t>若通过经济标有效性审查的投标人不足三家，应当依法重新招标。</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w:t>
      </w:r>
      <w:r>
        <w:rPr>
          <w:rFonts w:ascii="宋体" w:hAnsi="宋体"/>
          <w:b/>
          <w:color w:val="000000" w:themeColor="text1"/>
          <w:szCs w:val="21"/>
          <w14:textFill>
            <w14:solidFill>
              <w14:schemeClr w14:val="tx1"/>
            </w14:solidFill>
          </w14:textFill>
        </w:rPr>
        <w:t>50</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修改类型：增加</w:t>
      </w:r>
    </w:p>
    <w:p>
      <w:pPr>
        <w:pBdr>
          <w:bottom w:val="single" w:color="auto" w:sz="6" w:space="1"/>
        </w:pBdr>
        <w:adjustRightInd w:val="0"/>
        <w:spacing w:line="360" w:lineRule="auto"/>
        <w:ind w:firstLine="422" w:firstLineChars="200"/>
        <w:rPr>
          <w:rFonts w:ascii="宋体" w:hAnsi="宋体" w:cs="宋体"/>
          <w:bCs/>
          <w:color w:val="000000" w:themeColor="text1"/>
          <w:szCs w:val="21"/>
          <w:u w:val="single"/>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ascii="宋体" w:hAnsi="宋体" w:cs="宋体"/>
          <w:bCs/>
          <w:color w:val="000000" w:themeColor="text1"/>
          <w:szCs w:val="21"/>
          <w:u w:val="single"/>
          <w14:textFill>
            <w14:solidFill>
              <w14:schemeClr w14:val="tx1"/>
            </w14:solidFill>
          </w14:textFill>
        </w:rPr>
        <w:t>50.定标</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50.1定标委员会</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评标结束后，招标人按以下规定组建定标委员会，在评标委员会提交的合格的中标候选人名单中确定中标人：</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定标由招标人组建的定标委员会负责，成员数量为5人或以上单数。成员由招标人工作人员担任，除招标人领导班子成员担任定标委员会成员外，定标委员会成员需具备相应专业能力。</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50.2 定标时间和地点</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招标人在中标候选人公示完成后10个工作日内，在广州公共资源交易中心举行定标会议，招标人按规定程序在投标人须知的时间和地点完成定标工作。</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 定标规则</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本项目采用 直接票决定标法 定标方法,定标方法如下：</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 定标程序</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50.3.1.1定标工作开始后，发放选票，由定标委员会参考定标因素进行投票排名，定标委员会应推荐一人为定标委员会组长，主持当次定标会议。</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50.3.1.2定标参考资料为评标阶段的评标报告、投标人提交的投标文件。</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50.3.1.3定标委员会根据定标因素及定标参考资料进行记名投票，确定中标人，定标因素详见附表六。</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1）价格因素：</w:t>
      </w:r>
      <w:r>
        <w:rPr>
          <w:rFonts w:hint="eastAsia" w:ascii="宋体" w:hAnsi="宋体" w:cs="宋体"/>
          <w:bCs/>
          <w:color w:val="000000" w:themeColor="text1"/>
          <w:szCs w:val="21"/>
          <w:u w:val="single"/>
          <w14:textFill>
            <w14:solidFill>
              <w14:schemeClr w14:val="tx1"/>
            </w14:solidFill>
          </w14:textFill>
        </w:rPr>
        <w:t>对合格的中标候选人的投标报价进行横向比较评审</w:t>
      </w:r>
      <w:r>
        <w:rPr>
          <w:rFonts w:ascii="宋体" w:hAnsi="宋体" w:cs="宋体"/>
          <w:bCs/>
          <w:color w:val="000000" w:themeColor="text1"/>
          <w:szCs w:val="21"/>
          <w:u w:val="single"/>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2）方案因素</w:t>
      </w:r>
      <w:r>
        <w:rPr>
          <w:rFonts w:hint="eastAsia" w:ascii="宋体" w:hAnsi="宋体" w:cs="宋体"/>
          <w:bCs/>
          <w:color w:val="000000" w:themeColor="text1"/>
          <w:szCs w:val="21"/>
          <w:u w:val="single"/>
          <w14:textFill>
            <w14:solidFill>
              <w14:schemeClr w14:val="tx1"/>
            </w14:solidFill>
          </w14:textFill>
        </w:rPr>
        <w:t>：①主要对施工总进度计划；工程重点、难点与施工技术措施；拟投入施工的机械设备和劳务配备情况；调试、送电、验收方案；安全文明施工保证措施；质量及保证措施等在所有合格中标候选人中进行横向对比。②根据招标人上级单位对合格投标人过往在招标人上级集团单位系内的参建项目的安全生产不良行为扣分和处理情况进行综合评价；</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3）资信因素：主要对</w:t>
      </w:r>
      <w:r>
        <w:rPr>
          <w:rFonts w:hint="eastAsia" w:ascii="宋体" w:hAnsi="宋体" w:cs="宋体"/>
          <w:bCs/>
          <w:color w:val="000000" w:themeColor="text1"/>
          <w:szCs w:val="21"/>
          <w:u w:val="single"/>
          <w14:textFill>
            <w14:solidFill>
              <w14:schemeClr w14:val="tx1"/>
            </w14:solidFill>
          </w14:textFill>
        </w:rPr>
        <w:t>类似项目</w:t>
      </w:r>
      <w:r>
        <w:rPr>
          <w:rFonts w:ascii="宋体" w:hAnsi="宋体" w:cs="宋体"/>
          <w:bCs/>
          <w:color w:val="000000" w:themeColor="text1"/>
          <w:szCs w:val="21"/>
          <w:u w:val="single"/>
          <w14:textFill>
            <w14:solidFill>
              <w14:schemeClr w14:val="tx1"/>
            </w14:solidFill>
          </w14:textFill>
        </w:rPr>
        <w:t>业绩、</w:t>
      </w:r>
      <w:r>
        <w:rPr>
          <w:rFonts w:hint="eastAsia" w:ascii="宋体" w:hAnsi="宋体" w:cs="宋体"/>
          <w:bCs/>
          <w:color w:val="000000" w:themeColor="text1"/>
          <w:szCs w:val="21"/>
          <w:u w:val="single"/>
          <w14:textFill>
            <w14:solidFill>
              <w14:schemeClr w14:val="tx1"/>
            </w14:solidFill>
          </w14:textFill>
        </w:rPr>
        <w:t>企业信誉情况</w:t>
      </w:r>
      <w:r>
        <w:rPr>
          <w:rFonts w:ascii="宋体" w:hAnsi="宋体" w:cs="宋体"/>
          <w:bCs/>
          <w:color w:val="000000" w:themeColor="text1"/>
          <w:szCs w:val="21"/>
          <w:u w:val="single"/>
          <w14:textFill>
            <w14:solidFill>
              <w14:schemeClr w14:val="tx1"/>
            </w14:solidFill>
          </w14:textFill>
        </w:rPr>
        <w:t>等进行</w:t>
      </w:r>
      <w:r>
        <w:rPr>
          <w:rFonts w:hint="eastAsia" w:ascii="宋体" w:hAnsi="宋体" w:cs="宋体"/>
          <w:bCs/>
          <w:color w:val="000000" w:themeColor="text1"/>
          <w:szCs w:val="21"/>
          <w:u w:val="single"/>
          <w14:textFill>
            <w14:solidFill>
              <w14:schemeClr w14:val="tx1"/>
            </w14:solidFill>
          </w14:textFill>
        </w:rPr>
        <w:t>综合</w:t>
      </w:r>
      <w:r>
        <w:rPr>
          <w:rFonts w:ascii="宋体" w:hAnsi="宋体" w:cs="宋体"/>
          <w:bCs/>
          <w:color w:val="000000" w:themeColor="text1"/>
          <w:szCs w:val="21"/>
          <w:u w:val="single"/>
          <w14:textFill>
            <w14:solidFill>
              <w14:schemeClr w14:val="tx1"/>
            </w14:solidFill>
          </w14:textFill>
        </w:rPr>
        <w:t>评价；</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ascii="宋体" w:hAnsi="宋体" w:cs="宋体"/>
          <w:bCs/>
          <w:color w:val="000000" w:themeColor="text1"/>
          <w:szCs w:val="21"/>
          <w:u w:val="single"/>
          <w14:textFill>
            <w14:solidFill>
              <w14:schemeClr w14:val="tx1"/>
            </w14:solidFill>
          </w14:textFill>
        </w:rPr>
        <w:t>4）团队因素：</w:t>
      </w:r>
      <w:r>
        <w:rPr>
          <w:rFonts w:hint="eastAsia" w:ascii="宋体" w:hAnsi="宋体" w:cs="宋体"/>
          <w:bCs/>
          <w:color w:val="000000" w:themeColor="text1"/>
          <w:szCs w:val="21"/>
          <w:u w:val="single"/>
          <w14:textFill>
            <w14:solidFill>
              <w14:schemeClr w14:val="tx1"/>
            </w14:solidFill>
          </w14:textFill>
        </w:rPr>
        <w:t>主要对项目负责人职称级别、项目团队人员数量、项目团队人员职称级别等进行综合评价</w:t>
      </w:r>
      <w:r>
        <w:rPr>
          <w:rFonts w:ascii="宋体" w:hAnsi="宋体" w:cs="宋体"/>
          <w:bCs/>
          <w:color w:val="000000" w:themeColor="text1"/>
          <w:szCs w:val="21"/>
          <w:u w:val="single"/>
          <w14:textFill>
            <w14:solidFill>
              <w14:schemeClr w14:val="tx1"/>
            </w14:solidFill>
          </w14:textFill>
        </w:rPr>
        <w:t>。</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50.3.1.4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七，附表八。</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50.3.1.5定标委员会中的各定标委员应独立投票，可以弃权，当弃权票数达到定标委员会人数50%或以上时，本次定标会无效，招标人应重新招标。</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50.3.1.6定标委员会根据选票情况确定中标人后，撰写、签署定标报告。定标报告由定标委员会全体成员签字，对定标结论持有异议的评委</w:t>
      </w:r>
      <w:r>
        <w:rPr>
          <w:rFonts w:ascii="宋体" w:hAnsi="宋体" w:cs="宋体"/>
          <w:bCs/>
          <w:color w:val="000000" w:themeColor="text1"/>
          <w:szCs w:val="21"/>
          <w:u w:val="single"/>
          <w14:textFill>
            <w14:solidFill>
              <w14:schemeClr w14:val="tx1"/>
            </w14:solidFill>
          </w14:textFill>
        </w:rPr>
        <w:t>应</w:t>
      </w:r>
      <w:r>
        <w:rPr>
          <w:rFonts w:hint="eastAsia" w:ascii="宋体" w:hAnsi="宋体" w:cs="宋体"/>
          <w:bCs/>
          <w:color w:val="000000" w:themeColor="text1"/>
          <w:szCs w:val="21"/>
          <w:u w:val="single"/>
          <w14:textFill>
            <w14:solidFill>
              <w14:schemeClr w14:val="tx1"/>
            </w14:solidFill>
          </w14:textFill>
        </w:rPr>
        <w:t>以书面方式阐述其不同意见和理由。</w:t>
      </w:r>
    </w:p>
    <w:p>
      <w:pPr>
        <w:pBdr>
          <w:bottom w:val="single" w:color="auto" w:sz="6" w:space="1"/>
        </w:pBdr>
        <w:adjustRightInd w:val="0"/>
        <w:spacing w:line="360" w:lineRule="auto"/>
        <w:ind w:firstLine="420" w:firstLineChars="2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50.3.1.7定标委员会向招标人提交书面定标报告后即解散，定标过程中使用的文件、表格以及其他资料不得私自带离。</w:t>
      </w:r>
    </w:p>
    <w:p>
      <w:pPr>
        <w:pBdr>
          <w:bottom w:val="single" w:color="auto" w:sz="6" w:space="1"/>
        </w:pBdr>
        <w:adjustRightInd w:val="0"/>
        <w:spacing w:line="360" w:lineRule="auto"/>
        <w:ind w:firstLine="420" w:firstLineChars="200"/>
        <w:rPr>
          <w:color w:val="000000" w:themeColor="text1"/>
          <w:u w:val="single"/>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50.4招标人应当在定标工作完成后的3日内公示中标结果。公示内容包括：定标时间、所有合格的中标候选人的评分结果或票数及理由、中标人等内容。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条款号：附表一</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《资格审查表》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详见《资格审查表》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条款号：附表二</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《技术标有效性审查表》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：详见《技术标有效性审查表》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条款号：附表三</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《经济标有效性审查表》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详见《经济标有效性审查表》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条款号：附表四</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修改类型：修改</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《技术标详细审查评分表》</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详见《技术标详细审查要素表》</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条款号：附表五</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修改类型：删除</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原文：</w:t>
      </w:r>
      <w:r>
        <w:rPr>
          <w:rFonts w:hint="eastAsia"/>
          <w:color w:val="000000" w:themeColor="text1"/>
          <w:szCs w:val="21"/>
          <w14:textFill>
            <w14:solidFill>
              <w14:schemeClr w14:val="tx1"/>
            </w14:solidFill>
          </w14:textFill>
        </w:rPr>
        <w:t>《经济标评分表》</w:t>
      </w:r>
    </w:p>
    <w:p>
      <w:pPr>
        <w:pBdr>
          <w:top w:val="single" w:color="auto" w:sz="4" w:space="1"/>
        </w:pBd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条款号：附表六、七、八</w:t>
      </w:r>
      <w:r>
        <w:rPr>
          <w:b/>
          <w:color w:val="000000" w:themeColor="text1"/>
          <w:szCs w:val="21"/>
          <w14:textFill>
            <w14:solidFill>
              <w14:schemeClr w14:val="tx1"/>
            </w14:solidFill>
          </w14:textFill>
        </w:rPr>
        <w:t xml:space="preserve">       </w:t>
      </w:r>
      <w:r>
        <w:rPr>
          <w:rFonts w:ascii="宋体" w:hAnsi="宋体"/>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修改类型：增加</w:t>
      </w:r>
    </w:p>
    <w:p>
      <w:pPr>
        <w:pBdr>
          <w:bottom w:val="single" w:color="auto" w:sz="6" w:space="1"/>
        </w:pBdr>
        <w:adjustRightIn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现文：</w:t>
      </w:r>
      <w:r>
        <w:rPr>
          <w:rFonts w:hint="eastAsia"/>
          <w:color w:val="000000" w:themeColor="text1"/>
          <w:szCs w:val="21"/>
          <w14:textFill>
            <w14:solidFill>
              <w14:schemeClr w14:val="tx1"/>
            </w14:solidFill>
          </w14:textFill>
        </w:rPr>
        <w:t>详见附表六《定标因素（定标阶段用）》、附表七《定标选票》、附表八《票决汇总表》、附表九《直接票决定标排名汇总表（定标阶段）》</w:t>
      </w:r>
    </w:p>
    <w:p>
      <w:pPr>
        <w:spacing w:line="360" w:lineRule="auto"/>
        <w:ind w:firstLine="211" w:firstLineChars="100"/>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注：以上修改，仅限于本范本中有可供选择条款的情形。</w:t>
      </w:r>
    </w:p>
    <w:p>
      <w:pPr>
        <w:spacing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（以下无正文）</w:t>
      </w:r>
    </w:p>
    <w:p>
      <w:pPr>
        <w:pStyle w:val="2"/>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pStyle w:val="7"/>
        <w:spacing w:line="360" w:lineRule="auto"/>
        <w:rPr>
          <w:rFonts w:ascii="宋体" w:hAnsi="宋体"/>
          <w:color w:val="000000" w:themeColor="text1"/>
          <w14:textFill>
            <w14:solidFill>
              <w14:schemeClr w14:val="tx1"/>
            </w14:solidFill>
          </w14:textFill>
        </w:rPr>
      </w:pPr>
      <w:bookmarkStart w:id="13" w:name="_Toc114572541"/>
      <w:r>
        <w:rPr>
          <w:rFonts w:hint="eastAsia" w:ascii="宋体" w:hAnsi="宋体"/>
          <w:color w:val="000000" w:themeColor="text1"/>
          <w14:textFill>
            <w14:solidFill>
              <w14:schemeClr w14:val="tx1"/>
            </w14:solidFill>
          </w14:textFill>
        </w:rPr>
        <w:t>二、开标、评标及定标办法</w:t>
      </w:r>
      <w:r>
        <w:rPr>
          <w:rFonts w:hint="eastAsia" w:ascii="宋体" w:hAnsi="宋体"/>
          <w:color w:val="000000" w:themeColor="text1"/>
          <w:szCs w:val="30"/>
          <w14:textFill>
            <w14:solidFill>
              <w14:schemeClr w14:val="tx1"/>
            </w14:solidFill>
          </w14:textFill>
        </w:rPr>
        <w:t>通用条款</w:t>
      </w:r>
      <w:bookmarkEnd w:id="13"/>
    </w:p>
    <w:p>
      <w:pPr>
        <w:pStyle w:val="8"/>
        <w:spacing w:line="360" w:lineRule="auto"/>
        <w:ind w:firstLine="540" w:firstLineChars="200"/>
        <w:rPr>
          <w:color w:val="000000" w:themeColor="text1"/>
          <w14:textFill>
            <w14:solidFill>
              <w14:schemeClr w14:val="tx1"/>
            </w14:solidFill>
          </w14:textFill>
        </w:rPr>
      </w:pPr>
      <w:bookmarkStart w:id="14" w:name="_Toc114572542"/>
      <w:r>
        <w:rPr>
          <w:rFonts w:hint="eastAsia"/>
          <w:color w:val="000000" w:themeColor="text1"/>
          <w14:textFill>
            <w14:solidFill>
              <w14:schemeClr w14:val="tx1"/>
            </w14:solidFill>
          </w14:textFill>
        </w:rPr>
        <w:t>（一）总则</w:t>
      </w:r>
      <w:bookmarkEnd w:id="14"/>
    </w:p>
    <w:p>
      <w:pPr>
        <w:spacing w:line="360" w:lineRule="auto"/>
        <w:ind w:firstLine="480" w:firstLineChars="200"/>
        <w:rPr>
          <w:rFonts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35 </w:t>
      </w:r>
      <w:r>
        <w:rPr>
          <w:rFonts w:hint="eastAsia" w:ascii="宋体" w:hAnsi="宋体"/>
          <w:color w:val="000000" w:themeColor="text1"/>
          <w:sz w:val="24"/>
          <w:szCs w:val="24"/>
          <w14:textFill>
            <w14:solidFill>
              <w14:schemeClr w14:val="tx1"/>
            </w14:solidFill>
          </w14:textFill>
        </w:rPr>
        <w:t>开标、评标及定标所依据的规则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35.1</w:t>
      </w:r>
      <w:r>
        <w:rPr>
          <w:rFonts w:hint="eastAsia" w:ascii="宋体" w:hAnsi="宋体"/>
          <w:color w:val="000000" w:themeColor="text1"/>
          <w:sz w:val="24"/>
          <w:szCs w:val="24"/>
          <w14:textFill>
            <w14:solidFill>
              <w14:schemeClr w14:val="tx1"/>
            </w14:solidFill>
          </w14:textFill>
        </w:rPr>
        <w:t>《中华人民共和国招标投标法》；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35.2</w:t>
      </w:r>
      <w:r>
        <w:rPr>
          <w:rFonts w:hint="eastAsia" w:ascii="宋体" w:hAnsi="宋体"/>
          <w:color w:val="000000" w:themeColor="text1"/>
          <w:sz w:val="24"/>
          <w:szCs w:val="24"/>
          <w14:textFill>
            <w14:solidFill>
              <w14:schemeClr w14:val="tx1"/>
            </w14:solidFill>
          </w14:textFill>
        </w:rPr>
        <w:t>《中华人民共和国招标投标法实施条例》；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35.3</w:t>
      </w:r>
      <w:r>
        <w:rPr>
          <w:rFonts w:hint="eastAsia" w:ascii="宋体" w:hAnsi="宋体"/>
          <w:color w:val="000000" w:themeColor="text1"/>
          <w:sz w:val="24"/>
          <w:szCs w:val="24"/>
          <w14:textFill>
            <w14:solidFill>
              <w14:schemeClr w14:val="tx1"/>
            </w14:solidFill>
          </w14:textFill>
        </w:rPr>
        <w:t>《评标委员会和评标方法暂行规定》（七部委第</w:t>
      </w: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35.4</w:t>
      </w:r>
      <w:r>
        <w:rPr>
          <w:rFonts w:hint="eastAsia" w:ascii="宋体" w:hAnsi="宋体"/>
          <w:color w:val="000000" w:themeColor="text1"/>
          <w:sz w:val="24"/>
          <w:szCs w:val="24"/>
          <w14:textFill>
            <w14:solidFill>
              <w14:schemeClr w14:val="tx1"/>
            </w14:solidFill>
          </w14:textFill>
        </w:rPr>
        <w:t>《工程建设项目施工招标投标办法》（七部委</w:t>
      </w:r>
      <w:r>
        <w:rPr>
          <w:rFonts w:ascii="宋体" w:hAnsi="宋体"/>
          <w:color w:val="000000" w:themeColor="text1"/>
          <w:sz w:val="24"/>
          <w:szCs w:val="24"/>
          <w14:textFill>
            <w14:solidFill>
              <w14:schemeClr w14:val="tx1"/>
            </w14:solidFill>
          </w14:textFill>
        </w:rPr>
        <w:t>2003</w:t>
      </w:r>
      <w:r>
        <w:rPr>
          <w:rFonts w:hint="eastAsia" w:ascii="宋体" w:hAnsi="宋体"/>
          <w:color w:val="000000" w:themeColor="text1"/>
          <w:sz w:val="24"/>
          <w:szCs w:val="24"/>
          <w14:textFill>
            <w14:solidFill>
              <w14:schemeClr w14:val="tx1"/>
            </w14:solidFill>
          </w14:textFill>
        </w:rPr>
        <w:t>年第</w:t>
      </w:r>
      <w:r>
        <w:rPr>
          <w:rFonts w:ascii="宋体" w:hAnsi="宋体"/>
          <w:color w:val="000000" w:themeColor="text1"/>
          <w:sz w:val="24"/>
          <w:szCs w:val="24"/>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35.5</w:t>
      </w:r>
      <w:r>
        <w:rPr>
          <w:rFonts w:hint="eastAsia" w:ascii="宋体" w:hAnsi="宋体"/>
          <w:color w:val="000000" w:themeColor="text1"/>
          <w:sz w:val="24"/>
          <w:szCs w:val="24"/>
          <w14:textFill>
            <w14:solidFill>
              <w14:schemeClr w14:val="tx1"/>
            </w14:solidFill>
          </w14:textFill>
        </w:rPr>
        <w:t>《广东省实施〈中华人民共和国招标投标法〉办法》；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35.6</w:t>
      </w:r>
      <w:r>
        <w:rPr>
          <w:rFonts w:hint="eastAsia" w:ascii="宋体" w:hAnsi="宋体"/>
          <w:color w:val="000000" w:themeColor="text1"/>
          <w:sz w:val="24"/>
          <w:szCs w:val="24"/>
          <w14:textFill>
            <w14:solidFill>
              <w14:schemeClr w14:val="tx1"/>
            </w14:solidFill>
          </w14:textFill>
        </w:rPr>
        <w:t>《房屋建筑和市政基础设施工程施工招标投标管理办法》（建设部令第</w:t>
      </w:r>
      <w:r>
        <w:rPr>
          <w:rFonts w:ascii="宋体" w:hAnsi="宋体"/>
          <w:color w:val="000000" w:themeColor="text1"/>
          <w:sz w:val="24"/>
          <w:szCs w:val="24"/>
          <w14:textFill>
            <w14:solidFill>
              <w14:schemeClr w14:val="tx1"/>
            </w14:solidFill>
          </w14:textFill>
        </w:rPr>
        <w:t>89</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35.7</w:t>
      </w:r>
      <w:r>
        <w:rPr>
          <w:rFonts w:hint="eastAsia" w:ascii="宋体" w:hAnsi="宋体"/>
          <w:color w:val="000000" w:themeColor="text1"/>
          <w:sz w:val="24"/>
          <w:szCs w:val="24"/>
          <w14:textFill>
            <w14:solidFill>
              <w14:schemeClr w14:val="tx1"/>
            </w14:solidFill>
          </w14:textFill>
        </w:rPr>
        <w:t>《广东省加强建设工程招标投标监督管理的若干规定》（粤发[2004]4号）；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8《广州市工程建设项目招标投标管理办法》（穗府办规〔2017〕5号）。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35.9本项目招标文件。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w:t>
      </w:r>
      <w:r>
        <w:rPr>
          <w:rFonts w:hint="eastAsia" w:ascii="宋体" w:hAnsi="宋体"/>
          <w:color w:val="000000" w:themeColor="text1"/>
          <w:sz w:val="24"/>
          <w:szCs w:val="24"/>
          <w14:textFill>
            <w14:solidFill>
              <w14:schemeClr w14:val="tx1"/>
            </w14:solidFill>
          </w14:textFill>
        </w:rPr>
        <w:t>．开标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36.1 </w:t>
      </w:r>
      <w:r>
        <w:rPr>
          <w:rFonts w:hint="eastAsia" w:ascii="宋体" w:hAnsi="宋体"/>
          <w:color w:val="000000" w:themeColor="text1"/>
          <w:sz w:val="24"/>
          <w:szCs w:val="24"/>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000000" w:themeColor="text1"/>
          <w:sz w:val="24"/>
          <w:szCs w:val="24"/>
          <w:u w:val="single"/>
          <w14:textFill>
            <w14:solidFill>
              <w14:schemeClr w14:val="tx1"/>
            </w14:solidFill>
          </w14:textFill>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36.2</w:t>
      </w:r>
      <w:r>
        <w:rPr>
          <w:rFonts w:hint="eastAsia" w:ascii="宋体" w:hAnsi="宋体"/>
          <w:color w:val="000000" w:themeColor="text1"/>
          <w:sz w:val="24"/>
          <w:szCs w:val="24"/>
          <w14:textFill>
            <w14:solidFill>
              <w14:schemeClr w14:val="tx1"/>
            </w14:solidFill>
          </w14:textFill>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hint="eastAsia" w:ascii="宋体" w:hAnsi="宋体"/>
          <w:strike/>
          <w:color w:val="000000" w:themeColor="text1"/>
          <w:sz w:val="24"/>
          <w:szCs w:val="24"/>
          <w14:textFill>
            <w14:solidFill>
              <w14:schemeClr w14:val="tx1"/>
            </w14:solidFill>
          </w14:textFill>
        </w:rPr>
        <w:t>36.3根据投标须知前附表第20项，如需抽取某一种评标办法供评标时使用的，应在开标前抽取。首先对招标文件中约定的若干种评标方法进行编号，再通过摇珠机随机抽取某一编号，该编号所对应的评标办法供评标时使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36.4若递交投标文件的投标人不足3家，则重新组织招标。（当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36.5按下列程序进行开标：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36.5.1在投标截止时间后半小时内，投标人通过</w:t>
      </w:r>
      <w:r>
        <w:rPr>
          <w:rFonts w:hint="eastAsia" w:ascii="宋体" w:hAnsi="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对已递交的电子投标文件进行解密。投标人完成解密后，再由</w:t>
      </w:r>
      <w:r>
        <w:rPr>
          <w:rFonts w:hint="eastAsia" w:ascii="宋体" w:hAnsi="宋体"/>
          <w:color w:val="000000" w:themeColor="text1"/>
          <w:sz w:val="24"/>
          <w:szCs w:val="24"/>
          <w:u w:val="single"/>
          <w14:textFill>
            <w14:solidFill>
              <w14:schemeClr w14:val="tx1"/>
            </w14:solidFill>
          </w14:textFill>
        </w:rPr>
        <w:t>招标代理机构</w:t>
      </w:r>
      <w:r>
        <w:rPr>
          <w:rFonts w:hint="eastAsia" w:ascii="宋体" w:hAnsi="宋体"/>
          <w:color w:val="000000" w:themeColor="text1"/>
          <w:sz w:val="24"/>
          <w14:textFill>
            <w14:solidFill>
              <w14:schemeClr w14:val="tx1"/>
            </w14:solidFill>
          </w14:textFill>
        </w:rPr>
        <w:t>进行解密，解密完成后，公布招标项目名称、投标人名称、投标保证金的递交情况、投标报价、工期及其他内容；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36.5.2备用光盘的读取按投标须知前附表第36项的规定执行；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36.5.3投标人代表、招标人代表、监标人、记录人等有关人员在开标记录上签字确认；若有关人员不签字的，不影响开标程序；</w:t>
      </w:r>
      <w:r>
        <w:rPr>
          <w:rFonts w:hint="eastAsia" w:ascii="宋体" w:hAnsi="宋体"/>
          <w:color w:val="000000" w:themeColor="text1"/>
          <w:sz w:val="24"/>
          <w:u w:val="single"/>
          <w14:textFill>
            <w14:solidFill>
              <w14:schemeClr w14:val="tx1"/>
            </w14:solidFill>
          </w14:textFill>
        </w:rPr>
        <w:t>若投标人不参加现场开标会的，或不签字确认的，视同该投标人认可开标结果。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36.5.4开标结束。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．评标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37.1</w:t>
      </w:r>
      <w:r>
        <w:rPr>
          <w:rFonts w:hint="eastAsia" w:ascii="宋体" w:hAnsi="宋体"/>
          <w:color w:val="000000" w:themeColor="text1"/>
          <w:sz w:val="24"/>
          <w:szCs w:val="24"/>
          <w14:textFill>
            <w14:solidFill>
              <w14:schemeClr w14:val="tx1"/>
            </w14:solidFill>
          </w14:textFill>
        </w:rPr>
        <w:t>评标委员会由招标人依法组建。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w:t>
      </w:r>
      <w:r>
        <w:rPr>
          <w:rFonts w:hint="eastAsia" w:ascii="宋体" w:hAnsi="宋体"/>
          <w:color w:val="000000" w:themeColor="text1"/>
          <w:sz w:val="24"/>
          <w:szCs w:val="24"/>
          <w14:textFill>
            <w14:solidFill>
              <w14:schemeClr w14:val="tx1"/>
            </w14:solidFill>
          </w14:textFill>
        </w:rPr>
        <w:t>评标委员会的职责及守则：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37.2.1</w:t>
      </w:r>
      <w:r>
        <w:rPr>
          <w:rFonts w:hint="eastAsia" w:ascii="宋体" w:hAnsi="宋体"/>
          <w:color w:val="000000" w:themeColor="text1"/>
          <w:sz w:val="24"/>
          <w:szCs w:val="24"/>
          <w14:textFill>
            <w14:solidFill>
              <w14:schemeClr w14:val="tx1"/>
            </w14:solidFill>
          </w14:textFill>
        </w:rPr>
        <w:t>根据评标细则，对</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进行认真评审，完成评审报告；</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37.2.2</w:t>
      </w:r>
      <w:r>
        <w:rPr>
          <w:rFonts w:hint="eastAsia" w:ascii="宋体" w:hAnsi="宋体"/>
          <w:color w:val="000000" w:themeColor="text1"/>
          <w:sz w:val="24"/>
          <w:szCs w:val="24"/>
          <w14:textFill>
            <w14:solidFill>
              <w14:schemeClr w14:val="tx1"/>
            </w14:solidFill>
          </w14:textFill>
        </w:rPr>
        <w:t>向招标人报告评审意见，推荐合格的中标候选人。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37.2.3</w:t>
      </w:r>
      <w:r>
        <w:rPr>
          <w:rFonts w:hint="eastAsia" w:ascii="宋体" w:hAnsi="宋体"/>
          <w:color w:val="000000" w:themeColor="text1"/>
          <w:sz w:val="24"/>
          <w:szCs w:val="24"/>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37.2.4</w:t>
      </w:r>
      <w:r>
        <w:rPr>
          <w:rFonts w:hint="eastAsia" w:ascii="宋体" w:hAnsi="宋体"/>
          <w:color w:val="000000" w:themeColor="text1"/>
          <w:sz w:val="24"/>
          <w:szCs w:val="24"/>
          <w14:textFill>
            <w14:solidFill>
              <w14:schemeClr w14:val="tx1"/>
            </w14:solidFill>
          </w14:textFill>
        </w:rPr>
        <w:t>全体参与评标人员：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37.2.4.1 </w:t>
      </w:r>
      <w:r>
        <w:rPr>
          <w:rFonts w:hint="eastAsia" w:ascii="宋体" w:hAnsi="宋体"/>
          <w:color w:val="000000" w:themeColor="text1"/>
          <w:sz w:val="24"/>
          <w:szCs w:val="24"/>
          <w14:textFill>
            <w14:solidFill>
              <w14:schemeClr w14:val="tx1"/>
            </w14:solidFill>
          </w14:textFill>
        </w:rPr>
        <w:t>必须遵守评标纪律、不得泄密；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37.2.4.2 </w:t>
      </w:r>
      <w:r>
        <w:rPr>
          <w:rFonts w:hint="eastAsia" w:ascii="宋体" w:hAnsi="宋体"/>
          <w:color w:val="000000" w:themeColor="text1"/>
          <w:sz w:val="24"/>
          <w:szCs w:val="24"/>
          <w14:textFill>
            <w14:solidFill>
              <w14:schemeClr w14:val="tx1"/>
            </w14:solidFill>
          </w14:textFill>
        </w:rPr>
        <w:t>必须公正、不得循私；</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37.2.4.3 </w:t>
      </w:r>
      <w:r>
        <w:rPr>
          <w:rFonts w:hint="eastAsia" w:ascii="宋体" w:hAnsi="宋体"/>
          <w:color w:val="000000" w:themeColor="text1"/>
          <w:sz w:val="24"/>
          <w:szCs w:val="24"/>
          <w14:textFill>
            <w14:solidFill>
              <w14:schemeClr w14:val="tx1"/>
            </w14:solidFill>
          </w14:textFill>
        </w:rPr>
        <w:t>必须科学、不得草率；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37.2.4.4 </w:t>
      </w:r>
      <w:r>
        <w:rPr>
          <w:rFonts w:hint="eastAsia" w:ascii="宋体" w:hAnsi="宋体"/>
          <w:color w:val="000000" w:themeColor="text1"/>
          <w:sz w:val="24"/>
          <w:szCs w:val="24"/>
          <w14:textFill>
            <w14:solidFill>
              <w14:schemeClr w14:val="tx1"/>
            </w14:solidFill>
          </w14:textFill>
        </w:rPr>
        <w:t>必须客观、不得带有成见；</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37.2.4.5 </w:t>
      </w:r>
      <w:r>
        <w:rPr>
          <w:rFonts w:hint="eastAsia" w:ascii="宋体" w:hAnsi="宋体"/>
          <w:color w:val="000000" w:themeColor="text1"/>
          <w:sz w:val="24"/>
          <w:szCs w:val="24"/>
          <w14:textFill>
            <w14:solidFill>
              <w14:schemeClr w14:val="tx1"/>
            </w14:solidFill>
          </w14:textFill>
        </w:rPr>
        <w:t>必须平等、不得强加于人；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37.2.4.6 </w:t>
      </w:r>
      <w:r>
        <w:rPr>
          <w:rFonts w:hint="eastAsia" w:ascii="宋体" w:hAnsi="宋体"/>
          <w:color w:val="000000" w:themeColor="text1"/>
          <w:sz w:val="24"/>
          <w:szCs w:val="24"/>
          <w14:textFill>
            <w14:solidFill>
              <w14:schemeClr w14:val="tx1"/>
            </w14:solidFill>
          </w14:textFill>
        </w:rPr>
        <w:t>必须严谨、不得随意马虎。</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37.3 </w:t>
      </w:r>
      <w:r>
        <w:rPr>
          <w:rFonts w:hint="eastAsia" w:ascii="宋体" w:hAnsi="宋体"/>
          <w:color w:val="000000" w:themeColor="text1"/>
          <w:sz w:val="24"/>
          <w:szCs w:val="24"/>
          <w14:textFill>
            <w14:solidFill>
              <w14:schemeClr w14:val="tx1"/>
            </w14:solidFill>
          </w14:textFill>
        </w:rPr>
        <w:t>评标结束后，评标委员会递交评标报告并依法推荐中标候选人。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w:t>
      </w:r>
      <w:r>
        <w:rPr>
          <w:rFonts w:hint="eastAsia" w:ascii="宋体" w:hAnsi="宋体"/>
          <w:color w:val="000000" w:themeColor="text1"/>
          <w:sz w:val="24"/>
          <w:szCs w:val="24"/>
          <w14:textFill>
            <w14:solidFill>
              <w14:schemeClr w14:val="tx1"/>
            </w14:solidFill>
          </w14:textFill>
        </w:rPr>
        <w:t>．投标文件的澄清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38.1</w:t>
      </w:r>
      <w:r>
        <w:rPr>
          <w:rFonts w:hint="eastAsia" w:ascii="宋体" w:hAnsi="宋体"/>
          <w:color w:val="000000" w:themeColor="text1"/>
          <w:sz w:val="24"/>
          <w:szCs w:val="24"/>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olor w:val="000000" w:themeColor="text1"/>
          <w:sz w:val="24"/>
          <w:szCs w:val="24"/>
          <w:u w:val="single"/>
          <w14:textFill>
            <w14:solidFill>
              <w14:schemeClr w14:val="tx1"/>
            </w14:solidFill>
          </w14:textFill>
        </w:rPr>
        <w:t>要求投标人对投标文件含义不明确、对同类问题表述不一致、有明显文字和计算错误的内容以及细微偏差的内容作出澄清</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38.2 </w:t>
      </w:r>
      <w:r>
        <w:rPr>
          <w:rFonts w:hint="eastAsia" w:ascii="宋体" w:hAnsi="宋体"/>
          <w:color w:val="000000" w:themeColor="text1"/>
          <w:sz w:val="24"/>
          <w:szCs w:val="24"/>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38.3 </w:t>
      </w:r>
      <w:r>
        <w:rPr>
          <w:rFonts w:hint="eastAsia" w:ascii="宋体" w:hAnsi="宋体"/>
          <w:color w:val="000000" w:themeColor="text1"/>
          <w:sz w:val="24"/>
          <w:szCs w:val="24"/>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38.4</w:t>
      </w:r>
      <w:r>
        <w:rPr>
          <w:rFonts w:hint="eastAsia" w:ascii="宋体" w:hAnsi="宋体"/>
          <w:color w:val="000000" w:themeColor="text1"/>
          <w:sz w:val="24"/>
          <w:szCs w:val="24"/>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u w:val="single"/>
          <w14:textFill>
            <w14:solidFill>
              <w14:schemeClr w14:val="tx1"/>
            </w14:solidFill>
          </w14:textFill>
        </w:rPr>
        <w:t>39</w:t>
      </w:r>
      <w:r>
        <w:rPr>
          <w:rFonts w:hint="eastAsia" w:ascii="宋体" w:hAnsi="宋体"/>
          <w:color w:val="000000" w:themeColor="text1"/>
          <w:sz w:val="24"/>
          <w:szCs w:val="24"/>
          <w:u w:val="single"/>
          <w14:textFill>
            <w14:solidFill>
              <w14:schemeClr w14:val="tx1"/>
            </w14:solidFill>
          </w14:textFill>
        </w:rPr>
        <w:t>．确定中标人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39.1</w:t>
      </w:r>
      <w:r>
        <w:rPr>
          <w:rFonts w:hint="eastAsia" w:ascii="宋体" w:hAnsi="宋体"/>
          <w:color w:val="000000" w:themeColor="text1"/>
          <w:sz w:val="24"/>
          <w:szCs w:val="24"/>
          <w:u w:val="single"/>
          <w14:textFill>
            <w14:solidFill>
              <w14:schemeClr w14:val="tx1"/>
            </w14:solidFill>
          </w14:textFill>
        </w:rPr>
        <w:t>招标人根据定标委员会递交的定标报告</w:t>
      </w:r>
      <w:r>
        <w:rPr>
          <w:rFonts w:hint="eastAsia" w:ascii="宋体" w:hAnsi="宋体"/>
          <w:color w:val="000000" w:themeColor="text1"/>
          <w:sz w:val="24"/>
          <w:szCs w:val="24"/>
          <w14:textFill>
            <w14:solidFill>
              <w14:schemeClr w14:val="tx1"/>
            </w14:solidFill>
          </w14:textFill>
        </w:rPr>
        <w:t>，最终审定中标人。</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 xml:space="preserve">39.2 </w:t>
      </w:r>
      <w:r>
        <w:rPr>
          <w:rFonts w:hint="eastAsia" w:ascii="宋体" w:hAnsi="宋体"/>
          <w:strike/>
          <w:color w:val="000000" w:themeColor="text1"/>
          <w:sz w:val="24"/>
          <w:szCs w:val="24"/>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39.3</w:t>
      </w:r>
      <w:r>
        <w:rPr>
          <w:rFonts w:hint="eastAsia" w:ascii="宋体" w:hAnsi="宋体"/>
          <w:strike/>
          <w:color w:val="000000" w:themeColor="text1"/>
          <w:sz w:val="24"/>
          <w:szCs w:val="24"/>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39.4</w:t>
      </w:r>
      <w:r>
        <w:rPr>
          <w:rFonts w:hint="eastAsia" w:ascii="宋体" w:hAnsi="宋体"/>
          <w:strike/>
          <w:color w:val="000000" w:themeColor="text1"/>
          <w:sz w:val="24"/>
          <w:szCs w:val="24"/>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39.5 </w:t>
      </w:r>
      <w:r>
        <w:rPr>
          <w:rFonts w:hint="eastAsia" w:ascii="宋体" w:hAnsi="宋体"/>
          <w:color w:val="000000" w:themeColor="text1"/>
          <w:sz w:val="24"/>
          <w:szCs w:val="24"/>
          <w:u w:val="single"/>
          <w14:textFill>
            <w14:solidFill>
              <w14:schemeClr w14:val="tx1"/>
            </w14:solidFill>
          </w14:textFill>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pPr>
        <w:spacing w:line="360" w:lineRule="auto"/>
        <w:ind w:firstLine="480" w:firstLineChars="200"/>
        <w:rPr>
          <w:rFonts w:ascii="宋体" w:hAnsi="宋体" w:cs="宋体"/>
          <w:color w:val="000000" w:themeColor="text1"/>
          <w:kern w:val="0"/>
          <w:sz w:val="27"/>
          <w:szCs w:val="27"/>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39.6 </w:t>
      </w:r>
      <w:r>
        <w:rPr>
          <w:rFonts w:hint="eastAsia" w:ascii="宋体" w:hAnsi="宋体"/>
          <w:color w:val="000000" w:themeColor="text1"/>
          <w:sz w:val="24"/>
          <w:szCs w:val="24"/>
          <w:u w:val="single"/>
          <w14:textFill>
            <w14:solidFill>
              <w14:schemeClr w14:val="tx1"/>
            </w14:solidFill>
          </w14:textFill>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Pr>
          <w:rFonts w:ascii="宋体" w:hAnsi="宋体"/>
          <w:color w:val="000000" w:themeColor="text1"/>
          <w14:textFill>
            <w14:solidFill>
              <w14:schemeClr w14:val="tx1"/>
            </w14:solidFill>
          </w14:textFill>
        </w:rPr>
        <w:br w:type="page"/>
      </w:r>
    </w:p>
    <w:p>
      <w:pPr>
        <w:pStyle w:val="8"/>
        <w:spacing w:before="156" w:after="156"/>
        <w:ind w:firstLine="540" w:firstLineChars="200"/>
        <w:jc w:val="center"/>
        <w:rPr>
          <w:color w:val="000000" w:themeColor="text1"/>
          <w14:textFill>
            <w14:solidFill>
              <w14:schemeClr w14:val="tx1"/>
            </w14:solidFill>
          </w14:textFill>
        </w:rPr>
      </w:pPr>
      <w:bookmarkStart w:id="15" w:name="_Toc114572543"/>
      <w:r>
        <w:rPr>
          <w:rFonts w:hint="eastAsia"/>
          <w:color w:val="000000" w:themeColor="text1"/>
          <w14:textFill>
            <w14:solidFill>
              <w14:schemeClr w14:val="tx1"/>
            </w14:solidFill>
          </w14:textFill>
        </w:rPr>
        <w:t>（二）开标评标办法程序和细则</w:t>
      </w:r>
      <w:bookmarkEnd w:id="15"/>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hint="eastAsia" w:ascii="宋体" w:hAnsi="宋体"/>
          <w:strike/>
          <w:color w:val="000000" w:themeColor="text1"/>
          <w:sz w:val="24"/>
          <w:szCs w:val="24"/>
          <w14:textFill>
            <w14:solidFill>
              <w14:schemeClr w14:val="tx1"/>
            </w14:solidFill>
          </w14:textFill>
        </w:rPr>
        <w:t>注：以下评标办法所述企业综合诚信评价分数即投标截止当日广州市住房和城乡建设局网站上公布的企业综合诚信评价</w:t>
      </w:r>
      <w:r>
        <w:rPr>
          <w:rFonts w:ascii="宋体" w:hAnsi="宋体"/>
          <w:strike/>
          <w:color w:val="000000" w:themeColor="text1"/>
          <w:sz w:val="24"/>
          <w:szCs w:val="24"/>
          <w14:textFill>
            <w14:solidFill>
              <w14:schemeClr w14:val="tx1"/>
            </w14:solidFill>
          </w14:textFill>
        </w:rPr>
        <w:t>60</w:t>
      </w:r>
      <w:r>
        <w:rPr>
          <w:rFonts w:hint="eastAsia" w:ascii="宋体" w:hAnsi="宋体"/>
          <w:strike/>
          <w:color w:val="000000" w:themeColor="text1"/>
          <w:sz w:val="24"/>
          <w:szCs w:val="24"/>
          <w14:textFill>
            <w14:solidFill>
              <w14:schemeClr w14:val="tx1"/>
            </w14:solidFill>
          </w14:textFill>
        </w:rPr>
        <w:t>日诚信分。</w:t>
      </w:r>
    </w:p>
    <w:p>
      <w:pPr>
        <w:snapToGrid w:val="0"/>
        <w:spacing w:before="24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40．开标和评标程序</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40.1技术标（含资格审查文件）与经济标投标文件同时公开开标；</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40.2由评标委员会对所有已公开开标的投标人进行资格审查；</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40.3对通过资格审查的投标单位进行技术标投标文件有效性审查；</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40.4技术标详细审查；</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40.5对通过技术标投标文件有效性审查的投标单位进行经济标投标文件有效性审查（含投标报价算术校核）；</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40.6评标委员会向招标人推荐合格的中标候选人名单，合格中标候选人不排序，并递交资格审查报告及评标报告。</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41．开标细则</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41.1开标由招标人</w:t>
      </w:r>
      <w:r>
        <w:rPr>
          <w:rFonts w:hint="eastAsia" w:ascii="宋体"/>
          <w:color w:val="000000" w:themeColor="text1"/>
          <w:sz w:val="24"/>
          <w:szCs w:val="24"/>
          <w:u w:val="single"/>
          <w14:textFill>
            <w14:solidFill>
              <w14:schemeClr w14:val="tx1"/>
            </w14:solidFill>
          </w14:textFill>
        </w:rPr>
        <w:t>或招标代理</w:t>
      </w:r>
      <w:r>
        <w:rPr>
          <w:rFonts w:hint="eastAsia" w:ascii="宋体"/>
          <w:color w:val="000000" w:themeColor="text1"/>
          <w:sz w:val="24"/>
          <w:szCs w:val="24"/>
          <w14:textFill>
            <w14:solidFill>
              <w14:schemeClr w14:val="tx1"/>
            </w14:solidFill>
          </w14:textFill>
        </w:rPr>
        <w:t>主持；</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 细则</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41.2.1投标截止期前，各投标人递交投标文件（包括技术标投标文件、经济标投标文件）至</w:t>
      </w:r>
      <w:r>
        <w:rPr>
          <w:rFonts w:hint="eastAsia" w:ascii="宋体"/>
          <w:color w:val="000000" w:themeColor="text1"/>
          <w:sz w:val="24"/>
          <w:szCs w:val="24"/>
          <w:u w:val="single"/>
          <w14:textFill>
            <w14:solidFill>
              <w14:schemeClr w14:val="tx1"/>
            </w14:solidFill>
          </w14:textFill>
        </w:rPr>
        <w:t>广州公共资源交易中心</w:t>
      </w:r>
      <w:r>
        <w:rPr>
          <w:rFonts w:hint="eastAsia" w:ascii="宋体"/>
          <w:color w:val="000000" w:themeColor="text1"/>
          <w:sz w:val="24"/>
          <w:szCs w:val="24"/>
          <w14:textFill>
            <w14:solidFill>
              <w14:schemeClr w14:val="tx1"/>
            </w14:solidFill>
          </w14:textFill>
        </w:rPr>
        <w:t xml:space="preserve">交易平台。有关投标文件提交的事项详见第一章投标须知。 </w:t>
      </w:r>
    </w:p>
    <w:p>
      <w:pPr>
        <w:snapToGrid w:val="0"/>
        <w:spacing w:line="360" w:lineRule="auto"/>
        <w:ind w:firstLine="480" w:firstLineChars="200"/>
        <w:rPr>
          <w:rFonts w:ascii="宋体"/>
          <w:strike/>
          <w:color w:val="000000" w:themeColor="text1"/>
          <w:sz w:val="24"/>
          <w:szCs w:val="24"/>
          <w14:textFill>
            <w14:solidFill>
              <w14:schemeClr w14:val="tx1"/>
            </w14:solidFill>
          </w14:textFill>
        </w:rPr>
      </w:pPr>
      <w:r>
        <w:rPr>
          <w:rFonts w:hint="eastAsia" w:ascii="宋体"/>
          <w:strike/>
          <w:color w:val="000000" w:themeColor="text1"/>
          <w:sz w:val="24"/>
          <w:szCs w:val="24"/>
          <w14:textFill>
            <w14:solidFill>
              <w14:schemeClr w14:val="tx1"/>
            </w14:solidFill>
          </w14:textFill>
        </w:rPr>
        <w:t>41.2.2开标前，首先由招标人随机抽取确定该工程计算评标参考价的等分点值X。</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41.2.3开标时，投标人代表有权出席开标会或在线开标，也可以自主决定不参加开标会，若投标人代表对开标过程提出异议，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41.2.4按36.5.1的规定完成解密后，公布下列内容，并予以记录，记录提交评标委员会评审：</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41.2.4.1开标时，公布：a、投标人名称；b、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41.3招标人对开标过程进行记录，并存档备查，投标人在技术标开标记录上签字。</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 资格审查及评标细则</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42.1</w:t>
      </w:r>
      <w:r>
        <w:rPr>
          <w:rFonts w:hint="eastAsia" w:ascii="宋体"/>
          <w:color w:val="000000" w:themeColor="text1"/>
          <w:sz w:val="24"/>
          <w:szCs w:val="24"/>
          <w:u w:val="single"/>
          <w14:textFill>
            <w14:solidFill>
              <w14:schemeClr w14:val="tx1"/>
            </w14:solidFill>
          </w14:textFill>
        </w:rPr>
        <w:t>资格审查及评标均由招标人依法组建的评标委员会负责。</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42.2评标委员会的组成：</w:t>
      </w:r>
      <w:r>
        <w:rPr>
          <w:rFonts w:hint="eastAsia" w:ascii="宋体"/>
          <w:color w:val="000000" w:themeColor="text1"/>
          <w:sz w:val="24"/>
          <w:szCs w:val="24"/>
          <w:u w:val="single"/>
          <w14:textFill>
            <w14:solidFill>
              <w14:schemeClr w14:val="tx1"/>
            </w14:solidFill>
          </w14:textFill>
        </w:rPr>
        <w:t>方式一：评标委员会为综合评标委员会，负责资格审查及评标工作</w:t>
      </w:r>
      <w:r>
        <w:rPr>
          <w:rFonts w:hint="eastAsia" w:ascii="宋体"/>
          <w:color w:val="000000" w:themeColor="text1"/>
          <w:sz w:val="24"/>
          <w:szCs w:val="24"/>
          <w14:textFill>
            <w14:solidFill>
              <w14:schemeClr w14:val="tx1"/>
            </w14:solidFill>
          </w14:textFill>
        </w:rPr>
        <w:t>。</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43．投标人资格审查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43.2汇总资格审查情况，编写资格审查报告。</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43.6</w:t>
      </w:r>
      <w:r>
        <w:rPr>
          <w:rFonts w:hint="eastAsia" w:ascii="宋体"/>
          <w:color w:val="000000" w:themeColor="text1"/>
          <w:sz w:val="24"/>
          <w:szCs w:val="24"/>
          <w:u w:val="single"/>
          <w14:textFill>
            <w14:solidFill>
              <w14:schemeClr w14:val="tx1"/>
            </w14:solidFill>
          </w14:textFill>
        </w:rPr>
        <w:t>资格审查合格的投标人少于3名的，则本项目招标失败。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44．技术标评审</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color w:val="000000" w:themeColor="text1"/>
          <w:sz w:val="24"/>
          <w:szCs w:val="24"/>
          <w:u w:val="single"/>
          <w14:textFill>
            <w14:solidFill>
              <w14:schemeClr w14:val="tx1"/>
            </w14:solidFill>
          </w14:textFill>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44.2</w:t>
      </w:r>
      <w:r>
        <w:rPr>
          <w:rFonts w:hint="eastAsia" w:ascii="宋体"/>
          <w:color w:val="000000" w:themeColor="text1"/>
          <w:sz w:val="24"/>
          <w:szCs w:val="24"/>
          <w:u w:val="single"/>
          <w14:textFill>
            <w14:solidFill>
              <w14:schemeClr w14:val="tx1"/>
            </w14:solidFill>
          </w14:textFill>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45．经济标评审</w:t>
      </w:r>
    </w:p>
    <w:p>
      <w:pPr>
        <w:pStyle w:val="5"/>
        <w:tabs>
          <w:tab w:val="left" w:pos="7380"/>
        </w:tabs>
        <w:snapToGrid w:val="0"/>
        <w:spacing w:after="0" w:line="360" w:lineRule="auto"/>
        <w:ind w:firstLine="480" w:firstLineChars="200"/>
        <w:rPr>
          <w:rFonts w:ascii="宋体" w:hAnsi="宋体"/>
          <w:color w:val="000000" w:themeColor="text1"/>
          <w:sz w:val="24"/>
          <w:szCs w:val="24"/>
          <w:u w:val="single"/>
          <w:lang w:val="en-US"/>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45.1若通过技术标有效性审查的投标人中有投标报价均大于等于最高投标限价*D%（D的取值范围为[</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]）的</w:t>
      </w:r>
      <w:r>
        <w:rPr>
          <w:rFonts w:hint="eastAsia" w:ascii="宋体" w:hAnsi="宋体"/>
          <w:strike/>
          <w:color w:val="000000" w:themeColor="text1"/>
          <w:sz w:val="24"/>
          <w:szCs w:val="24"/>
          <w14:textFill>
            <w14:solidFill>
              <w14:schemeClr w14:val="tx1"/>
            </w14:solidFill>
          </w14:textFill>
        </w:rPr>
        <w:t>（具体金额为：</w:t>
      </w:r>
      <w:r>
        <w:rPr>
          <w:rFonts w:ascii="宋体" w:hAnsi="宋体"/>
          <w:strike/>
          <w:color w:val="000000" w:themeColor="text1"/>
          <w:sz w:val="24"/>
          <w:szCs w:val="24"/>
          <w:u w:val="single"/>
          <w14:textFill>
            <w14:solidFill>
              <w14:schemeClr w14:val="tx1"/>
            </w14:solidFill>
          </w14:textFill>
        </w:rPr>
        <w:t xml:space="preserve">   </w:t>
      </w:r>
      <w:r>
        <w:rPr>
          <w:rFonts w:hint="eastAsia" w:ascii="宋体" w:hAnsi="宋体"/>
          <w:strike/>
          <w:color w:val="000000" w:themeColor="text1"/>
          <w:sz w:val="24"/>
          <w:szCs w:val="24"/>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，则本项目招标失败，由招标人依法重新招标</w:t>
      </w:r>
      <w:r>
        <w:rPr>
          <w:rFonts w:hint="eastAsia" w:ascii="宋体" w:hAnsi="宋体"/>
          <w:strike/>
          <w:color w:val="000000" w:themeColor="text1"/>
          <w:sz w:val="24"/>
          <w:szCs w:val="24"/>
          <w14:textFill>
            <w14:solidFill>
              <w14:schemeClr w14:val="tx1"/>
            </w14:solidFill>
          </w14:textFill>
        </w:rPr>
        <w:t>。</w:t>
      </w:r>
      <w:r>
        <w:rPr>
          <w:rFonts w:hint="eastAsia" w:ascii="宋体" w:hAnsi="宋体"/>
          <w:strike/>
          <w:color w:val="000000" w:themeColor="text1"/>
          <w:sz w:val="24"/>
          <w:szCs w:val="24"/>
          <w:u w:val="single"/>
          <w14:textFill>
            <w14:solidFill>
              <w14:schemeClr w14:val="tx1"/>
            </w14:solidFill>
          </w14:textFill>
        </w:rPr>
        <w:t>如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color w:val="000000" w:themeColor="text1"/>
          <w:sz w:val="24"/>
          <w:szCs w:val="24"/>
          <w:u w:val="single"/>
          <w14:textFill>
            <w14:solidFill>
              <w14:schemeClr w14:val="tx1"/>
            </w14:solidFill>
          </w14:textFill>
        </w:rPr>
        <w:t>。</w:t>
      </w:r>
    </w:p>
    <w:p>
      <w:pPr>
        <w:pStyle w:val="5"/>
        <w:tabs>
          <w:tab w:val="left" w:pos="7380"/>
        </w:tabs>
        <w:snapToGrid w:val="0"/>
        <w:spacing w:after="0" w:line="360" w:lineRule="exact"/>
        <w:ind w:firstLine="480" w:firstLineChars="200"/>
        <w:rPr>
          <w:rFonts w:ascii="宋体"/>
          <w:strike/>
          <w:color w:val="000000" w:themeColor="text1"/>
          <w:sz w:val="24"/>
          <w:szCs w:val="24"/>
          <w14:textFill>
            <w14:solidFill>
              <w14:schemeClr w14:val="tx1"/>
            </w14:solidFill>
          </w14:textFill>
        </w:rPr>
      </w:pPr>
      <w:r>
        <w:rPr>
          <w:rFonts w:hint="eastAsia" w:ascii="宋体" w:hAnsi="宋体"/>
          <w:strike/>
          <w:color w:val="000000" w:themeColor="text1"/>
          <w:sz w:val="24"/>
          <w:szCs w:val="24"/>
          <w14:textFill>
            <w14:solidFill>
              <w14:schemeClr w14:val="tx1"/>
            </w14:solidFill>
          </w14:textFill>
        </w:rPr>
        <w:t xml:space="preserve"> 45.2按方法</w:t>
      </w:r>
      <w:r>
        <w:rPr>
          <w:rFonts w:hint="eastAsia" w:ascii="宋体" w:hAnsi="宋体"/>
          <w:strike/>
          <w:color w:val="000000" w:themeColor="text1"/>
          <w:sz w:val="24"/>
          <w:szCs w:val="24"/>
          <w:u w:val="single"/>
          <w14:textFill>
            <w14:solidFill>
              <w14:schemeClr w14:val="tx1"/>
            </w14:solidFill>
          </w14:textFill>
        </w:rPr>
        <w:t>一</w:t>
      </w:r>
      <w:r>
        <w:rPr>
          <w:rFonts w:hint="eastAsia" w:ascii="宋体" w:hAnsi="宋体"/>
          <w:strike/>
          <w:color w:val="000000" w:themeColor="text1"/>
          <w:sz w:val="24"/>
          <w:szCs w:val="24"/>
          <w14:textFill>
            <w14:solidFill>
              <w14:schemeClr w14:val="tx1"/>
            </w14:solidFill>
          </w14:textFill>
        </w:rPr>
        <w:t>计算评标参考价：</w:t>
      </w:r>
    </w:p>
    <w:p>
      <w:pPr>
        <w:widowControl/>
        <w:spacing w:line="360" w:lineRule="auto"/>
        <w:ind w:firstLine="482" w:firstLineChars="200"/>
        <w:rPr>
          <w:rFonts w:ascii="宋体" w:hAnsi="宋体"/>
          <w:b/>
          <w:bCs/>
          <w:strike/>
          <w:color w:val="000000" w:themeColor="text1"/>
          <w:kern w:val="0"/>
          <w:sz w:val="24"/>
          <w:szCs w:val="24"/>
          <w14:textFill>
            <w14:solidFill>
              <w14:schemeClr w14:val="tx1"/>
            </w14:solidFill>
          </w14:textFill>
        </w:rPr>
      </w:pPr>
      <w:r>
        <w:rPr>
          <w:rFonts w:hint="eastAsia" w:ascii="宋体" w:hAnsi="宋体" w:cs="仿宋"/>
          <w:b/>
          <w:bCs/>
          <w:strike/>
          <w:color w:val="000000" w:themeColor="text1"/>
          <w:kern w:val="0"/>
          <w:sz w:val="24"/>
          <w:szCs w:val="24"/>
          <w14:textFill>
            <w14:solidFill>
              <w14:schemeClr w14:val="tx1"/>
            </w14:solidFill>
          </w14:textFill>
        </w:rPr>
        <w:t>方法一：加权平均法</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技术标或技术标加诚信得分（具体由招标人自定）前</w:t>
      </w:r>
      <w:r>
        <w:rPr>
          <w:rFonts w:ascii="宋体" w:hAnsi="宋体" w:cs="仿宋"/>
          <w:strike/>
          <w:color w:val="000000" w:themeColor="text1"/>
          <w:sz w:val="24"/>
          <w:szCs w:val="24"/>
          <w14:textFill>
            <w14:solidFill>
              <w14:schemeClr w14:val="tx1"/>
            </w14:solidFill>
          </w14:textFill>
        </w:rPr>
        <w:t>N</w:t>
      </w:r>
      <w:r>
        <w:rPr>
          <w:rFonts w:hint="eastAsia" w:ascii="宋体" w:hAnsi="宋体" w:cs="仿宋"/>
          <w:strike/>
          <w:color w:val="000000" w:themeColor="text1"/>
          <w:sz w:val="24"/>
          <w:szCs w:val="24"/>
          <w14:textFill>
            <w14:solidFill>
              <w14:schemeClr w14:val="tx1"/>
            </w14:solidFill>
          </w14:textFill>
        </w:rPr>
        <w:t>名（</w:t>
      </w:r>
      <w:r>
        <w:rPr>
          <w:rFonts w:ascii="宋体" w:hAnsi="宋体" w:cs="仿宋"/>
          <w:strike/>
          <w:color w:val="000000" w:themeColor="text1"/>
          <w:sz w:val="24"/>
          <w:szCs w:val="24"/>
          <w14:textFill>
            <w14:solidFill>
              <w14:schemeClr w14:val="tx1"/>
            </w14:solidFill>
          </w14:textFill>
        </w:rPr>
        <w:t>N≥5，具体由招标人自定）的经济报价加权平均，计算评标参考价。公式如下：</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评标参考价</w:t>
      </w:r>
      <w:r>
        <w:rPr>
          <w:rFonts w:ascii="宋体" w:hAnsi="宋体" w:cs="仿宋"/>
          <w:strike/>
          <w:color w:val="000000" w:themeColor="text1"/>
          <w:sz w:val="24"/>
          <w:szCs w:val="24"/>
          <w14:textFill>
            <w14:solidFill>
              <w14:schemeClr w14:val="tx1"/>
            </w14:solidFill>
          </w14:textFill>
        </w:rPr>
        <w:t>=</w:t>
      </w:r>
      <w:r>
        <w:rPr>
          <w:rFonts w:hint="eastAsia" w:ascii="宋体" w:hAnsi="宋体" w:cs="仿宋"/>
          <w:strike/>
          <w:color w:val="000000" w:themeColor="text1"/>
          <w:sz w:val="24"/>
          <w:szCs w:val="24"/>
          <w14:textFill>
            <w14:solidFill>
              <w14:schemeClr w14:val="tx1"/>
            </w14:solidFill>
          </w14:textFill>
        </w:rPr>
        <w:t>Σ（投标人的投标报价</w:t>
      </w:r>
      <w:r>
        <w:rPr>
          <w:rFonts w:ascii="宋体" w:hAnsi="宋体" w:cs="仿宋"/>
          <w:strike/>
          <w:color w:val="000000" w:themeColor="text1"/>
          <w:sz w:val="24"/>
          <w:szCs w:val="24"/>
          <w14:textFill>
            <w14:solidFill>
              <w14:schemeClr w14:val="tx1"/>
            </w14:solidFill>
          </w14:textFill>
        </w:rPr>
        <w:t>*</w:t>
      </w:r>
      <w:r>
        <w:rPr>
          <w:rFonts w:hint="eastAsia" w:ascii="宋体" w:hAnsi="宋体" w:cs="仿宋"/>
          <w:strike/>
          <w:color w:val="000000" w:themeColor="text1"/>
          <w:sz w:val="24"/>
          <w:szCs w:val="24"/>
          <w14:textFill>
            <w14:solidFill>
              <w14:schemeClr w14:val="tx1"/>
            </w14:solidFill>
          </w14:textFill>
        </w:rPr>
        <w:t>报价权重）。</w:t>
      </w:r>
    </w:p>
    <w:p>
      <w:pPr>
        <w:spacing w:line="480" w:lineRule="exact"/>
        <w:ind w:firstLine="480" w:firstLineChars="200"/>
        <w:rPr>
          <w:rFonts w:ascii="宋体" w:hAnsi="宋体" w:cs="仿宋"/>
          <w:strike/>
          <w:color w:val="000000" w:themeColor="text1"/>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其中：报价权重的计算方法为：将</w:t>
      </w:r>
      <w:r>
        <w:rPr>
          <w:rFonts w:ascii="宋体" w:hAnsi="宋体" w:cs="仿宋"/>
          <w:strike/>
          <w:color w:val="000000" w:themeColor="text1"/>
          <w:sz w:val="24"/>
          <w:szCs w:val="24"/>
          <w14:textFill>
            <w14:solidFill>
              <w14:schemeClr w14:val="tx1"/>
            </w14:solidFill>
          </w14:textFill>
        </w:rPr>
        <w:t>N</w:t>
      </w:r>
      <w:r>
        <w:rPr>
          <w:rFonts w:hint="eastAsia" w:ascii="宋体" w:hAnsi="宋体" w:cs="仿宋"/>
          <w:strike/>
          <w:color w:val="000000" w:themeColor="text1"/>
          <w:sz w:val="24"/>
          <w:szCs w:val="24"/>
          <w14:textFill>
            <w14:solidFill>
              <w14:schemeClr w14:val="tx1"/>
            </w14:solidFill>
          </w14:textFill>
        </w:rPr>
        <w:t>名投标人按技术分由高至低进行排序，第一名投标人的权重为（</w:t>
      </w:r>
      <w:r>
        <w:rPr>
          <w:rFonts w:ascii="宋体" w:hAnsi="宋体" w:cs="仿宋"/>
          <w:strike/>
          <w:color w:val="000000" w:themeColor="text1"/>
          <w:sz w:val="24"/>
          <w:szCs w:val="24"/>
          <w14:textFill>
            <w14:solidFill>
              <w14:schemeClr w14:val="tx1"/>
            </w14:solidFill>
          </w14:textFill>
        </w:rPr>
        <w:fldChar w:fldCharType="begin"/>
      </w:r>
      <w:r>
        <w:rPr>
          <w:rFonts w:ascii="宋体" w:hAnsi="宋体" w:cs="仿宋"/>
          <w:strike/>
          <w:color w:val="000000" w:themeColor="text1"/>
          <w:sz w:val="24"/>
          <w:szCs w:val="24"/>
          <w14:textFill>
            <w14:solidFill>
              <w14:schemeClr w14:val="tx1"/>
            </w14:solidFill>
          </w14:textFill>
        </w:rPr>
        <w:instrText xml:space="preserve"> QUOTE </w:instrText>
      </w:r>
      <w:r>
        <w:rPr>
          <w:rFonts w:ascii="宋体" w:hAnsi="宋体"/>
          <w:strike/>
          <w:color w:val="000000" w:themeColor="text1"/>
          <w:sz w:val="24"/>
          <w:szCs w:val="24"/>
          <w14:textFill>
            <w14:solidFill>
              <w14:schemeClr w14:val="tx1"/>
            </w14:solidFill>
          </w14:textFill>
        </w:rPr>
        <w:drawing>
          <wp:inline distT="0" distB="0" distL="0" distR="0">
            <wp:extent cx="381635" cy="44958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separate"/>
      </w:r>
      <w:r>
        <w:rPr>
          <w:rFonts w:ascii="宋体" w:hAnsi="宋体"/>
          <w:strike/>
          <w:color w:val="000000" w:themeColor="text1"/>
          <w:sz w:val="24"/>
          <w:szCs w:val="24"/>
          <w14:textFill>
            <w14:solidFill>
              <w14:schemeClr w14:val="tx1"/>
            </w14:solidFill>
          </w14:textFill>
        </w:rPr>
        <w:drawing>
          <wp:inline distT="0" distB="0" distL="0" distR="0">
            <wp:extent cx="207010" cy="244475"/>
            <wp:effectExtent l="0" t="0" r="254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7297" cy="244202"/>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end"/>
      </w:r>
      <w:r>
        <w:rPr>
          <w:rFonts w:hint="eastAsia" w:ascii="宋体" w:hAnsi="宋体" w:cs="仿宋"/>
          <w:strike/>
          <w:color w:val="000000" w:themeColor="text1"/>
          <w:sz w:val="24"/>
          <w:szCs w:val="24"/>
          <w14:textFill>
            <w14:solidFill>
              <w14:schemeClr w14:val="tx1"/>
            </w14:solidFill>
          </w14:textFill>
        </w:rPr>
        <w:t>），第二名投标人的权重为（</w:t>
      </w:r>
      <w:r>
        <w:rPr>
          <w:rFonts w:ascii="宋体" w:hAnsi="宋体" w:cs="仿宋"/>
          <w:strike/>
          <w:color w:val="000000" w:themeColor="text1"/>
          <w:sz w:val="24"/>
          <w:szCs w:val="24"/>
          <w14:textFill>
            <w14:solidFill>
              <w14:schemeClr w14:val="tx1"/>
            </w14:solidFill>
          </w14:textFill>
        </w:rPr>
        <w:fldChar w:fldCharType="begin"/>
      </w:r>
      <w:r>
        <w:rPr>
          <w:rFonts w:ascii="宋体" w:hAnsi="宋体" w:cs="仿宋"/>
          <w:strike/>
          <w:color w:val="000000" w:themeColor="text1"/>
          <w:sz w:val="24"/>
          <w:szCs w:val="24"/>
          <w14:textFill>
            <w14:solidFill>
              <w14:schemeClr w14:val="tx1"/>
            </w14:solidFill>
          </w14:textFill>
        </w:rPr>
        <w:instrText xml:space="preserve"> QUOTE </w:instrText>
      </w:r>
      <w:r>
        <w:rPr>
          <w:rFonts w:ascii="宋体" w:hAnsi="宋体"/>
          <w:strike/>
          <w:color w:val="000000" w:themeColor="text1"/>
          <w:position w:val="-23"/>
          <w:sz w:val="24"/>
          <w:szCs w:val="24"/>
          <w14:textFill>
            <w14:solidFill>
              <w14:schemeClr w14:val="tx1"/>
            </w14:solidFill>
          </w14:textFill>
        </w:rPr>
        <w:drawing>
          <wp:inline distT="0" distB="0" distL="0" distR="0">
            <wp:extent cx="322580" cy="400685"/>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separate"/>
      </w:r>
      <w:r>
        <w:rPr>
          <w:rFonts w:ascii="宋体" w:hAnsi="宋体"/>
          <w:strike/>
          <w:color w:val="000000" w:themeColor="text1"/>
          <w:position w:val="-23"/>
          <w:sz w:val="24"/>
          <w:szCs w:val="24"/>
          <w14:textFill>
            <w14:solidFill>
              <w14:schemeClr w14:val="tx1"/>
            </w14:solidFill>
          </w14:textFill>
        </w:rPr>
        <w:drawing>
          <wp:inline distT="0" distB="0" distL="0" distR="0">
            <wp:extent cx="314325" cy="390525"/>
            <wp:effectExtent l="0" t="0" r="9525"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5927" cy="392418"/>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end"/>
      </w:r>
      <w:r>
        <w:rPr>
          <w:rFonts w:hint="eastAsia" w:ascii="宋体" w:hAnsi="宋体" w:cs="仿宋"/>
          <w:strike/>
          <w:color w:val="000000" w:themeColor="text1"/>
          <w:sz w:val="24"/>
          <w:szCs w:val="24"/>
          <w14:textFill>
            <w14:solidFill>
              <w14:schemeClr w14:val="tx1"/>
            </w14:solidFill>
          </w14:textFill>
        </w:rPr>
        <w:t>），以此类推，最后一名投标人的权重为（</w:t>
      </w:r>
      <w:r>
        <w:rPr>
          <w:rFonts w:ascii="宋体" w:hAnsi="宋体" w:cs="仿宋"/>
          <w:strike/>
          <w:color w:val="000000" w:themeColor="text1"/>
          <w:sz w:val="24"/>
          <w:szCs w:val="24"/>
          <w14:textFill>
            <w14:solidFill>
              <w14:schemeClr w14:val="tx1"/>
            </w14:solidFill>
          </w14:textFill>
        </w:rPr>
        <w:fldChar w:fldCharType="begin"/>
      </w:r>
      <w:r>
        <w:rPr>
          <w:rFonts w:ascii="宋体" w:hAnsi="宋体" w:cs="仿宋"/>
          <w:strike/>
          <w:color w:val="000000" w:themeColor="text1"/>
          <w:sz w:val="24"/>
          <w:szCs w:val="24"/>
          <w14:textFill>
            <w14:solidFill>
              <w14:schemeClr w14:val="tx1"/>
            </w14:solidFill>
          </w14:textFill>
        </w:rPr>
        <w:instrText xml:space="preserve"> QUOTE </w:instrText>
      </w:r>
      <w:r>
        <w:rPr>
          <w:rFonts w:ascii="宋体" w:hAnsi="宋体"/>
          <w:strike/>
          <w:color w:val="000000" w:themeColor="text1"/>
          <w:position w:val="-23"/>
          <w:sz w:val="24"/>
          <w:szCs w:val="24"/>
          <w14:textFill>
            <w14:solidFill>
              <w14:schemeClr w14:val="tx1"/>
            </w14:solidFill>
          </w14:textFill>
        </w:rPr>
        <w:drawing>
          <wp:inline distT="0" distB="0" distL="0" distR="0">
            <wp:extent cx="322580" cy="400685"/>
            <wp:effectExtent l="0" t="0" r="0"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separate"/>
      </w:r>
      <w:r>
        <w:rPr>
          <w:rFonts w:ascii="宋体" w:hAnsi="宋体"/>
          <w:strike/>
          <w:color w:val="000000" w:themeColor="text1"/>
          <w:position w:val="-23"/>
          <w:sz w:val="24"/>
          <w:szCs w:val="24"/>
          <w14:textFill>
            <w14:solidFill>
              <w14:schemeClr w14:val="tx1"/>
            </w14:solidFill>
          </w14:textFill>
        </w:rPr>
        <w:drawing>
          <wp:inline distT="0" distB="0" distL="0" distR="0">
            <wp:extent cx="322580" cy="40068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Pr>
          <w:rFonts w:ascii="宋体" w:hAnsi="宋体" w:cs="仿宋"/>
          <w:strike/>
          <w:color w:val="000000" w:themeColor="text1"/>
          <w:sz w:val="24"/>
          <w:szCs w:val="24"/>
          <w14:textFill>
            <w14:solidFill>
              <w14:schemeClr w14:val="tx1"/>
            </w14:solidFill>
          </w14:textFill>
        </w:rPr>
        <w:fldChar w:fldCharType="end"/>
      </w:r>
      <w:r>
        <w:rPr>
          <w:rFonts w:hint="eastAsia" w:ascii="宋体" w:hAnsi="宋体" w:cs="仿宋"/>
          <w:strike/>
          <w:color w:val="000000" w:themeColor="text1"/>
          <w:sz w:val="24"/>
          <w:szCs w:val="24"/>
          <w14:textFill>
            <w14:solidFill>
              <w14:schemeClr w14:val="tx1"/>
            </w14:solidFill>
          </w14:textFill>
        </w:rPr>
        <w:t>）。</w:t>
      </w:r>
    </w:p>
    <w:p>
      <w:pPr>
        <w:widowControl/>
        <w:spacing w:line="360" w:lineRule="auto"/>
        <w:ind w:firstLine="482" w:firstLineChars="200"/>
        <w:rPr>
          <w:rFonts w:ascii="宋体" w:hAnsi="宋体"/>
          <w:b/>
          <w:bCs/>
          <w:strike/>
          <w:color w:val="000000" w:themeColor="text1"/>
          <w:kern w:val="0"/>
          <w:sz w:val="24"/>
          <w:szCs w:val="24"/>
          <w14:textFill>
            <w14:solidFill>
              <w14:schemeClr w14:val="tx1"/>
            </w14:solidFill>
          </w14:textFill>
        </w:rPr>
      </w:pPr>
      <w:r>
        <w:rPr>
          <w:rFonts w:hint="eastAsia" w:ascii="宋体" w:hAnsi="宋体" w:cs="仿宋"/>
          <w:b/>
          <w:bCs/>
          <w:strike/>
          <w:color w:val="000000" w:themeColor="text1"/>
          <w:kern w:val="0"/>
          <w:sz w:val="24"/>
          <w:szCs w:val="24"/>
          <w14:textFill>
            <w14:solidFill>
              <w14:schemeClr w14:val="tx1"/>
            </w14:solidFill>
          </w14:textFill>
        </w:rPr>
        <w:t>方法二：区间抽取法</w:t>
      </w:r>
    </w:p>
    <w:p>
      <w:pPr>
        <w:widowControl/>
        <w:snapToGrid w:val="0"/>
        <w:spacing w:line="360" w:lineRule="auto"/>
        <w:ind w:firstLine="480" w:firstLineChars="200"/>
        <w:rPr>
          <w:rFonts w:ascii="宋体" w:hAnsi="宋体"/>
          <w:strike/>
          <w:color w:val="000000" w:themeColor="text1"/>
          <w:kern w:val="0"/>
          <w:sz w:val="24"/>
          <w:szCs w:val="24"/>
          <w14:textFill>
            <w14:solidFill>
              <w14:schemeClr w14:val="tx1"/>
            </w14:solidFill>
          </w14:textFill>
        </w:rPr>
      </w:pPr>
      <w:r>
        <w:rPr>
          <w:rFonts w:hint="eastAsia" w:ascii="宋体" w:hAnsi="宋体" w:cs="仿宋"/>
          <w:strike/>
          <w:color w:val="000000" w:themeColor="text1"/>
          <w:sz w:val="24"/>
          <w:szCs w:val="24"/>
          <w14:textFill>
            <w14:solidFill>
              <w14:schemeClr w14:val="tx1"/>
            </w14:solidFill>
          </w14:textFill>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color w:val="000000" w:themeColor="text1"/>
          <w:kern w:val="0"/>
          <w:sz w:val="24"/>
          <w:szCs w:val="24"/>
          <w:vertAlign w:val="subscript"/>
          <w14:textFill>
            <w14:solidFill>
              <w14:schemeClr w14:val="tx1"/>
            </w14:solidFill>
          </w14:textFill>
        </w:rPr>
      </w:pPr>
      <w:r>
        <w:rPr>
          <w:rFonts w:hint="eastAsia" w:ascii="宋体" w:hAnsi="宋体" w:cs="仿宋"/>
          <w:strike/>
          <w:color w:val="000000" w:themeColor="text1"/>
          <w:kern w:val="0"/>
          <w:sz w:val="24"/>
          <w:szCs w:val="24"/>
          <w14:textFill>
            <w14:solidFill>
              <w14:schemeClr w14:val="tx1"/>
            </w14:solidFill>
          </w14:textFill>
        </w:rPr>
        <w:t>评标参考价</w:t>
      </w:r>
      <w:r>
        <w:rPr>
          <w:rFonts w:ascii="宋体" w:hAnsi="宋体" w:cs="仿宋"/>
          <w:strike/>
          <w:color w:val="000000" w:themeColor="text1"/>
          <w:kern w:val="0"/>
          <w:sz w:val="24"/>
          <w:szCs w:val="24"/>
          <w14:textFill>
            <w14:solidFill>
              <w14:schemeClr w14:val="tx1"/>
            </w14:solidFill>
          </w14:textFill>
        </w:rPr>
        <w:t>=</w:t>
      </w:r>
      <w:r>
        <w:rPr>
          <w:rFonts w:hint="eastAsia" w:ascii="宋体" w:hAnsi="宋体" w:cs="仿宋"/>
          <w:strike/>
          <w:color w:val="000000" w:themeColor="text1"/>
          <w:kern w:val="0"/>
          <w:sz w:val="24"/>
          <w:szCs w:val="24"/>
          <w14:textFill>
            <w14:solidFill>
              <w14:schemeClr w14:val="tx1"/>
            </w14:solidFill>
          </w14:textFill>
        </w:rPr>
        <w:t>（</w:t>
      </w: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高</w:t>
      </w: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低</w:t>
      </w:r>
      <w:r>
        <w:rPr>
          <w:rFonts w:hint="eastAsia" w:ascii="宋体" w:hAnsi="宋体" w:cs="仿宋"/>
          <w:strike/>
          <w:color w:val="000000" w:themeColor="text1"/>
          <w:kern w:val="0"/>
          <w:sz w:val="24"/>
          <w:szCs w:val="24"/>
          <w14:textFill>
            <w14:solidFill>
              <w14:schemeClr w14:val="tx1"/>
            </w14:solidFill>
          </w14:textFill>
        </w:rPr>
        <w:t>）</w:t>
      </w:r>
      <w:r>
        <w:rPr>
          <w:rFonts w:ascii="宋体" w:hAnsi="宋体" w:cs="仿宋"/>
          <w:strike/>
          <w:color w:val="000000" w:themeColor="text1"/>
          <w:kern w:val="0"/>
          <w:sz w:val="24"/>
          <w:szCs w:val="24"/>
          <w14:textFill>
            <w14:solidFill>
              <w14:schemeClr w14:val="tx1"/>
            </w14:solidFill>
          </w14:textFill>
        </w:rPr>
        <w:t>/100*</w:t>
      </w:r>
      <w:r>
        <w:rPr>
          <w:rFonts w:hint="eastAsia" w:ascii="宋体" w:hAnsi="宋体" w:cs="仿宋"/>
          <w:strike/>
          <w:color w:val="000000" w:themeColor="text1"/>
          <w:kern w:val="0"/>
          <w:sz w:val="24"/>
          <w:szCs w:val="24"/>
          <w14:textFill>
            <w14:solidFill>
              <w14:schemeClr w14:val="tx1"/>
            </w14:solidFill>
          </w14:textFill>
        </w:rPr>
        <w:t>Ｘ</w:t>
      </w: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低</w:t>
      </w:r>
    </w:p>
    <w:p>
      <w:pPr>
        <w:widowControl/>
        <w:snapToGrid w:val="0"/>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cs="仿宋"/>
          <w:strike/>
          <w:color w:val="000000" w:themeColor="text1"/>
          <w:sz w:val="24"/>
          <w:szCs w:val="24"/>
          <w14:textFill>
            <w14:solidFill>
              <w14:schemeClr w14:val="tx1"/>
            </w14:solidFill>
          </w14:textFill>
        </w:rPr>
        <w:t>Q</w:t>
      </w:r>
      <w:r>
        <w:rPr>
          <w:rFonts w:hint="eastAsia" w:ascii="宋体" w:hAnsi="宋体" w:cs="仿宋"/>
          <w:strike/>
          <w:color w:val="000000" w:themeColor="text1"/>
          <w:sz w:val="24"/>
          <w:szCs w:val="24"/>
          <w:vertAlign w:val="subscript"/>
          <w14:textFill>
            <w14:solidFill>
              <w14:schemeClr w14:val="tx1"/>
            </w14:solidFill>
          </w14:textFill>
        </w:rPr>
        <w:t>低</w:t>
      </w:r>
      <w:r>
        <w:rPr>
          <w:rFonts w:hint="eastAsia" w:ascii="宋体" w:hAnsi="宋体" w:cs="仿宋"/>
          <w:strike/>
          <w:color w:val="000000" w:themeColor="text1"/>
          <w:sz w:val="24"/>
          <w:szCs w:val="24"/>
          <w14:textFill>
            <w14:solidFill>
              <w14:schemeClr w14:val="tx1"/>
            </w14:solidFill>
          </w14:textFill>
        </w:rPr>
        <w:t>：为达到或超过技术标及格分数线的投标人最低报价与工程成本警示价两者中的较高值；</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ascii="宋体" w:hAnsi="宋体" w:cs="仿宋"/>
          <w:strike/>
          <w:color w:val="000000" w:themeColor="text1"/>
          <w:kern w:val="0"/>
          <w:sz w:val="24"/>
          <w:szCs w:val="24"/>
          <w14:textFill>
            <w14:solidFill>
              <w14:schemeClr w14:val="tx1"/>
            </w14:solidFill>
          </w14:textFill>
        </w:rPr>
        <w:t>Q</w:t>
      </w:r>
      <w:r>
        <w:rPr>
          <w:rFonts w:hint="eastAsia" w:ascii="宋体" w:hAnsi="宋体" w:cs="仿宋"/>
          <w:strike/>
          <w:color w:val="000000" w:themeColor="text1"/>
          <w:kern w:val="0"/>
          <w:sz w:val="24"/>
          <w:szCs w:val="24"/>
          <w:vertAlign w:val="subscript"/>
          <w14:textFill>
            <w14:solidFill>
              <w14:schemeClr w14:val="tx1"/>
            </w14:solidFill>
          </w14:textFill>
        </w:rPr>
        <w:t>高</w:t>
      </w:r>
      <w:r>
        <w:rPr>
          <w:rFonts w:hint="eastAsia" w:ascii="宋体" w:hAnsi="宋体" w:cs="仿宋"/>
          <w:strike/>
          <w:color w:val="000000" w:themeColor="text1"/>
          <w:sz w:val="24"/>
          <w:szCs w:val="24"/>
          <w14:textFill>
            <w14:solidFill>
              <w14:schemeClr w14:val="tx1"/>
            </w14:solidFill>
          </w14:textFill>
        </w:rPr>
        <w:t>：为（最高投标限价</w:t>
      </w:r>
      <w:r>
        <w:rPr>
          <w:rFonts w:ascii="宋体" w:hAnsi="宋体" w:cs="仿宋"/>
          <w:strike/>
          <w:color w:val="000000" w:themeColor="text1"/>
          <w:sz w:val="24"/>
          <w:szCs w:val="24"/>
          <w14:textFill>
            <w14:solidFill>
              <w14:schemeClr w14:val="tx1"/>
            </w14:solidFill>
          </w14:textFill>
        </w:rPr>
        <w:t>*D%</w:t>
      </w:r>
      <w:r>
        <w:rPr>
          <w:rFonts w:hint="eastAsia" w:ascii="宋体" w:hAnsi="宋体" w:cs="仿宋"/>
          <w:strike/>
          <w:color w:val="000000" w:themeColor="text1"/>
          <w:sz w:val="24"/>
          <w:szCs w:val="24"/>
          <w14:textFill>
            <w14:solidFill>
              <w14:schemeClr w14:val="tx1"/>
            </w14:solidFill>
          </w14:textFill>
        </w:rPr>
        <w:t>）（</w:t>
      </w:r>
      <w:r>
        <w:rPr>
          <w:rFonts w:ascii="宋体" w:hAnsi="宋体" w:cs="仿宋"/>
          <w:strike/>
          <w:color w:val="000000" w:themeColor="text1"/>
          <w:sz w:val="24"/>
          <w:szCs w:val="24"/>
          <w14:textFill>
            <w14:solidFill>
              <w14:schemeClr w14:val="tx1"/>
            </w14:solidFill>
          </w14:textFill>
        </w:rPr>
        <w:t>D</w:t>
      </w:r>
      <w:r>
        <w:rPr>
          <w:rFonts w:hint="eastAsia" w:ascii="宋体" w:hAnsi="宋体" w:cs="仿宋"/>
          <w:strike/>
          <w:color w:val="000000" w:themeColor="text1"/>
          <w:sz w:val="24"/>
          <w:szCs w:val="24"/>
          <w14:textFill>
            <w14:solidFill>
              <w14:schemeClr w14:val="tx1"/>
            </w14:solidFill>
          </w14:textFill>
        </w:rPr>
        <w:t>的取值范围为</w:t>
      </w:r>
      <w:r>
        <w:rPr>
          <w:rFonts w:ascii="宋体" w:hAnsi="宋体" w:cs="仿宋"/>
          <w:strike/>
          <w:color w:val="000000" w:themeColor="text1"/>
          <w:sz w:val="24"/>
          <w:szCs w:val="24"/>
          <w14:textFill>
            <w14:solidFill>
              <w14:schemeClr w14:val="tx1"/>
            </w14:solidFill>
          </w14:textFill>
        </w:rPr>
        <w:t>[94,100],</w:t>
      </w:r>
      <w:r>
        <w:rPr>
          <w:rFonts w:hint="eastAsia" w:ascii="宋体" w:hAnsi="宋体" w:cs="仿宋"/>
          <w:strike/>
          <w:color w:val="000000" w:themeColor="text1"/>
          <w:sz w:val="24"/>
          <w:szCs w:val="24"/>
          <w14:textFill>
            <w14:solidFill>
              <w14:schemeClr w14:val="tx1"/>
            </w14:solidFill>
          </w14:textFill>
        </w:rPr>
        <w:t>由招标人自定）</w:t>
      </w:r>
    </w:p>
    <w:p>
      <w:pPr>
        <w:spacing w:line="360" w:lineRule="auto"/>
        <w:ind w:firstLine="480" w:firstLineChars="200"/>
        <w:rPr>
          <w:rFonts w:ascii="宋体" w:hAnsi="宋体" w:cs="仿宋"/>
          <w:strike/>
          <w:color w:val="000000" w:themeColor="text1"/>
          <w:sz w:val="24"/>
          <w:szCs w:val="24"/>
          <w14:textFill>
            <w14:solidFill>
              <w14:schemeClr w14:val="tx1"/>
            </w14:solidFill>
          </w14:textFill>
        </w:rPr>
      </w:pPr>
      <w:r>
        <w:rPr>
          <w:rFonts w:ascii="宋体" w:hAnsi="宋体" w:cs="仿宋"/>
          <w:strike/>
          <w:color w:val="000000" w:themeColor="text1"/>
          <w:sz w:val="24"/>
          <w:szCs w:val="24"/>
          <w14:textFill>
            <w14:solidFill>
              <w14:schemeClr w14:val="tx1"/>
            </w14:solidFill>
          </w14:textFill>
        </w:rPr>
        <w:t>X:</w:t>
      </w:r>
      <w:r>
        <w:rPr>
          <w:rFonts w:hint="eastAsia" w:ascii="宋体" w:hAnsi="宋体" w:cs="仿宋"/>
          <w:strike/>
          <w:color w:val="000000" w:themeColor="text1"/>
          <w:sz w:val="24"/>
          <w:szCs w:val="24"/>
          <w14:textFill>
            <w14:solidFill>
              <w14:schemeClr w14:val="tx1"/>
            </w14:solidFill>
          </w14:textFill>
        </w:rPr>
        <w:t>为等分点值，在开标前从</w:t>
      </w:r>
      <w:r>
        <w:rPr>
          <w:rFonts w:ascii="宋体" w:hAnsi="宋体" w:cs="仿宋"/>
          <w:strike/>
          <w:color w:val="000000" w:themeColor="text1"/>
          <w:sz w:val="24"/>
          <w:szCs w:val="24"/>
          <w14:textFill>
            <w14:solidFill>
              <w14:schemeClr w14:val="tx1"/>
            </w14:solidFill>
          </w14:textFill>
        </w:rPr>
        <w:t>[0,100]</w:t>
      </w:r>
      <w:r>
        <w:rPr>
          <w:rFonts w:hint="eastAsia" w:ascii="宋体" w:hAnsi="宋体" w:cs="仿宋"/>
          <w:strike/>
          <w:color w:val="000000" w:themeColor="text1"/>
          <w:sz w:val="24"/>
          <w:szCs w:val="24"/>
          <w14:textFill>
            <w14:solidFill>
              <w14:schemeClr w14:val="tx1"/>
            </w14:solidFill>
          </w14:textFill>
        </w:rPr>
        <w:t>整数中随机抽取</w:t>
      </w:r>
    </w:p>
    <w:p>
      <w:pPr>
        <w:spacing w:line="360" w:lineRule="auto"/>
        <w:ind w:firstLine="480" w:firstLineChars="200"/>
        <w:rPr>
          <w:rFonts w:ascii="宋体" w:hAnsi="宋体"/>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45.3</w:t>
      </w:r>
      <w:r>
        <w:rPr>
          <w:rFonts w:hint="eastAsia" w:ascii="宋体" w:hAnsi="宋体"/>
          <w:strike/>
          <w:color w:val="000000" w:themeColor="text1"/>
          <w:sz w:val="24"/>
          <w:szCs w:val="24"/>
          <w14:textFill>
            <w14:solidFill>
              <w14:schemeClr w14:val="tx1"/>
            </w14:solidFill>
          </w14:textFill>
        </w:rPr>
        <w:t>当标价等于评标参考价时得</w:t>
      </w:r>
      <w:r>
        <w:rPr>
          <w:rFonts w:ascii="宋体" w:hAnsi="宋体"/>
          <w:strike/>
          <w:color w:val="000000" w:themeColor="text1"/>
          <w:sz w:val="24"/>
          <w:szCs w:val="24"/>
          <w14:textFill>
            <w14:solidFill>
              <w14:schemeClr w14:val="tx1"/>
            </w14:solidFill>
          </w14:textFill>
        </w:rPr>
        <w:t>100</w:t>
      </w:r>
      <w:r>
        <w:rPr>
          <w:rFonts w:hint="eastAsia" w:ascii="宋体" w:hAnsi="宋体"/>
          <w:strike/>
          <w:color w:val="000000" w:themeColor="text1"/>
          <w:sz w:val="24"/>
          <w:szCs w:val="24"/>
          <w14:textFill>
            <w14:solidFill>
              <w14:schemeClr w14:val="tx1"/>
            </w14:solidFill>
          </w14:textFill>
        </w:rPr>
        <w:t>分，标价每高于评标参考价</w:t>
      </w:r>
      <w:r>
        <w:rPr>
          <w:rFonts w:ascii="宋体" w:hAnsi="宋体"/>
          <w:strike/>
          <w:color w:val="000000" w:themeColor="text1"/>
          <w:sz w:val="24"/>
          <w:szCs w:val="24"/>
          <w14:textFill>
            <w14:solidFill>
              <w14:schemeClr w14:val="tx1"/>
            </w14:solidFill>
          </w14:textFill>
        </w:rPr>
        <w:t>1%</w:t>
      </w:r>
      <w:r>
        <w:rPr>
          <w:rFonts w:hint="eastAsia" w:ascii="宋体" w:hAnsi="宋体"/>
          <w:strike/>
          <w:color w:val="000000" w:themeColor="text1"/>
          <w:sz w:val="24"/>
          <w:szCs w:val="24"/>
          <w14:textFill>
            <w14:solidFill>
              <w14:schemeClr w14:val="tx1"/>
            </w14:solidFill>
          </w14:textFill>
        </w:rPr>
        <w:t>，扣</w:t>
      </w:r>
      <w:r>
        <w:rPr>
          <w:rFonts w:ascii="宋体" w:hAnsi="宋体"/>
          <w:strike/>
          <w:color w:val="000000" w:themeColor="text1"/>
          <w:sz w:val="24"/>
          <w:szCs w:val="24"/>
          <w14:textFill>
            <w14:solidFill>
              <w14:schemeClr w14:val="tx1"/>
            </w14:solidFill>
          </w14:textFill>
        </w:rPr>
        <w:t>1.5</w:t>
      </w:r>
      <w:r>
        <w:rPr>
          <w:rFonts w:hint="eastAsia" w:ascii="宋体" w:hAnsi="宋体"/>
          <w:strike/>
          <w:color w:val="000000" w:themeColor="text1"/>
          <w:sz w:val="24"/>
          <w:szCs w:val="24"/>
          <w14:textFill>
            <w14:solidFill>
              <w14:schemeClr w14:val="tx1"/>
            </w14:solidFill>
          </w14:textFill>
        </w:rPr>
        <w:t>分，每低于评标参考价</w:t>
      </w:r>
      <w:r>
        <w:rPr>
          <w:rFonts w:ascii="宋体" w:hAnsi="宋体"/>
          <w:strike/>
          <w:color w:val="000000" w:themeColor="text1"/>
          <w:sz w:val="24"/>
          <w:szCs w:val="24"/>
          <w14:textFill>
            <w14:solidFill>
              <w14:schemeClr w14:val="tx1"/>
            </w14:solidFill>
          </w14:textFill>
        </w:rPr>
        <w:t>1%</w:t>
      </w:r>
      <w:r>
        <w:rPr>
          <w:rFonts w:hint="eastAsia" w:ascii="宋体" w:hAnsi="宋体"/>
          <w:strike/>
          <w:color w:val="000000" w:themeColor="text1"/>
          <w:sz w:val="24"/>
          <w:szCs w:val="24"/>
          <w14:textFill>
            <w14:solidFill>
              <w14:schemeClr w14:val="tx1"/>
            </w14:solidFill>
          </w14:textFill>
        </w:rPr>
        <w:t>，扣</w:t>
      </w:r>
      <w:r>
        <w:rPr>
          <w:rFonts w:ascii="宋体" w:hAnsi="宋体"/>
          <w:strike/>
          <w:color w:val="000000" w:themeColor="text1"/>
          <w:sz w:val="24"/>
          <w:szCs w:val="24"/>
          <w14:textFill>
            <w14:solidFill>
              <w14:schemeClr w14:val="tx1"/>
            </w14:solidFill>
          </w14:textFill>
        </w:rPr>
        <w:t>1</w:t>
      </w:r>
      <w:r>
        <w:rPr>
          <w:rFonts w:hint="eastAsia" w:ascii="宋体" w:hAnsi="宋体"/>
          <w:strike/>
          <w:color w:val="000000" w:themeColor="text1"/>
          <w:sz w:val="24"/>
          <w:szCs w:val="24"/>
          <w14:textFill>
            <w14:solidFill>
              <w14:schemeClr w14:val="tx1"/>
            </w14:solidFill>
          </w14:textFill>
        </w:rPr>
        <w:t>分，扣至</w:t>
      </w:r>
      <w:r>
        <w:rPr>
          <w:rFonts w:ascii="宋体" w:hAnsi="宋体"/>
          <w:strike/>
          <w:color w:val="000000" w:themeColor="text1"/>
          <w:sz w:val="24"/>
          <w:szCs w:val="24"/>
          <w14:textFill>
            <w14:solidFill>
              <w14:schemeClr w14:val="tx1"/>
            </w14:solidFill>
          </w14:textFill>
        </w:rPr>
        <w:t>0</w:t>
      </w:r>
      <w:r>
        <w:rPr>
          <w:rFonts w:hint="eastAsia" w:ascii="宋体" w:hAnsi="宋体"/>
          <w:strike/>
          <w:color w:val="000000" w:themeColor="text1"/>
          <w:sz w:val="24"/>
          <w:szCs w:val="24"/>
          <w14:textFill>
            <w14:solidFill>
              <w14:schemeClr w14:val="tx1"/>
            </w14:solidFill>
          </w14:textFill>
        </w:rPr>
        <w:t>分为止，得出经济分，精确到小数点后两位。</w:t>
      </w:r>
    </w:p>
    <w:p>
      <w:pPr>
        <w:spacing w:line="360" w:lineRule="auto"/>
        <w:ind w:firstLine="480" w:firstLineChars="200"/>
        <w:rPr>
          <w:strike/>
          <w:color w:val="000000" w:themeColor="text1"/>
          <w:sz w:val="24"/>
          <w:szCs w:val="24"/>
          <w14:textFill>
            <w14:solidFill>
              <w14:schemeClr w14:val="tx1"/>
            </w14:solidFill>
          </w14:textFill>
        </w:rPr>
      </w:pPr>
      <w:r>
        <w:rPr>
          <w:rFonts w:ascii="宋体" w:hAnsi="宋体"/>
          <w:strike/>
          <w:color w:val="000000" w:themeColor="text1"/>
          <w:sz w:val="24"/>
          <w:szCs w:val="24"/>
          <w14:textFill>
            <w14:solidFill>
              <w14:schemeClr w14:val="tx1"/>
            </w14:solidFill>
          </w14:textFill>
        </w:rPr>
        <w:t>45.4</w:t>
      </w:r>
      <w:r>
        <w:rPr>
          <w:rFonts w:hint="eastAsia" w:ascii="Times New Roman" w:hAnsi="Times New Roman"/>
          <w:strike/>
          <w:color w:val="000000" w:themeColor="text1"/>
          <w:sz w:val="24"/>
          <w:szCs w:val="24"/>
          <w14:textFill>
            <w14:solidFill>
              <w14:schemeClr w14:val="tx1"/>
            </w14:solidFill>
          </w14:textFill>
        </w:rPr>
        <w:t>计算通过技术标有效性审查的投标人总得分。投标人总得分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（技术得分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技术得分权重＋经济得分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经济得分权重）</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w:t>
      </w:r>
      <w:r>
        <w:rPr>
          <w:rFonts w:ascii="Times New Roman" w:hAnsi="Times New Roman"/>
          <w:strike/>
          <w:color w:val="000000" w:themeColor="text1"/>
          <w:sz w:val="24"/>
          <w:szCs w:val="24"/>
          <w14:textFill>
            <w14:solidFill>
              <w14:schemeClr w14:val="tx1"/>
            </w14:solidFill>
          </w14:textFill>
        </w:rPr>
        <w:t>1-</w:t>
      </w:r>
      <w:r>
        <w:rPr>
          <w:rFonts w:hint="eastAsia" w:ascii="Times New Roman" w:hAnsi="Times New Roman"/>
          <w:strike/>
          <w:color w:val="000000" w:themeColor="text1"/>
          <w:sz w:val="24"/>
          <w:szCs w:val="24"/>
          <w14:textFill>
            <w14:solidFill>
              <w14:schemeClr w14:val="tx1"/>
            </w14:solidFill>
          </w14:textFill>
        </w:rPr>
        <w:t>综合诚信评价分数权重）＋综合诚信评价排名得分</w:t>
      </w:r>
      <w:r>
        <w:rPr>
          <w:rFonts w:ascii="Times New Roman" w:hAnsi="Times New Roman"/>
          <w:strike/>
          <w:color w:val="000000" w:themeColor="text1"/>
          <w:sz w:val="24"/>
          <w:szCs w:val="24"/>
          <w14:textFill>
            <w14:solidFill>
              <w14:schemeClr w14:val="tx1"/>
            </w14:solidFill>
          </w14:textFill>
        </w:rPr>
        <w:t>×</w:t>
      </w:r>
      <w:r>
        <w:rPr>
          <w:rFonts w:hint="eastAsia" w:ascii="Times New Roman" w:hAnsi="Times New Roman"/>
          <w:strike/>
          <w:color w:val="000000" w:themeColor="text1"/>
          <w:sz w:val="24"/>
          <w:szCs w:val="24"/>
          <w14:textFill>
            <w14:solidFill>
              <w14:schemeClr w14:val="tx1"/>
            </w14:solidFill>
          </w14:textFill>
        </w:rPr>
        <w:t>综合诚信评价分数权重）。技术、经济得分权重按投标须知前附表的规定执行。总得分四舍五入保留两位小数。</w:t>
      </w:r>
    </w:p>
    <w:p>
      <w:pPr>
        <w:pStyle w:val="5"/>
        <w:tabs>
          <w:tab w:val="left" w:pos="7380"/>
        </w:tabs>
        <w:snapToGrid w:val="0"/>
        <w:spacing w:before="60" w:after="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46.经济标的有效性审查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46.1经济标的有效性审查：</w:t>
      </w:r>
      <w:r>
        <w:rPr>
          <w:rFonts w:hint="eastAsia" w:ascii="宋体"/>
          <w:color w:val="000000" w:themeColor="text1"/>
          <w:sz w:val="24"/>
          <w:szCs w:val="24"/>
          <w:u w:val="single"/>
          <w14:textFill>
            <w14:solidFill>
              <w14:schemeClr w14:val="tx1"/>
            </w14:solidFill>
          </w14:textFill>
        </w:rPr>
        <w:t>评标委员会</w:t>
      </w:r>
      <w:r>
        <w:rPr>
          <w:rFonts w:hint="eastAsia" w:ascii="宋体" w:hAnsi="宋体"/>
          <w:color w:val="000000" w:themeColor="text1"/>
          <w:sz w:val="24"/>
          <w:szCs w:val="24"/>
          <w:u w:val="single"/>
          <w14:textFill>
            <w14:solidFill>
              <w14:schemeClr w14:val="tx1"/>
            </w14:solidFill>
          </w14:textFill>
        </w:rPr>
        <w:t>对</w:t>
      </w:r>
      <w:r>
        <w:rPr>
          <w:rFonts w:hint="eastAsia" w:ascii="宋体"/>
          <w:color w:val="000000" w:themeColor="text1"/>
          <w:sz w:val="24"/>
          <w:szCs w:val="24"/>
          <w:u w:val="single"/>
          <w14:textFill>
            <w14:solidFill>
              <w14:schemeClr w14:val="tx1"/>
            </w14:solidFill>
          </w14:textFill>
        </w:rPr>
        <w:t>技术标有效性审查合格的</w:t>
      </w:r>
      <w:r>
        <w:rPr>
          <w:rFonts w:hint="eastAsia" w:ascii="宋体" w:hAnsi="宋体"/>
          <w:color w:val="000000" w:themeColor="text1"/>
          <w:sz w:val="24"/>
          <w:szCs w:val="24"/>
          <w:u w:val="single"/>
          <w14:textFill>
            <w14:solidFill>
              <w14:schemeClr w14:val="tx1"/>
            </w14:solidFill>
          </w14:textFill>
        </w:rPr>
        <w:t>投标文件进行经济标有效性审查</w:t>
      </w:r>
      <w:r>
        <w:rPr>
          <w:rFonts w:hint="eastAsia" w:ascii="宋体" w:hAnsi="宋体"/>
          <w:color w:val="000000" w:themeColor="text1"/>
          <w:sz w:val="24"/>
          <w:szCs w:val="24"/>
          <w14:textFill>
            <w14:solidFill>
              <w14:schemeClr w14:val="tx1"/>
            </w14:solidFill>
          </w14:textFill>
        </w:rPr>
        <w:t>，投标文件中没有任一种列于本办法附表三《经济标有效性审查表》中情形的，为有效</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6.2.1如果数字表示的金额和用文字表示的金额不一致时，应以文字表示的金额为准；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6.2.2经算术复核的投标人报价与其投标报价不一致时，按就低不就高原则确定其最终报价；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xml:space="preserve">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6.2.</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7.评标委员会按只有通过有效性审查的投标人的投标文件方可进入下一阶段评审的评审原则，根据有效性审查结果，</w:t>
      </w:r>
      <w:r>
        <w:rPr>
          <w:rFonts w:hint="eastAsia" w:ascii="宋体" w:hAnsi="宋体"/>
          <w:color w:val="000000" w:themeColor="text1"/>
          <w:sz w:val="24"/>
          <w:szCs w:val="24"/>
          <w:u w:val="single"/>
          <w14:textFill>
            <w14:solidFill>
              <w14:schemeClr w14:val="tx1"/>
            </w14:solidFill>
          </w14:textFill>
        </w:rPr>
        <w:t>取消被否决投标的投标人被推荐为合格中标候选人的资格，其余通过全部有效性审查的投标人均被推荐为合格中标候选人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u w:val="single"/>
          <w14:textFill>
            <w14:solidFill>
              <w14:schemeClr w14:val="tx1"/>
            </w14:solidFill>
          </w14:textFill>
        </w:rPr>
        <w:t>评标委员会应将通过全部有效性审查的投标人推荐为合格中标候选人名单，合格的中标候选人不排序，并编制评标报告。合格的中标候选人少于3家的，应当重新招标。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9.若通过经济标有效性审查的投标人不足三家，应当依法重新招标。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50.定标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w:t>
      </w:r>
      <w:r>
        <w:rPr>
          <w:rFonts w:ascii="宋体" w:hAnsi="宋体"/>
          <w:color w:val="000000" w:themeColor="text1"/>
          <w:sz w:val="24"/>
          <w:szCs w:val="24"/>
          <w:u w:val="single"/>
          <w14:textFill>
            <w14:solidFill>
              <w14:schemeClr w14:val="tx1"/>
            </w14:solidFill>
          </w14:textFill>
        </w:rPr>
        <w:t>0.1</w:t>
      </w:r>
      <w:r>
        <w:rPr>
          <w:rFonts w:hint="eastAsia" w:ascii="宋体" w:hAnsi="宋体"/>
          <w:color w:val="000000" w:themeColor="text1"/>
          <w:sz w:val="24"/>
          <w:szCs w:val="24"/>
          <w:u w:val="single"/>
          <w14:textFill>
            <w14:solidFill>
              <w14:schemeClr w14:val="tx1"/>
            </w14:solidFill>
          </w14:textFill>
        </w:rPr>
        <w:t>定标委员会</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评标结束后，招标人按以下规定组建定标委员会，在评标委员会提交的合格的中标候选人名单中确定中标人：</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定标由招标人组建的定标委员会负责，成员数量为5人或以上单数。成员由招标人工作人员担任，除招标人领导班子成员担任定标委员会成员外，定标委员会成员需具备相应专业能力。</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50.2 定标时间和地点</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招标人在中标候选人公示完成后10个工作日内，在广州公共资源交易中心举行定标会议，招标人按规定程序在投标人须知的时间和地点完成定标工作。</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 定标规则</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本项目采用 直接票决定标法 定标方法,定标方法如下：</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 定标程序</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50.3.1.1定标工作开始后，发放选票，由定标委员会参考定标因素进行投票排名，定标委员会应推荐一人为定标委员会组长，主持当次定标会议。</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2</w:t>
      </w:r>
      <w:r>
        <w:rPr>
          <w:rFonts w:hint="eastAsia" w:ascii="宋体" w:hAnsi="宋体"/>
          <w:color w:val="000000" w:themeColor="text1"/>
          <w:sz w:val="24"/>
          <w:szCs w:val="24"/>
          <w:u w:val="single"/>
          <w14:textFill>
            <w14:solidFill>
              <w14:schemeClr w14:val="tx1"/>
            </w14:solidFill>
          </w14:textFill>
        </w:rPr>
        <w:t>定标参考资料为评标阶段的评标报告、投标人提交的投标文件。</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3</w:t>
      </w:r>
      <w:r>
        <w:rPr>
          <w:rFonts w:hint="eastAsia" w:ascii="宋体" w:hAnsi="宋体"/>
          <w:color w:val="000000" w:themeColor="text1"/>
          <w:sz w:val="24"/>
          <w:szCs w:val="24"/>
          <w:u w:val="single"/>
          <w14:textFill>
            <w14:solidFill>
              <w14:schemeClr w14:val="tx1"/>
            </w14:solidFill>
          </w14:textFill>
        </w:rPr>
        <w:t>定标委员会根据定标因素及定标参考资料进行记名投票，确定中标人，定标因素详见附表六。</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1）价格因素：对合格的中标候选人的投标报价进行横向比较评审；</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2</w:t>
      </w:r>
      <w:r>
        <w:rPr>
          <w:rFonts w:ascii="宋体" w:hAnsi="宋体"/>
          <w:color w:val="000000" w:themeColor="text1"/>
          <w:sz w:val="24"/>
          <w:szCs w:val="24"/>
          <w:u w:val="single"/>
          <w14:textFill>
            <w14:solidFill>
              <w14:schemeClr w14:val="tx1"/>
            </w14:solidFill>
          </w14:textFill>
        </w:rPr>
        <w:t>）方案因素</w:t>
      </w:r>
      <w:r>
        <w:rPr>
          <w:rFonts w:hint="eastAsia" w:ascii="宋体" w:hAnsi="宋体"/>
          <w:color w:val="000000" w:themeColor="text1"/>
          <w:sz w:val="24"/>
          <w:szCs w:val="24"/>
          <w:u w:val="single"/>
          <w14:textFill>
            <w14:solidFill>
              <w14:schemeClr w14:val="tx1"/>
            </w14:solidFill>
          </w14:textFill>
        </w:rPr>
        <w:t>：①主要对施工总进度计划；工程重点、难点与施工技术措施；拟投入施工的机械设备和劳务配备情况；调试、送电、验收方案；安全文明施工保证措施；质量及保证措施等在所有合格中标候选人中进行横向对比。②根据招标人上级单位对合格投标人过往在招标人上级集团单位系内的参建项目的安全生产不良行为扣分和处理情况进行综合评价；</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3）资信因素：主要对类似项目业绩、企业信誉情况等进行综合评价；</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4）团队因素：主要对项目负责人职称级别、项目团队人员数量、项目团队人员职称级别等进行综合评价。</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4</w:t>
      </w:r>
      <w:r>
        <w:rPr>
          <w:rFonts w:hint="eastAsia" w:ascii="宋体" w:hAnsi="宋体"/>
          <w:color w:val="000000" w:themeColor="text1"/>
          <w:sz w:val="24"/>
          <w:szCs w:val="24"/>
          <w:u w:val="single"/>
          <w14:textFill>
            <w14:solidFill>
              <w14:schemeClr w14:val="tx1"/>
            </w14:solidFill>
          </w14:textFill>
        </w:rPr>
        <w:t>投票规则：定标委员会根据定标因素及定标参考资料对各投标人进行综合比较后，</w:t>
      </w:r>
      <w:bookmarkStart w:id="16" w:name="_Hlk59107287"/>
      <w:r>
        <w:rPr>
          <w:rFonts w:hint="eastAsia" w:ascii="宋体" w:hAnsi="宋体"/>
          <w:color w:val="000000" w:themeColor="text1"/>
          <w:sz w:val="24"/>
          <w:szCs w:val="24"/>
          <w:u w:val="single"/>
          <w14:textFill>
            <w14:solidFill>
              <w14:schemeClr w14:val="tx1"/>
            </w14:solidFill>
          </w14:textFill>
        </w:rPr>
        <w:t>进行一次性票决并排序</w:t>
      </w:r>
      <w:bookmarkEnd w:id="16"/>
      <w:r>
        <w:rPr>
          <w:rFonts w:hint="eastAsia" w:ascii="宋体" w:hAnsi="宋体"/>
          <w:color w:val="000000" w:themeColor="text1"/>
          <w:sz w:val="24"/>
          <w:szCs w:val="24"/>
          <w:u w:val="single"/>
          <w14:textFill>
            <w14:solidFill>
              <w14:schemeClr w14:val="tx1"/>
            </w14:solidFill>
          </w14:textFill>
        </w:rPr>
        <w:t>（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七，附表八。</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定标委员会中的各定标委员应独立投票，可以弃权，当弃权票数达到定标委员会人数50%或以上时，本次定标会无效，招标人应重新招标。</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6</w:t>
      </w:r>
      <w:r>
        <w:rPr>
          <w:rFonts w:hint="eastAsia" w:ascii="宋体" w:hAnsi="宋体"/>
          <w:color w:val="000000" w:themeColor="text1"/>
          <w:sz w:val="24"/>
          <w:szCs w:val="24"/>
          <w:u w:val="single"/>
          <w14:textFill>
            <w14:solidFill>
              <w14:schemeClr w14:val="tx1"/>
            </w14:solidFill>
          </w14:textFill>
        </w:rPr>
        <w:t>定标委员会根据选票情况确定中标人后，撰写、签署定标报告。定标报告由定标委员会全体成员签字，对定标结论持有异议的评委应以书面方式阐述其不同意见和理由。</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50.3.1.</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定标委员会向招标人提交书面定标报告后即解散，定标过程中使用的文件、表格以及其他资料不得私自带离。</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50.4招标人应当在定标工作完成后的3日内公示中标结果。公示内容包括：定标时间、所有合格的中标候选人的评分结果或票数及理由、中标人等内容。</w:t>
      </w:r>
    </w:p>
    <w:p>
      <w:pPr>
        <w:widowControl/>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附表一：</w:t>
      </w:r>
    </w:p>
    <w:p>
      <w:pPr>
        <w:pStyle w:val="8"/>
        <w:spacing w:before="0" w:beforeAutospacing="0" w:after="0" w:afterAutospacing="0"/>
        <w:jc w:val="center"/>
        <w:rPr>
          <w:b/>
          <w:bCs/>
          <w:color w:val="000000" w:themeColor="text1"/>
          <w:sz w:val="32"/>
          <w:szCs w:val="32"/>
          <w14:textFill>
            <w14:solidFill>
              <w14:schemeClr w14:val="tx1"/>
            </w14:solidFill>
          </w14:textFill>
        </w:rPr>
      </w:pPr>
      <w:bookmarkStart w:id="17" w:name="_Toc114572544"/>
      <w:r>
        <w:rPr>
          <w:rFonts w:hint="eastAsia"/>
          <w:b/>
          <w:bCs/>
          <w:color w:val="000000" w:themeColor="text1"/>
          <w:sz w:val="32"/>
          <w:szCs w:val="32"/>
          <w14:textFill>
            <w14:solidFill>
              <w14:schemeClr w14:val="tx1"/>
            </w14:solidFill>
          </w14:textFill>
        </w:rPr>
        <w:t>资格审查表</w:t>
      </w:r>
      <w:bookmarkEnd w:id="17"/>
    </w:p>
    <w:p>
      <w:pPr>
        <w:spacing w:line="276" w:lineRule="auto"/>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工程名称：</w:t>
      </w:r>
    </w:p>
    <w:p>
      <w:pPr>
        <w:spacing w:line="276" w:lineRule="auto"/>
        <w:rPr>
          <w:rFonts w:ascii="宋体" w:hAnsi="宋体"/>
          <w:color w:val="000000" w:themeColor="text1"/>
          <w:sz w:val="22"/>
          <w:szCs w:val="24"/>
          <w14:textFill>
            <w14:solidFill>
              <w14:schemeClr w14:val="tx1"/>
            </w14:solidFill>
          </w14:textFill>
        </w:rPr>
      </w:pPr>
      <w:r>
        <w:rPr>
          <w:rFonts w:hint="eastAsia" w:ascii="宋体" w:hAnsi="宋体"/>
          <w:color w:val="000000" w:themeColor="text1"/>
          <w:sz w:val="22"/>
          <w:szCs w:val="24"/>
          <w14:textFill>
            <w14:solidFill>
              <w14:schemeClr w14:val="tx1"/>
            </w14:solidFill>
          </w14:textFill>
        </w:rPr>
        <w:t>投标人名称：</w:t>
      </w:r>
    </w:p>
    <w:tbl>
      <w:tblPr>
        <w:tblStyle w:val="3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286"/>
        <w:gridCol w:w="40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审查项目</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投标人参加投标的意思表达清楚，投标人代表被授权有效</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投标人具有独立法人资格，按国家法律经营</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投标人持有建设行政主管部门颁发的企业资质证书及安全生产许可证；投标人资质符合公告要求</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投标人拟担任本工程项目负责人符合公告要求</w:t>
            </w:r>
          </w:p>
        </w:tc>
        <w:tc>
          <w:tcPr>
            <w:tcW w:w="40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使用有效期内的建造师注册证书在广州市住建行业信用管理平台内上传件</w:t>
            </w:r>
          </w:p>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持有项目负责人安全生产考核合格证（B类）或建筑施工企业项目负责人安全生产考核合格证</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项目负责人安全生产考核合格证明或在 有效期内的安全生产考核合格证书（B类）或建筑施工企业项目负责人安全生产考核合格证书在广州市住建行业信用管理平台内上传件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投标人拟担任本工程技术负责人符合公告要求</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拟委托技术负责人的职称证书</w:t>
            </w:r>
            <w:r>
              <w:rPr>
                <w:rFonts w:hint="eastAsia" w:ascii="宋体" w:hAnsi="宋体"/>
                <w:color w:val="000000" w:themeColor="text1"/>
                <w:szCs w:val="21"/>
                <w14:textFill>
                  <w14:solidFill>
                    <w14:schemeClr w14:val="tx1"/>
                  </w14:solidFill>
                </w14:textFill>
              </w:rPr>
              <w:t>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专职安全员须具有在有效期内的安全生产考核合格证（C类）或建筑施工企业专职安全生产管理人员安全生产考核合格证书（C3）</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专职安全员有效期内的安全生产考核合格证（C类）或建筑施工企业专职安全生产管理人员安全生产考核合格证书（C3）在广州市住建行业信用管理平台内上传件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投标人提供的投标人声明符合公告要求</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投标人声明中签字的项目负责人和技术负责人与本项目拟派的项目负责人和技术负责人一致</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关于联合体投标：本项目不接受联合体投标</w:t>
            </w:r>
          </w:p>
        </w:tc>
        <w:tc>
          <w:tcPr>
            <w:tcW w:w="4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非联合体投标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资格审查前，投标人须在广州市住房和城乡建设局建立企业信用档案及拟担任本工程项目负责人、专职安全员须是本企业中的在册人员</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投标人未出现以下情形：与其它投标人的单位负责人为同一人或者存在控股、管理关系的（按投标人提供的《投标人声明》第八条内容进行评审）。</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tcBorders>
              <w:top w:val="single" w:color="auto" w:sz="4" w:space="0"/>
              <w:left w:val="single" w:color="auto" w:sz="4" w:space="0"/>
              <w:bottom w:val="single" w:color="auto" w:sz="4" w:space="0"/>
              <w:right w:val="single" w:color="auto" w:sz="4" w:space="0"/>
            </w:tcBorders>
            <w:vAlign w:val="center"/>
          </w:tcPr>
          <w:p>
            <w:pPr>
              <w:pStyle w:val="85"/>
              <w:numPr>
                <w:ilvl w:val="0"/>
                <w:numId w:val="5"/>
              </w:numPr>
              <w:spacing w:before="120" w:after="60"/>
              <w:ind w:firstLineChars="0"/>
              <w:jc w:val="center"/>
              <w:rPr>
                <w:rFonts w:ascii="宋体" w:hAnsi="宋体"/>
                <w:color w:val="000000" w:themeColor="text1"/>
                <w:szCs w:val="21"/>
                <w14:textFill>
                  <w14:solidFill>
                    <w14:schemeClr w14:val="tx1"/>
                  </w14:solidFill>
                </w14:textFill>
              </w:rPr>
            </w:pPr>
          </w:p>
        </w:tc>
        <w:tc>
          <w:tcPr>
            <w:tcW w:w="4286"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投标人未被纳入失信联合惩戒名单且被限制参加建设工程投标的（具体名单以递交投标文件截止时间“信用广州”</w:t>
            </w:r>
            <w:r>
              <w:rPr>
                <w:rFonts w:hint="eastAsia" w:ascii="宋体" w:hAnsi="宋体"/>
                <w:color w:val="000000" w:themeColor="text1"/>
                <w:sz w:val="24"/>
                <w:u w:val="single"/>
                <w14:textFill>
                  <w14:solidFill>
                    <w14:schemeClr w14:val="tx1"/>
                  </w14:solidFill>
                </w14:textFill>
              </w:rPr>
              <w:t>https://credit1.gz.gov.cn/publicity/punishGz</w:t>
            </w:r>
            <w:r>
              <w:rPr>
                <w:rFonts w:hint="eastAsia"/>
                <w:color w:val="000000" w:themeColor="text1"/>
                <w:szCs w:val="21"/>
                <w:u w:val="single"/>
                <w14:textFill>
                  <w14:solidFill>
                    <w14:schemeClr w14:val="tx1"/>
                  </w14:solidFill>
                </w14:textFill>
              </w:rPr>
              <w:t>公布的“失信黑名单”为准。不包含限制参加财政投资工程或政府投资工程的投标）</w:t>
            </w:r>
          </w:p>
        </w:tc>
        <w:tc>
          <w:tcPr>
            <w:tcW w:w="40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投标人无需提供资料，按</w:t>
            </w:r>
            <w:r>
              <w:rPr>
                <w:rFonts w:hint="eastAsia" w:cs="宋体"/>
                <w:color w:val="000000" w:themeColor="text1"/>
                <w:szCs w:val="21"/>
                <w14:textFill>
                  <w14:solidFill>
                    <w14:schemeClr w14:val="tx1"/>
                  </w14:solidFill>
                </w14:textFill>
              </w:rPr>
              <w:t>广州公共资源交易中心</w:t>
            </w:r>
            <w:r>
              <w:rPr>
                <w:rFonts w:hint="eastAsia"/>
                <w:color w:val="000000" w:themeColor="text1"/>
                <w:szCs w:val="21"/>
                <w14:textFill>
                  <w14:solidFill>
                    <w14:schemeClr w14:val="tx1"/>
                  </w14:solidFill>
                </w14:textFill>
              </w:rPr>
              <w:t>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themeColor="text1"/>
                <w:szCs w:val="21"/>
                <w14:textFill>
                  <w14:solidFill>
                    <w14:schemeClr w14:val="tx1"/>
                  </w14:solidFill>
                </w14:textFill>
              </w:rPr>
            </w:pPr>
          </w:p>
        </w:tc>
      </w:tr>
    </w:tbl>
    <w:p>
      <w:pPr>
        <w:spacing w:line="360" w:lineRule="auto"/>
        <w:ind w:firstLine="470" w:firstLineChars="2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pPr>
        <w:spacing w:line="360" w:lineRule="auto"/>
        <w:ind w:firstLine="470" w:firstLineChars="22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、每一项目符合的打“○”，不符合的打“×”；</w:t>
      </w:r>
    </w:p>
    <w:p>
      <w:pPr>
        <w:spacing w:line="360" w:lineRule="auto"/>
        <w:ind w:firstLine="470" w:firstLineChars="22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、若评委意见不一致时，则按少数服从多数的原则，作出评审结论。汇总后，出现一个“×”的结论为“不通过”。</w:t>
      </w:r>
    </w:p>
    <w:p>
      <w:pPr>
        <w:pStyle w:val="2"/>
        <w:spacing w:line="360" w:lineRule="auto"/>
        <w:rPr>
          <w:color w:val="000000" w:themeColor="text1"/>
          <w:sz w:val="21"/>
          <w:lang w:val="en-US"/>
          <w14:textFill>
            <w14:solidFill>
              <w14:schemeClr w14:val="tx1"/>
            </w14:solidFill>
          </w14:textFill>
        </w:rPr>
      </w:pPr>
      <w:r>
        <w:rPr>
          <w:rFonts w:hint="eastAsia"/>
          <w:color w:val="000000" w:themeColor="text1"/>
          <w:sz w:val="21"/>
          <w:lang w:val="en-US"/>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
        <w:rPr>
          <w:color w:val="000000" w:themeColor="text1"/>
          <w:lang w:val="en-US"/>
          <w14:textFill>
            <w14:solidFill>
              <w14:schemeClr w14:val="tx1"/>
            </w14:solidFill>
          </w14:textFill>
        </w:rPr>
      </w:pPr>
    </w:p>
    <w:p>
      <w:pPr>
        <w:rPr>
          <w:rFonts w:ascii="宋体" w:hAnsi="宋体"/>
          <w:color w:val="000000" w:themeColor="text1"/>
          <w14:textFill>
            <w14:solidFill>
              <w14:schemeClr w14:val="tx1"/>
            </w14:solidFill>
          </w14:textFill>
        </w:rPr>
        <w:sectPr>
          <w:headerReference r:id="rId4" w:type="first"/>
          <w:footerReference r:id="rId7" w:type="first"/>
          <w:footerReference r:id="rId5" w:type="default"/>
          <w:headerReference r:id="rId3" w:type="even"/>
          <w:footerReference r:id="rId6" w:type="even"/>
          <w:endnotePr>
            <w:numFmt w:val="decimal"/>
          </w:endnotePr>
          <w:pgSz w:w="11906" w:h="16838"/>
          <w:pgMar w:top="1134" w:right="1304" w:bottom="1247" w:left="1304" w:header="851" w:footer="907" w:gutter="0"/>
          <w:pgNumType w:start="0"/>
          <w:cols w:space="720" w:num="1"/>
          <w:titlePg/>
          <w:docGrid w:type="lines" w:linePitch="312" w:charSpace="0"/>
        </w:sect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附表二</w:t>
      </w:r>
    </w:p>
    <w:p>
      <w:pPr>
        <w:pStyle w:val="8"/>
        <w:spacing w:before="0" w:beforeAutospacing="0" w:after="0" w:afterAutospacing="0"/>
        <w:ind w:firstLine="723" w:firstLineChars="200"/>
        <w:jc w:val="center"/>
        <w:rPr>
          <w:b/>
          <w:bCs/>
          <w:color w:val="000000" w:themeColor="text1"/>
          <w:sz w:val="36"/>
          <w:szCs w:val="36"/>
          <w14:textFill>
            <w14:solidFill>
              <w14:schemeClr w14:val="tx1"/>
            </w14:solidFill>
          </w14:textFill>
        </w:rPr>
      </w:pPr>
      <w:bookmarkStart w:id="18" w:name="_Toc114572545"/>
      <w:r>
        <w:rPr>
          <w:rFonts w:hint="eastAsia"/>
          <w:b/>
          <w:bCs/>
          <w:color w:val="000000" w:themeColor="text1"/>
          <w:sz w:val="36"/>
          <w:szCs w:val="36"/>
          <w14:textFill>
            <w14:solidFill>
              <w14:schemeClr w14:val="tx1"/>
            </w14:solidFill>
          </w14:textFill>
        </w:rPr>
        <w:t>技术标有效性审查表</w:t>
      </w:r>
      <w:bookmarkEnd w:id="18"/>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bl>
      <w:tblPr>
        <w:tblStyle w:val="3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688"/>
        <w:gridCol w:w="1560"/>
        <w:gridCol w:w="1630"/>
        <w:gridCol w:w="1630"/>
        <w:gridCol w:w="1630"/>
        <w:gridCol w:w="163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688" w:type="dxa"/>
            <w:tcBorders>
              <w:top w:val="single" w:color="auto" w:sz="4" w:space="0"/>
              <w:left w:val="single" w:color="auto" w:sz="4" w:space="0"/>
              <w:bottom w:val="single" w:color="auto" w:sz="4" w:space="0"/>
              <w:right w:val="single" w:color="auto" w:sz="4" w:space="0"/>
              <w:tl2br w:val="single" w:color="auto" w:sz="4" w:space="0"/>
            </w:tcBorders>
          </w:tcPr>
          <w:p>
            <w:pPr>
              <w:adjustRightInd w:val="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p>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《广州建设工程施工招标投标书》中的总工期不符合招标文件要求的；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《广州建设工程施工招标投标书》中的工程质量标准不符合招标文件要求的；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投标文件中没有有效的法定代表人证明书，或由委托代理人签署的投标文件中没有法定代表人授权书；</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投标文件未按规定的格式填写，或主要内容不全，或关键字迹模糊、无法辨认的；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投标人之间存在《广东省实施&lt;中华人民共和国招标投标法&gt;办法》第十六条所禁止的情形的；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无《参与编制技术标投标文件人员名单》的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投标人未按要求提交投标保证金的</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46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投标人与本项目其他投标人加密打包投标文件电脑机器特征码一致的(以</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交易平台评标系统的检索信息为准)</w:t>
            </w: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shd w:val="pct10" w:color="auto" w:fill="FFFFFF"/>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shd w:val="pct10" w:color="auto" w:fill="FFFFFF"/>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shd w:val="pct10" w:color="auto" w:fill="FFFFFF"/>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shd w:val="pct10" w:color="auto" w:fill="FFFFFF"/>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shd w:val="pct10" w:color="auto" w:fill="FFFFFF"/>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themeColor="text1"/>
                <w:szCs w:val="21"/>
                <w:shd w:val="pct10" w:color="auto" w:fill="FFFFFF"/>
                <w14:textFill>
                  <w14:solidFill>
                    <w14:schemeClr w14:val="tx1"/>
                  </w14:solidFill>
                </w14:textFill>
              </w:rPr>
            </w:pPr>
          </w:p>
        </w:tc>
      </w:tr>
    </w:tbl>
    <w:p>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本表使用GZZB2018-3招标文件范本，与范本内容不同之处均以下划线标明。技术标评审中，响应性、承诺性内容不应作为评分因素，可在该表中对上述内容进行符合性审查。审查标准须具备可操作性。</w:t>
      </w:r>
    </w:p>
    <w:p>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凡出现以上任何一项情形，结论均为无效，否则就为有效。</w:t>
      </w:r>
    </w:p>
    <w:p>
      <w:pPr>
        <w:spacing w:line="2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如对本表中某种情形的评审意见不一致时，以评标委员会过半数成员的意见作为评标委员会对该情形的认定结论。</w:t>
      </w:r>
    </w:p>
    <w:p>
      <w:pPr>
        <w:spacing w:line="240" w:lineRule="exact"/>
        <w:ind w:firstLine="420" w:firstLineChars="200"/>
        <w:rPr>
          <w:rFonts w:ascii="宋体" w:hAnsi="宋体"/>
          <w:color w:val="000000" w:themeColor="text1"/>
          <w:spacing w:val="-4"/>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本表中第</w:t>
      </w:r>
      <w:r>
        <w:rPr>
          <w:rFonts w:ascii="宋体" w:hAnsi="宋体"/>
          <w:color w:val="000000" w:themeColor="text1"/>
          <w:szCs w:val="21"/>
          <w:u w:val="single"/>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点，投标文件规定格式（即参与评审的格式）为</w:t>
      </w:r>
      <w:r>
        <w:rPr>
          <w:rFonts w:hint="eastAsia" w:ascii="宋体" w:hAnsi="宋体"/>
          <w:color w:val="000000" w:themeColor="text1"/>
          <w:spacing w:val="-4"/>
          <w:u w:val="single"/>
          <w14:textFill>
            <w14:solidFill>
              <w14:schemeClr w14:val="tx1"/>
            </w14:solidFill>
          </w14:textFill>
        </w:rPr>
        <w:t>技术标投标文件格式的格式二、格式四、格式八、格式十、格式十三。</w:t>
      </w:r>
    </w:p>
    <w:p>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评委签名：</w:t>
      </w:r>
    </w:p>
    <w:p>
      <w:pP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附表三</w:t>
      </w:r>
    </w:p>
    <w:p>
      <w:pPr>
        <w:pStyle w:val="8"/>
        <w:spacing w:before="0" w:beforeAutospacing="0" w:after="0" w:afterAutospacing="0"/>
        <w:ind w:firstLine="723" w:firstLineChars="200"/>
        <w:jc w:val="center"/>
        <w:rPr>
          <w:b/>
          <w:bCs/>
          <w:color w:val="000000" w:themeColor="text1"/>
          <w:sz w:val="36"/>
          <w:szCs w:val="36"/>
          <w14:textFill>
            <w14:solidFill>
              <w14:schemeClr w14:val="tx1"/>
            </w14:solidFill>
          </w14:textFill>
        </w:rPr>
      </w:pPr>
      <w:bookmarkStart w:id="19" w:name="_Toc114572546"/>
      <w:r>
        <w:rPr>
          <w:rFonts w:hint="eastAsia"/>
          <w:b/>
          <w:bCs/>
          <w:color w:val="000000" w:themeColor="text1"/>
          <w:sz w:val="36"/>
          <w:szCs w:val="36"/>
          <w14:textFill>
            <w14:solidFill>
              <w14:schemeClr w14:val="tx1"/>
            </w14:solidFill>
          </w14:textFill>
        </w:rPr>
        <w:t>经济标有效性审查表</w:t>
      </w:r>
      <w:bookmarkEnd w:id="19"/>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073"/>
        <w:gridCol w:w="1125"/>
        <w:gridCol w:w="1125"/>
        <w:gridCol w:w="1126"/>
        <w:gridCol w:w="1125"/>
        <w:gridCol w:w="112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7073"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p>
          <w:p>
            <w:pPr>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对同一招标项目出现两个或以上的投标报价，且没有申明哪个有效；</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r>
              <w:rPr>
                <w:rFonts w:hint="eastAsia" w:ascii="宋体" w:hAnsi="宋体"/>
                <w:color w:val="000000" w:themeColor="text1"/>
                <w:szCs w:val="21"/>
                <w:u w:val="single"/>
                <w14:textFill>
                  <w14:solidFill>
                    <w14:schemeClr w14:val="tx1"/>
                  </w14:solidFill>
                </w14:textFill>
              </w:rPr>
              <w:t>总价</w:t>
            </w:r>
            <w:r>
              <w:rPr>
                <w:rFonts w:hint="eastAsia" w:ascii="宋体" w:hAnsi="宋体"/>
                <w:color w:val="000000" w:themeColor="text1"/>
                <w:szCs w:val="21"/>
                <w14:textFill>
                  <w14:solidFill>
                    <w14:schemeClr w14:val="tx1"/>
                  </w14:solidFill>
                </w14:textFill>
              </w:rPr>
              <w:t>高于最高投标限价的；或投标报价高于“投标须知前附表”第21项“最高投标限价”中对应的各项限价；</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70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93" w:beforeLines="30" w:after="93" w:afterLines="30" w:line="276" w:lineRule="auto"/>
              <w:ind w:left="-2" w:leftChars="-1"/>
              <w:jc w:val="left"/>
              <w:rPr>
                <w:rFonts w:ascii="宋体" w:hAnsi="宋体"/>
                <w:strike/>
                <w:color w:val="000000" w:themeColor="text1"/>
                <w:szCs w:val="21"/>
                <w14:textFill>
                  <w14:solidFill>
                    <w14:schemeClr w14:val="tx1"/>
                  </w14:solidFill>
                </w14:textFill>
              </w:rPr>
            </w:pPr>
            <w:r>
              <w:rPr>
                <w:rFonts w:hint="eastAsia" w:ascii="宋体" w:hAnsi="宋体"/>
                <w:strike/>
                <w:color w:val="000000" w:themeColor="text1"/>
                <w:szCs w:val="21"/>
                <w14:textFill>
                  <w14:solidFill>
                    <w14:schemeClr w14:val="tx1"/>
                  </w14:solidFill>
                </w14:textFill>
              </w:rPr>
              <w:t>投标报价低于成本的；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strike/>
                <w:color w:val="000000" w:themeColor="text1"/>
                <w:szCs w:val="21"/>
                <w14:textFill>
                  <w14:solidFill>
                    <w14:schemeClr w14:val="tx1"/>
                  </w14:solidFill>
                </w14:textFill>
              </w:rPr>
            </w:pPr>
            <w:r>
              <w:rPr>
                <w:rFonts w:hint="eastAsia" w:ascii="宋体" w:hAnsi="宋体"/>
                <w:strike/>
                <w:color w:val="000000" w:themeColor="text1"/>
                <w:szCs w:val="21"/>
                <w14:textFill>
                  <w14:solidFill>
                    <w14:schemeClr w14:val="tx1"/>
                  </w14:solidFill>
                </w14:textFill>
              </w:rPr>
              <w:t>算术复核后的投标报价与原投标报价相比存在</w:t>
            </w:r>
            <w:r>
              <w:rPr>
                <w:rFonts w:ascii="宋体" w:hAnsi="宋体"/>
                <w:strike/>
                <w:color w:val="000000" w:themeColor="text1"/>
                <w:szCs w:val="21"/>
                <w14:textFill>
                  <w14:solidFill>
                    <w14:schemeClr w14:val="tx1"/>
                  </w14:solidFill>
                </w14:textFill>
              </w:rPr>
              <w:t>1%</w:t>
            </w:r>
            <w:r>
              <w:rPr>
                <w:rFonts w:hint="eastAsia" w:ascii="宋体" w:hAnsi="宋体"/>
                <w:strike/>
                <w:color w:val="000000" w:themeColor="text1"/>
                <w:szCs w:val="21"/>
                <w14:textFill>
                  <w14:solidFill>
                    <w14:schemeClr w14:val="tx1"/>
                  </w14:solidFill>
                </w14:textFill>
              </w:rPr>
              <w:t>或以上误差的；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投标文件未按规定的格式填写，或主要内容不全，或关键字迹模糊、无法辨认的；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不同投标人的投标报价中分部分项工程量清单综合单价相似度达到80%及以上的(以</w:t>
            </w:r>
            <w:r>
              <w:rPr>
                <w:rFonts w:hint="eastAsia" w:ascii="宋体" w:hAnsi="宋体"/>
                <w:color w:val="000000" w:themeColor="text1"/>
                <w:spacing w:val="-4"/>
                <w:szCs w:val="21"/>
                <w:u w:val="single"/>
                <w14:textFill>
                  <w14:solidFill>
                    <w14:schemeClr w14:val="tx1"/>
                  </w14:solidFill>
                </w14:textFill>
              </w:rPr>
              <w:t>广州公共资源交易中心</w:t>
            </w:r>
            <w:r>
              <w:rPr>
                <w:rFonts w:hint="eastAsia" w:ascii="宋体" w:hAnsi="宋体"/>
                <w:color w:val="000000" w:themeColor="text1"/>
                <w:spacing w:val="-4"/>
                <w:szCs w:val="21"/>
                <w14:textFill>
                  <w14:solidFill>
                    <w14:schemeClr w14:val="tx1"/>
                  </w14:solidFill>
                </w14:textFill>
              </w:rPr>
              <w:t>交易平台评标系统的检索信息为准)</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无《参与编制经济标投标文件人员名单》的；</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无《对投标文件编制的承诺》</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投标人与本项目其他投标人的投标文件工程量清单编制机器硬件信息一致的（以</w:t>
            </w:r>
            <w:r>
              <w:rPr>
                <w:rFonts w:hint="eastAsia" w:ascii="宋体" w:hAnsi="宋体"/>
                <w:color w:val="000000" w:themeColor="text1"/>
                <w:szCs w:val="21"/>
                <w:u w:val="single"/>
                <w14:textFill>
                  <w14:solidFill>
                    <w14:schemeClr w14:val="tx1"/>
                  </w14:solidFill>
                </w14:textFill>
              </w:rPr>
              <w:t>广州公共资源交易中心</w:t>
            </w:r>
            <w:r>
              <w:rPr>
                <w:rFonts w:hint="eastAsia" w:ascii="宋体" w:hAnsi="宋体"/>
                <w:color w:val="000000" w:themeColor="text1"/>
                <w:szCs w:val="21"/>
                <w14:textFill>
                  <w14:solidFill>
                    <w14:schemeClr w14:val="tx1"/>
                  </w14:solidFill>
                </w14:textFill>
              </w:rPr>
              <w:t>交易平台评标系统的检索信息为准）。</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p>
        </w:tc>
      </w:tr>
    </w:tbl>
    <w:p>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本表使用GZZB2018-3招标文件范本，与范本内容不同之处均以下划线标明。</w:t>
      </w:r>
    </w:p>
    <w:p>
      <w:pPr>
        <w:spacing w:line="240" w:lineRule="exact"/>
        <w:ind w:firstLine="45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凡出现以上任何一项情形，结论均为无效，否则就为有效。</w:t>
      </w:r>
    </w:p>
    <w:p>
      <w:pPr>
        <w:spacing w:line="240" w:lineRule="exact"/>
        <w:ind w:firstLine="45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如对本表中某种情形的评审意见不一致时，以评标委员会过半数成员的意见作为评标委员会对该情形的认定结论。</w:t>
      </w:r>
    </w:p>
    <w:p>
      <w:pPr>
        <w:pStyle w:val="2"/>
        <w:spacing w:line="240" w:lineRule="exact"/>
        <w:rPr>
          <w:color w:val="000000" w:themeColor="text1"/>
          <w:sz w:val="21"/>
          <w:szCs w:val="21"/>
          <w:lang w:val="en-US"/>
          <w14:textFill>
            <w14:solidFill>
              <w14:schemeClr w14:val="tx1"/>
            </w14:solidFill>
          </w14:textFill>
        </w:rPr>
      </w:pP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w:t>
      </w:r>
      <w:r>
        <w:rPr>
          <w:rFonts w:hint="eastAsia"/>
          <w:color w:val="000000" w:themeColor="text1"/>
          <w:sz w:val="21"/>
          <w:szCs w:val="21"/>
          <w:lang w:val="en-US"/>
          <w14:textFill>
            <w14:solidFill>
              <w14:schemeClr w14:val="tx1"/>
            </w14:solidFill>
          </w14:textFill>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240" w:lineRule="exact"/>
        <w:ind w:firstLine="459"/>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5.本表中第</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点，投标文件规定格式（即参与评审的格式）为</w:t>
      </w:r>
      <w:r>
        <w:rPr>
          <w:rFonts w:hint="eastAsia" w:ascii="宋体" w:hAnsi="宋体"/>
          <w:color w:val="000000" w:themeColor="text1"/>
          <w:spacing w:val="-4"/>
          <w:szCs w:val="21"/>
          <w:u w:val="single"/>
          <w14:textFill>
            <w14:solidFill>
              <w14:schemeClr w14:val="tx1"/>
            </w14:solidFill>
          </w14:textFill>
        </w:rPr>
        <w:t>经济标投标文件格式的格式二、格式三、格式四。</w:t>
      </w:r>
    </w:p>
    <w:p>
      <w:pPr>
        <w:pStyle w:val="5"/>
        <w:spacing w:line="240" w:lineRule="exact"/>
        <w:ind w:firstLine="459"/>
        <w:rPr>
          <w:rFonts w:ascii="宋体" w:hAnsi="宋体"/>
          <w:color w:val="000000" w:themeColor="text1"/>
          <w:szCs w:val="21"/>
          <w14:textFill>
            <w14:solidFill>
              <w14:schemeClr w14:val="tx1"/>
            </w14:solidFill>
          </w14:textFill>
        </w:rPr>
        <w:sectPr>
          <w:endnotePr>
            <w:numFmt w:val="decimal"/>
          </w:endnotePr>
          <w:pgSz w:w="16838" w:h="11906" w:orient="landscape"/>
          <w:pgMar w:top="1418" w:right="1247" w:bottom="1134" w:left="1134" w:header="851" w:footer="907" w:gutter="0"/>
          <w:cols w:space="720" w:num="1"/>
          <w:titlePg/>
          <w:docGrid w:type="lines" w:linePitch="312" w:charSpace="0"/>
        </w:sectPr>
      </w:pPr>
      <w:r>
        <w:rPr>
          <w:rFonts w:hint="eastAsia" w:ascii="宋体" w:hAnsi="宋体"/>
          <w:color w:val="000000" w:themeColor="text1"/>
          <w:sz w:val="21"/>
          <w:szCs w:val="21"/>
          <w14:textFill>
            <w14:solidFill>
              <w14:schemeClr w14:val="tx1"/>
            </w14:solidFill>
          </w14:textFill>
        </w:rPr>
        <w:t>评委签名</w:t>
      </w:r>
      <w:r>
        <w:rPr>
          <w:rFonts w:hint="eastAsia" w:ascii="宋体" w:hAnsi="宋体"/>
          <w:color w:val="000000" w:themeColor="text1"/>
          <w:szCs w:val="21"/>
          <w14:textFill>
            <w14:solidFill>
              <w14:schemeClr w14:val="tx1"/>
            </w14:solidFill>
          </w14:textFill>
        </w:rPr>
        <w:t>：</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附表四</w:t>
      </w:r>
    </w:p>
    <w:p>
      <w:pPr>
        <w:pStyle w:val="8"/>
        <w:spacing w:before="0" w:beforeAutospacing="0"/>
        <w:jc w:val="center"/>
        <w:rPr>
          <w:b/>
          <w:bCs/>
          <w:color w:val="000000" w:themeColor="text1"/>
          <w:sz w:val="36"/>
          <w:szCs w:val="36"/>
          <w14:textFill>
            <w14:solidFill>
              <w14:schemeClr w14:val="tx1"/>
            </w14:solidFill>
          </w14:textFill>
        </w:rPr>
      </w:pPr>
      <w:bookmarkStart w:id="20" w:name="_Toc114572547"/>
      <w:r>
        <w:rPr>
          <w:rFonts w:hint="eastAsia"/>
          <w:b/>
          <w:bCs/>
          <w:color w:val="000000" w:themeColor="text1"/>
          <w:sz w:val="36"/>
          <w:szCs w:val="36"/>
          <w14:textFill>
            <w14:solidFill>
              <w14:schemeClr w14:val="tx1"/>
            </w14:solidFill>
          </w14:textFill>
        </w:rPr>
        <w:t>技术标详细审查要素表</w:t>
      </w:r>
      <w:bookmarkEnd w:id="20"/>
    </w:p>
    <w:p>
      <w:pPr>
        <w:adjustRightInd w:val="0"/>
        <w:snapToGrid w:val="0"/>
        <w:spacing w:line="360" w:lineRule="auto"/>
        <w:ind w:firstLine="105" w:firstLineChars="50"/>
        <w:jc w:val="left"/>
        <w:rPr>
          <w:rFonts w:ascii="宋体"/>
          <w:color w:val="000000" w:themeColor="text1"/>
          <w:kern w:val="0"/>
          <w:szCs w:val="21"/>
          <w14:textFill>
            <w14:solidFill>
              <w14:schemeClr w14:val="tx1"/>
            </w14:solidFill>
          </w14:textFill>
        </w:rPr>
      </w:pPr>
      <w:r>
        <w:rPr>
          <w:rFonts w:hint="eastAsia" w:ascii="宋体"/>
          <w:color w:val="000000" w:themeColor="text1"/>
          <w:kern w:val="0"/>
          <w:szCs w:val="21"/>
          <w14:textFill>
            <w14:solidFill>
              <w14:schemeClr w14:val="tx1"/>
            </w14:solidFill>
          </w14:textFill>
        </w:rPr>
        <w:t>工程名称：                        投标单位：</w:t>
      </w:r>
    </w:p>
    <w:tbl>
      <w:tblPr>
        <w:tblStyle w:val="34"/>
        <w:tblW w:w="4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827"/>
        <w:gridCol w:w="5715"/>
        <w:gridCol w:w="2201"/>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283"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序号</w:t>
            </w:r>
          </w:p>
        </w:tc>
        <w:tc>
          <w:tcPr>
            <w:tcW w:w="989"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评审项目</w:t>
            </w:r>
          </w:p>
        </w:tc>
        <w:tc>
          <w:tcPr>
            <w:tcW w:w="1999"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评审内容</w:t>
            </w:r>
          </w:p>
        </w:tc>
        <w:tc>
          <w:tcPr>
            <w:tcW w:w="770"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优点</w:t>
            </w:r>
          </w:p>
        </w:tc>
        <w:tc>
          <w:tcPr>
            <w:tcW w:w="959" w:type="pct"/>
            <w:vAlign w:val="center"/>
          </w:tcPr>
          <w:p>
            <w:pPr>
              <w:adjustRightInd w:val="0"/>
              <w:snapToGrid w:val="0"/>
              <w:spacing w:line="276" w:lineRule="auto"/>
              <w:jc w:val="center"/>
              <w:rPr>
                <w:rFonts w:asciiTheme="minorEastAsia" w:hAnsiTheme="minorEastAsia" w:eastAsiaTheme="minorEastAsia"/>
                <w:b/>
                <w:bCs/>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kern w:val="0"/>
                <w:szCs w:val="21"/>
                <w14:textFill>
                  <w14:solidFill>
                    <w14:schemeClr w14:val="tx1"/>
                  </w14:solidFill>
                </w14:textFill>
              </w:rPr>
              <w:t>存在缺陷或签订合同前应注意和澄清事项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83" w:type="pct"/>
            <w:vAlign w:val="center"/>
          </w:tcPr>
          <w:p>
            <w:pPr>
              <w:adjustRightInd w:val="0"/>
              <w:snapToGrid w:val="0"/>
              <w:spacing w:line="276"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p>
        </w:tc>
        <w:tc>
          <w:tcPr>
            <w:tcW w:w="989" w:type="pct"/>
            <w:vAlign w:val="center"/>
          </w:tcPr>
          <w:p>
            <w:pPr>
              <w:adjustRightInd w:val="0"/>
              <w:snapToGrid w:val="0"/>
              <w:spacing w:line="276" w:lineRule="auto"/>
              <w:jc w:val="left"/>
              <w:rPr>
                <w:rFonts w:asciiTheme="minorEastAsia" w:hAnsiTheme="minorEastAsia" w:eastAsiaTheme="minorEastAsia"/>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施工总进度计划</w:t>
            </w:r>
          </w:p>
        </w:tc>
        <w:tc>
          <w:tcPr>
            <w:tcW w:w="1999" w:type="pct"/>
            <w:vAlign w:val="center"/>
          </w:tcPr>
          <w:p>
            <w:pPr>
              <w:adjustRightInd w:val="0"/>
              <w:snapToGrid w:val="0"/>
              <w:spacing w:line="276" w:lineRule="auto"/>
              <w:jc w:val="left"/>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对施工总进度计划的重要节点、关键节点的分析、总工期计划、保证工期的措施等</w:t>
            </w:r>
          </w:p>
        </w:tc>
        <w:tc>
          <w:tcPr>
            <w:tcW w:w="770"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3" w:type="pct"/>
            <w:vAlign w:val="center"/>
          </w:tcPr>
          <w:p>
            <w:pPr>
              <w:adjustRightInd w:val="0"/>
              <w:snapToGrid w:val="0"/>
              <w:spacing w:line="276"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p>
        </w:tc>
        <w:tc>
          <w:tcPr>
            <w:tcW w:w="989" w:type="pct"/>
            <w:vAlign w:val="center"/>
          </w:tcPr>
          <w:p>
            <w:pPr>
              <w:adjustRightInd w:val="0"/>
              <w:snapToGrid w:val="0"/>
              <w:spacing w:line="276" w:lineRule="auto"/>
              <w:jc w:val="left"/>
              <w:rPr>
                <w:rFonts w:asciiTheme="minorEastAsia" w:hAnsiTheme="minorEastAsia" w:eastAsiaTheme="minorEastAsia"/>
                <w:color w:val="000000" w:themeColor="text1"/>
                <w:szCs w:val="18"/>
                <w14:textFill>
                  <w14:solidFill>
                    <w14:schemeClr w14:val="tx1"/>
                  </w14:solidFill>
                </w14:textFill>
              </w:rPr>
            </w:pPr>
            <w:r>
              <w:rPr>
                <w:rFonts w:hint="eastAsia" w:ascii="宋体" w:hAnsi="宋体"/>
              </w:rPr>
              <w:t>工程重点、难点与施工技术措施</w:t>
            </w:r>
          </w:p>
        </w:tc>
        <w:tc>
          <w:tcPr>
            <w:tcW w:w="1999" w:type="pct"/>
            <w:vAlign w:val="center"/>
          </w:tcPr>
          <w:p>
            <w:pPr>
              <w:adjustRightInd w:val="0"/>
              <w:snapToGrid w:val="0"/>
              <w:spacing w:line="276" w:lineRule="auto"/>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工程中重点</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难点的分析与对策</w:t>
            </w:r>
            <w:r>
              <w:rPr>
                <w:rFonts w:hint="eastAsia" w:asciiTheme="minorEastAsia" w:hAnsiTheme="minorEastAsia" w:eastAsiaTheme="minorEastAsia"/>
                <w:color w:val="000000" w:themeColor="text1"/>
                <w:szCs w:val="18"/>
                <w14:textFill>
                  <w14:solidFill>
                    <w14:schemeClr w14:val="tx1"/>
                  </w14:solidFill>
                </w14:textFill>
              </w:rPr>
              <w:t>，施工技术措施等</w:t>
            </w:r>
          </w:p>
        </w:tc>
        <w:tc>
          <w:tcPr>
            <w:tcW w:w="770"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3" w:type="pct"/>
            <w:vAlign w:val="center"/>
          </w:tcPr>
          <w:p>
            <w:pPr>
              <w:adjustRightInd w:val="0"/>
              <w:snapToGrid w:val="0"/>
              <w:spacing w:line="276"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p>
        </w:tc>
        <w:tc>
          <w:tcPr>
            <w:tcW w:w="989" w:type="pct"/>
          </w:tcPr>
          <w:p>
            <w:pPr>
              <w:adjustRightInd w:val="0"/>
              <w:snapToGrid w:val="0"/>
              <w:spacing w:line="276" w:lineRule="auto"/>
              <w:jc w:val="left"/>
              <w:rPr>
                <w:rFonts w:ascii="宋体" w:hAnsi="宋体"/>
              </w:rPr>
            </w:pPr>
            <w:r>
              <w:rPr>
                <w:rFonts w:hint="eastAsia" w:asciiTheme="minorEastAsia" w:hAnsiTheme="minorEastAsia" w:eastAsiaTheme="minorEastAsia"/>
                <w:bCs/>
                <w:color w:val="000000" w:themeColor="text1"/>
                <w:szCs w:val="18"/>
                <w14:textFill>
                  <w14:solidFill>
                    <w14:schemeClr w14:val="tx1"/>
                  </w14:solidFill>
                </w14:textFill>
              </w:rPr>
              <w:t>拟投入施工的机械设备、劳务配备情况</w:t>
            </w:r>
          </w:p>
        </w:tc>
        <w:tc>
          <w:tcPr>
            <w:tcW w:w="1999" w:type="pct"/>
            <w:vAlign w:val="center"/>
          </w:tcPr>
          <w:p>
            <w:pPr>
              <w:adjustRightInd w:val="0"/>
              <w:snapToGrid w:val="0"/>
              <w:spacing w:line="276" w:lineRule="auto"/>
              <w:jc w:val="left"/>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bCs/>
                <w:color w:val="000000" w:themeColor="text1"/>
                <w:szCs w:val="18"/>
                <w14:textFill>
                  <w14:solidFill>
                    <w14:schemeClr w14:val="tx1"/>
                  </w14:solidFill>
                </w14:textFill>
              </w:rPr>
              <w:t>机械设备配置方案、劳动力配备、劳动组织方案等。</w:t>
            </w:r>
          </w:p>
        </w:tc>
        <w:tc>
          <w:tcPr>
            <w:tcW w:w="770"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3" w:type="pct"/>
            <w:vAlign w:val="center"/>
          </w:tcPr>
          <w:p>
            <w:pPr>
              <w:adjustRightInd w:val="0"/>
              <w:snapToGrid w:val="0"/>
              <w:spacing w:line="276"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p>
        </w:tc>
        <w:tc>
          <w:tcPr>
            <w:tcW w:w="989" w:type="pct"/>
            <w:vAlign w:val="center"/>
          </w:tcPr>
          <w:p>
            <w:pPr>
              <w:adjustRightInd w:val="0"/>
              <w:snapToGrid w:val="0"/>
              <w:spacing w:line="276" w:lineRule="auto"/>
              <w:jc w:val="left"/>
              <w:rPr>
                <w:rFonts w:cs="Calibri" w:asciiTheme="minorEastAsia" w:hAnsiTheme="minorEastAsia" w:eastAsiaTheme="minorEastAsia"/>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调试、送电、验收方案</w:t>
            </w:r>
          </w:p>
        </w:tc>
        <w:tc>
          <w:tcPr>
            <w:tcW w:w="1999" w:type="pct"/>
            <w:vAlign w:val="center"/>
          </w:tcPr>
          <w:p>
            <w:pPr>
              <w:adjustRightInd w:val="0"/>
              <w:snapToGrid w:val="0"/>
              <w:spacing w:line="276" w:lineRule="auto"/>
              <w:jc w:val="left"/>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供电系统的调试、送电、验收方案。方案包括调试验收内容、工作流程（含供电部门办理的相关手续）等内容。</w:t>
            </w:r>
          </w:p>
        </w:tc>
        <w:tc>
          <w:tcPr>
            <w:tcW w:w="770"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83" w:type="pct"/>
            <w:vAlign w:val="center"/>
          </w:tcPr>
          <w:p>
            <w:pPr>
              <w:adjustRightInd w:val="0"/>
              <w:snapToGrid w:val="0"/>
              <w:spacing w:line="276"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p>
        </w:tc>
        <w:tc>
          <w:tcPr>
            <w:tcW w:w="989" w:type="pct"/>
            <w:vAlign w:val="center"/>
          </w:tcPr>
          <w:p>
            <w:pPr>
              <w:adjustRightInd w:val="0"/>
              <w:snapToGrid w:val="0"/>
              <w:spacing w:line="276" w:lineRule="auto"/>
              <w:rPr>
                <w:rFonts w:asciiTheme="minorEastAsia" w:hAnsiTheme="minorEastAsia" w:eastAsiaTheme="minorEastAsia"/>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安全文明施工保证措施</w:t>
            </w:r>
          </w:p>
        </w:tc>
        <w:tc>
          <w:tcPr>
            <w:tcW w:w="1999" w:type="pct"/>
            <w:vAlign w:val="center"/>
          </w:tcPr>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文明施工与环境保障体系等。</w:t>
            </w:r>
          </w:p>
        </w:tc>
        <w:tc>
          <w:tcPr>
            <w:tcW w:w="770"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3" w:type="pct"/>
            <w:vAlign w:val="center"/>
          </w:tcPr>
          <w:p>
            <w:pPr>
              <w:adjustRightInd w:val="0"/>
              <w:snapToGrid w:val="0"/>
              <w:spacing w:line="276"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w:t>
            </w:r>
          </w:p>
        </w:tc>
        <w:tc>
          <w:tcPr>
            <w:tcW w:w="989" w:type="pct"/>
            <w:vAlign w:val="center"/>
          </w:tcPr>
          <w:p>
            <w:pPr>
              <w:adjustRightInd w:val="0"/>
              <w:snapToGrid w:val="0"/>
              <w:spacing w:line="276" w:lineRule="auto"/>
              <w:rPr>
                <w:rFonts w:asciiTheme="minorEastAsia" w:hAnsiTheme="minorEastAsia" w:eastAsiaTheme="minorEastAsia"/>
                <w:color w:val="000000" w:themeColor="text1"/>
                <w:szCs w:val="18"/>
                <w14:textFill>
                  <w14:solidFill>
                    <w14:schemeClr w14:val="tx1"/>
                  </w14:solidFill>
                </w14:textFill>
              </w:rPr>
            </w:pPr>
            <w:r>
              <w:rPr>
                <w:rFonts w:hint="eastAsia" w:cs="Calibri" w:asciiTheme="minorEastAsia" w:hAnsiTheme="minorEastAsia" w:eastAsiaTheme="minorEastAsia"/>
                <w:color w:val="000000" w:themeColor="text1"/>
                <w:szCs w:val="18"/>
                <w14:textFill>
                  <w14:solidFill>
                    <w14:schemeClr w14:val="tx1"/>
                  </w14:solidFill>
                </w14:textFill>
              </w:rPr>
              <w:t>质量及保证措施</w:t>
            </w:r>
          </w:p>
        </w:tc>
        <w:tc>
          <w:tcPr>
            <w:tcW w:w="1999" w:type="pct"/>
            <w:vAlign w:val="center"/>
          </w:tcPr>
          <w:p>
            <w:pPr>
              <w:adjustRightInd w:val="0"/>
              <w:snapToGrid w:val="0"/>
              <w:spacing w:line="276" w:lineRule="auto"/>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工程质量目标；质量管理体系；质量保证措施；工程质量技术资料管理措施等。</w:t>
            </w:r>
          </w:p>
        </w:tc>
        <w:tc>
          <w:tcPr>
            <w:tcW w:w="770" w:type="pct"/>
            <w:vAlign w:val="center"/>
          </w:tcPr>
          <w:p>
            <w:pPr>
              <w:adjustRightInd w:val="0"/>
              <w:snapToGrid w:val="0"/>
              <w:spacing w:line="276" w:lineRule="auto"/>
              <w:jc w:val="left"/>
              <w:rPr>
                <w:rFonts w:asciiTheme="minorEastAsia" w:hAnsiTheme="minorEastAsia" w:eastAsiaTheme="minorEastAsia"/>
                <w:color w:val="000000" w:themeColor="text1"/>
                <w:kern w:val="0"/>
                <w:szCs w:val="21"/>
                <w14:textFill>
                  <w14:solidFill>
                    <w14:schemeClr w14:val="tx1"/>
                  </w14:solidFill>
                </w14:textFill>
              </w:rPr>
            </w:pPr>
          </w:p>
        </w:tc>
        <w:tc>
          <w:tcPr>
            <w:tcW w:w="959" w:type="pct"/>
            <w:vAlign w:val="center"/>
          </w:tcPr>
          <w:p>
            <w:pPr>
              <w:adjustRightInd w:val="0"/>
              <w:snapToGrid w:val="0"/>
              <w:spacing w:line="276" w:lineRule="auto"/>
              <w:jc w:val="center"/>
              <w:rPr>
                <w:rFonts w:asciiTheme="minorEastAsia" w:hAnsiTheme="minorEastAsia" w:eastAsiaTheme="minorEastAsia"/>
                <w:color w:val="000000" w:themeColor="text1"/>
                <w:kern w:val="0"/>
                <w:szCs w:val="21"/>
                <w14:textFill>
                  <w14:solidFill>
                    <w14:schemeClr w14:val="tx1"/>
                  </w14:solidFill>
                </w14:textFill>
              </w:rPr>
            </w:pPr>
          </w:p>
        </w:tc>
      </w:tr>
    </w:tbl>
    <w:p>
      <w:pPr>
        <w:adjustRightInd w:val="0"/>
        <w:snapToGrid w:val="0"/>
        <w:spacing w:before="240"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评标专家：                                  评标日期：    年  月  日</w:t>
      </w:r>
    </w:p>
    <w:p>
      <w:pPr>
        <w:adjustRightInd w:val="0"/>
        <w:snapToGrid w:val="0"/>
        <w:spacing w:before="240" w:line="360" w:lineRule="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备注：</w:t>
      </w:r>
    </w:p>
    <w:p>
      <w:pPr>
        <w:adjustRightInd w:val="0"/>
        <w:snapToGrid w:val="0"/>
        <w:spacing w:line="360" w:lineRule="auto"/>
        <w:ind w:firstLine="420" w:firstLineChars="20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1、本表适用于专家独立评审使用；</w:t>
      </w:r>
    </w:p>
    <w:p>
      <w:pPr>
        <w:adjustRightInd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2、指出各评审项的优点、存在缺陷或签订合同前应注意和澄清事项；</w:t>
      </w:r>
      <w:bookmarkStart w:id="21" w:name="_Toc33448506"/>
      <w:bookmarkEnd w:id="21"/>
      <w:bookmarkStart w:id="22" w:name="_Toc1857"/>
      <w:bookmarkEnd w:id="22"/>
      <w:r>
        <w:rPr>
          <w:rFonts w:ascii="宋体" w:hAnsi="宋体"/>
          <w:color w:val="000000" w:themeColor="text1"/>
          <w:szCs w:val="21"/>
          <w14:textFill>
            <w14:solidFill>
              <w14:schemeClr w14:val="tx1"/>
            </w14:solidFill>
          </w14:textFill>
        </w:rPr>
        <w:br w:type="page"/>
      </w:r>
    </w:p>
    <w:p>
      <w:pP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附表五</w:t>
      </w:r>
    </w:p>
    <w:p>
      <w:pPr>
        <w:pStyle w:val="8"/>
        <w:spacing w:before="156" w:after="156"/>
        <w:ind w:firstLine="723" w:firstLineChars="200"/>
        <w:jc w:val="center"/>
        <w:rPr>
          <w:b/>
          <w:bCs/>
          <w:color w:val="000000" w:themeColor="text1"/>
          <w:sz w:val="36"/>
          <w:szCs w:val="36"/>
          <w14:textFill>
            <w14:solidFill>
              <w14:schemeClr w14:val="tx1"/>
            </w14:solidFill>
          </w14:textFill>
        </w:rPr>
      </w:pPr>
      <w:bookmarkStart w:id="23" w:name="_Toc114572548"/>
      <w:r>
        <w:rPr>
          <w:rFonts w:hint="eastAsia"/>
          <w:b/>
          <w:bCs/>
          <w:color w:val="000000" w:themeColor="text1"/>
          <w:sz w:val="36"/>
          <w:szCs w:val="36"/>
          <w14:textFill>
            <w14:solidFill>
              <w14:schemeClr w14:val="tx1"/>
            </w14:solidFill>
          </w14:textFill>
        </w:rPr>
        <w:t>算术复核表</w:t>
      </w:r>
      <w:bookmarkEnd w:id="23"/>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工程名称：投标人</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单位：元</w:t>
      </w:r>
    </w:p>
    <w:tbl>
      <w:tblPr>
        <w:tblStyle w:val="34"/>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修正前投标</w:t>
            </w:r>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修正后投标</w:t>
            </w:r>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修正率</w:t>
            </w:r>
            <w:r>
              <w:rPr>
                <w:rFonts w:ascii="宋体" w:hAnsi="宋体"/>
                <w:color w:val="000000" w:themeColor="text1"/>
                <w:kern w:val="0"/>
                <w:szCs w:val="21"/>
                <w14:textFill>
                  <w14:solidFill>
                    <w14:schemeClr w14:val="tx1"/>
                  </w14:solidFill>
                </w14:textFill>
              </w:rPr>
              <w:br w:type="textWrapping"/>
            </w:r>
            <w:r>
              <w:rPr>
                <w:rFonts w:ascii="宋体" w:hAnsi="宋体"/>
                <w:color w:val="000000" w:themeColor="text1"/>
                <w:kern w:val="0"/>
                <w:szCs w:val="21"/>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当</w:t>
            </w:r>
            <w:r>
              <w:rPr>
                <w:rFonts w:ascii="宋体" w:hAnsi="宋体"/>
                <w:color w:val="000000" w:themeColor="text1"/>
                <w:kern w:val="0"/>
                <w:szCs w:val="21"/>
                <w14:textFill>
                  <w14:solidFill>
                    <w14:schemeClr w14:val="tx1"/>
                  </w14:solidFill>
                </w14:textFill>
              </w:rPr>
              <w:t>B&gt;A</w:t>
            </w:r>
            <w:r>
              <w:rPr>
                <w:rFonts w:hint="eastAsia" w:ascii="宋体" w:hAnsi="宋体"/>
                <w:color w:val="000000" w:themeColor="text1"/>
                <w:kern w:val="0"/>
                <w:szCs w:val="21"/>
                <w14:textFill>
                  <w14:solidFill>
                    <w14:schemeClr w14:val="tx1"/>
                  </w14:solidFill>
                </w14:textFill>
              </w:rPr>
              <w:t>时，修正后报价与原报价的差额；当</w:t>
            </w:r>
            <w:r>
              <w:rPr>
                <w:rFonts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14:textFill>
                  <w14:solidFill>
                    <w14:schemeClr w14:val="tx1"/>
                  </w14:solidFill>
                </w14:textFill>
              </w:rPr>
              <w:t>时</w:t>
            </w:r>
            <w:r>
              <w:rPr>
                <w:rFonts w:ascii="宋体" w:hAnsi="宋体"/>
                <w:color w:val="000000" w:themeColor="text1"/>
                <w:kern w:val="0"/>
                <w:szCs w:val="21"/>
                <w14:textFill>
                  <w14:solidFill>
                    <w14:schemeClr w14:val="tx1"/>
                  </w14:solidFill>
                </w14:textFill>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1]</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2]</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n]</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A=A</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+A</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An</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B=B</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+B</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Bn</w:t>
            </w:r>
          </w:p>
        </w:tc>
      </w:tr>
    </w:tbl>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修正原则：</w:t>
      </w:r>
      <w:r>
        <w:rPr>
          <w:rFonts w:hint="eastAsia" w:ascii="宋体" w:hAnsi="宋体"/>
          <w:color w:val="000000" w:themeColor="text1"/>
          <w:szCs w:val="21"/>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000000" w:themeColor="text1"/>
          <w:kern w:val="0"/>
          <w:szCs w:val="21"/>
          <w14:textFill>
            <w14:solidFill>
              <w14:schemeClr w14:val="tx1"/>
            </w14:solidFill>
          </w14:textFill>
        </w:rPr>
        <w:tab/>
      </w:r>
    </w:p>
    <w:p>
      <w:pPr>
        <w:rPr>
          <w:rFonts w:ascii="宋体" w:hAnsi="宋体" w:cs="宋体"/>
          <w:color w:val="000000" w:themeColor="text1"/>
          <w:kern w:val="0"/>
          <w:szCs w:val="21"/>
          <w14:textFill>
            <w14:solidFill>
              <w14:schemeClr w14:val="tx1"/>
            </w14:solidFill>
          </w14:textFill>
        </w:rPr>
      </w:pPr>
    </w:p>
    <w:p>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评委签名：</w:t>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ascii="宋体" w:hAnsi="宋体"/>
          <w:color w:val="000000" w:themeColor="text1"/>
          <w:kern w:val="0"/>
          <w:szCs w:val="21"/>
          <w14:textFill>
            <w14:solidFill>
              <w14:schemeClr w14:val="tx1"/>
            </w14:solidFill>
          </w14:textFill>
        </w:rPr>
        <w:tab/>
      </w:r>
      <w:r>
        <w:rPr>
          <w:rFonts w:hint="eastAsia" w:ascii="宋体" w:hAnsi="宋体"/>
          <w:color w:val="000000" w:themeColor="text1"/>
          <w:kern w:val="0"/>
          <w:szCs w:val="21"/>
          <w14:textFill>
            <w14:solidFill>
              <w14:schemeClr w14:val="tx1"/>
            </w14:solidFill>
          </w14:textFill>
        </w:rPr>
        <w:t>日期：</w:t>
      </w:r>
    </w:p>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算术复核表</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工程名称：</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原投标报价（</w:t>
            </w:r>
            <w:r>
              <w:rPr>
                <w:rFonts w:ascii="宋体" w:hAnsi="宋体"/>
                <w:b/>
                <w:color w:val="000000" w:themeColor="text1"/>
                <w:sz w:val="28"/>
                <w:szCs w:val="28"/>
                <w14:textFill>
                  <w14:solidFill>
                    <w14:schemeClr w14:val="tx1"/>
                  </w14:solidFill>
                </w14:textFill>
              </w:rPr>
              <w:t>A</w:t>
            </w:r>
            <w:r>
              <w:rPr>
                <w:rFonts w:hint="eastAsia" w:ascii="宋体" w:hAnsi="宋体"/>
                <w:b/>
                <w:color w:val="000000" w:themeColor="text1"/>
                <w:sz w:val="28"/>
                <w:szCs w:val="28"/>
                <w14:textFill>
                  <w14:solidFill>
                    <w14:schemeClr w14:val="tx1"/>
                  </w14:solidFill>
                </w14:textFill>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算数复核后投标报价（</w:t>
            </w:r>
            <w:r>
              <w:rPr>
                <w:rFonts w:ascii="宋体" w:hAnsi="宋体"/>
                <w:b/>
                <w:color w:val="000000" w:themeColor="text1"/>
                <w:sz w:val="28"/>
                <w:szCs w:val="28"/>
                <w14:textFill>
                  <w14:solidFill>
                    <w14:schemeClr w14:val="tx1"/>
                  </w14:solidFill>
                </w14:textFill>
              </w:rPr>
              <w:t>B</w:t>
            </w:r>
            <w:r>
              <w:rPr>
                <w:rFonts w:hint="eastAsia" w:ascii="宋体" w:hAnsi="宋体"/>
                <w:b/>
                <w:color w:val="000000" w:themeColor="text1"/>
                <w:sz w:val="28"/>
                <w:szCs w:val="28"/>
                <w14:textFill>
                  <w14:solidFill>
                    <w14:schemeClr w14:val="tx1"/>
                  </w14:solidFill>
                </w14:textFill>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误差率（</w:t>
            </w:r>
            <w:r>
              <w:rPr>
                <w:rFonts w:ascii="宋体" w:hAnsi="宋体"/>
                <w:b/>
                <w:color w:val="000000" w:themeColor="text1"/>
                <w:sz w:val="28"/>
                <w:szCs w:val="28"/>
                <w14:textFill>
                  <w14:solidFill>
                    <w14:schemeClr w14:val="tx1"/>
                  </w14:solidFill>
                </w14:textFill>
              </w:rPr>
              <w:t>r=|A-B|/A*100%</w:t>
            </w:r>
            <w:r>
              <w:rPr>
                <w:rFonts w:hint="eastAsia" w:ascii="宋体" w:hAnsi="宋体"/>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36"/>
                <w:szCs w:val="36"/>
                <w14:textFill>
                  <w14:solidFill>
                    <w14:schemeClr w14:val="tx1"/>
                  </w14:solidFill>
                </w14:textFill>
              </w:rPr>
            </w:pPr>
          </w:p>
        </w:tc>
      </w:tr>
    </w:tbl>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评委签名：</w:t>
      </w:r>
    </w:p>
    <w:p>
      <w:pPr>
        <w:spacing w:line="360" w:lineRule="auto"/>
        <w:jc w:val="center"/>
        <w:rPr>
          <w:rFonts w:ascii="宋体" w:hAnsi="宋体"/>
          <w:color w:val="000000" w:themeColor="text1"/>
          <w:szCs w:val="21"/>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6838" w:h="11906" w:orient="landscape"/>
          <w:pgMar w:top="1134" w:right="1247" w:bottom="1134" w:left="1134" w:header="851" w:footer="907" w:gutter="0"/>
          <w:cols w:space="720" w:num="1"/>
          <w:titlePg/>
          <w:docGrid w:type="lines" w:linePitch="312" w:charSpace="0"/>
        </w:sect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附表六</w:t>
      </w:r>
    </w:p>
    <w:p>
      <w:pPr>
        <w:jc w:val="center"/>
        <w:outlineLvl w:val="2"/>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定标因素（定标阶段用）</w:t>
      </w:r>
    </w:p>
    <w:tbl>
      <w:tblPr>
        <w:tblStyle w:val="34"/>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33"/>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163" w:type="dxa"/>
            <w:vAlign w:val="center"/>
          </w:tcPr>
          <w:p>
            <w:pPr>
              <w:spacing w:line="360" w:lineRule="exact"/>
              <w:jc w:val="center"/>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定标因素</w:t>
            </w:r>
          </w:p>
        </w:tc>
        <w:tc>
          <w:tcPr>
            <w:tcW w:w="1133" w:type="dxa"/>
            <w:vAlign w:val="center"/>
          </w:tcPr>
          <w:p>
            <w:pPr>
              <w:spacing w:line="360" w:lineRule="exact"/>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评审</w:t>
            </w:r>
            <w:r>
              <w:rPr>
                <w:rFonts w:hint="eastAsia" w:ascii="Times New Roman" w:hAnsi="Times New Roman"/>
                <w:b/>
                <w:color w:val="000000" w:themeColor="text1"/>
                <w14:textFill>
                  <w14:solidFill>
                    <w14:schemeClr w14:val="tx1"/>
                  </w14:solidFill>
                </w14:textFill>
              </w:rPr>
              <w:t>内容</w:t>
            </w:r>
          </w:p>
        </w:tc>
        <w:tc>
          <w:tcPr>
            <w:tcW w:w="7114" w:type="dxa"/>
            <w:vAlign w:val="center"/>
          </w:tcPr>
          <w:p>
            <w:pPr>
              <w:spacing w:line="360" w:lineRule="exact"/>
              <w:jc w:val="center"/>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价格因素</w:t>
            </w:r>
          </w:p>
        </w:tc>
        <w:tc>
          <w:tcPr>
            <w:tcW w:w="113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投标报价</w:t>
            </w:r>
          </w:p>
        </w:tc>
        <w:tc>
          <w:tcPr>
            <w:tcW w:w="7114" w:type="dxa"/>
            <w:vAlign w:val="center"/>
          </w:tcPr>
          <w:p>
            <w:pPr>
              <w:tabs>
                <w:tab w:val="left" w:pos="720"/>
              </w:tabs>
              <w:snapToGrid w:val="0"/>
              <w:spacing w:line="320" w:lineRule="exac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定标委员会</w:t>
            </w:r>
            <w:r>
              <w:rPr>
                <w:rFonts w:ascii="宋体" w:hAnsi="宋体"/>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合格的中标候选人的</w:t>
            </w:r>
            <w:r>
              <w:rPr>
                <w:rFonts w:ascii="宋体" w:hAnsi="宋体"/>
                <w:color w:val="000000" w:themeColor="text1"/>
                <w:szCs w:val="21"/>
                <w14:textFill>
                  <w14:solidFill>
                    <w14:schemeClr w14:val="tx1"/>
                  </w14:solidFill>
                </w14:textFill>
              </w:rPr>
              <w:t>投标报价进行横向比较</w:t>
            </w:r>
            <w:r>
              <w:rPr>
                <w:rFonts w:hint="eastAsia" w:ascii="宋体" w:hAnsi="宋体"/>
                <w:color w:val="000000" w:themeColor="text1"/>
                <w:szCs w:val="21"/>
                <w14:textFill>
                  <w14:solidFill>
                    <w14:schemeClr w14:val="tx1"/>
                  </w14:solidFill>
                </w14:textFill>
              </w:rPr>
              <w:t>评审</w:t>
            </w:r>
            <w:r>
              <w:rPr>
                <w:rFonts w:hint="eastAsia" w:ascii="宋体" w:hAnsi="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1163" w:type="dxa"/>
            <w:vMerge w:val="restart"/>
            <w:vAlign w:val="center"/>
          </w:tcPr>
          <w:p>
            <w:pPr>
              <w:spacing w:line="32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方案因素</w:t>
            </w:r>
          </w:p>
        </w:tc>
        <w:tc>
          <w:tcPr>
            <w:tcW w:w="1133" w:type="dxa"/>
            <w:vAlign w:val="center"/>
          </w:tcPr>
          <w:p>
            <w:pPr>
              <w:spacing w:line="28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施工组织设计</w:t>
            </w:r>
          </w:p>
        </w:tc>
        <w:tc>
          <w:tcPr>
            <w:tcW w:w="7114" w:type="dxa"/>
            <w:vAlign w:val="center"/>
          </w:tcPr>
          <w:p>
            <w:pPr>
              <w:tabs>
                <w:tab w:val="left" w:pos="720"/>
              </w:tabs>
              <w:snapToGrid w:val="0"/>
              <w:spacing w:line="280" w:lineRule="exact"/>
              <w:rPr>
                <w:rFonts w:ascii="宋体" w:hAnsi="宋体"/>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定标委员会根据《技术标详细审查要素表》中各细项的内容在所有合格中标候选人中进行横向对比。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63" w:type="dxa"/>
            <w:vMerge w:val="continue"/>
            <w:vAlign w:val="center"/>
          </w:tcPr>
          <w:p>
            <w:pPr>
              <w:spacing w:line="320" w:lineRule="exact"/>
              <w:jc w:val="center"/>
              <w:rPr>
                <w:rFonts w:ascii="Times New Roman" w:hAnsi="Times New Roman"/>
                <w:color w:val="000000" w:themeColor="text1"/>
                <w14:textFill>
                  <w14:solidFill>
                    <w14:schemeClr w14:val="tx1"/>
                  </w14:solidFill>
                </w14:textFill>
              </w:rPr>
            </w:pPr>
          </w:p>
        </w:tc>
        <w:tc>
          <w:tcPr>
            <w:tcW w:w="1133" w:type="dxa"/>
            <w:vAlign w:val="center"/>
          </w:tcPr>
          <w:p>
            <w:pPr>
              <w:spacing w:line="28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安全生产不良行为扣分情况</w:t>
            </w:r>
          </w:p>
        </w:tc>
        <w:tc>
          <w:tcPr>
            <w:tcW w:w="7114" w:type="dxa"/>
            <w:vAlign w:val="center"/>
          </w:tcPr>
          <w:p>
            <w:pPr>
              <w:tabs>
                <w:tab w:val="left" w:pos="720"/>
              </w:tabs>
              <w:snapToGrid w:val="0"/>
              <w:spacing w:line="32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定标委员会根据招标人上级单位对合格投标人过往在招标人上级集团单位系内的参建项目的安全生产不良行为扣分和处理情况进行综合评价。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1" w:hRule="atLeast"/>
          <w:jc w:val="center"/>
        </w:trPr>
        <w:tc>
          <w:tcPr>
            <w:tcW w:w="1163" w:type="dxa"/>
            <w:vMerge w:val="restart"/>
            <w:vAlign w:val="center"/>
          </w:tcPr>
          <w:p>
            <w:pPr>
              <w:spacing w:line="32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资信因素</w:t>
            </w:r>
          </w:p>
        </w:tc>
        <w:tc>
          <w:tcPr>
            <w:tcW w:w="1133" w:type="dxa"/>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类似项目业绩</w:t>
            </w:r>
          </w:p>
        </w:tc>
        <w:tc>
          <w:tcPr>
            <w:tcW w:w="7114" w:type="dxa"/>
            <w:vAlign w:val="center"/>
          </w:tcPr>
          <w:p>
            <w:pPr>
              <w:tabs>
                <w:tab w:val="left" w:pos="720"/>
              </w:tabs>
              <w:snapToGrid w:val="0"/>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根据投标人提供自2018年1月1日至今完成过质量合格的类似工程业绩（类似工程业绩是指电压等级为10kV或以上的且单项合同金额</w:t>
            </w:r>
            <w:r>
              <w:rPr>
                <w:rFonts w:hint="eastAsia" w:ascii="宋体" w:hAnsi="宋体" w:cs="宋体"/>
                <w:color w:val="000000" w:themeColor="text1"/>
                <w:szCs w:val="21"/>
                <w:u w:val="single"/>
                <w14:textFill>
                  <w14:solidFill>
                    <w14:schemeClr w14:val="tx1"/>
                  </w14:solidFill>
                </w14:textFill>
              </w:rPr>
              <w:t>1500</w:t>
            </w:r>
            <w:r>
              <w:rPr>
                <w:rFonts w:hint="eastAsia" w:ascii="宋体" w:hAnsi="宋体" w:cs="宋体"/>
                <w:color w:val="000000" w:themeColor="text1"/>
                <w:szCs w:val="21"/>
                <w14:textFill>
                  <w14:solidFill>
                    <w14:schemeClr w14:val="tx1"/>
                  </w14:solidFill>
                </w14:textFill>
              </w:rPr>
              <w:t>万元或以上电力施工工程业绩）进行综合评价。</w:t>
            </w:r>
          </w:p>
          <w:p>
            <w:pPr>
              <w:tabs>
                <w:tab w:val="left" w:pos="720"/>
              </w:tabs>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1）业绩需同时提供施工合同关键页、质量验收资料关键页或业主方证明扫描件</w:t>
            </w:r>
            <w:r>
              <w:rPr>
                <w:rFonts w:hint="eastAsia" w:ascii="宋体" w:hAnsi="宋体"/>
                <w:color w:val="000000" w:themeColor="text1"/>
                <w:szCs w:val="21"/>
                <w14:textFill>
                  <w14:solidFill>
                    <w14:schemeClr w14:val="tx1"/>
                  </w14:solidFill>
                </w14:textFill>
              </w:rPr>
              <w:t>（业主方证明文件须具有业主方盖章）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如上述资料不能证明电压等级，须另提供可证明电压等级的其他资料。</w:t>
            </w:r>
          </w:p>
          <w:p>
            <w:pPr>
              <w:tabs>
                <w:tab w:val="left" w:pos="720"/>
              </w:tabs>
              <w:snapToGrid w:val="0"/>
              <w:spacing w:line="32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2）完成时间以质量验收记录时间为准或业主方证明时间</w:t>
            </w:r>
            <w:r>
              <w:rPr>
                <w:rFonts w:hint="eastAsia" w:asciiTheme="minorEastAsia" w:hAnsiTheme="minorEastAsia" w:eastAsiaTheme="minorEastAsia"/>
                <w:color w:val="000000" w:themeColor="text1"/>
                <w:szCs w:val="21"/>
                <w14:textFill>
                  <w14:solidFill>
                    <w14:schemeClr w14:val="tx1"/>
                  </w14:solidFill>
                </w14:textFill>
              </w:rPr>
              <w:t>为准。验收记录至少具有建设单位（或监理）、施工单位盖章。</w:t>
            </w:r>
          </w:p>
          <w:p>
            <w:pPr>
              <w:tabs>
                <w:tab w:val="left" w:pos="720"/>
              </w:tabs>
              <w:snapToGrid w:val="0"/>
              <w:spacing w:line="32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单独发包的电力工程：业绩金额以中标通知书为准，中标通知书上没有金额或免招标的，以施工合同（不含补充合同）为准。如中标通知书与施工合同均不能单独体现电力工程金额，投标人须提供载明电力工程业绩金额的相关证明材料。</w:t>
            </w:r>
          </w:p>
          <w:p>
            <w:pPr>
              <w:pStyle w:val="2"/>
              <w:spacing w:line="320" w:lineRule="exact"/>
              <w:ind w:firstLine="0"/>
              <w:jc w:val="left"/>
              <w:rPr>
                <w:rFonts w:asciiTheme="minorEastAsia" w:hAnsiTheme="minorEastAsia" w:eastAsia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w:t>
            </w:r>
            <w:r>
              <w:rPr>
                <w:rFonts w:asciiTheme="minorEastAsia" w:hAnsiTheme="minorEastAsia" w:eastAsiaTheme="minorEastAsia"/>
                <w:color w:val="000000" w:themeColor="text1"/>
                <w:sz w:val="21"/>
                <w:szCs w:val="21"/>
                <w:lang w:val="en-US"/>
                <w14:textFill>
                  <w14:solidFill>
                    <w14:schemeClr w14:val="tx1"/>
                  </w14:solidFill>
                </w14:textFill>
              </w:rPr>
              <w:t>4</w:t>
            </w:r>
            <w:r>
              <w:rPr>
                <w:rFonts w:hint="eastAsia" w:asciiTheme="minorEastAsia" w:hAnsiTheme="minorEastAsia" w:eastAsiaTheme="minorEastAsia"/>
                <w:color w:val="000000" w:themeColor="text1"/>
                <w:sz w:val="21"/>
                <w:szCs w:val="21"/>
                <w:lang w:val="en-US"/>
                <w14:textFill>
                  <w14:solidFill>
                    <w14:schemeClr w14:val="tx1"/>
                  </w14:solidFill>
                </w14:textFill>
              </w:rPr>
              <w:t>）总承包依法分包电力工程：业绩金额以分包合同中约定的合同金额为准。</w:t>
            </w:r>
          </w:p>
          <w:p>
            <w:pPr>
              <w:pStyle w:val="2"/>
              <w:spacing w:line="320" w:lineRule="exact"/>
              <w:ind w:firstLine="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w:t>
            </w:r>
            <w:r>
              <w:rPr>
                <w:rFonts w:asciiTheme="minorEastAsia" w:hAnsiTheme="minorEastAsia" w:eastAsiaTheme="minorEastAsia"/>
                <w:color w:val="000000" w:themeColor="text1"/>
                <w:sz w:val="21"/>
                <w:szCs w:val="21"/>
                <w:lang w:val="en-US"/>
                <w14:textFill>
                  <w14:solidFill>
                    <w14:schemeClr w14:val="tx1"/>
                  </w14:solidFill>
                </w14:textFill>
              </w:rPr>
              <w:t>5</w:t>
            </w:r>
            <w:r>
              <w:rPr>
                <w:rFonts w:hint="eastAsia" w:asciiTheme="minorEastAsia" w:hAnsiTheme="minorEastAsia" w:eastAsiaTheme="minorEastAsia"/>
                <w:color w:val="000000" w:themeColor="text1"/>
                <w:sz w:val="21"/>
                <w:szCs w:val="21"/>
                <w:lang w:val="en-US"/>
                <w14:textFill>
                  <w14:solidFill>
                    <w14:schemeClr w14:val="tx1"/>
                  </w14:solidFill>
                </w14:textFill>
              </w:rPr>
              <w:t>）施工总承包（含电力）工程：业绩金额以总承包施工合同载明的电力工程金额为准，如施工合同不能单独体现电力工程金额，投标人须提供载明电力工程业绩金额的相关证明材料；投标人需提供子分部工程质量验收记录或业主证明扫描件证明该施工总承包工程业绩中电力工程为投标人完成。</w:t>
            </w:r>
          </w:p>
          <w:p>
            <w:pPr>
              <w:tabs>
                <w:tab w:val="left" w:pos="720"/>
              </w:tabs>
              <w:snapToGrid w:val="0"/>
              <w:spacing w:line="32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）不符合上述要求的业绩证明资料，该项业绩不予认定。</w:t>
            </w:r>
          </w:p>
          <w:p>
            <w:pPr>
              <w:tabs>
                <w:tab w:val="left" w:pos="720"/>
              </w:tabs>
              <w:snapToGrid w:val="0"/>
              <w:spacing w:line="320" w:lineRule="exact"/>
              <w:jc w:val="left"/>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）投标文件中提供不超过</w:t>
            </w:r>
            <w:r>
              <w:rPr>
                <w:rFonts w:asciiTheme="minorEastAsia" w:hAnsiTheme="minorEastAsia" w:eastAsiaTheme="minorEastAsia"/>
                <w:color w:val="000000" w:themeColor="text1"/>
                <w:szCs w:val="21"/>
                <w14:textFill>
                  <w14:solidFill>
                    <w14:schemeClr w14:val="tx1"/>
                  </w14:solidFill>
                </w14:textFill>
              </w:rPr>
              <w:t>5项。超过5项的,按序号顺序选</w:t>
            </w:r>
            <w:r>
              <w:rPr>
                <w:rFonts w:ascii="宋体" w:hAnsi="宋体"/>
                <w:color w:val="000000" w:themeColor="text1"/>
                <w:szCs w:val="21"/>
                <w14:textFill>
                  <w14:solidFill>
                    <w14:schemeClr w14:val="tx1"/>
                  </w14:solidFill>
                </w14:textFill>
              </w:rPr>
              <w:t>择符合要求的前5项作为定标参考资料。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163" w:type="dxa"/>
            <w:vMerge w:val="continue"/>
            <w:vAlign w:val="center"/>
          </w:tcPr>
          <w:p>
            <w:pPr>
              <w:spacing w:line="320" w:lineRule="exact"/>
              <w:jc w:val="center"/>
              <w:rPr>
                <w:rFonts w:ascii="Times New Roman" w:hAnsi="Times New Roman"/>
                <w:color w:val="000000" w:themeColor="text1"/>
                <w14:textFill>
                  <w14:solidFill>
                    <w14:schemeClr w14:val="tx1"/>
                  </w14:solidFill>
                </w14:textFill>
              </w:rPr>
            </w:pPr>
          </w:p>
        </w:tc>
        <w:tc>
          <w:tcPr>
            <w:tcW w:w="1133"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企业信誉</w:t>
            </w:r>
          </w:p>
        </w:tc>
        <w:tc>
          <w:tcPr>
            <w:tcW w:w="7114" w:type="dxa"/>
            <w:vAlign w:val="center"/>
          </w:tcPr>
          <w:p>
            <w:pPr>
              <w:tabs>
                <w:tab w:val="left" w:pos="720"/>
              </w:tabs>
              <w:snapToGrid w:val="0"/>
              <w:spacing w:line="32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根据投标人提供的有效期内的ISO9001质量管理体系认证、ISO14001环境管理体系认证、ISO45001职业健康安全管理体系认证进行综合评价。</w:t>
            </w:r>
          </w:p>
          <w:p>
            <w:pPr>
              <w:tabs>
                <w:tab w:val="left" w:pos="720"/>
              </w:tabs>
              <w:snapToGrid w:val="0"/>
              <w:spacing w:line="32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注：提供有效期内的证书扫描件证明材料。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163" w:type="dxa"/>
            <w:vMerge w:val="restart"/>
            <w:vAlign w:val="center"/>
          </w:tcPr>
          <w:p>
            <w:pPr>
              <w:spacing w:line="320" w:lineRule="exact"/>
              <w:jc w:val="center"/>
              <w:rPr>
                <w:rFonts w:ascii="Times New Roman" w:hAnsi="Times New Roman"/>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团队</w:t>
            </w:r>
            <w:r>
              <w:rPr>
                <w:rFonts w:hint="eastAsia" w:ascii="Times New Roman" w:hAnsi="Times New Roman"/>
                <w:color w:val="000000" w:themeColor="text1"/>
                <w14:textFill>
                  <w14:solidFill>
                    <w14:schemeClr w14:val="tx1"/>
                  </w14:solidFill>
                </w14:textFill>
              </w:rPr>
              <w:t>因素</w:t>
            </w:r>
          </w:p>
        </w:tc>
        <w:tc>
          <w:tcPr>
            <w:tcW w:w="1133" w:type="dxa"/>
            <w:vAlign w:val="center"/>
          </w:tcPr>
          <w:p>
            <w:pPr>
              <w:spacing w:line="280" w:lineRule="exact"/>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项目团队人员数量</w:t>
            </w:r>
          </w:p>
        </w:tc>
        <w:tc>
          <w:tcPr>
            <w:tcW w:w="7114" w:type="dxa"/>
            <w:vAlign w:val="center"/>
          </w:tcPr>
          <w:p>
            <w:pPr>
              <w:pStyle w:val="2"/>
              <w:spacing w:line="280" w:lineRule="exact"/>
              <w:ind w:firstLine="0"/>
              <w:rPr>
                <w:rFonts w:ascii="宋体" w:hAnsi="宋体"/>
                <w:color w:val="000000" w:themeColor="text1"/>
                <w:kern w:val="2"/>
                <w:sz w:val="21"/>
                <w:szCs w:val="22"/>
                <w:lang w:val="en-US"/>
                <w14:textFill>
                  <w14:solidFill>
                    <w14:schemeClr w14:val="tx1"/>
                  </w14:solidFill>
                </w14:textFill>
              </w:rPr>
            </w:pPr>
            <w:r>
              <w:rPr>
                <w:rFonts w:hint="eastAsia" w:ascii="宋体" w:hAnsi="宋体"/>
                <w:color w:val="000000" w:themeColor="text1"/>
                <w:kern w:val="2"/>
                <w:sz w:val="21"/>
                <w:szCs w:val="22"/>
                <w:lang w:val="en-US"/>
                <w14:textFill>
                  <w14:solidFill>
                    <w14:schemeClr w14:val="tx1"/>
                  </w14:solidFill>
                </w14:textFill>
              </w:rPr>
              <w:t>人员数量配置满足招标文件附表六</w:t>
            </w:r>
            <w:r>
              <w:rPr>
                <w:rFonts w:ascii="宋体" w:hAnsi="宋体"/>
                <w:color w:val="000000" w:themeColor="text1"/>
                <w:kern w:val="2"/>
                <w:sz w:val="21"/>
                <w:szCs w:val="22"/>
                <w:lang w:val="en-US"/>
                <w14:textFill>
                  <w14:solidFill>
                    <w14:schemeClr w14:val="tx1"/>
                  </w14:solidFill>
                </w14:textFill>
              </w:rPr>
              <w:t>-1《项目管理机构人员配置要求表》的要求，</w:t>
            </w:r>
            <w:r>
              <w:rPr>
                <w:rFonts w:hint="eastAsia" w:ascii="宋体" w:hAnsi="宋体"/>
                <w:color w:val="000000" w:themeColor="text1"/>
                <w:kern w:val="2"/>
                <w:sz w:val="21"/>
                <w:szCs w:val="22"/>
                <w:lang w:val="en-US"/>
                <w14:textFill>
                  <w14:solidFill>
                    <w14:schemeClr w14:val="tx1"/>
                  </w14:solidFill>
                </w14:textFill>
              </w:rPr>
              <w:t>并</w:t>
            </w:r>
            <w:r>
              <w:rPr>
                <w:rFonts w:ascii="宋体" w:hAnsi="宋体"/>
                <w:color w:val="000000" w:themeColor="text1"/>
                <w:kern w:val="2"/>
                <w:sz w:val="21"/>
                <w:szCs w:val="22"/>
                <w:lang w:val="en-US"/>
                <w14:textFill>
                  <w14:solidFill>
                    <w14:schemeClr w14:val="tx1"/>
                  </w14:solidFill>
                </w14:textFill>
              </w:rPr>
              <w:t>根据增加的管理人员数量</w:t>
            </w:r>
            <w:r>
              <w:rPr>
                <w:rFonts w:hint="eastAsia" w:ascii="宋体" w:hAnsi="宋体"/>
                <w:color w:val="000000" w:themeColor="text1"/>
                <w:kern w:val="2"/>
                <w:sz w:val="21"/>
                <w:szCs w:val="22"/>
                <w:lang w:val="en-US"/>
                <w14:textFill>
                  <w14:solidFill>
                    <w14:schemeClr w14:val="tx1"/>
                  </w14:solidFill>
                </w14:textFill>
              </w:rPr>
              <w:t>情况进行综合评价。</w:t>
            </w:r>
          </w:p>
          <w:p>
            <w:pPr>
              <w:pStyle w:val="2"/>
              <w:spacing w:line="280" w:lineRule="exact"/>
              <w:ind w:firstLine="0"/>
              <w:rPr>
                <w:rFonts w:ascii="宋体" w:hAnsi="宋体"/>
                <w:color w:val="000000" w:themeColor="text1"/>
                <w:kern w:val="2"/>
                <w:sz w:val="21"/>
                <w:szCs w:val="22"/>
                <w:lang w:val="en-US"/>
                <w14:textFill>
                  <w14:solidFill>
                    <w14:schemeClr w14:val="tx1"/>
                  </w14:solidFill>
                </w14:textFill>
              </w:rPr>
            </w:pPr>
            <w:r>
              <w:rPr>
                <w:rFonts w:hint="eastAsia" w:ascii="宋体" w:hAnsi="宋体"/>
                <w:color w:val="000000" w:themeColor="text1"/>
                <w:kern w:val="2"/>
                <w:sz w:val="21"/>
                <w:szCs w:val="22"/>
                <w:lang w:val="en-US"/>
                <w14:textFill>
                  <w14:solidFill>
                    <w14:schemeClr w14:val="tx1"/>
                  </w14:solidFill>
                </w14:textFill>
              </w:rPr>
              <w:t>注：1、投标人可根据企业自身及项目实际情况自行增加管理人员（现场施工管理及技术人员、安全员），增加的管理人员如超过5人，则按符合要求的前5名管理人员数量情况作为定标参考资料。</w:t>
            </w:r>
          </w:p>
          <w:p>
            <w:pPr>
              <w:pStyle w:val="2"/>
              <w:spacing w:line="280" w:lineRule="exact"/>
              <w:ind w:firstLine="0"/>
              <w:rPr>
                <w:color w:val="000000" w:themeColor="text1"/>
                <w:lang w:val="en-US"/>
                <w14:textFill>
                  <w14:solidFill>
                    <w14:schemeClr w14:val="tx1"/>
                  </w14:solidFill>
                </w14:textFill>
              </w:rPr>
            </w:pPr>
            <w:r>
              <w:rPr>
                <w:rFonts w:hint="eastAsia" w:ascii="宋体" w:hAnsi="宋体"/>
                <w:color w:val="000000" w:themeColor="text1"/>
                <w:kern w:val="2"/>
                <w:sz w:val="21"/>
                <w:szCs w:val="22"/>
                <w:lang w:val="en-US"/>
                <w14:textFill>
                  <w14:solidFill>
                    <w14:schemeClr w14:val="tx1"/>
                  </w14:solidFill>
                </w14:textFill>
              </w:rPr>
              <w:t>2、增加的管理人员须满足《项目管理机构人员配置要求表》中的任职条件要求，否则不作为定标参考资料。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1163" w:type="dxa"/>
            <w:vMerge w:val="continue"/>
            <w:vAlign w:val="center"/>
          </w:tcPr>
          <w:p>
            <w:pPr>
              <w:spacing w:line="320" w:lineRule="exact"/>
              <w:jc w:val="center"/>
              <w:rPr>
                <w:rFonts w:ascii="宋体" w:hAnsi="宋体"/>
                <w:color w:val="000000" w:themeColor="text1"/>
                <w:szCs w:val="21"/>
                <w14:textFill>
                  <w14:solidFill>
                    <w14:schemeClr w14:val="tx1"/>
                  </w14:solidFill>
                </w14:textFill>
              </w:rPr>
            </w:pPr>
          </w:p>
        </w:tc>
        <w:tc>
          <w:tcPr>
            <w:tcW w:w="1133" w:type="dxa"/>
            <w:vAlign w:val="center"/>
          </w:tcPr>
          <w:p>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项目负责人职称</w:t>
            </w:r>
          </w:p>
        </w:tc>
        <w:tc>
          <w:tcPr>
            <w:tcW w:w="7114" w:type="dxa"/>
            <w:vAlign w:val="center"/>
          </w:tcPr>
          <w:p>
            <w:pPr>
              <w:tabs>
                <w:tab w:val="left" w:pos="720"/>
              </w:tabs>
              <w:snapToGrid w:val="0"/>
              <w:spacing w:line="2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根据投标人选派的项目负责人的职称级别情况进行综合评价。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163" w:type="dxa"/>
            <w:vMerge w:val="continue"/>
            <w:vAlign w:val="center"/>
          </w:tcPr>
          <w:p>
            <w:pPr>
              <w:spacing w:line="320" w:lineRule="exact"/>
              <w:jc w:val="center"/>
              <w:rPr>
                <w:rFonts w:ascii="宋体" w:hAnsi="宋体"/>
                <w:color w:val="000000" w:themeColor="text1"/>
                <w:szCs w:val="21"/>
                <w14:textFill>
                  <w14:solidFill>
                    <w14:schemeClr w14:val="tx1"/>
                  </w14:solidFill>
                </w14:textFill>
              </w:rPr>
            </w:pPr>
          </w:p>
        </w:tc>
        <w:tc>
          <w:tcPr>
            <w:tcW w:w="1133" w:type="dxa"/>
            <w:vAlign w:val="center"/>
          </w:tcPr>
          <w:p>
            <w:pPr>
              <w:spacing w:line="2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项目团队人员职称</w:t>
            </w:r>
          </w:p>
        </w:tc>
        <w:tc>
          <w:tcPr>
            <w:tcW w:w="7114" w:type="dxa"/>
            <w:vAlign w:val="center"/>
          </w:tcPr>
          <w:p>
            <w:pPr>
              <w:tabs>
                <w:tab w:val="left" w:pos="720"/>
              </w:tabs>
              <w:snapToGrid w:val="0"/>
              <w:spacing w:line="2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根据投标人《拟投项目管理机构人员汇总表》中人员（项目负责人除外）职称级别情况进行综合评价。</w:t>
            </w:r>
          </w:p>
          <w:p>
            <w:pPr>
              <w:pStyle w:val="2"/>
              <w:spacing w:line="240" w:lineRule="exact"/>
              <w:ind w:firstLine="0"/>
              <w:rPr>
                <w:color w:val="000000" w:themeColor="text1"/>
                <w:lang w:val="en-US"/>
                <w14:textFill>
                  <w14:solidFill>
                    <w14:schemeClr w14:val="tx1"/>
                  </w14:solidFill>
                </w14:textFill>
              </w:rPr>
            </w:pPr>
            <w:r>
              <w:rPr>
                <w:rFonts w:hint="eastAsia" w:ascii="宋体" w:hAnsi="宋体" w:cs="宋体"/>
                <w:color w:val="000000" w:themeColor="text1"/>
                <w:kern w:val="2"/>
                <w:sz w:val="21"/>
                <w:szCs w:val="21"/>
                <w:lang w:val="en-US"/>
                <w14:textFill>
                  <w14:solidFill>
                    <w14:schemeClr w14:val="tx1"/>
                  </w14:solidFill>
                </w14:textFill>
              </w:rPr>
              <w:t>注：（1）《项目管理机构人员配置要求表》中有职称要求的人员须符合表中的职称要求；（2）《项目管理机构人员配置要求表》中对职称没有要求的人员，职称不限。</w:t>
            </w:r>
          </w:p>
        </w:tc>
      </w:tr>
    </w:tbl>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附表六</w:t>
      </w:r>
      <w:r>
        <w:rPr>
          <w:rFonts w:ascii="宋体" w:hAnsi="宋体"/>
          <w:color w:val="000000" w:themeColor="text1"/>
          <w:szCs w:val="21"/>
          <w14:textFill>
            <w14:solidFill>
              <w14:schemeClr w14:val="tx1"/>
            </w14:solidFill>
          </w14:textFill>
        </w:rPr>
        <w:t>-1</w:t>
      </w:r>
    </w:p>
    <w:p>
      <w:pPr>
        <w:ind w:firstLine="562" w:firstLineChars="200"/>
        <w:jc w:val="center"/>
        <w:outlineLvl w:val="3"/>
        <w:rPr>
          <w:rFonts w:ascii="宋体" w:hAnsi="宋体"/>
          <w:b/>
          <w:color w:val="000000" w:themeColor="text1"/>
          <w:sz w:val="28"/>
          <w:szCs w:val="32"/>
          <w14:textFill>
            <w14:solidFill>
              <w14:schemeClr w14:val="tx1"/>
            </w14:solidFill>
          </w14:textFill>
        </w:rPr>
      </w:pPr>
      <w:r>
        <w:rPr>
          <w:rFonts w:hint="eastAsia" w:ascii="宋体" w:hAnsi="宋体"/>
          <w:b/>
          <w:color w:val="000000" w:themeColor="text1"/>
          <w:sz w:val="28"/>
          <w:szCs w:val="32"/>
          <w14:textFill>
            <w14:solidFill>
              <w14:schemeClr w14:val="tx1"/>
            </w14:solidFill>
          </w14:textFill>
        </w:rPr>
        <w:t>项目管理机构人员配置要求表</w:t>
      </w:r>
    </w:p>
    <w:tbl>
      <w:tblPr>
        <w:tblStyle w:val="34"/>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841"/>
        <w:gridCol w:w="683"/>
        <w:gridCol w:w="3303"/>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334"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序号</w:t>
            </w:r>
          </w:p>
        </w:tc>
        <w:tc>
          <w:tcPr>
            <w:tcW w:w="943"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bCs/>
                <w:color w:val="000000" w:themeColor="text1"/>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类别</w:t>
            </w:r>
          </w:p>
        </w:tc>
        <w:tc>
          <w:tcPr>
            <w:tcW w:w="350"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1692"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任职条件</w:t>
            </w:r>
          </w:p>
        </w:tc>
        <w:tc>
          <w:tcPr>
            <w:tcW w:w="1681" w:type="pct"/>
            <w:tcBorders>
              <w:top w:val="single" w:color="auto" w:sz="4" w:space="0"/>
              <w:left w:val="single" w:color="auto" w:sz="4" w:space="0"/>
              <w:bottom w:val="single" w:color="auto" w:sz="4" w:space="0"/>
              <w:right w:val="single" w:color="auto" w:sz="4" w:space="0"/>
            </w:tcBorders>
            <w:vAlign w:val="center"/>
          </w:tcPr>
          <w:p>
            <w:pPr>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943" w:type="pct"/>
            <w:tcBorders>
              <w:top w:val="single" w:color="auto" w:sz="4" w:space="0"/>
              <w:left w:val="single" w:color="auto" w:sz="4" w:space="0"/>
              <w:bottom w:val="single" w:color="auto" w:sz="4" w:space="0"/>
              <w:right w:val="single" w:color="auto" w:sz="4" w:space="0"/>
            </w:tcBorders>
            <w:vAlign w:val="center"/>
          </w:tcPr>
          <w:p>
            <w:pPr>
              <w:pStyle w:val="87"/>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项目负责人</w:t>
            </w:r>
          </w:p>
          <w:p>
            <w:pPr>
              <w:pStyle w:val="87"/>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2"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符合招标公告要求</w:t>
            </w:r>
          </w:p>
        </w:tc>
        <w:tc>
          <w:tcPr>
            <w:tcW w:w="168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943" w:type="pct"/>
            <w:tcBorders>
              <w:top w:val="single" w:color="auto" w:sz="4" w:space="0"/>
              <w:left w:val="single" w:color="auto" w:sz="4" w:space="0"/>
              <w:bottom w:val="single" w:color="auto" w:sz="4" w:space="0"/>
              <w:right w:val="single" w:color="auto" w:sz="4" w:space="0"/>
            </w:tcBorders>
            <w:vAlign w:val="center"/>
          </w:tcPr>
          <w:p>
            <w:pPr>
              <w:pStyle w:val="87"/>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技术负责人</w:t>
            </w:r>
          </w:p>
          <w:p>
            <w:pPr>
              <w:pStyle w:val="87"/>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（项目总工）</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2"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符合招标公告要求</w:t>
            </w:r>
          </w:p>
        </w:tc>
        <w:tc>
          <w:tcPr>
            <w:tcW w:w="168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94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专职安全员</w:t>
            </w:r>
          </w:p>
        </w:tc>
        <w:tc>
          <w:tcPr>
            <w:tcW w:w="350"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20" w:lineRule="exact"/>
              <w:jc w:val="center"/>
              <w:outlineLvl w:val="2"/>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1人</w:t>
            </w:r>
          </w:p>
        </w:tc>
        <w:tc>
          <w:tcPr>
            <w:tcW w:w="1692"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20" w:lineRule="exact"/>
              <w:outlineLvl w:val="2"/>
              <w:rPr>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符合招标公告要求</w:t>
            </w:r>
          </w:p>
        </w:tc>
        <w:tc>
          <w:tcPr>
            <w:tcW w:w="1681"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20" w:lineRule="exact"/>
              <w:outlineLvl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94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项目生产经理</w:t>
            </w:r>
          </w:p>
        </w:tc>
        <w:tc>
          <w:tcPr>
            <w:tcW w:w="350"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20" w:lineRule="exact"/>
              <w:jc w:val="center"/>
              <w:outlineLvl w:val="2"/>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1人</w:t>
            </w:r>
          </w:p>
        </w:tc>
        <w:tc>
          <w:tcPr>
            <w:tcW w:w="1692"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20" w:lineRule="exact"/>
              <w:outlineLvl w:val="2"/>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具有电力类或机电类或电气类相关专业中级（或以上）职称。</w:t>
            </w:r>
          </w:p>
        </w:tc>
        <w:tc>
          <w:tcPr>
            <w:tcW w:w="1681"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20" w:lineRule="exact"/>
              <w:outlineLvl w:val="2"/>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94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jc w:val="center"/>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安全负责人</w:t>
            </w:r>
          </w:p>
          <w:p>
            <w:pPr>
              <w:pStyle w:val="2"/>
              <w:ind w:firstLine="0"/>
              <w:jc w:val="center"/>
              <w:rPr>
                <w:lang w:val="en-US"/>
              </w:rPr>
            </w:pPr>
            <w:r>
              <w:rPr>
                <w:rFonts w:hint="eastAsia"/>
                <w:lang w:val="en-US"/>
              </w:rPr>
              <w:t>（安全总监）</w:t>
            </w:r>
          </w:p>
        </w:tc>
        <w:tc>
          <w:tcPr>
            <w:tcW w:w="350"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jc w:val="center"/>
              <w:outlineLvl w:val="2"/>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1人</w:t>
            </w:r>
          </w:p>
        </w:tc>
        <w:tc>
          <w:tcPr>
            <w:tcW w:w="1692"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具有安全培训证书或上岗证。</w:t>
            </w:r>
          </w:p>
        </w:tc>
        <w:tc>
          <w:tcPr>
            <w:tcW w:w="1681"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outlineLvl w:val="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提供安全培训证书或上岗证、身份证、职称证（如有）等扫描件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4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jc w:val="center"/>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安全员</w:t>
            </w:r>
          </w:p>
        </w:tc>
        <w:tc>
          <w:tcPr>
            <w:tcW w:w="350"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jc w:val="center"/>
              <w:outlineLvl w:val="2"/>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人</w:t>
            </w:r>
          </w:p>
        </w:tc>
        <w:tc>
          <w:tcPr>
            <w:tcW w:w="1692"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具有安全培训证书或上岗证。</w:t>
            </w:r>
          </w:p>
        </w:tc>
        <w:tc>
          <w:tcPr>
            <w:tcW w:w="1681"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280" w:lineRule="exact"/>
              <w:outlineLvl w:val="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提供安全培训证书或上岗证、身份证、职称证（如有）等扫描件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7</w:t>
            </w:r>
          </w:p>
        </w:tc>
        <w:tc>
          <w:tcPr>
            <w:tcW w:w="943" w:type="pct"/>
            <w:tcBorders>
              <w:top w:val="single" w:color="auto" w:sz="4" w:space="0"/>
              <w:left w:val="single" w:color="auto" w:sz="4" w:space="0"/>
              <w:bottom w:val="single" w:color="auto" w:sz="4" w:space="0"/>
              <w:right w:val="single" w:color="auto" w:sz="4" w:space="0"/>
            </w:tcBorders>
            <w:vAlign w:val="center"/>
          </w:tcPr>
          <w:p>
            <w:pPr>
              <w:pStyle w:val="2"/>
              <w:ind w:firstLine="0"/>
              <w:jc w:val="center"/>
              <w:rPr>
                <w:rFonts w:ascii="Calibri" w:hAnsi="Calibri"/>
                <w:color w:val="000000" w:themeColor="text1"/>
                <w:kern w:val="2"/>
                <w:sz w:val="21"/>
                <w:szCs w:val="22"/>
                <w:lang w:val="en-US"/>
                <w14:textFill>
                  <w14:solidFill>
                    <w14:schemeClr w14:val="tx1"/>
                  </w14:solidFill>
                </w14:textFill>
              </w:rPr>
            </w:pPr>
            <w:r>
              <w:rPr>
                <w:rFonts w:hint="eastAsia" w:ascii="Calibri" w:hAnsi="Calibri"/>
                <w:color w:val="000000" w:themeColor="text1"/>
                <w:kern w:val="2"/>
                <w:sz w:val="21"/>
                <w:szCs w:val="22"/>
                <w:lang w:val="en-US"/>
                <w14:textFill>
                  <w14:solidFill>
                    <w14:schemeClr w14:val="tx1"/>
                  </w14:solidFill>
                </w14:textFill>
              </w:rPr>
              <w:t>资料员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1人</w:t>
            </w:r>
          </w:p>
        </w:tc>
        <w:tc>
          <w:tcPr>
            <w:tcW w:w="1692" w:type="pct"/>
            <w:tcBorders>
              <w:top w:val="single" w:color="auto" w:sz="4" w:space="0"/>
              <w:left w:val="single" w:color="auto" w:sz="4" w:space="0"/>
              <w:bottom w:val="single" w:color="auto" w:sz="4" w:space="0"/>
              <w:right w:val="single" w:color="auto" w:sz="4" w:space="0"/>
            </w:tcBorders>
            <w:vAlign w:val="center"/>
          </w:tcPr>
          <w:p>
            <w:pPr>
              <w:pStyle w:val="87"/>
              <w:spacing w:line="32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168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提供资料员岗位证或培训证、身份证、职称证（如有）等扫描件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8</w:t>
            </w:r>
          </w:p>
        </w:tc>
        <w:tc>
          <w:tcPr>
            <w:tcW w:w="943" w:type="pct"/>
            <w:tcBorders>
              <w:top w:val="single" w:color="auto" w:sz="4" w:space="0"/>
              <w:left w:val="single" w:color="auto" w:sz="4" w:space="0"/>
              <w:bottom w:val="single" w:color="auto" w:sz="4" w:space="0"/>
              <w:right w:val="single" w:color="auto" w:sz="4" w:space="0"/>
            </w:tcBorders>
            <w:vAlign w:val="center"/>
          </w:tcPr>
          <w:p>
            <w:pPr>
              <w:pStyle w:val="2"/>
              <w:ind w:firstLine="0"/>
              <w:jc w:val="center"/>
              <w:rPr>
                <w:rFonts w:ascii="Calibri" w:hAnsi="Calibri"/>
                <w:color w:val="000000" w:themeColor="text1"/>
                <w:kern w:val="2"/>
                <w:sz w:val="21"/>
                <w:szCs w:val="22"/>
                <w:lang w:val="en-US"/>
                <w14:textFill>
                  <w14:solidFill>
                    <w14:schemeClr w14:val="tx1"/>
                  </w14:solidFill>
                </w14:textFill>
              </w:rPr>
            </w:pPr>
            <w:r>
              <w:rPr>
                <w:rFonts w:hint="eastAsia" w:ascii="Calibri" w:hAnsi="Calibri"/>
                <w:color w:val="000000" w:themeColor="text1"/>
                <w:kern w:val="2"/>
                <w:sz w:val="21"/>
                <w:szCs w:val="22"/>
                <w:lang w:val="en-US"/>
                <w14:textFill>
                  <w14:solidFill>
                    <w14:schemeClr w14:val="tx1"/>
                  </w14:solidFill>
                </w14:textFill>
              </w:rPr>
              <w:t>材料员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2人</w:t>
            </w:r>
          </w:p>
        </w:tc>
        <w:tc>
          <w:tcPr>
            <w:tcW w:w="1692" w:type="pct"/>
            <w:tcBorders>
              <w:top w:val="single" w:color="auto" w:sz="4" w:space="0"/>
              <w:left w:val="single" w:color="auto" w:sz="4" w:space="0"/>
              <w:bottom w:val="single" w:color="auto" w:sz="4" w:space="0"/>
              <w:right w:val="single" w:color="auto" w:sz="4" w:space="0"/>
            </w:tcBorders>
            <w:vAlign w:val="center"/>
          </w:tcPr>
          <w:p>
            <w:pPr>
              <w:pStyle w:val="87"/>
              <w:spacing w:line="32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168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提供材料员岗位证或培训证、身份证、职称证（如有）等扫描件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spacing w:line="320" w:lineRule="exact"/>
              <w:ind w:left="-57" w:leftChars="-27" w:right="-46" w:rightChars="-22"/>
              <w:jc w:val="center"/>
              <w:rPr>
                <w:rFonts w:ascii="宋体" w:hAnsi="宋体" w:cs="宋体"/>
                <w:bCs/>
                <w:color w:val="000000" w:themeColor="text1"/>
                <w:kern w:val="44"/>
                <w:szCs w:val="21"/>
                <w14:textFill>
                  <w14:solidFill>
                    <w14:schemeClr w14:val="tx1"/>
                  </w14:solidFill>
                </w14:textFill>
              </w:rPr>
            </w:pPr>
            <w:r>
              <w:rPr>
                <w:rFonts w:hint="eastAsia" w:ascii="宋体" w:hAnsi="宋体" w:cs="宋体"/>
                <w:bCs/>
                <w:color w:val="000000" w:themeColor="text1"/>
                <w:kern w:val="44"/>
                <w:szCs w:val="21"/>
                <w14:textFill>
                  <w14:solidFill>
                    <w14:schemeClr w14:val="tx1"/>
                  </w14:solidFill>
                </w14:textFill>
              </w:rPr>
              <w:t>9</w:t>
            </w:r>
          </w:p>
        </w:tc>
        <w:tc>
          <w:tcPr>
            <w:tcW w:w="943" w:type="pct"/>
            <w:tcBorders>
              <w:top w:val="single" w:color="auto" w:sz="4" w:space="0"/>
              <w:left w:val="single" w:color="auto" w:sz="4" w:space="0"/>
              <w:bottom w:val="single" w:color="auto" w:sz="4" w:space="0"/>
              <w:right w:val="single" w:color="auto" w:sz="4" w:space="0"/>
            </w:tcBorders>
            <w:vAlign w:val="center"/>
          </w:tcPr>
          <w:p>
            <w:pPr>
              <w:pStyle w:val="2"/>
              <w:ind w:firstLine="0"/>
              <w:jc w:val="center"/>
              <w:rPr>
                <w:rFonts w:ascii="Calibri" w:hAnsi="Calibri"/>
                <w:color w:val="000000" w:themeColor="text1"/>
                <w:kern w:val="2"/>
                <w:sz w:val="21"/>
                <w:szCs w:val="22"/>
                <w:lang w:val="en-US"/>
                <w14:textFill>
                  <w14:solidFill>
                    <w14:schemeClr w14:val="tx1"/>
                  </w14:solidFill>
                </w14:textFill>
              </w:rPr>
            </w:pPr>
            <w:r>
              <w:rPr>
                <w:rFonts w:hint="eastAsia" w:ascii="Calibri" w:hAnsi="Calibri"/>
                <w:color w:val="000000" w:themeColor="text1"/>
                <w:kern w:val="2"/>
                <w:sz w:val="21"/>
                <w:szCs w:val="22"/>
                <w:lang w:val="en-US"/>
                <w14:textFill>
                  <w14:solidFill>
                    <w14:schemeClr w14:val="tx1"/>
                  </w14:solidFill>
                </w14:textFill>
              </w:rPr>
              <w:t>现场施工管理及技术人员</w:t>
            </w:r>
          </w:p>
        </w:tc>
        <w:tc>
          <w:tcPr>
            <w:tcW w:w="350"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人</w:t>
            </w:r>
          </w:p>
        </w:tc>
        <w:tc>
          <w:tcPr>
            <w:tcW w:w="1692" w:type="pct"/>
            <w:tcBorders>
              <w:top w:val="single" w:color="auto" w:sz="4" w:space="0"/>
              <w:left w:val="single" w:color="auto" w:sz="4" w:space="0"/>
              <w:bottom w:val="single" w:color="auto" w:sz="4" w:space="0"/>
              <w:right w:val="single" w:color="auto" w:sz="4" w:space="0"/>
            </w:tcBorders>
            <w:vAlign w:val="center"/>
          </w:tcPr>
          <w:p>
            <w:pPr>
              <w:pStyle w:val="87"/>
              <w:spacing w:line="320" w:lineRule="exact"/>
              <w:jc w:val="both"/>
              <w:rPr>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具有</w:t>
            </w:r>
            <w:r>
              <w:rPr>
                <w:rFonts w:hint="eastAsia"/>
                <w:color w:val="000000" w:themeColor="text1"/>
                <w14:textFill>
                  <w14:solidFill>
                    <w14:schemeClr w14:val="tx1"/>
                  </w14:solidFill>
                </w14:textFill>
              </w:rPr>
              <w:t>电力类或机电类或电气类</w:t>
            </w:r>
            <w:r>
              <w:rPr>
                <w:rFonts w:hint="eastAsia" w:cs="宋体"/>
                <w:color w:val="000000" w:themeColor="text1"/>
                <w:kern w:val="0"/>
                <w14:textFill>
                  <w14:solidFill>
                    <w14:schemeClr w14:val="tx1"/>
                  </w14:solidFill>
                </w14:textFill>
              </w:rPr>
              <w:t>相关专业助理级（或以上）技术职称。</w:t>
            </w:r>
          </w:p>
        </w:tc>
        <w:tc>
          <w:tcPr>
            <w:tcW w:w="1681" w:type="pc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bl>
    <w:p>
      <w:pPr>
        <w:topLinePunct/>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注：①职称机电相关专业包括：暖通、电气、机械设备、电气工程与设备、机电安装、建筑水电工程等。</w:t>
      </w:r>
    </w:p>
    <w:p>
      <w:pPr>
        <w:pStyle w:val="2"/>
        <w:spacing w:line="360" w:lineRule="auto"/>
        <w:rPr>
          <w:rFonts w:ascii="Calibri" w:hAnsi="Calibri"/>
          <w:color w:val="000000" w:themeColor="text1"/>
          <w:kern w:val="2"/>
          <w:sz w:val="21"/>
          <w:szCs w:val="22"/>
          <w:lang w:val="en-US"/>
          <w14:textFill>
            <w14:solidFill>
              <w14:schemeClr w14:val="tx1"/>
            </w14:solidFill>
          </w14:textFill>
        </w:rPr>
      </w:pPr>
      <w:r>
        <w:rPr>
          <w:rFonts w:hint="eastAsia" w:ascii="Calibri" w:hAnsi="Calibri"/>
          <w:color w:val="000000" w:themeColor="text1"/>
          <w:kern w:val="2"/>
          <w:sz w:val="21"/>
          <w:szCs w:val="22"/>
          <w:lang w:val="en-US"/>
          <w14:textFill>
            <w14:solidFill>
              <w14:schemeClr w14:val="tx1"/>
            </w14:solidFill>
          </w14:textFill>
        </w:rPr>
        <w:t>②职称电力相关专业包括：输配电及用电工程、电力系统及其自动化等。</w:t>
      </w:r>
    </w:p>
    <w:p>
      <w:pPr>
        <w:pStyle w:val="2"/>
        <w:spacing w:line="360" w:lineRule="auto"/>
        <w:rPr>
          <w:rFonts w:ascii="Calibri" w:hAnsi="Calibri"/>
          <w:color w:val="000000" w:themeColor="text1"/>
          <w:kern w:val="2"/>
          <w:sz w:val="21"/>
          <w:szCs w:val="22"/>
          <w:lang w:val="en-US"/>
          <w14:textFill>
            <w14:solidFill>
              <w14:schemeClr w14:val="tx1"/>
            </w14:solidFill>
          </w14:textFill>
        </w:rPr>
      </w:pPr>
      <w:r>
        <w:rPr>
          <w:rFonts w:hint="eastAsia" w:ascii="Calibri" w:hAnsi="Calibri"/>
          <w:color w:val="000000" w:themeColor="text1"/>
          <w:kern w:val="2"/>
          <w:sz w:val="21"/>
          <w:szCs w:val="22"/>
          <w:lang w:val="en-US"/>
          <w14:textFill>
            <w14:solidFill>
              <w14:schemeClr w14:val="tx1"/>
            </w14:solidFill>
          </w14:textFill>
        </w:rPr>
        <w:t>③职称电气相关专业包括：</w:t>
      </w:r>
      <w:r>
        <w:rPr>
          <w:rFonts w:hint="eastAsia" w:ascii="Calibri" w:hAnsi="Calibri"/>
          <w:kern w:val="2"/>
          <w:sz w:val="21"/>
          <w:szCs w:val="22"/>
          <w:lang w:val="en-US"/>
        </w:rPr>
        <w:t>建筑电气、电气工程、电气自动化、</w:t>
      </w:r>
      <w:r>
        <w:rPr>
          <w:rFonts w:hint="eastAsia" w:ascii="Calibri" w:hAnsi="Calibri"/>
          <w:color w:val="000000" w:themeColor="text1"/>
          <w:kern w:val="2"/>
          <w:sz w:val="21"/>
          <w:szCs w:val="22"/>
          <w:lang w:val="en-US"/>
          <w14:textFill>
            <w14:solidFill>
              <w14:schemeClr w14:val="tx1"/>
            </w14:solidFill>
          </w14:textFill>
        </w:rPr>
        <w:t>电机与电器、电力拖动与自动化控制、电气信息技术等。</w:t>
      </w:r>
    </w:p>
    <w:p>
      <w:pPr>
        <w:adjustRightInd w:val="0"/>
        <w:snapToGrid w:val="0"/>
        <w:spacing w:line="360" w:lineRule="auto"/>
        <w:ind w:firstLine="424" w:firstLineChars="20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④须提供以上人员相关证件扫描件，并提供以上人员投标单位近期（扣除发布招标公告当月往前顺推1个月，即2023年</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月）为其购买社保的社保证明材料扫描件。若已办理退休手续且继续聘用的，可以用退休证加返聘证明扫描件来代替社保证明。若当地政府部门允许企业在疫情期间缓缴社会保险费且投标人未缴纳的，投标人可提供当地政府部门允许缓缴社保的相关文件作为缴纳社保的证明。确定中标人后，招标人将核实后续中标人拟投项目管理机构员的社保补缴情况。</w:t>
      </w:r>
    </w:p>
    <w:p>
      <w:pPr>
        <w:rPr>
          <w:rFonts w:ascii="宋体" w:hAnsi="宋体"/>
          <w:color w:val="000000" w:themeColor="text1"/>
          <w14:textFill>
            <w14:solidFill>
              <w14:schemeClr w14:val="tx1"/>
            </w14:solidFill>
          </w14:textFill>
        </w:rPr>
      </w:pPr>
    </w:p>
    <w:p>
      <w:pPr>
        <w:widowControl/>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pPr>
        <w:rPr>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附表七</w:t>
      </w:r>
      <w:r>
        <w:rPr>
          <w:rFonts w:hint="eastAsia" w:ascii="宋体" w:hAnsi="宋体"/>
          <w:color w:val="000000" w:themeColor="text1"/>
          <w:szCs w:val="32"/>
          <w14:textFill>
            <w14:solidFill>
              <w14:schemeClr w14:val="tx1"/>
            </w14:solidFill>
          </w14:textFill>
        </w:rPr>
        <w:t>（本页发给定标委员会成员，投票结束时收回）</w:t>
      </w:r>
    </w:p>
    <w:p>
      <w:pPr>
        <w:adjustRightInd w:val="0"/>
        <w:snapToGrid w:val="0"/>
        <w:spacing w:line="360" w:lineRule="auto"/>
        <w:jc w:val="center"/>
        <w:rPr>
          <w:rFonts w:ascii="宋体" w:hAnsi="宋体"/>
          <w:color w:val="000000" w:themeColor="text1"/>
          <w:kern w:val="0"/>
          <w14:textFill>
            <w14:solidFill>
              <w14:schemeClr w14:val="tx1"/>
            </w14:solidFill>
          </w14:textFill>
        </w:rPr>
      </w:pPr>
    </w:p>
    <w:p>
      <w:pPr>
        <w:jc w:val="center"/>
        <w:outlineLvl w:val="2"/>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定标选票</w:t>
      </w:r>
    </w:p>
    <w:p>
      <w:pPr>
        <w:spacing w:line="360" w:lineRule="auto"/>
        <w:ind w:firstLine="283" w:firstLineChars="1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bl>
      <w:tblPr>
        <w:tblStyle w:val="3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650"/>
        <w:gridCol w:w="1302"/>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03" w:type="dxa"/>
            <w:tcBorders>
              <w:top w:val="double" w:color="auto" w:sz="4" w:space="0"/>
              <w:left w:val="double" w:color="auto" w:sz="4" w:space="0"/>
              <w:bottom w:val="double" w:color="auto" w:sz="4" w:space="0"/>
              <w:right w:val="single" w:color="auto" w:sz="4" w:space="0"/>
              <w:tl2br w:val="doub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轮次</w:t>
            </w:r>
          </w:p>
        </w:tc>
        <w:tc>
          <w:tcPr>
            <w:tcW w:w="2650" w:type="dxa"/>
            <w:tcBorders>
              <w:top w:val="double" w:color="auto" w:sz="4" w:space="0"/>
              <w:bottom w:val="doub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支持的投标人名称</w:t>
            </w:r>
          </w:p>
        </w:tc>
        <w:tc>
          <w:tcPr>
            <w:tcW w:w="4918" w:type="dxa"/>
            <w:gridSpan w:val="2"/>
            <w:tcBorders>
              <w:top w:val="double" w:color="auto" w:sz="4" w:space="0"/>
              <w:bottom w:val="doub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支持理由（针对价格因素、</w:t>
            </w:r>
            <w:r>
              <w:rPr>
                <w:rFonts w:hint="eastAsia" w:ascii="Times New Roman" w:hAnsi="Times New Roman"/>
                <w:color w:val="000000" w:themeColor="text1"/>
                <w14:textFill>
                  <w14:solidFill>
                    <w14:schemeClr w14:val="tx1"/>
                  </w14:solidFill>
                </w14:textFill>
              </w:rPr>
              <w:t>方案因素、资信因素、团队因素撰写评语</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403"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轮</w:t>
            </w:r>
          </w:p>
        </w:tc>
        <w:tc>
          <w:tcPr>
            <w:tcW w:w="2650" w:type="dxa"/>
            <w:vMerge w:val="restart"/>
            <w:tcBorders>
              <w:top w:val="doub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价格因素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03" w:type="dxa"/>
            <w:vMerge w:val="continue"/>
            <w:tcBorders>
              <w:left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2650" w:type="dxa"/>
            <w:vMerge w:val="continue"/>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方案因素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03" w:type="dxa"/>
            <w:vMerge w:val="continue"/>
            <w:tcBorders>
              <w:left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2650" w:type="dxa"/>
            <w:vMerge w:val="continue"/>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资信因素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03" w:type="dxa"/>
            <w:vMerge w:val="continue"/>
            <w:tcBorders>
              <w:left w:val="double" w:color="auto" w:sz="4" w:space="0"/>
              <w:bottom w:val="doub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2650" w:type="dxa"/>
            <w:vMerge w:val="continue"/>
            <w:tcBorders>
              <w:bottom w:val="doub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1302" w:type="dxa"/>
            <w:tcBorders>
              <w:top w:val="double" w:color="auto" w:sz="4" w:space="0"/>
              <w:bottom w:val="double" w:color="auto" w:sz="4" w:space="0"/>
              <w:right w:val="single" w:color="auto" w:sz="4" w:space="0"/>
            </w:tcBorders>
            <w:vAlign w:val="center"/>
          </w:tcPr>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团队因素</w:t>
            </w:r>
          </w:p>
        </w:tc>
        <w:tc>
          <w:tcPr>
            <w:tcW w:w="3616" w:type="dxa"/>
            <w:tcBorders>
              <w:top w:val="double" w:color="auto" w:sz="4" w:space="0"/>
              <w:left w:val="single" w:color="auto" w:sz="4" w:space="0"/>
              <w:bottom w:val="double" w:color="auto" w:sz="4" w:space="0"/>
              <w:right w:val="double" w:color="auto" w:sz="4" w:space="0"/>
            </w:tcBorders>
            <w:vAlign w:val="center"/>
          </w:tcPr>
          <w:p>
            <w:pPr>
              <w:rPr>
                <w:rFonts w:ascii="Times New Roman" w:hAnsi="Times New Roman"/>
                <w:color w:val="000000" w:themeColor="text1"/>
                <w14:textFill>
                  <w14:solidFill>
                    <w14:schemeClr w14:val="tx1"/>
                  </w14:solidFill>
                </w14:textFill>
              </w:rPr>
            </w:pPr>
          </w:p>
        </w:tc>
      </w:tr>
    </w:tbl>
    <w:p>
      <w:pPr>
        <w:spacing w:before="24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正式投票规则：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1）以上表格用于正式投票，投票时须注明支持的投标人及支持理由。</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2）每一轮</w:t>
      </w:r>
      <w:r>
        <w:rPr>
          <w:rFonts w:hint="eastAsia" w:ascii="宋体" w:hAnsi="宋体" w:cs="Arial"/>
          <w:color w:val="000000" w:themeColor="text1"/>
          <w:szCs w:val="21"/>
          <w14:textFill>
            <w14:solidFill>
              <w14:schemeClr w14:val="tx1"/>
            </w14:solidFill>
          </w14:textFill>
        </w:rPr>
        <w:t>投票结束后，</w:t>
      </w:r>
      <w:r>
        <w:rPr>
          <w:rFonts w:hint="eastAsia" w:ascii="宋体" w:hAnsi="宋体"/>
          <w:color w:val="000000" w:themeColor="text1"/>
          <w:szCs w:val="21"/>
          <w14:textFill>
            <w14:solidFill>
              <w14:schemeClr w14:val="tx1"/>
            </w14:solidFill>
          </w14:textFill>
        </w:rPr>
        <w:t>点票人员</w:t>
      </w:r>
      <w:r>
        <w:rPr>
          <w:rFonts w:hint="eastAsia" w:ascii="宋体" w:hAnsi="宋体" w:cs="Arial"/>
          <w:color w:val="000000" w:themeColor="text1"/>
          <w:szCs w:val="21"/>
          <w14:textFill>
            <w14:solidFill>
              <w14:schemeClr w14:val="tx1"/>
            </w14:solidFill>
          </w14:textFill>
        </w:rPr>
        <w:t>对投票人数、票数和每票应选方案总数加以核对和统计，作废的选票不得统计，并向</w:t>
      </w:r>
      <w:r>
        <w:rPr>
          <w:rFonts w:hint="eastAsia" w:ascii="宋体" w:hAnsi="宋体"/>
          <w:color w:val="000000" w:themeColor="text1"/>
          <w:szCs w:val="21"/>
          <w14:textFill>
            <w14:solidFill>
              <w14:schemeClr w14:val="tx1"/>
            </w14:solidFill>
          </w14:textFill>
        </w:rPr>
        <w:t>定标委员会</w:t>
      </w:r>
      <w:r>
        <w:rPr>
          <w:rFonts w:hint="eastAsia" w:ascii="宋体" w:hAnsi="宋体" w:cs="Arial"/>
          <w:color w:val="000000" w:themeColor="text1"/>
          <w:szCs w:val="21"/>
          <w14:textFill>
            <w14:solidFill>
              <w14:schemeClr w14:val="tx1"/>
            </w14:solidFill>
          </w14:textFill>
        </w:rPr>
        <w:t>报告。</w:t>
      </w:r>
    </w:p>
    <w:p>
      <w:pPr>
        <w:spacing w:line="360" w:lineRule="auto"/>
        <w:ind w:firstLine="48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3）定标委员会成员应当独立投票，自投票开始至最终排名统计结果公布期间，任何人不得非法干预、影响投票过程，不得透露、协商、改变投票结果，不得使用通信联络工具。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定委签名：               日期：    年    月   日</w:t>
      </w:r>
    </w:p>
    <w:p>
      <w:pPr>
        <w:adjustRightInd w:val="0"/>
        <w:snapToGrid w:val="0"/>
        <w:spacing w:line="360" w:lineRule="auto"/>
        <w:rPr>
          <w:rFonts w:ascii="宋体" w:hAnsi="宋体"/>
          <w:color w:val="000000" w:themeColor="text1"/>
          <w:kern w:val="0"/>
          <w14:textFill>
            <w14:solidFill>
              <w14:schemeClr w14:val="tx1"/>
            </w14:solidFill>
          </w14:textFill>
        </w:rPr>
      </w:pPr>
    </w:p>
    <w:p>
      <w:pPr>
        <w:pStyle w:val="92"/>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92"/>
        <w:rPr>
          <w:color w:val="000000" w:themeColor="text1"/>
          <w14:textFill>
            <w14:solidFill>
              <w14:schemeClr w14:val="tx1"/>
            </w14:solidFill>
          </w14:textFill>
        </w:rPr>
      </w:pPr>
      <w:r>
        <w:rPr>
          <w:rFonts w:hint="eastAsia"/>
          <w:color w:val="000000" w:themeColor="text1"/>
          <w14:textFill>
            <w14:solidFill>
              <w14:schemeClr w14:val="tx1"/>
            </w14:solidFill>
          </w14:textFill>
        </w:rPr>
        <w:t>附表八</w:t>
      </w:r>
    </w:p>
    <w:p>
      <w:pPr>
        <w:pStyle w:val="92"/>
        <w:rPr>
          <w:color w:val="000000" w:themeColor="text1"/>
          <w14:textFill>
            <w14:solidFill>
              <w14:schemeClr w14:val="tx1"/>
            </w14:solidFill>
          </w14:textFill>
        </w:rPr>
      </w:pPr>
    </w:p>
    <w:p>
      <w:pPr>
        <w:spacing w:after="240"/>
        <w:jc w:val="center"/>
        <w:outlineLvl w:val="2"/>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票决汇总表</w:t>
      </w:r>
    </w:p>
    <w:p>
      <w:pPr>
        <w:ind w:firstLine="424" w:firstLineChars="202"/>
        <w:jc w:val="left"/>
        <w:rPr>
          <w:rFonts w:ascii="宋体" w:hAnsi="宋体"/>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项目名称：</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 xml:space="preserve"> </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 xml:space="preserve">           </w:t>
      </w:r>
      <w:r>
        <w:rPr>
          <w:rFonts w:ascii="宋体" w:hAnsi="宋体"/>
          <w:color w:val="000000" w:themeColor="text1"/>
          <w:szCs w:val="32"/>
          <w14:textFill>
            <w14:solidFill>
              <w14:schemeClr w14:val="tx1"/>
            </w14:solidFill>
          </w14:textFill>
        </w:rPr>
        <w:t xml:space="preserve">  </w:t>
      </w:r>
      <w:r>
        <w:rPr>
          <w:rFonts w:hint="eastAsia" w:ascii="宋体" w:hAnsi="宋体"/>
          <w:color w:val="000000" w:themeColor="text1"/>
          <w:szCs w:val="32"/>
          <w14:textFill>
            <w14:solidFill>
              <w14:schemeClr w14:val="tx1"/>
            </w14:solidFill>
          </w14:textFill>
        </w:rPr>
        <w:t xml:space="preserve">  </w:t>
      </w:r>
      <w:r>
        <w:rPr>
          <w:rFonts w:ascii="宋体" w:hAnsi="宋体"/>
          <w:color w:val="000000" w:themeColor="text1"/>
          <w:szCs w:val="32"/>
          <w14:textFill>
            <w14:solidFill>
              <w14:schemeClr w14:val="tx1"/>
            </w14:solidFill>
          </w14:textFill>
        </w:rPr>
        <w:t xml:space="preserve">    日   </w:t>
      </w:r>
      <w:r>
        <w:rPr>
          <w:rFonts w:hint="eastAsia" w:ascii="宋体" w:hAnsi="宋体"/>
          <w:color w:val="000000" w:themeColor="text1"/>
          <w:szCs w:val="32"/>
          <w14:textFill>
            <w14:solidFill>
              <w14:schemeClr w14:val="tx1"/>
            </w14:solidFill>
          </w14:textFill>
        </w:rPr>
        <w:t>期：    年   月   日</w:t>
      </w:r>
    </w:p>
    <w:tbl>
      <w:tblPr>
        <w:tblStyle w:val="3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43"/>
        <w:gridCol w:w="1483"/>
        <w:gridCol w:w="212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序号</w:t>
            </w:r>
          </w:p>
        </w:tc>
        <w:tc>
          <w:tcPr>
            <w:tcW w:w="2843" w:type="dxa"/>
            <w:vMerge w:val="restart"/>
            <w:tcBorders>
              <w:top w:val="single" w:color="auto" w:sz="4" w:space="0"/>
              <w:left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投标人名称</w:t>
            </w:r>
          </w:p>
        </w:tc>
        <w:tc>
          <w:tcPr>
            <w:tcW w:w="1483"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第一轮得票</w:t>
            </w: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每轮得票相同的排序</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color w:val="000000" w:themeColor="text1"/>
                <w:szCs w:val="32"/>
                <w14:textFill>
                  <w14:solidFill>
                    <w14:schemeClr w14:val="tx1"/>
                  </w14:solidFill>
                </w14:textFill>
              </w:rPr>
            </w:pPr>
            <w:r>
              <w:rPr>
                <w:rFonts w:hint="eastAsia" w:ascii="宋体" w:hAnsi="宋体"/>
                <w:b/>
                <w:color w:val="000000" w:themeColor="text1"/>
                <w:szCs w:val="32"/>
                <w14:textFill>
                  <w14:solidFill>
                    <w14:schemeClr w14:val="tx1"/>
                  </w14:solidFill>
                </w14:textFill>
              </w:rPr>
              <w:t>排列名次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c>
          <w:tcPr>
            <w:tcW w:w="2843"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1</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2</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3</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4</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5</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6</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r>
              <w:rPr>
                <w:rFonts w:ascii="宋体" w:hAnsi="宋体"/>
                <w:color w:val="000000" w:themeColor="text1"/>
                <w:szCs w:val="32"/>
                <w14:textFill>
                  <w14:solidFill>
                    <w14:schemeClr w14:val="tx1"/>
                  </w14:solidFill>
                </w14:textFill>
              </w:rPr>
              <w:t>…</w:t>
            </w:r>
          </w:p>
        </w:tc>
        <w:tc>
          <w:tcPr>
            <w:tcW w:w="2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szCs w:val="32"/>
                <w14:textFill>
                  <w14:solidFill>
                    <w14:schemeClr w14:val="tx1"/>
                  </w14:solidFill>
                </w14:textFill>
              </w:rPr>
            </w:pPr>
          </w:p>
        </w:tc>
      </w:tr>
    </w:tbl>
    <w:p>
      <w:pPr>
        <w:rPr>
          <w:rFonts w:ascii="宋体" w:hAnsi="宋体"/>
          <w:color w:val="000000" w:themeColor="text1"/>
          <w:szCs w:val="32"/>
          <w14:textFill>
            <w14:solidFill>
              <w14:schemeClr w14:val="tx1"/>
            </w14:solidFill>
          </w14:textFill>
        </w:rPr>
      </w:pPr>
    </w:p>
    <w:p>
      <w:pPr>
        <w:ind w:firstLine="567" w:firstLineChars="270"/>
        <w:rPr>
          <w:rFonts w:ascii="宋体" w:hAnsi="宋体"/>
          <w:b/>
          <w:bCs/>
          <w:color w:val="000000" w:themeColor="text1"/>
          <w:szCs w:val="32"/>
          <w14:textFill>
            <w14:solidFill>
              <w14:schemeClr w14:val="tx1"/>
            </w14:solidFill>
          </w14:textFill>
        </w:rPr>
      </w:pPr>
      <w:r>
        <w:rPr>
          <w:rFonts w:hint="eastAsia" w:ascii="宋体" w:hAnsi="宋体"/>
          <w:color w:val="000000" w:themeColor="text1"/>
          <w:szCs w:val="32"/>
          <w14:textFill>
            <w14:solidFill>
              <w14:schemeClr w14:val="tx1"/>
            </w14:solidFill>
          </w14:textFill>
        </w:rPr>
        <w:t>定标委员会全体成员签字：</w:t>
      </w:r>
    </w:p>
    <w:p>
      <w:pPr>
        <w:pStyle w:val="92"/>
        <w:jc w:val="left"/>
        <w:rPr>
          <w:rFonts w:ascii="宋体" w:hAnsi="宋体"/>
          <w:color w:val="000000" w:themeColor="text1"/>
          <w:kern w:val="0"/>
          <w:szCs w:val="2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附表九</w:t>
      </w:r>
    </w:p>
    <w:p>
      <w:pPr>
        <w:pStyle w:val="8"/>
        <w:spacing w:before="156" w:after="156"/>
        <w:ind w:firstLine="562" w:firstLineChars="200"/>
        <w:jc w:val="center"/>
        <w:rPr>
          <w:b/>
          <w:bCs/>
          <w:color w:val="000000" w:themeColor="text1"/>
          <w:sz w:val="28"/>
          <w:szCs w:val="28"/>
          <w14:textFill>
            <w14:solidFill>
              <w14:schemeClr w14:val="tx1"/>
            </w14:solidFill>
          </w14:textFill>
        </w:rPr>
      </w:pPr>
      <w:bookmarkStart w:id="24" w:name="_Toc114572549"/>
      <w:r>
        <w:rPr>
          <w:rFonts w:hint="eastAsia"/>
          <w:b/>
          <w:bCs/>
          <w:color w:val="000000" w:themeColor="text1"/>
          <w:sz w:val="28"/>
          <w:szCs w:val="28"/>
          <w14:textFill>
            <w14:solidFill>
              <w14:schemeClr w14:val="tx1"/>
            </w14:solidFill>
          </w14:textFill>
        </w:rPr>
        <w:t>直接票决定标排名汇总表（定标阶段）</w:t>
      </w:r>
      <w:bookmarkEnd w:id="24"/>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p>
        </w:tc>
        <w:tc>
          <w:tcPr>
            <w:tcW w:w="1701" w:type="dxa"/>
            <w:tcBorders>
              <w:top w:val="single" w:color="auto" w:sz="4" w:space="0"/>
              <w:left w:val="nil"/>
              <w:bottom w:val="single" w:color="auto" w:sz="4" w:space="0"/>
              <w:right w:val="single" w:color="auto" w:sz="4" w:space="0"/>
            </w:tcBorders>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投票结果排名</w:t>
            </w:r>
          </w:p>
        </w:tc>
        <w:tc>
          <w:tcPr>
            <w:tcW w:w="2836" w:type="dxa"/>
            <w:tcBorders>
              <w:top w:val="single" w:color="auto" w:sz="4" w:space="0"/>
              <w:left w:val="nil"/>
              <w:bottom w:val="single" w:color="auto" w:sz="4" w:space="0"/>
              <w:right w:val="single" w:color="auto" w:sz="4" w:space="0"/>
            </w:tcBorders>
            <w:vAlign w:val="center"/>
          </w:tcPr>
          <w:p>
            <w:pPr>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是否被确认为中标人</w:t>
            </w:r>
          </w:p>
        </w:tc>
        <w:tc>
          <w:tcPr>
            <w:tcW w:w="672"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themeColor="text1"/>
                <w:sz w:val="24"/>
                <w:szCs w:val="24"/>
                <w14:textFill>
                  <w14:solidFill>
                    <w14:schemeClr w14:val="tx1"/>
                  </w14:solidFill>
                </w14:textFill>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themeColor="text1"/>
                <w:sz w:val="24"/>
                <w:szCs w:val="24"/>
                <w14:textFill>
                  <w14:solidFill>
                    <w14:schemeClr w14:val="tx1"/>
                  </w14:solidFill>
                </w14:textFill>
              </w:rPr>
            </w:pPr>
          </w:p>
        </w:tc>
      </w:tr>
    </w:tbl>
    <w:p>
      <w:pPr>
        <w:pStyle w:val="92"/>
        <w:rPr>
          <w:color w:val="000000" w:themeColor="text1"/>
          <w14:textFill>
            <w14:solidFill>
              <w14:schemeClr w14:val="tx1"/>
            </w14:solidFill>
          </w14:textFill>
        </w:rPr>
      </w:pPr>
    </w:p>
    <w:p>
      <w:pPr>
        <w:adjustRightInd w:val="0"/>
        <w:snapToGrid w:val="0"/>
        <w:spacing w:line="360" w:lineRule="auto"/>
        <w:ind w:firstLine="283" w:firstLineChars="13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定标委员签名：                                         日期：</w:t>
      </w:r>
    </w:p>
    <w:p>
      <w:pPr>
        <w:pStyle w:val="92"/>
        <w:ind w:firstLine="283" w:firstLineChars="135"/>
        <w:rPr>
          <w:color w:val="000000" w:themeColor="text1"/>
          <w14:textFill>
            <w14:solidFill>
              <w14:schemeClr w14:val="tx1"/>
            </w14:solidFill>
          </w14:textFill>
        </w:rPr>
      </w:pPr>
    </w:p>
    <w:p>
      <w:pPr>
        <w:pStyle w:val="92"/>
        <w:ind w:firstLine="283" w:firstLineChars="135"/>
        <w:rPr>
          <w:color w:val="000000" w:themeColor="text1"/>
          <w14:textFill>
            <w14:solidFill>
              <w14:schemeClr w14:val="tx1"/>
            </w14:solidFill>
          </w14:textFill>
        </w:rPr>
      </w:pPr>
      <w:r>
        <w:rPr>
          <w:rFonts w:hint="eastAsia"/>
          <w:color w:val="000000" w:themeColor="text1"/>
          <w14:textFill>
            <w14:solidFill>
              <w14:schemeClr w14:val="tx1"/>
            </w14:solidFill>
          </w14:textFill>
        </w:rPr>
        <w:t>注：定标委员会成员须根据投票结果，得票数最多的中标候选人为中标人。</w:t>
      </w:r>
    </w:p>
    <w:p>
      <w:pPr>
        <w:pStyle w:val="3"/>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25" w:name="_Toc114572550"/>
      <w:r>
        <w:rPr>
          <w:rFonts w:hint="eastAsia" w:ascii="宋体" w:hAnsi="宋体"/>
          <w:color w:val="000000" w:themeColor="text1"/>
          <w14:textFill>
            <w14:solidFill>
              <w14:schemeClr w14:val="tx1"/>
            </w14:solidFill>
          </w14:textFill>
        </w:rPr>
        <w:t>第三章 合同条款</w:t>
      </w:r>
      <w:bookmarkEnd w:id="25"/>
    </w:p>
    <w:p>
      <w:pPr>
        <w:spacing w:line="360" w:lineRule="auto"/>
        <w:ind w:firstLine="360" w:firstLineChars="15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按招标人提供的版本执行。中标人按照招标文件中合同版本和中标人的投标文件与9#地块施工总承包单位签订《云港城项目9#地块永久用电工程施工专业承包合同》；与11#地块总承包单位签订《云港城项目11#地块永久用电工程施工专业承包合同》，合同版本另册。</w:t>
      </w:r>
    </w:p>
    <w:p>
      <w:pPr>
        <w:pStyle w:val="19"/>
        <w:spacing w:line="360" w:lineRule="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br w:type="page"/>
      </w:r>
    </w:p>
    <w:p>
      <w:pPr>
        <w:pStyle w:val="3"/>
        <w:rPr>
          <w:rFonts w:ascii="宋体" w:hAnsi="宋体"/>
          <w:color w:val="000000" w:themeColor="text1"/>
          <w14:textFill>
            <w14:solidFill>
              <w14:schemeClr w14:val="tx1"/>
            </w14:solidFill>
          </w14:textFill>
        </w:rPr>
      </w:pPr>
      <w:bookmarkStart w:id="26" w:name="_Toc114572551"/>
      <w:r>
        <w:rPr>
          <w:rFonts w:hint="eastAsia" w:ascii="宋体" w:hAnsi="宋体"/>
          <w:color w:val="000000" w:themeColor="text1"/>
          <w14:textFill>
            <w14:solidFill>
              <w14:schemeClr w14:val="tx1"/>
            </w14:solidFill>
          </w14:textFill>
        </w:rPr>
        <w:t>第四章 投标文件格式</w:t>
      </w:r>
      <w:bookmarkEnd w:id="26"/>
    </w:p>
    <w:p>
      <w:pPr>
        <w:pStyle w:val="88"/>
        <w:spacing w:beforeLines="0" w:afterLines="0" w:line="360" w:lineRule="auto"/>
        <w:rPr>
          <w:rFonts w:ascii="宋体" w:hAnsi="宋体" w:eastAsia="宋体" w:cs="宋体"/>
          <w:color w:val="000000" w:themeColor="text1"/>
          <w:sz w:val="28"/>
          <w14:textFill>
            <w14:solidFill>
              <w14:schemeClr w14:val="tx1"/>
            </w14:solidFill>
          </w14:textFill>
        </w:rPr>
      </w:pPr>
      <w:bookmarkStart w:id="27" w:name="_Toc8132534"/>
      <w:bookmarkStart w:id="28" w:name="_Toc24368082"/>
      <w:bookmarkStart w:id="29" w:name="_Toc114572552"/>
      <w:r>
        <w:rPr>
          <w:rFonts w:hint="eastAsia" w:ascii="宋体" w:hAnsi="宋体" w:eastAsia="宋体" w:cs="宋体"/>
          <w:color w:val="000000" w:themeColor="text1"/>
          <w:sz w:val="28"/>
          <w14:textFill>
            <w14:solidFill>
              <w14:schemeClr w14:val="tx1"/>
            </w14:solidFill>
          </w14:textFill>
        </w:rPr>
        <w:t>一、技术标投标文件格式</w:t>
      </w:r>
      <w:bookmarkEnd w:id="27"/>
      <w:bookmarkEnd w:id="28"/>
      <w:bookmarkEnd w:id="29"/>
    </w:p>
    <w:p>
      <w:pPr>
        <w:autoSpaceDE w:val="0"/>
        <w:autoSpaceDN w:val="0"/>
        <w:adjustRightInd w:val="0"/>
        <w:outlineLvl w:val="2"/>
        <w:rPr>
          <w:rFonts w:ascii="宋体" w:hAnsi="宋体"/>
          <w:bCs/>
          <w:color w:val="000000" w:themeColor="text1"/>
          <w:szCs w:val="21"/>
          <w14:textFill>
            <w14:solidFill>
              <w14:schemeClr w14:val="tx1"/>
            </w14:solidFill>
          </w14:textFill>
        </w:rPr>
      </w:pPr>
      <w:bookmarkStart w:id="30" w:name="_Toc114572553"/>
      <w:r>
        <w:rPr>
          <w:rFonts w:hint="eastAsia" w:ascii="宋体" w:hAnsi="宋体"/>
          <w:bCs/>
          <w:color w:val="000000" w:themeColor="text1"/>
          <w:szCs w:val="21"/>
          <w14:textFill>
            <w14:solidFill>
              <w14:schemeClr w14:val="tx1"/>
            </w14:solidFill>
          </w14:textFill>
        </w:rPr>
        <w:t>格式一：封面</w:t>
      </w:r>
      <w:bookmarkEnd w:id="30"/>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36"/>
          <w:szCs w:val="36"/>
          <w:u w:val="single"/>
          <w14:textFill>
            <w14:solidFill>
              <w14:schemeClr w14:val="tx1"/>
            </w14:solidFill>
          </w14:textFill>
        </w:rPr>
      </w:pPr>
      <w:r>
        <w:rPr>
          <w:rFonts w:hint="eastAsia" w:ascii="宋体" w:hAnsi="宋体"/>
          <w:color w:val="000000" w:themeColor="text1"/>
          <w:spacing w:val="4"/>
          <w:kern w:val="0"/>
          <w:sz w:val="36"/>
          <w:szCs w:val="36"/>
          <w:u w:val="single"/>
          <w14:textFill>
            <w14:solidFill>
              <w14:schemeClr w14:val="tx1"/>
            </w14:solidFill>
          </w14:textFill>
        </w:rPr>
        <w:t xml:space="preserve">[工程名称] </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84"/>
          <w:szCs w:val="84"/>
          <w14:textFill>
            <w14:solidFill>
              <w14:schemeClr w14:val="tx1"/>
            </w14:solidFill>
          </w14:textFill>
        </w:rPr>
      </w:pPr>
      <w:r>
        <w:rPr>
          <w:rFonts w:hint="eastAsia" w:ascii="宋体" w:hAnsi="宋体"/>
          <w:color w:val="000000" w:themeColor="text1"/>
          <w:spacing w:val="4"/>
          <w:kern w:val="0"/>
          <w:sz w:val="84"/>
          <w:szCs w:val="84"/>
          <w14:textFill>
            <w14:solidFill>
              <w14:schemeClr w14:val="tx1"/>
            </w14:solidFill>
          </w14:textFill>
        </w:rPr>
        <w:t>投标文件</w:t>
      </w:r>
    </w:p>
    <w:p>
      <w:pPr>
        <w:topLinePunct/>
        <w:adjustRightInd w:val="0"/>
        <w:snapToGrid w:val="0"/>
        <w:spacing w:line="360" w:lineRule="auto"/>
        <w:jc w:val="center"/>
        <w:rPr>
          <w:rFonts w:ascii="宋体" w:hAnsi="宋体"/>
          <w:color w:val="000000" w:themeColor="text1"/>
          <w:spacing w:val="4"/>
          <w:kern w:val="0"/>
          <w:sz w:val="36"/>
          <w:szCs w:val="36"/>
          <w14:textFill>
            <w14:solidFill>
              <w14:schemeClr w14:val="tx1"/>
            </w14:solidFill>
          </w14:textFill>
        </w:rPr>
      </w:pPr>
      <w:r>
        <w:rPr>
          <w:rFonts w:hint="eastAsia" w:ascii="宋体" w:hAnsi="宋体"/>
          <w:color w:val="000000" w:themeColor="text1"/>
          <w:spacing w:val="4"/>
          <w:kern w:val="0"/>
          <w:sz w:val="36"/>
          <w:szCs w:val="36"/>
          <w14:textFill>
            <w14:solidFill>
              <w14:schemeClr w14:val="tx1"/>
            </w14:solidFill>
          </w14:textFill>
        </w:rPr>
        <w:t>第一册  【技术标投标文件（含资格审查文件）】</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投标人：</w:t>
      </w:r>
      <w:r>
        <w:rPr>
          <w:rFonts w:hint="eastAsia" w:ascii="宋体" w:hAnsi="宋体"/>
          <w:color w:val="000000" w:themeColor="text1"/>
          <w:spacing w:val="4"/>
          <w:kern w:val="0"/>
          <w:sz w:val="30"/>
          <w:szCs w:val="30"/>
          <w:u w:val="single"/>
          <w14:textFill>
            <w14:solidFill>
              <w14:schemeClr w14:val="tx1"/>
            </w14:solidFill>
          </w14:textFill>
        </w:rPr>
        <w:t xml:space="preserve">         （填写投标人单位名称）  （盖章）</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法定代表人或</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其委托代理人：</w:t>
      </w:r>
      <w:r>
        <w:rPr>
          <w:rFonts w:hint="eastAsia" w:ascii="宋体" w:hAnsi="宋体"/>
          <w:color w:val="000000" w:themeColor="text1"/>
          <w:spacing w:val="4"/>
          <w:kern w:val="0"/>
          <w:sz w:val="30"/>
          <w:szCs w:val="30"/>
          <w:u w:val="single"/>
          <w14:textFill>
            <w14:solidFill>
              <w14:schemeClr w14:val="tx1"/>
            </w14:solidFill>
          </w14:textFill>
        </w:rPr>
        <w:t xml:space="preserve">                     （签名或盖章）</w:t>
      </w:r>
    </w:p>
    <w:p>
      <w:pPr>
        <w:topLinePunct/>
        <w:adjustRightInd w:val="0"/>
        <w:snapToGrid w:val="0"/>
        <w:spacing w:line="360" w:lineRule="auto"/>
        <w:ind w:firstLine="616" w:firstLineChars="200"/>
        <w:jc w:val="left"/>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日  期：</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autoSpaceDE w:val="0"/>
        <w:autoSpaceDN w:val="0"/>
        <w:adjustRightInd w:val="0"/>
        <w:outlineLvl w:val="2"/>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br w:type="page"/>
      </w:r>
      <w:bookmarkStart w:id="31" w:name="_Toc114572554"/>
      <w:r>
        <w:rPr>
          <w:rFonts w:hint="eastAsia" w:ascii="宋体" w:hAnsi="宋体"/>
          <w:bCs/>
          <w:color w:val="000000" w:themeColor="text1"/>
          <w:szCs w:val="21"/>
          <w14:textFill>
            <w14:solidFill>
              <w14:schemeClr w14:val="tx1"/>
            </w14:solidFill>
          </w14:textFill>
        </w:rPr>
        <w:t>格式二：广州建设工程施工招标投标书</w:t>
      </w:r>
      <w:bookmarkEnd w:id="31"/>
    </w:p>
    <w:p>
      <w:pPr>
        <w:autoSpaceDE w:val="0"/>
        <w:autoSpaceDN w:val="0"/>
        <w:adjustRightInd w:val="0"/>
        <w:ind w:left="-540" w:leftChars="-257" w:firstLine="1135" w:firstLineChars="257"/>
        <w:jc w:val="center"/>
        <w:rPr>
          <w:rFonts w:ascii="宋体" w:hAnsi="宋体" w:cs="宋体"/>
          <w:b/>
          <w:bCs/>
          <w:color w:val="000000" w:themeColor="text1"/>
          <w:sz w:val="44"/>
          <w:szCs w:val="44"/>
          <w:lang w:val="zh-CN"/>
          <w14:textFill>
            <w14:solidFill>
              <w14:schemeClr w14:val="tx1"/>
            </w14:solidFill>
          </w14:textFill>
        </w:rPr>
      </w:pPr>
    </w:p>
    <w:p>
      <w:pPr>
        <w:autoSpaceDE w:val="0"/>
        <w:autoSpaceDN w:val="0"/>
        <w:adjustRightInd w:val="0"/>
        <w:jc w:val="center"/>
        <w:rPr>
          <w:rFonts w:ascii="宋体" w:hAnsi="宋体"/>
          <w:b/>
          <w:bCs/>
          <w:color w:val="000000" w:themeColor="text1"/>
          <w:sz w:val="52"/>
          <w:szCs w:val="52"/>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广州建设工程施工招标投标书</w:t>
      </w:r>
    </w:p>
    <w:tbl>
      <w:tblPr>
        <w:tblStyle w:val="34"/>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其中：</w:t>
            </w:r>
            <w:r>
              <w:rPr>
                <w:rFonts w:hint="eastAsia" w:ascii="宋体" w:hAnsi="宋体" w:cs="宋体"/>
                <w:b/>
                <w:bCs/>
                <w:color w:val="000000" w:themeColor="text1"/>
                <w:sz w:val="24"/>
                <w:szCs w:val="24"/>
                <w:lang w:val="zh-CN"/>
                <w14:textFill>
                  <w14:solidFill>
                    <w14:schemeClr w14:val="tx1"/>
                  </w14:solidFill>
                </w14:textFill>
              </w:rPr>
              <w:t>人工费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w:t>
            </w:r>
            <w:r>
              <w:rPr>
                <w:rFonts w:hint="eastAsia" w:ascii="宋体" w:hAnsi="宋体" w:cs="宋体"/>
                <w:b/>
                <w:color w:val="000000" w:themeColor="text1"/>
                <w:sz w:val="24"/>
                <w:szCs w:val="24"/>
                <w:lang w:val="zh-CN"/>
                <w14:textFill>
                  <w14:solidFill>
                    <w14:schemeClr w14:val="tx1"/>
                  </w14:solidFill>
                </w14:textFill>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14:textFill>
                  <w14:solidFill>
                    <w14:schemeClr w14:val="tx1"/>
                  </w14:solidFill>
                </w14:textFill>
              </w:rPr>
            </w:pPr>
          </w:p>
        </w:tc>
      </w:tr>
    </w:tbl>
    <w:p>
      <w:pPr>
        <w:tabs>
          <w:tab w:val="left" w:pos="720"/>
        </w:tabs>
        <w:snapToGrid w:val="0"/>
        <w:spacing w:line="360" w:lineRule="auto"/>
        <w:rPr>
          <w:rFonts w:ascii="宋体" w:hAnsi="宋体"/>
          <w:color w:val="000000" w:themeColor="text1"/>
          <w:sz w:val="24"/>
          <w:szCs w:val="24"/>
          <w14:textFill>
            <w14:solidFill>
              <w14:schemeClr w14:val="tx1"/>
            </w14:solidFill>
          </w14:textFill>
        </w:rPr>
      </w:pPr>
    </w:p>
    <w:p>
      <w:pPr>
        <w:autoSpaceDE w:val="0"/>
        <w:autoSpaceDN w:val="0"/>
        <w:adjustRightInd w:val="0"/>
        <w:outlineLvl w:val="2"/>
        <w:rPr>
          <w:rFonts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32" w:name="_Toc114572555"/>
      <w:r>
        <w:rPr>
          <w:rFonts w:hint="eastAsia" w:ascii="宋体" w:hAnsi="宋体"/>
          <w:bCs/>
          <w:color w:val="000000" w:themeColor="text1"/>
          <w:szCs w:val="21"/>
          <w14:textFill>
            <w14:solidFill>
              <w14:schemeClr w14:val="tx1"/>
            </w14:solidFill>
          </w14:textFill>
        </w:rPr>
        <w:t>格式三：法定代表人证明书、授权委托书</w:t>
      </w:r>
      <w:bookmarkEnd w:id="32"/>
    </w:p>
    <w:p>
      <w:pPr>
        <w:topLinePunct/>
        <w:adjustRightInd w:val="0"/>
        <w:snapToGrid w:val="0"/>
        <w:spacing w:before="240" w:line="360" w:lineRule="auto"/>
        <w:jc w:val="center"/>
        <w:rPr>
          <w:rFonts w:ascii="宋体" w:hAnsi="宋体"/>
          <w:b/>
          <w:color w:val="000000" w:themeColor="text1"/>
          <w:spacing w:val="4"/>
          <w:kern w:val="0"/>
          <w:sz w:val="28"/>
          <w:szCs w:val="28"/>
          <w14:textFill>
            <w14:solidFill>
              <w14:schemeClr w14:val="tx1"/>
            </w14:solidFill>
          </w14:textFill>
        </w:rPr>
      </w:pPr>
      <w:r>
        <w:rPr>
          <w:rFonts w:hint="eastAsia" w:ascii="宋体" w:hAnsi="宋体"/>
          <w:b/>
          <w:color w:val="000000" w:themeColor="text1"/>
          <w:spacing w:val="4"/>
          <w:kern w:val="0"/>
          <w:sz w:val="28"/>
          <w:szCs w:val="28"/>
          <w14:textFill>
            <w14:solidFill>
              <w14:schemeClr w14:val="tx1"/>
            </w14:solidFill>
          </w14:textFill>
        </w:rPr>
        <w:t>法定代表人证明书、授权委托书</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（1）法定代表人证明书</w:t>
      </w:r>
    </w:p>
    <w:p>
      <w:pPr>
        <w:topLinePunct/>
        <w:adjustRightInd w:val="0"/>
        <w:snapToGrid w:val="0"/>
        <w:spacing w:line="360" w:lineRule="auto"/>
        <w:jc w:val="right"/>
        <w:rPr>
          <w:rFonts w:ascii="宋体" w:hAnsi="宋体"/>
          <w:color w:val="000000" w:themeColor="text1"/>
          <w:spacing w:val="4"/>
          <w:kern w:val="0"/>
          <w:sz w:val="24"/>
          <w:szCs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289560</wp:posOffset>
                </wp:positionV>
                <wp:extent cx="6103620" cy="2773680"/>
                <wp:effectExtent l="0" t="0" r="0" b="7620"/>
                <wp:wrapNone/>
                <wp:docPr id="13" name="文本框 13"/>
                <wp:cNvGraphicFramePr/>
                <a:graphic xmlns:a="http://schemas.openxmlformats.org/drawingml/2006/main">
                  <a:graphicData uri="http://schemas.microsoft.com/office/word/2010/wordprocessingShape">
                    <wps:wsp>
                      <wps:cNvSpPr txBox="1"/>
                      <wps:spPr>
                        <a:xfrm>
                          <a:off x="0" y="0"/>
                          <a:ext cx="61036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9"/>
                              <w:ind w:firstLine="0" w:firstLineChars="0"/>
                              <w:rPr>
                                <w:rFonts w:ascii="宋体" w:hAnsi="宋体"/>
                                <w:szCs w:val="28"/>
                              </w:rPr>
                            </w:pPr>
                          </w:p>
                          <w:p>
                            <w:pPr>
                              <w:pStyle w:val="79"/>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79"/>
                              <w:ind w:firstLine="0" w:firstLineChars="0"/>
                              <w:rPr>
                                <w:rFonts w:ascii="宋体" w:hAnsi="宋体"/>
                                <w:szCs w:val="28"/>
                              </w:rPr>
                            </w:pPr>
                            <w:r>
                              <w:rPr>
                                <w:rFonts w:hint="eastAsia" w:ascii="宋体" w:hAnsi="宋体"/>
                                <w:szCs w:val="28"/>
                              </w:rPr>
                              <w:t>特此证明。</w:t>
                            </w:r>
                          </w:p>
                          <w:p>
                            <w:pPr>
                              <w:pStyle w:val="7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79"/>
                              <w:ind w:firstLine="0" w:firstLineChars="0"/>
                              <w:jc w:val="right"/>
                              <w:rPr>
                                <w:rFonts w:ascii="宋体" w:hAnsi="宋体"/>
                                <w:szCs w:val="28"/>
                              </w:rPr>
                            </w:pPr>
                            <w:r>
                              <w:rPr>
                                <w:rFonts w:hint="eastAsia" w:ascii="宋体" w:hAnsi="宋体"/>
                                <w:szCs w:val="28"/>
                              </w:rPr>
                              <w:t>　　　　　　　　　　单位：　　　　　　　　　　　（盖章）</w:t>
                            </w:r>
                          </w:p>
                          <w:p>
                            <w:pPr>
                              <w:pStyle w:val="79"/>
                              <w:ind w:firstLine="0" w:firstLineChars="0"/>
                              <w:jc w:val="right"/>
                              <w:rPr>
                                <w:rFonts w:ascii="宋体" w:hAnsi="宋体"/>
                                <w:szCs w:val="28"/>
                              </w:rPr>
                            </w:pPr>
                            <w:r>
                              <w:rPr>
                                <w:rFonts w:hint="eastAsia" w:ascii="宋体" w:hAnsi="宋体"/>
                                <w:szCs w:val="28"/>
                              </w:rPr>
                              <w:t>　　　　　　　　　　　　　　　　　　　　　    年　  月　　日</w:t>
                            </w:r>
                          </w:p>
                        </w:txbxContent>
                      </wps:txbx>
                      <wps:bodyPr wrap="square" upright="1"/>
                    </wps:wsp>
                  </a:graphicData>
                </a:graphic>
              </wp:anchor>
            </w:drawing>
          </mc:Choice>
          <mc:Fallback>
            <w:pict>
              <v:shape id="_x0000_s1026" o:spid="_x0000_s1026" o:spt="202" type="#_x0000_t202" style="position:absolute;left:0pt;margin-left:8.7pt;margin-top:22.8pt;height:218.4pt;width:480.6pt;z-index:251659264;mso-width-relative:page;mso-height-relative:page;" fillcolor="#FFFFFF" filled="t" stroked="t" coordsize="21600,21600" o:gfxdata="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ZQ1n2AAAAAkBAAAP&#10;AAAAAAAAAAEAIAAAACIAAABkcnMvZG93bnJldi54bWxQSwECFAAUAAAACACHTuJA/pbQKxgCAABH&#10;BAAADgAAAAAAAAABACAAAAAnAQAAZHJzL2Uyb0RvYy54bWxQSwUGAAAAAAYABgBZAQAAsQUAAAAA&#10;">
                <v:fill on="t" focussize="0,0"/>
                <v:stroke color="#000000" joinstyle="miter"/>
                <v:imagedata o:title=""/>
                <o:lock v:ext="edit" aspectratio="f"/>
                <v:textbox>
                  <w:txbxContent>
                    <w:p>
                      <w:pPr>
                        <w:pStyle w:val="79"/>
                        <w:ind w:firstLine="0" w:firstLineChars="0"/>
                        <w:rPr>
                          <w:rFonts w:ascii="宋体" w:hAnsi="宋体"/>
                          <w:szCs w:val="28"/>
                        </w:rPr>
                      </w:pPr>
                    </w:p>
                    <w:p>
                      <w:pPr>
                        <w:pStyle w:val="79"/>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79"/>
                        <w:ind w:firstLine="0" w:firstLineChars="0"/>
                        <w:rPr>
                          <w:rFonts w:ascii="宋体" w:hAnsi="宋体"/>
                          <w:szCs w:val="28"/>
                        </w:rPr>
                      </w:pPr>
                      <w:r>
                        <w:rPr>
                          <w:rFonts w:hint="eastAsia" w:ascii="宋体" w:hAnsi="宋体"/>
                          <w:szCs w:val="28"/>
                        </w:rPr>
                        <w:t>特此证明。</w:t>
                      </w:r>
                    </w:p>
                    <w:p>
                      <w:pPr>
                        <w:pStyle w:val="79"/>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79"/>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79"/>
                        <w:ind w:firstLine="0" w:firstLineChars="0"/>
                        <w:jc w:val="right"/>
                        <w:rPr>
                          <w:rFonts w:ascii="宋体" w:hAnsi="宋体"/>
                          <w:szCs w:val="28"/>
                        </w:rPr>
                      </w:pPr>
                      <w:r>
                        <w:rPr>
                          <w:rFonts w:hint="eastAsia" w:ascii="宋体" w:hAnsi="宋体"/>
                          <w:szCs w:val="28"/>
                        </w:rPr>
                        <w:t>　　　　　　　　　　单位：　　　　　　　　　　　（盖章）</w:t>
                      </w:r>
                    </w:p>
                    <w:p>
                      <w:pPr>
                        <w:pStyle w:val="79"/>
                        <w:ind w:firstLine="0" w:firstLineChars="0"/>
                        <w:jc w:val="right"/>
                        <w:rPr>
                          <w:rFonts w:ascii="宋体" w:hAnsi="宋体"/>
                          <w:szCs w:val="28"/>
                        </w:rPr>
                      </w:pPr>
                      <w:r>
                        <w:rPr>
                          <w:rFonts w:hint="eastAsia" w:ascii="宋体" w:hAnsi="宋体"/>
                          <w:szCs w:val="28"/>
                        </w:rPr>
                        <w:t>　　　　　　　　　　　　　　　　　　　　　    年　  月　　日</w:t>
                      </w:r>
                    </w:p>
                  </w:txbxContent>
                </v:textbox>
              </v:shape>
            </w:pict>
          </mc:Fallback>
        </mc:AlternateContent>
      </w:r>
      <w:r>
        <w:rPr>
          <w:rFonts w:hint="eastAsia" w:ascii="宋体" w:hAnsi="宋体"/>
          <w:color w:val="000000" w:themeColor="text1"/>
          <w:spacing w:val="4"/>
          <w:kern w:val="0"/>
          <w:sz w:val="24"/>
          <w:szCs w:val="24"/>
          <w14:textFill>
            <w14:solidFill>
              <w14:schemeClr w14:val="tx1"/>
            </w14:solidFill>
          </w14:textFill>
        </w:rPr>
        <w:t>（　 ）第　号</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授权委</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托证明书</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）第　号</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注：按提供的该表格格式填写，或使用从工商管理部门购买的表格填写。</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（2）法定代表人授权委托书</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xml:space="preserve">                                                     </w:t>
      </w:r>
    </w:p>
    <w:p>
      <w:pPr>
        <w:topLinePunct/>
        <w:adjustRightInd w:val="0"/>
        <w:snapToGrid w:val="0"/>
        <w:spacing w:line="360" w:lineRule="auto"/>
        <w:ind w:firstLine="496" w:firstLineChars="200"/>
        <w:jc w:val="left"/>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（2）法定代表人授权委托书</w:t>
      </w:r>
    </w:p>
    <w:p>
      <w:pPr>
        <w:topLinePunct/>
        <w:adjustRightInd w:val="0"/>
        <w:snapToGrid w:val="0"/>
        <w:spacing w:line="360" w:lineRule="auto"/>
        <w:ind w:right="84" w:firstLine="496" w:firstLineChars="200"/>
        <w:jc w:val="right"/>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   ）第  号</w:t>
      </w:r>
    </w:p>
    <w:p>
      <w:pPr>
        <w:topLinePunct/>
        <w:adjustRightInd w:val="0"/>
        <w:snapToGrid w:val="0"/>
        <w:spacing w:line="360" w:lineRule="auto"/>
        <w:ind w:firstLine="420" w:firstLineChars="200"/>
        <w:rPr>
          <w:rFonts w:ascii="宋体" w:hAnsi="宋体"/>
          <w:color w:val="000000" w:themeColor="text1"/>
          <w:spacing w:val="4"/>
          <w:kern w:val="0"/>
          <w:sz w:val="24"/>
          <w:szCs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15240</wp:posOffset>
                </wp:positionV>
                <wp:extent cx="6111240" cy="3121025"/>
                <wp:effectExtent l="0" t="0" r="3810" b="3175"/>
                <wp:wrapNone/>
                <wp:docPr id="14" name="文本框 14"/>
                <wp:cNvGraphicFramePr/>
                <a:graphic xmlns:a="http://schemas.openxmlformats.org/drawingml/2006/main">
                  <a:graphicData uri="http://schemas.microsoft.com/office/word/2010/wordprocessingShape">
                    <wps:wsp>
                      <wps:cNvSpPr txBox="1"/>
                      <wps:spPr>
                        <a:xfrm>
                          <a:off x="0" y="0"/>
                          <a:ext cx="6111240" cy="3121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9"/>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79"/>
                              <w:ind w:firstLine="496"/>
                              <w:rPr>
                                <w:rFonts w:ascii="宋体" w:hAnsi="宋体"/>
                              </w:rPr>
                            </w:pPr>
                          </w:p>
                          <w:p>
                            <w:pPr>
                              <w:pStyle w:val="7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pPr>
                              <w:pStyle w:val="7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79"/>
                              <w:wordWrap w:val="0"/>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wrap="square" upright="1"/>
                    </wps:wsp>
                  </a:graphicData>
                </a:graphic>
              </wp:anchor>
            </w:drawing>
          </mc:Choice>
          <mc:Fallback>
            <w:pict>
              <v:shape id="_x0000_s1026" o:spid="_x0000_s1026" o:spt="202" type="#_x0000_t202" style="position:absolute;left:0pt;margin-left:8.7pt;margin-top:1.2pt;height:245.75pt;width:481.2pt;z-index:251660288;mso-width-relative:page;mso-height-relative:page;" fillcolor="#FFFFFF" filled="t" stroked="t" coordsize="21600,21600" o:gfxdata="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mSXBfXAAAACAEAAA8AAAAA&#10;AAAAAQAgAAAAIgAAAGRycy9kb3ducmV2LnhtbFBLAQIUABQAAAAIAIdO4kDksv3PFQIAAEcEAAAO&#10;AAAAAAAAAAEAIAAAACYBAABkcnMvZTJvRG9jLnhtbFBLBQYAAAAABgAGAFkBAACtBQAAAAA=&#10;">
                <v:fill on="t" focussize="0,0"/>
                <v:stroke color="#000000" joinstyle="miter"/>
                <v:imagedata o:title=""/>
                <o:lock v:ext="edit" aspectratio="f"/>
                <v:textbox>
                  <w:txbxContent>
                    <w:p>
                      <w:pPr>
                        <w:pStyle w:val="79"/>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79"/>
                        <w:ind w:firstLine="496"/>
                        <w:rPr>
                          <w:rFonts w:ascii="宋体" w:hAnsi="宋体"/>
                        </w:rPr>
                      </w:pPr>
                    </w:p>
                    <w:p>
                      <w:pPr>
                        <w:pStyle w:val="79"/>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79"/>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pPr>
                        <w:pStyle w:val="79"/>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79"/>
                        <w:wordWrap w:val="0"/>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mc:Fallback>
        </mc:AlternateConten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jc w:val="right"/>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autoSpaceDE w:val="0"/>
        <w:autoSpaceDN w:val="0"/>
        <w:adjustRightInd w:val="0"/>
        <w:rPr>
          <w:rFonts w:ascii="宋体" w:hAnsi="宋体"/>
          <w:color w:val="000000" w:themeColor="text1"/>
          <w:spacing w:val="4"/>
          <w:kern w:val="0"/>
          <w:sz w:val="24"/>
          <w:szCs w:val="24"/>
          <w14:textFill>
            <w14:solidFill>
              <w14:schemeClr w14:val="tx1"/>
            </w14:solidFill>
          </w14:textFill>
        </w:rPr>
      </w:pPr>
      <w:r>
        <w:rPr>
          <w:rFonts w:hint="eastAsia" w:ascii="宋体" w:hAnsi="宋体"/>
          <w:color w:val="000000" w:themeColor="text1"/>
          <w:spacing w:val="4"/>
          <w:kern w:val="0"/>
          <w:sz w:val="24"/>
          <w:szCs w:val="24"/>
          <w14:textFill>
            <w14:solidFill>
              <w14:schemeClr w14:val="tx1"/>
            </w14:solidFill>
          </w14:textFill>
        </w:rPr>
        <w:t>附：法定代表人（负责人）、委托代理人身份证扫描件。</w:t>
      </w:r>
    </w:p>
    <w:p>
      <w:pPr>
        <w:widowControl/>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autoSpaceDE w:val="0"/>
        <w:autoSpaceDN w:val="0"/>
        <w:adjustRightInd w:val="0"/>
        <w:outlineLvl w:val="2"/>
        <w:rPr>
          <w:rFonts w:ascii="宋体" w:hAnsi="宋体"/>
          <w:color w:val="000000" w:themeColor="text1"/>
          <w:szCs w:val="21"/>
          <w14:textFill>
            <w14:solidFill>
              <w14:schemeClr w14:val="tx1"/>
            </w14:solidFill>
          </w14:textFill>
        </w:rPr>
      </w:pPr>
      <w:bookmarkStart w:id="33" w:name="_Toc114572556"/>
      <w:r>
        <w:rPr>
          <w:rFonts w:hint="eastAsia" w:ascii="宋体" w:hAnsi="宋体"/>
          <w:color w:val="000000" w:themeColor="text1"/>
          <w:szCs w:val="21"/>
          <w14:textFill>
            <w14:solidFill>
              <w14:schemeClr w14:val="tx1"/>
            </w14:solidFill>
          </w14:textFill>
        </w:rPr>
        <w:t>格式四：参与编制技术标投标文件编制人员名单</w:t>
      </w:r>
      <w:bookmarkEnd w:id="33"/>
    </w:p>
    <w:p>
      <w:pPr>
        <w:autoSpaceDE w:val="0"/>
        <w:autoSpaceDN w:val="0"/>
        <w:adjustRightInd w:val="0"/>
        <w:rPr>
          <w:rFonts w:ascii="宋体" w:hAnsi="宋体"/>
          <w:color w:val="000000" w:themeColor="text1"/>
          <w:szCs w:val="21"/>
          <w14:textFill>
            <w14:solidFill>
              <w14:schemeClr w14:val="tx1"/>
            </w14:solidFill>
          </w14:textFill>
        </w:rPr>
      </w:pPr>
    </w:p>
    <w:p>
      <w:pPr>
        <w:tabs>
          <w:tab w:val="left" w:pos="720"/>
        </w:tabs>
        <w:snapToGrid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参与编制技术标投标文件编制人员名单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bl>
    <w:p>
      <w:pPr>
        <w:pStyle w:val="5"/>
        <w:spacing w:before="240" w:after="0" w:line="360" w:lineRule="auto"/>
        <w:ind w:left="-2" w:leftChars="-1" w:firstLine="350" w:firstLineChars="17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注：参与编制技术标投标文件所有人员名单应包括如编制技术投标方案、负责清样校对、负责打印及复印等所有人员在内的人员名单。</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34" w:name="_Toc114572557"/>
      <w:r>
        <w:rPr>
          <w:rFonts w:hint="eastAsia" w:ascii="宋体" w:hAnsi="宋体"/>
          <w:color w:val="000000" w:themeColor="text1"/>
          <w:szCs w:val="21"/>
          <w14:textFill>
            <w14:solidFill>
              <w14:schemeClr w14:val="tx1"/>
            </w14:solidFill>
          </w14:textFill>
        </w:rPr>
        <w:t>格式五：施工组织架构图</w:t>
      </w:r>
      <w:bookmarkEnd w:id="34"/>
    </w:p>
    <w:p>
      <w:pPr>
        <w:pStyle w:val="86"/>
        <w:spacing w:before="24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施工组织架构图</w:t>
      </w:r>
    </w:p>
    <w:p>
      <w:pPr>
        <w:pStyle w:val="79"/>
        <w:spacing w:before="240"/>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1、投标人应结合本工程的类型和特点，科学、合理地设置本项目的施工组织架构；</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2、施工组织架构图由投标人结合招标人对本工程的具体要求自行设定；</w:t>
      </w:r>
    </w:p>
    <w:p>
      <w:pPr>
        <w:pStyle w:val="79"/>
        <w:ind w:firstLine="496"/>
        <w:rPr>
          <w:rFonts w:ascii="宋体" w:hAnsi="宋体"/>
          <w:color w:val="000000" w:themeColor="text1"/>
          <w14:textFill>
            <w14:solidFill>
              <w14:schemeClr w14:val="tx1"/>
            </w14:solidFill>
          </w14:textFill>
        </w:rPr>
        <w:sectPr>
          <w:pgSz w:w="11907" w:h="16839"/>
          <w:pgMar w:top="1134" w:right="1134" w:bottom="1134" w:left="1134" w:header="1134" w:footer="737" w:gutter="0"/>
          <w:cols w:space="720" w:num="1"/>
          <w:docGrid w:linePitch="380" w:charSpace="-4301"/>
        </w:sectPr>
      </w:pPr>
      <w:r>
        <w:rPr>
          <w:rFonts w:hint="eastAsia" w:ascii="宋体" w:hAnsi="宋体"/>
          <w:color w:val="000000" w:themeColor="text1"/>
          <w14:textFill>
            <w14:solidFill>
              <w14:schemeClr w14:val="tx1"/>
            </w14:solidFill>
          </w14:textFill>
        </w:rPr>
        <w:t>3、可结合自身情况附相关</w:t>
      </w:r>
      <w:r>
        <w:rPr>
          <w:rFonts w:ascii="宋体" w:hAnsi="宋体"/>
          <w:color w:val="000000" w:themeColor="text1"/>
          <w14:textFill>
            <w14:solidFill>
              <w14:schemeClr w14:val="tx1"/>
            </w14:solidFill>
          </w14:textFill>
        </w:rPr>
        <w:t>辅助说明资料。</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格式六：拟投项目管理机构人员汇总表</w:t>
      </w:r>
    </w:p>
    <w:p>
      <w:pPr>
        <w:pStyle w:val="86"/>
        <w:spacing w:before="240" w:line="240" w:lineRule="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拟投项目管理机构人员汇总表</w:t>
      </w:r>
    </w:p>
    <w:tbl>
      <w:tblPr>
        <w:tblStyle w:val="34"/>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24"/>
        <w:gridCol w:w="851"/>
        <w:gridCol w:w="1616"/>
        <w:gridCol w:w="2092"/>
        <w:gridCol w:w="960"/>
        <w:gridCol w:w="3498"/>
        <w:gridCol w:w="3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序号</w:t>
            </w:r>
          </w:p>
        </w:tc>
        <w:tc>
          <w:tcPr>
            <w:tcW w:w="1224"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姓名</w:t>
            </w:r>
          </w:p>
        </w:tc>
        <w:tc>
          <w:tcPr>
            <w:tcW w:w="851"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年龄</w:t>
            </w:r>
          </w:p>
        </w:tc>
        <w:tc>
          <w:tcPr>
            <w:tcW w:w="1616"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职称、资格证书</w:t>
            </w: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在本项目担任职务</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40" w:lineRule="exact"/>
              <w:jc w:val="center"/>
              <w:rPr>
                <w:rFonts w:cs="宋体"/>
                <w:b/>
                <w:color w:val="000000" w:themeColor="text1"/>
                <w:szCs w:val="18"/>
                <w14:textFill>
                  <w14:solidFill>
                    <w14:schemeClr w14:val="tx1"/>
                  </w14:solidFill>
                </w14:textFill>
              </w:rPr>
            </w:pPr>
            <w:r>
              <w:rPr>
                <w:rFonts w:hint="eastAsia" w:cs="宋体"/>
                <w:b/>
                <w:color w:val="000000" w:themeColor="text1"/>
                <w:szCs w:val="18"/>
                <w14:textFill>
                  <w14:solidFill>
                    <w14:schemeClr w14:val="tx1"/>
                  </w14:solidFill>
                </w14:textFill>
              </w:rPr>
              <w:t>最少投入人员数量</w:t>
            </w:r>
          </w:p>
        </w:tc>
        <w:tc>
          <w:tcPr>
            <w:tcW w:w="3498" w:type="dxa"/>
            <w:tcBorders>
              <w:top w:val="single" w:color="auto" w:sz="4" w:space="0"/>
              <w:left w:val="single" w:color="auto" w:sz="4" w:space="0"/>
              <w:bottom w:val="single" w:color="auto" w:sz="4" w:space="0"/>
              <w:right w:val="single" w:color="auto" w:sz="4" w:space="0"/>
            </w:tcBorders>
            <w:vAlign w:val="center"/>
          </w:tcPr>
          <w:p>
            <w:pPr>
              <w:pStyle w:val="72"/>
              <w:spacing w:line="240" w:lineRule="exact"/>
              <w:jc w:val="center"/>
              <w:rPr>
                <w:rFonts w:ascii="宋体" w:hAnsi="宋体" w:cs="宋体"/>
                <w:b/>
                <w:color w:val="000000" w:themeColor="text1"/>
                <w:sz w:val="21"/>
                <w:szCs w:val="18"/>
                <w14:textFill>
                  <w14:solidFill>
                    <w14:schemeClr w14:val="tx1"/>
                  </w14:solidFill>
                </w14:textFill>
              </w:rPr>
            </w:pPr>
            <w:r>
              <w:rPr>
                <w:rFonts w:hint="eastAsia" w:ascii="宋体" w:hAnsi="宋体" w:cs="宋体"/>
                <w:b/>
                <w:color w:val="000000" w:themeColor="text1"/>
                <w:sz w:val="21"/>
                <w:szCs w:val="18"/>
                <w14:textFill>
                  <w14:solidFill>
                    <w14:schemeClr w14:val="tx1"/>
                  </w14:solidFill>
                </w14:textFill>
              </w:rPr>
              <w:t>基本要求</w:t>
            </w:r>
          </w:p>
        </w:tc>
        <w:tc>
          <w:tcPr>
            <w:tcW w:w="3331" w:type="dxa"/>
            <w:tcBorders>
              <w:top w:val="single" w:color="auto" w:sz="4" w:space="0"/>
              <w:left w:val="single" w:color="auto" w:sz="4" w:space="0"/>
              <w:bottom w:val="single" w:color="auto" w:sz="4" w:space="0"/>
              <w:right w:val="single" w:color="auto" w:sz="4" w:space="0"/>
            </w:tcBorders>
            <w:vAlign w:val="center"/>
          </w:tcPr>
          <w:p>
            <w:pPr>
              <w:pStyle w:val="72"/>
              <w:spacing w:line="240" w:lineRule="exact"/>
              <w:jc w:val="center"/>
              <w:rPr>
                <w:rFonts w:ascii="宋体" w:hAnsi="宋体" w:cs="宋体"/>
                <w:b/>
                <w:color w:val="000000" w:themeColor="text1"/>
                <w:sz w:val="21"/>
                <w:szCs w:val="18"/>
                <w14:textFill>
                  <w14:solidFill>
                    <w14:schemeClr w14:val="tx1"/>
                  </w14:solidFill>
                </w14:textFill>
              </w:rPr>
            </w:pPr>
            <w:r>
              <w:rPr>
                <w:rFonts w:hint="eastAsia" w:ascii="宋体" w:hAnsi="宋体" w:cs="宋体"/>
                <w:b/>
                <w:color w:val="000000" w:themeColor="text1"/>
                <w:sz w:val="21"/>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项目负责人</w:t>
            </w:r>
          </w:p>
          <w:p>
            <w:pPr>
              <w:pStyle w:val="87"/>
              <w:spacing w:line="28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符合招标公告要求</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32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技术负责人</w:t>
            </w:r>
          </w:p>
          <w:p>
            <w:pPr>
              <w:pStyle w:val="87"/>
              <w:spacing w:line="28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（项目总工）</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符合招标公告要求</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专职安全员</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符合招标公告要求</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按招标公告要求提供，还要提供</w:t>
            </w:r>
            <w:r>
              <w:rPr>
                <w:rFonts w:hint="eastAsia" w:ascii="宋体" w:hAnsi="宋体"/>
                <w:color w:val="000000" w:themeColor="text1"/>
                <w:szCs w:val="21"/>
                <w14:textFill>
                  <w14:solidFill>
                    <w14:schemeClr w14:val="tx1"/>
                  </w14:solidFill>
                </w14:textFill>
              </w:rPr>
              <w:t>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项目生产经理</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rFonts w:hint="eastAsia"/>
                <w:bCs/>
                <w:color w:val="000000" w:themeColor="text1"/>
                <w14:textFill>
                  <w14:solidFill>
                    <w14:schemeClr w14:val="tx1"/>
                  </w14:solidFill>
                </w14:textFill>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具有电力类或机电类或电气类相关专业中级（或以上）职称。</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安全负责人</w:t>
            </w:r>
          </w:p>
          <w:p>
            <w:pPr>
              <w:pStyle w:val="2"/>
              <w:ind w:firstLine="0"/>
              <w:jc w:val="center"/>
              <w:rPr>
                <w:lang w:val="en-US"/>
              </w:rPr>
            </w:pPr>
            <w:r>
              <w:rPr>
                <w:rFonts w:hint="eastAsia"/>
                <w:lang w:val="en-US"/>
              </w:rPr>
              <w:t>（安全总监）</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具有安全培训证书或上岗证。</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提供安全培训证书或上岗证、身份证、职称证（如有）等扫描件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安全员</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rFonts w:hint="eastAsia"/>
                <w:bCs/>
                <w:color w:val="000000" w:themeColor="text1"/>
                <w14:textFill>
                  <w14:solidFill>
                    <w14:schemeClr w14:val="tx1"/>
                  </w14:solidFill>
                </w14:textFill>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具有安全培训证书或上岗证。</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提供安全培训证书或上岗证、身份证、职称证（如有）等扫描件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资料员</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提供资料员岗位证或培训证、身份证、职称证（如有）等扫描件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材料员</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具有相应岗位的上岗证或培训合格证</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提供材料员岗位证或培训证、身份证、职称证（如有）等扫描件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85"/>
              <w:numPr>
                <w:ilvl w:val="0"/>
                <w:numId w:val="6"/>
              </w:numPr>
              <w:spacing w:line="280" w:lineRule="exact"/>
              <w:ind w:firstLineChars="0"/>
              <w:jc w:val="center"/>
              <w:rPr>
                <w:rFonts w:ascii="宋体" w:hAnsi="宋体" w:cs="宋体"/>
                <w:color w:val="000000" w:themeColor="text1"/>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现场施工管理及技术人员</w:t>
            </w:r>
          </w:p>
        </w:tc>
        <w:tc>
          <w:tcPr>
            <w:tcW w:w="960"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4</w:t>
            </w:r>
          </w:p>
        </w:tc>
        <w:tc>
          <w:tcPr>
            <w:tcW w:w="3498" w:type="dxa"/>
            <w:tcBorders>
              <w:top w:val="single" w:color="auto" w:sz="4" w:space="0"/>
              <w:left w:val="single" w:color="auto" w:sz="4" w:space="0"/>
              <w:bottom w:val="single" w:color="auto" w:sz="4" w:space="0"/>
              <w:right w:val="single" w:color="auto" w:sz="4" w:space="0"/>
            </w:tcBorders>
            <w:vAlign w:val="center"/>
          </w:tcPr>
          <w:p>
            <w:pPr>
              <w:pStyle w:val="87"/>
              <w:spacing w:line="280" w:lineRule="exact"/>
              <w:jc w:val="both"/>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具有</w:t>
            </w:r>
            <w:r>
              <w:rPr>
                <w:rFonts w:hint="eastAsia"/>
                <w:color w:val="000000" w:themeColor="text1"/>
                <w14:textFill>
                  <w14:solidFill>
                    <w14:schemeClr w14:val="tx1"/>
                  </w14:solidFill>
                </w14:textFill>
              </w:rPr>
              <w:t>电力类或机电类或电气类</w:t>
            </w:r>
            <w:r>
              <w:rPr>
                <w:rFonts w:hint="eastAsia" w:cs="宋体"/>
                <w:color w:val="000000" w:themeColor="text1"/>
                <w:kern w:val="0"/>
                <w14:textFill>
                  <w14:solidFill>
                    <w14:schemeClr w14:val="tx1"/>
                  </w14:solidFill>
                </w14:textFill>
              </w:rPr>
              <w:t>相关专业助理级（或以上）技术职称。</w:t>
            </w:r>
          </w:p>
        </w:tc>
        <w:tc>
          <w:tcPr>
            <w:tcW w:w="333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提供职称证、身份证等扫描件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14:textFill>
                  <w14:solidFill>
                    <w14:schemeClr w14:val="tx1"/>
                  </w14:solidFill>
                </w14:textFill>
              </w:rPr>
            </w:pP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14:textFill>
                  <w14:solidFill>
                    <w14:schemeClr w14:val="tx1"/>
                  </w14:solidFill>
                </w14:textFill>
              </w:rPr>
            </w:pPr>
          </w:p>
        </w:tc>
        <w:tc>
          <w:tcPr>
            <w:tcW w:w="3331"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Cs/>
                <w:color w:val="000000" w:themeColor="text1"/>
                <w:kern w:val="44"/>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总计</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Cs/>
                <w:color w:val="000000" w:themeColor="text1"/>
                <w:kern w:val="44"/>
                <w:szCs w:val="21"/>
                <w14:textFill>
                  <w14:solidFill>
                    <w14:schemeClr w14:val="tx1"/>
                  </w14:solidFill>
                </w14:textFill>
              </w:rPr>
            </w:pP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14:textFill>
                  <w14:solidFill>
                    <w14:schemeClr w14:val="tx1"/>
                  </w14:solidFill>
                </w14:textFill>
              </w:rPr>
            </w:pPr>
          </w:p>
        </w:tc>
        <w:tc>
          <w:tcPr>
            <w:tcW w:w="3331"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Cs w:val="21"/>
                <w14:textFill>
                  <w14:solidFill>
                    <w14:schemeClr w14:val="tx1"/>
                  </w14:solidFill>
                </w14:textFill>
              </w:rPr>
            </w:pPr>
          </w:p>
        </w:tc>
      </w:tr>
    </w:tbl>
    <w:p>
      <w:pPr>
        <w:adjustRightInd w:val="0"/>
        <w:snapToGrid w:val="0"/>
        <w:spacing w:line="276"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pPr>
        <w:pStyle w:val="85"/>
        <w:numPr>
          <w:ilvl w:val="0"/>
          <w:numId w:val="7"/>
        </w:numPr>
        <w:adjustRightInd w:val="0"/>
        <w:snapToGrid w:val="0"/>
        <w:spacing w:line="360" w:lineRule="auto"/>
        <w:ind w:left="0" w:firstLine="284"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职称机电相关专业包括：暖通、电气、机械设备、电气工程与设备、机电安装、建筑水电工程等。</w:t>
      </w:r>
    </w:p>
    <w:p>
      <w:pPr>
        <w:pStyle w:val="85"/>
        <w:numPr>
          <w:ilvl w:val="0"/>
          <w:numId w:val="7"/>
        </w:numPr>
        <w:adjustRightInd w:val="0"/>
        <w:snapToGrid w:val="0"/>
        <w:spacing w:line="360" w:lineRule="auto"/>
        <w:ind w:left="0" w:firstLine="284"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职称电力相关专业包括：输配电及用电工程、电力系统及其自动化等。</w:t>
      </w:r>
    </w:p>
    <w:p>
      <w:pPr>
        <w:pStyle w:val="85"/>
        <w:numPr>
          <w:ilvl w:val="0"/>
          <w:numId w:val="7"/>
        </w:numPr>
        <w:adjustRightInd w:val="0"/>
        <w:snapToGrid w:val="0"/>
        <w:spacing w:line="360" w:lineRule="auto"/>
        <w:ind w:left="0" w:firstLine="284"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职称电气相关专业包括：</w:t>
      </w:r>
      <w:r>
        <w:rPr>
          <w:rFonts w:hint="eastAsia" w:ascii="Calibri" w:hAnsi="Calibri"/>
          <w:szCs w:val="22"/>
        </w:rPr>
        <w:t>建筑电气、电气工程、电气自动化、</w:t>
      </w:r>
      <w:r>
        <w:rPr>
          <w:rFonts w:hint="eastAsia" w:asciiTheme="minorEastAsia" w:hAnsiTheme="minorEastAsia" w:eastAsiaTheme="minorEastAsia"/>
          <w:color w:val="000000" w:themeColor="text1"/>
          <w14:textFill>
            <w14:solidFill>
              <w14:schemeClr w14:val="tx1"/>
            </w14:solidFill>
          </w14:textFill>
        </w:rPr>
        <w:t>电机与电器、电力拖动与自动化控制、电气信息技术等。</w:t>
      </w:r>
    </w:p>
    <w:p>
      <w:pPr>
        <w:pStyle w:val="85"/>
        <w:numPr>
          <w:ilvl w:val="0"/>
          <w:numId w:val="7"/>
        </w:numPr>
        <w:adjustRightInd w:val="0"/>
        <w:snapToGrid w:val="0"/>
        <w:spacing w:line="360" w:lineRule="auto"/>
        <w:ind w:left="0" w:firstLine="284" w:firstLineChars="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须提供以上人员相关证件扫描件，并提供以上人员投标单位近期（扣除发布招标公告当月往前顺推1个月，即2023年</w:t>
      </w:r>
      <w:r>
        <w:rPr>
          <w:rFonts w:hint="eastAsia" w:asciiTheme="minorEastAsia" w:hAnsiTheme="minorEastAsia" w:eastAsia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月）为其购买社保的社保证明材料扫描件。</w:t>
      </w:r>
      <w:r>
        <w:rPr>
          <w:rFonts w:hint="eastAsia"/>
          <w:szCs w:val="21"/>
        </w:rPr>
        <w:t>若已办理退休手续且继续聘用的，可以用退休证加返聘证明扫描件来代替社保证明。</w:t>
      </w:r>
      <w:r>
        <w:rPr>
          <w:rFonts w:hint="eastAsia" w:asciiTheme="minorEastAsia" w:hAnsiTheme="minorEastAsia" w:eastAsiaTheme="minorEastAsia"/>
          <w:color w:val="000000" w:themeColor="text1"/>
          <w14:textFill>
            <w14:solidFill>
              <w14:schemeClr w14:val="tx1"/>
            </w14:solidFill>
          </w14:textFill>
        </w:rPr>
        <w:t>若当地政府部门允许企业在疫情期间缓缴社会保险费且投标人未缴纳的，投标人可提供当地政府部门允许缓缴社保的相关文件作为缴纳社保的证明。确定中标人后，招标人将核实后续中标人投入项目管理机构人员的社保补缴情况。</w:t>
      </w:r>
    </w:p>
    <w:p>
      <w:pPr>
        <w:pStyle w:val="85"/>
        <w:numPr>
          <w:ilvl w:val="0"/>
          <w:numId w:val="7"/>
        </w:numPr>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本表投标人可根据企业自身及项目实际情况自行增加人员配置。</w:t>
      </w:r>
    </w:p>
    <w:p>
      <w:pPr>
        <w:pStyle w:val="79"/>
        <w:spacing w:line="276" w:lineRule="auto"/>
        <w:ind w:firstLine="0" w:firstLineChars="0"/>
        <w:jc w:val="left"/>
        <w:rPr>
          <w:rFonts w:ascii="宋体" w:hAnsi="宋体"/>
          <w:color w:val="000000" w:themeColor="text1"/>
          <w:lang w:val="en-US"/>
          <w14:textFill>
            <w14:solidFill>
              <w14:schemeClr w14:val="tx1"/>
            </w14:solidFill>
          </w14:textFill>
        </w:rPr>
      </w:pPr>
    </w:p>
    <w:p>
      <w:pPr>
        <w:pStyle w:val="79"/>
        <w:spacing w:line="276" w:lineRule="auto"/>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pPr>
        <w:pStyle w:val="79"/>
        <w:spacing w:line="276" w:lineRule="auto"/>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    年    月    日</w:t>
      </w:r>
    </w:p>
    <w:p>
      <w:pPr>
        <w:spacing w:line="276" w:lineRule="auto"/>
        <w:ind w:firstLine="3600" w:firstLineChars="1500"/>
        <w:jc w:val="left"/>
        <w:rPr>
          <w:rFonts w:ascii="宋体" w:hAnsi="宋体"/>
          <w:color w:val="000000" w:themeColor="text1"/>
          <w:sz w:val="24"/>
          <w14:textFill>
            <w14:solidFill>
              <w14:schemeClr w14:val="tx1"/>
            </w14:solidFill>
          </w14:textFill>
        </w:rPr>
      </w:pPr>
    </w:p>
    <w:p>
      <w:pPr>
        <w:spacing w:line="276" w:lineRule="auto"/>
        <w:ind w:firstLine="3600" w:firstLineChars="1500"/>
        <w:jc w:val="left"/>
        <w:rPr>
          <w:rFonts w:ascii="宋体" w:hAnsi="宋体"/>
          <w:color w:val="000000" w:themeColor="text1"/>
          <w:sz w:val="24"/>
          <w14:textFill>
            <w14:solidFill>
              <w14:schemeClr w14:val="tx1"/>
            </w14:solidFill>
          </w14:textFill>
        </w:rPr>
        <w:sectPr>
          <w:pgSz w:w="16839" w:h="11907" w:orient="landscape"/>
          <w:pgMar w:top="1134" w:right="1134" w:bottom="1134" w:left="1134" w:header="1134" w:footer="737" w:gutter="0"/>
          <w:cols w:space="720" w:num="1"/>
          <w:docGrid w:linePitch="380" w:charSpace="-4301"/>
        </w:sectPr>
      </w:pPr>
    </w:p>
    <w:p>
      <w:pPr>
        <w:autoSpaceDE w:val="0"/>
        <w:autoSpaceDN w:val="0"/>
        <w:adjustRightInd w:val="0"/>
        <w:spacing w:line="360" w:lineRule="auto"/>
        <w:outlineLvl w:val="2"/>
        <w:rPr>
          <w:rFonts w:ascii="宋体" w:hAnsi="宋体"/>
          <w:color w:val="000000" w:themeColor="text1"/>
          <w:szCs w:val="21"/>
          <w14:textFill>
            <w14:solidFill>
              <w14:schemeClr w14:val="tx1"/>
            </w14:solidFill>
          </w14:textFill>
        </w:rPr>
      </w:pPr>
      <w:bookmarkStart w:id="35" w:name="_Toc114572559"/>
      <w:r>
        <w:rPr>
          <w:rFonts w:hint="eastAsia" w:ascii="宋体" w:hAnsi="宋体"/>
          <w:color w:val="000000" w:themeColor="text1"/>
          <w:szCs w:val="21"/>
          <w14:textFill>
            <w14:solidFill>
              <w14:schemeClr w14:val="tx1"/>
            </w14:solidFill>
          </w14:textFill>
        </w:rPr>
        <w:t>格式七：主要人员简历表</w:t>
      </w:r>
      <w:bookmarkEnd w:id="35"/>
    </w:p>
    <w:p>
      <w:pPr>
        <w:pStyle w:val="86"/>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主要人员简历表</w:t>
      </w:r>
    </w:p>
    <w:tbl>
      <w:tblPr>
        <w:tblStyle w:val="34"/>
        <w:tblpPr w:leftFromText="180" w:rightFromText="180" w:vertAnchor="text" w:tblpXSpec="center"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姓名</w:t>
            </w:r>
          </w:p>
        </w:tc>
        <w:tc>
          <w:tcPr>
            <w:tcW w:w="2126" w:type="dxa"/>
            <w:gridSpan w:val="3"/>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370" w:type="dxa"/>
            <w:gridSpan w:val="2"/>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性别</w:t>
            </w:r>
          </w:p>
        </w:tc>
        <w:tc>
          <w:tcPr>
            <w:tcW w:w="1701"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182"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年龄</w:t>
            </w:r>
          </w:p>
        </w:tc>
        <w:tc>
          <w:tcPr>
            <w:tcW w:w="1620"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身份证号码</w:t>
            </w:r>
          </w:p>
        </w:tc>
        <w:tc>
          <w:tcPr>
            <w:tcW w:w="7999" w:type="dxa"/>
            <w:gridSpan w:val="10"/>
            <w:vAlign w:val="center"/>
          </w:tcPr>
          <w:p>
            <w:pPr>
              <w:pStyle w:val="79"/>
              <w:spacing w:line="240" w:lineRule="auto"/>
              <w:ind w:firstLine="0" w:firstLineChars="0"/>
              <w:jc w:val="center"/>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在本项目</w:t>
            </w:r>
          </w:p>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任职</w:t>
            </w:r>
          </w:p>
        </w:tc>
        <w:tc>
          <w:tcPr>
            <w:tcW w:w="2126" w:type="dxa"/>
            <w:gridSpan w:val="3"/>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370" w:type="dxa"/>
            <w:gridSpan w:val="2"/>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职称</w:t>
            </w:r>
          </w:p>
        </w:tc>
        <w:tc>
          <w:tcPr>
            <w:tcW w:w="1701"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c>
          <w:tcPr>
            <w:tcW w:w="1182"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学历</w:t>
            </w:r>
          </w:p>
        </w:tc>
        <w:tc>
          <w:tcPr>
            <w:tcW w:w="1620" w:type="dxa"/>
            <w:gridSpan w:val="2"/>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资格证书号</w:t>
            </w:r>
          </w:p>
          <w:p>
            <w:pPr>
              <w:pStyle w:val="87"/>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（如有）</w:t>
            </w:r>
          </w:p>
        </w:tc>
        <w:tc>
          <w:tcPr>
            <w:tcW w:w="7999" w:type="dxa"/>
            <w:gridSpan w:val="10"/>
            <w:vAlign w:val="center"/>
          </w:tcPr>
          <w:p>
            <w:pPr>
              <w:pStyle w:val="79"/>
              <w:keepNext/>
              <w:keepLines/>
              <w:spacing w:before="120" w:after="120" w:line="240" w:lineRule="auto"/>
              <w:ind w:firstLine="0" w:firstLineChars="0"/>
              <w:jc w:val="center"/>
              <w:outlineLvl w:val="0"/>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vAlign w:val="center"/>
          </w:tcPr>
          <w:p>
            <w:pPr>
              <w:pStyle w:val="79"/>
              <w:spacing w:line="240" w:lineRule="auto"/>
              <w:ind w:firstLine="0" w:firstLineChars="0"/>
              <w:jc w:val="center"/>
              <w:rPr>
                <w:rFonts w:ascii="宋体" w:hAnsi="宋体"/>
                <w:b/>
                <w:color w:val="000000" w:themeColor="text1"/>
                <w:lang w:val="en-US"/>
                <w14:textFill>
                  <w14:solidFill>
                    <w14:schemeClr w14:val="tx1"/>
                  </w14:solidFill>
                </w14:textFill>
              </w:rPr>
            </w:pPr>
            <w:r>
              <w:rPr>
                <w:rFonts w:hint="eastAsia" w:ascii="宋体" w:hAnsi="宋体"/>
                <w:b/>
                <w:color w:val="000000" w:themeColor="text1"/>
                <w:lang w:val="en-US"/>
                <w14:textFill>
                  <w14:solidFill>
                    <w14:schemeClr w14:val="tx1"/>
                  </w14:solidFill>
                </w14:textFill>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建设单位</w:t>
            </w:r>
          </w:p>
        </w:tc>
        <w:tc>
          <w:tcPr>
            <w:tcW w:w="1547" w:type="dxa"/>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1549" w:type="dxa"/>
            <w:gridSpan w:val="2"/>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建设规模</w:t>
            </w:r>
          </w:p>
        </w:tc>
        <w:tc>
          <w:tcPr>
            <w:tcW w:w="1783" w:type="dxa"/>
            <w:gridSpan w:val="2"/>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开、竣工日期</w:t>
            </w:r>
          </w:p>
        </w:tc>
        <w:tc>
          <w:tcPr>
            <w:tcW w:w="1547" w:type="dxa"/>
            <w:gridSpan w:val="3"/>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在建或已完</w:t>
            </w:r>
          </w:p>
        </w:tc>
        <w:tc>
          <w:tcPr>
            <w:tcW w:w="1551" w:type="dxa"/>
            <w:vAlign w:val="center"/>
          </w:tcPr>
          <w:p>
            <w:pPr>
              <w:pStyle w:val="87"/>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47" w:type="dxa"/>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49" w:type="dxa"/>
            <w:gridSpan w:val="2"/>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783" w:type="dxa"/>
            <w:gridSpan w:val="2"/>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47" w:type="dxa"/>
            <w:gridSpan w:val="3"/>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c>
          <w:tcPr>
            <w:tcW w:w="1551" w:type="dxa"/>
            <w:vAlign w:val="center"/>
          </w:tcPr>
          <w:p>
            <w:pPr>
              <w:pStyle w:val="79"/>
              <w:ind w:firstLine="0" w:firstLineChars="0"/>
              <w:jc w:val="center"/>
              <w:rPr>
                <w:rFonts w:ascii="宋体" w:hAnsi="宋体"/>
                <w:b/>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9"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783"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gridSpan w:val="3"/>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51"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9"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783" w:type="dxa"/>
            <w:gridSpan w:val="2"/>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47" w:type="dxa"/>
            <w:gridSpan w:val="3"/>
            <w:vAlign w:val="center"/>
          </w:tcPr>
          <w:p>
            <w:pPr>
              <w:pStyle w:val="79"/>
              <w:ind w:firstLine="0" w:firstLineChars="0"/>
              <w:jc w:val="center"/>
              <w:rPr>
                <w:rFonts w:ascii="宋体" w:hAnsi="宋体"/>
                <w:color w:val="000000" w:themeColor="text1"/>
                <w:lang w:val="en-US"/>
                <w14:textFill>
                  <w14:solidFill>
                    <w14:schemeClr w14:val="tx1"/>
                  </w14:solidFill>
                </w14:textFill>
              </w:rPr>
            </w:pPr>
          </w:p>
        </w:tc>
        <w:tc>
          <w:tcPr>
            <w:tcW w:w="1551" w:type="dxa"/>
            <w:vAlign w:val="center"/>
          </w:tcPr>
          <w:p>
            <w:pPr>
              <w:pStyle w:val="79"/>
              <w:ind w:firstLine="0" w:firstLineChars="0"/>
              <w:jc w:val="center"/>
              <w:rPr>
                <w:rFonts w:ascii="宋体" w:hAnsi="宋体"/>
                <w:color w:val="000000" w:themeColor="text1"/>
                <w:lang w:val="en-US"/>
                <w14:textFill>
                  <w14:solidFill>
                    <w14:schemeClr w14:val="tx1"/>
                  </w14:solidFill>
                </w14:textFill>
              </w:rPr>
            </w:pPr>
          </w:p>
        </w:tc>
      </w:tr>
    </w:tbl>
    <w:p>
      <w:pPr>
        <w:pStyle w:val="79"/>
        <w:ind w:firstLine="3596" w:firstLineChars="1450"/>
        <w:rPr>
          <w:rFonts w:ascii="宋体" w:hAnsi="宋体"/>
          <w:color w:val="000000" w:themeColor="text1"/>
          <w14:textFill>
            <w14:solidFill>
              <w14:schemeClr w14:val="tx1"/>
            </w14:solidFill>
          </w14:textFill>
        </w:rPr>
      </w:pP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pStyle w:val="79"/>
        <w:ind w:right="496"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p>
    <w:p>
      <w:pPr>
        <w:pStyle w:val="79"/>
        <w:ind w:right="496" w:firstLine="3596" w:firstLineChars="1450"/>
        <w:rPr>
          <w:rFonts w:ascii="宋体" w:hAnsi="宋体"/>
          <w:color w:val="000000" w:themeColor="text1"/>
          <w14:textFill>
            <w14:solidFill>
              <w14:schemeClr w14:val="tx1"/>
            </w14:solidFill>
          </w14:textFill>
        </w:rPr>
      </w:pPr>
    </w:p>
    <w:p>
      <w:pPr>
        <w:autoSpaceDE w:val="0"/>
        <w:autoSpaceDN w:val="0"/>
        <w:adjustRightInd w:val="0"/>
        <w:outlineLvl w:val="2"/>
        <w:rPr>
          <w:rFonts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br w:type="page"/>
      </w:r>
      <w:bookmarkStart w:id="36" w:name="_Toc114572560"/>
      <w:r>
        <w:rPr>
          <w:rFonts w:hint="eastAsia" w:ascii="宋体" w:hAnsi="宋体"/>
          <w:color w:val="000000" w:themeColor="text1"/>
          <w:szCs w:val="21"/>
          <w14:textFill>
            <w14:solidFill>
              <w14:schemeClr w14:val="tx1"/>
            </w14:solidFill>
          </w14:textFill>
        </w:rPr>
        <w:t>格式八：投标函</w:t>
      </w:r>
      <w:bookmarkEnd w:id="36"/>
    </w:p>
    <w:p>
      <w:pPr>
        <w:pStyle w:val="8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 标 函</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 xml:space="preserve"> （招标人名称） </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1.根据招标人</w:t>
      </w:r>
      <w:r>
        <w:rPr>
          <w:rFonts w:hint="eastAsia" w:ascii="宋体" w:hAnsi="宋体"/>
          <w:color w:val="000000" w:themeColor="text1"/>
          <w:u w:val="single"/>
          <w14:textFill>
            <w14:solidFill>
              <w14:schemeClr w14:val="tx1"/>
            </w14:solidFill>
          </w14:textFill>
        </w:rPr>
        <w:t xml:space="preserve"> （工程项目名称） </w:t>
      </w:r>
      <w:r>
        <w:rPr>
          <w:rFonts w:hint="eastAsia" w:ascii="宋体" w:hAnsi="宋体"/>
          <w:color w:val="000000" w:themeColor="text1"/>
          <w14:textFill>
            <w14:solidFill>
              <w14:schemeClr w14:val="tx1"/>
            </w14:solidFill>
          </w14:textFill>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2.我方已详细审核全部招标文件，包括修改文件（如有时）及有关附件。</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3.如果我方中标，我方保证按照合同文件中规定的开工日期开始施工，并按规定的预计竣工日期完成和交付全部工程。</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4.如果我方中标，我方承诺在充分考虑场地环境变化及政策性调整等风险因素的前提下，继续补充完善施工组织设计，直至招标人满意为止并加以实施，由此产生的费用已包含在投标报价中。</w:t>
      </w:r>
    </w:p>
    <w:p>
      <w:pPr>
        <w:pStyle w:val="79"/>
        <w:ind w:firstLine="496"/>
        <w:rPr>
          <w:rFonts w:ascii="宋体" w:hAnsi="宋体"/>
          <w:color w:val="000000" w:themeColor="text1"/>
          <w:u w:val="single"/>
          <w14:textFill>
            <w14:solidFill>
              <w14:schemeClr w14:val="tx1"/>
            </w14:solidFill>
          </w14:textFill>
        </w:rPr>
      </w:pPr>
      <w:r>
        <w:rPr>
          <w:rFonts w:hint="eastAsia" w:ascii="宋体" w:hAnsi="宋体"/>
          <w:color w:val="000000" w:themeColor="text1"/>
          <w:u w:val="single"/>
          <w14:textFill>
            <w14:solidFill>
              <w14:schemeClr w14:val="tx1"/>
            </w14:solidFill>
          </w14:textFill>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6.如果我方中标，我方将按照招标文件的规定，按时提交履约担保，以保障本项目优质、优价、按期、顺利完成。</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7.我方同意所提交的投标文件在招标文件投标须知中第15条规定的投标有效期内有效，在此期限届满之前，本投标书始终将对我方具有约束力，并随时接受中标。</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8.在合同协议书正式签署生效之前，本投标书连同你单位的中标通知书将对我方具有约束力。</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9.随同本投标文件，我方已提交人民币</w:t>
      </w:r>
      <w:r>
        <w:rPr>
          <w:rFonts w:hint="eastAsia" w:ascii="宋体" w:hAnsi="宋体"/>
          <w:color w:val="000000" w:themeColor="text1"/>
          <w:u w:val="single"/>
          <w:lang w:val="en-US"/>
          <w14:textFill>
            <w14:solidFill>
              <w14:schemeClr w14:val="tx1"/>
            </w14:solidFill>
          </w14:textFill>
        </w:rPr>
        <w:t xml:space="preserve">   </w:t>
      </w:r>
      <w:r>
        <w:rPr>
          <w:rFonts w:hint="eastAsia" w:ascii="宋体" w:hAnsi="宋体"/>
          <w:color w:val="000000" w:themeColor="text1"/>
          <w14:textFill>
            <w14:solidFill>
              <w14:schemeClr w14:val="tx1"/>
            </w14:solidFill>
          </w14:textFill>
        </w:rPr>
        <w:t>万元的投标担保。如果我方在投标文件有效期内撤回投标文件；或在接到中标通知书后30天内未能或拒绝签订合同协议书；或未能按招标文件要求提交履约担保，你单位有权没收投标保证金，另选中标单位。</w:t>
      </w:r>
    </w:p>
    <w:p>
      <w:pPr>
        <w:pStyle w:val="79"/>
        <w:ind w:firstLine="4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10.我方理解，你单位不一定接受最低标价的投标或你单位接到的其它任何投标。同时也理解，你单位不负担我方的任何投标费用。</w:t>
      </w:r>
    </w:p>
    <w:p>
      <w:pPr>
        <w:pStyle w:val="79"/>
        <w:spacing w:before="240"/>
        <w:ind w:firstLine="691" w:firstLineChars="27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 标 人：（盖章）</w:t>
      </w:r>
    </w:p>
    <w:p>
      <w:pPr>
        <w:pStyle w:val="79"/>
        <w:ind w:firstLine="691" w:firstLineChars="27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pStyle w:val="79"/>
        <w:ind w:firstLine="691" w:firstLineChars="27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    期：    年    月    日</w:t>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r>
        <w:rPr>
          <w:rFonts w:ascii="宋体" w:hAnsi="宋体"/>
          <w:color w:val="000000" w:themeColor="text1"/>
          <w14:textFill>
            <w14:solidFill>
              <w14:schemeClr w14:val="tx1"/>
            </w14:solidFill>
          </w14:textFill>
        </w:rPr>
        <w:br w:type="page"/>
      </w:r>
      <w:bookmarkStart w:id="37" w:name="_Toc114572561"/>
      <w:r>
        <w:rPr>
          <w:rFonts w:hint="eastAsia" w:ascii="宋体" w:hAnsi="宋体"/>
          <w:color w:val="000000" w:themeColor="text1"/>
          <w:spacing w:val="0"/>
          <w:kern w:val="2"/>
          <w:sz w:val="21"/>
          <w:szCs w:val="21"/>
          <w:lang w:val="en-US"/>
          <w14:textFill>
            <w14:solidFill>
              <w14:schemeClr w14:val="tx1"/>
            </w14:solidFill>
          </w14:textFill>
        </w:rPr>
        <w:t>格式九：施工组织设计</w:t>
      </w:r>
      <w:bookmarkEnd w:id="37"/>
    </w:p>
    <w:p>
      <w:pPr>
        <w:topLinePunct/>
        <w:adjustRightInd w:val="0"/>
        <w:snapToGrid w:val="0"/>
        <w:spacing w:line="360" w:lineRule="auto"/>
        <w:jc w:val="center"/>
        <w:rPr>
          <w:rFonts w:eastAsia="黑体"/>
          <w:color w:val="000000" w:themeColor="text1"/>
          <w:spacing w:val="4"/>
          <w:sz w:val="36"/>
          <w:szCs w:val="36"/>
          <w14:textFill>
            <w14:solidFill>
              <w14:schemeClr w14:val="tx1"/>
            </w14:solidFill>
          </w14:textFill>
        </w:rPr>
      </w:pPr>
      <w:r>
        <w:rPr>
          <w:rFonts w:hint="eastAsia" w:ascii="黑体" w:hAnsi="黑体" w:eastAsia="黑体"/>
          <w:color w:val="000000" w:themeColor="text1"/>
          <w:spacing w:val="4"/>
          <w:sz w:val="36"/>
          <w:szCs w:val="36"/>
          <w14:textFill>
            <w14:solidFill>
              <w14:schemeClr w14:val="tx1"/>
            </w14:solidFill>
          </w14:textFill>
        </w:rPr>
        <w:t>施工组织设计</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由投标人有针对性的描述，各部分文字直接简练，不得出现大量宣传性及无实质性意义或直接引用范本照搬照套的文字。</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施工组织设计包括但不限于以下方面内容（格式自拟）：</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一、施工总进度计划</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二、工程重点、难点与施工技术措施</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三、拟投入施工的机械设备、劳务配备情况</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四、调试、送电、验收方案</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五、安全文明施工保证措施</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六、质量及保证措施</w:t>
      </w:r>
    </w:p>
    <w:p>
      <w:pPr>
        <w:topLinePunct/>
        <w:adjustRightInd w:val="0"/>
        <w:snapToGrid w:val="0"/>
        <w:spacing w:line="360" w:lineRule="auto"/>
        <w:ind w:firstLine="498" w:firstLineChars="200"/>
        <w:rPr>
          <w:snapToGrid w:val="0"/>
          <w:color w:val="000000" w:themeColor="text1"/>
          <w:spacing w:val="4"/>
          <w:sz w:val="24"/>
          <w:szCs w:val="24"/>
          <w14:textFill>
            <w14:solidFill>
              <w14:schemeClr w14:val="tx1"/>
            </w14:solidFill>
          </w14:textFill>
        </w:rPr>
      </w:pPr>
      <w:r>
        <w:rPr>
          <w:rFonts w:hint="eastAsia"/>
          <w:b/>
          <w:bCs/>
          <w:snapToGrid w:val="0"/>
          <w:color w:val="000000" w:themeColor="text1"/>
          <w:spacing w:val="4"/>
          <w:sz w:val="24"/>
          <w:szCs w:val="24"/>
          <w14:textFill>
            <w14:solidFill>
              <w14:schemeClr w14:val="tx1"/>
            </w14:solidFill>
          </w14:textFill>
        </w:rPr>
        <w:t>注：须提供详细工期计划、主要施工节点计划和设备材料采购计划。</w:t>
      </w:r>
    </w:p>
    <w:p>
      <w:pPr>
        <w:autoSpaceDE w:val="0"/>
        <w:autoSpaceDN w:val="0"/>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38" w:name="_Toc114572562"/>
      <w:r>
        <w:rPr>
          <w:rFonts w:hint="eastAsia" w:ascii="宋体" w:hAnsi="宋体"/>
          <w:color w:val="000000" w:themeColor="text1"/>
          <w:spacing w:val="0"/>
          <w:kern w:val="2"/>
          <w:sz w:val="21"/>
          <w:szCs w:val="21"/>
          <w:lang w:val="en-US"/>
          <w14:textFill>
            <w14:solidFill>
              <w14:schemeClr w14:val="tx1"/>
            </w14:solidFill>
          </w14:textFill>
        </w:rPr>
        <w:t>格式十：招标文件/合同版本响应承诺书</w:t>
      </w:r>
      <w:bookmarkEnd w:id="38"/>
    </w:p>
    <w:p>
      <w:pPr>
        <w:topLinePunct/>
        <w:adjustRightInd w:val="0"/>
        <w:snapToGrid w:val="0"/>
        <w:spacing w:before="240" w:line="360" w:lineRule="auto"/>
        <w:jc w:val="center"/>
        <w:rPr>
          <w:rFonts w:ascii="黑体" w:hAnsi="黑体" w:eastAsia="黑体"/>
          <w:color w:val="000000" w:themeColor="text1"/>
          <w:spacing w:val="4"/>
          <w:sz w:val="36"/>
          <w:szCs w:val="36"/>
          <w14:textFill>
            <w14:solidFill>
              <w14:schemeClr w14:val="tx1"/>
            </w14:solidFill>
          </w14:textFill>
        </w:rPr>
      </w:pPr>
      <w:r>
        <w:rPr>
          <w:rFonts w:ascii="黑体" w:hAnsi="黑体" w:eastAsia="黑体"/>
          <w:color w:val="000000" w:themeColor="text1"/>
          <w:spacing w:val="4"/>
          <w:sz w:val="36"/>
          <w:szCs w:val="36"/>
          <w14:textFill>
            <w14:solidFill>
              <w14:schemeClr w14:val="tx1"/>
            </w14:solidFill>
          </w14:textFill>
        </w:rPr>
        <w:t>招标文件/合同版本响应承诺书</w:t>
      </w:r>
    </w:p>
    <w:p>
      <w:pPr>
        <w:pStyle w:val="79"/>
        <w:ind w:firstLine="198" w:firstLineChars="80"/>
        <w:jc w:val="center"/>
        <w:rPr>
          <w:color w:val="000000" w:themeColor="text1"/>
          <w14:textFill>
            <w14:solidFill>
              <w14:schemeClr w14:val="tx1"/>
            </w14:solidFill>
          </w14:textFill>
        </w:rPr>
      </w:pPr>
    </w:p>
    <w:p>
      <w:pPr>
        <w:topLinePunct/>
        <w:adjustRightInd w:val="0"/>
        <w:snapToGrid w:val="0"/>
        <w:spacing w:line="360" w:lineRule="auto"/>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致：广东粤海置地发展有限公司（招标人）</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我公司对招标人提供的</w:t>
      </w:r>
      <w:r>
        <w:rPr>
          <w:rFonts w:hint="eastAsia"/>
          <w:snapToGrid w:val="0"/>
          <w:color w:val="000000" w:themeColor="text1"/>
          <w:spacing w:val="4"/>
          <w:sz w:val="24"/>
          <w:szCs w:val="24"/>
          <w:u w:val="single"/>
          <w14:textFill>
            <w14:solidFill>
              <w14:schemeClr w14:val="tx1"/>
            </w14:solidFill>
          </w14:textFill>
        </w:rPr>
        <w:t>云港城项目9#、11#地块永久用电工程施工专业承包</w:t>
      </w:r>
      <w:r>
        <w:rPr>
          <w:rFonts w:hint="eastAsia"/>
          <w:snapToGrid w:val="0"/>
          <w:color w:val="000000" w:themeColor="text1"/>
          <w:spacing w:val="4"/>
          <w:sz w:val="24"/>
          <w:szCs w:val="24"/>
          <w14:textFill>
            <w14:solidFill>
              <w14:schemeClr w14:val="tx1"/>
            </w14:solidFill>
          </w14:textFill>
        </w:rPr>
        <w:t>招标文件及拟签订的合同版本、签约方式均无异议或无意见，完全接受该版本的所有条款，中标后，按此合同版本签订合同。</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投标人（盖章）：</w:t>
      </w: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p>
    <w:p>
      <w:pPr>
        <w:topLinePunct/>
        <w:adjustRightInd w:val="0"/>
        <w:snapToGrid w:val="0"/>
        <w:spacing w:line="360" w:lineRule="auto"/>
        <w:ind w:firstLine="496" w:firstLineChars="200"/>
        <w:rPr>
          <w:snapToGrid w:val="0"/>
          <w:color w:val="000000" w:themeColor="text1"/>
          <w:spacing w:val="4"/>
          <w:sz w:val="24"/>
          <w:szCs w:val="24"/>
          <w14:textFill>
            <w14:solidFill>
              <w14:schemeClr w14:val="tx1"/>
            </w14:solidFill>
          </w14:textFill>
        </w:rPr>
      </w:pPr>
      <w:r>
        <w:rPr>
          <w:rFonts w:hint="eastAsia"/>
          <w:snapToGrid w:val="0"/>
          <w:color w:val="000000" w:themeColor="text1"/>
          <w:spacing w:val="4"/>
          <w:sz w:val="24"/>
          <w:szCs w:val="24"/>
          <w14:textFill>
            <w14:solidFill>
              <w14:schemeClr w14:val="tx1"/>
            </w14:solidFill>
          </w14:textFill>
        </w:rPr>
        <w:t>日期：  年  月  日</w:t>
      </w:r>
    </w:p>
    <w:p>
      <w:pPr>
        <w:autoSpaceDE w:val="0"/>
        <w:autoSpaceDN w:val="0"/>
        <w:adjustRightInd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39" w:name="_Toc114572563"/>
      <w:r>
        <w:rPr>
          <w:rFonts w:hint="eastAsia" w:ascii="宋体" w:hAnsi="宋体"/>
          <w:color w:val="000000" w:themeColor="text1"/>
          <w:spacing w:val="0"/>
          <w:kern w:val="2"/>
          <w:sz w:val="21"/>
          <w:szCs w:val="21"/>
          <w:lang w:val="en-US"/>
          <w14:textFill>
            <w14:solidFill>
              <w14:schemeClr w14:val="tx1"/>
            </w14:solidFill>
          </w14:textFill>
        </w:rPr>
        <w:t>格式十一：投标人完成过的类似项目业绩</w:t>
      </w:r>
      <w:bookmarkEnd w:id="39"/>
    </w:p>
    <w:p>
      <w:pPr>
        <w:spacing w:before="240" w:line="360" w:lineRule="auto"/>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投标人完成过的类似项目业绩</w:t>
      </w:r>
    </w:p>
    <w:tbl>
      <w:tblPr>
        <w:tblStyle w:val="3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1393"/>
        <w:gridCol w:w="1059"/>
        <w:gridCol w:w="955"/>
        <w:gridCol w:w="910"/>
        <w:gridCol w:w="965"/>
        <w:gridCol w:w="910"/>
        <w:gridCol w:w="1134"/>
        <w:gridCol w:w="10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442"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序号</w:t>
            </w:r>
          </w:p>
        </w:tc>
        <w:tc>
          <w:tcPr>
            <w:tcW w:w="1393"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合同工程名称</w:t>
            </w:r>
          </w:p>
        </w:tc>
        <w:tc>
          <w:tcPr>
            <w:tcW w:w="1059"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合同金额（万元）</w:t>
            </w:r>
          </w:p>
        </w:tc>
        <w:tc>
          <w:tcPr>
            <w:tcW w:w="955"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工程类别</w:t>
            </w:r>
          </w:p>
        </w:tc>
        <w:tc>
          <w:tcPr>
            <w:tcW w:w="910"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竣工时间</w:t>
            </w:r>
          </w:p>
        </w:tc>
        <w:tc>
          <w:tcPr>
            <w:tcW w:w="965"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项目经理</w:t>
            </w:r>
          </w:p>
        </w:tc>
        <w:tc>
          <w:tcPr>
            <w:tcW w:w="910"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工程地点</w:t>
            </w:r>
          </w:p>
        </w:tc>
        <w:tc>
          <w:tcPr>
            <w:tcW w:w="1134"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建设单位及联系方式</w:t>
            </w:r>
          </w:p>
        </w:tc>
        <w:tc>
          <w:tcPr>
            <w:tcW w:w="1094"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项目规模重要指标描述</w:t>
            </w:r>
          </w:p>
        </w:tc>
        <w:tc>
          <w:tcPr>
            <w:tcW w:w="668" w:type="dxa"/>
            <w:vAlign w:val="center"/>
          </w:tcPr>
          <w:p>
            <w:pPr>
              <w:pStyle w:val="96"/>
              <w:snapToGrid w:val="0"/>
              <w:jc w:val="center"/>
              <w:rPr>
                <w:color w:val="000000" w:themeColor="text1"/>
                <w:sz w:val="21"/>
                <w:szCs w:val="18"/>
                <w14:textFill>
                  <w14:solidFill>
                    <w14:schemeClr w14:val="tx1"/>
                  </w14:solidFill>
                </w14:textFill>
              </w:rPr>
            </w:pPr>
            <w:r>
              <w:rPr>
                <w:rFonts w:hint="eastAsia"/>
                <w:color w:val="000000" w:themeColor="text1"/>
                <w:sz w:val="21"/>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1</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2</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3</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4</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5</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2" w:type="dxa"/>
            <w:vAlign w:val="center"/>
          </w:tcPr>
          <w:p>
            <w:pPr>
              <w:pStyle w:val="96"/>
              <w:snapToGrid w:val="0"/>
              <w:spacing w:after="200" w:line="300" w:lineRule="auto"/>
              <w:jc w:val="center"/>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w:t>
            </w:r>
          </w:p>
        </w:tc>
        <w:tc>
          <w:tcPr>
            <w:tcW w:w="1393"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59"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5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65"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910"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13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1094" w:type="dxa"/>
            <w:vAlign w:val="center"/>
          </w:tcPr>
          <w:p>
            <w:pPr>
              <w:pStyle w:val="96"/>
              <w:snapToGrid w:val="0"/>
              <w:spacing w:after="200" w:line="300" w:lineRule="auto"/>
              <w:jc w:val="center"/>
              <w:rPr>
                <w:color w:val="000000" w:themeColor="text1"/>
                <w:szCs w:val="22"/>
                <w14:textFill>
                  <w14:solidFill>
                    <w14:schemeClr w14:val="tx1"/>
                  </w14:solidFill>
                </w14:textFill>
              </w:rPr>
            </w:pPr>
          </w:p>
        </w:tc>
        <w:tc>
          <w:tcPr>
            <w:tcW w:w="668" w:type="dxa"/>
            <w:vAlign w:val="center"/>
          </w:tcPr>
          <w:p>
            <w:pPr>
              <w:pStyle w:val="96"/>
              <w:snapToGrid w:val="0"/>
              <w:spacing w:after="200" w:line="300" w:lineRule="auto"/>
              <w:jc w:val="center"/>
              <w:rPr>
                <w:color w:val="000000" w:themeColor="text1"/>
                <w:szCs w:val="22"/>
                <w14:textFill>
                  <w14:solidFill>
                    <w14:schemeClr w14:val="tx1"/>
                  </w14:solidFill>
                </w14:textFill>
              </w:rPr>
            </w:pPr>
          </w:p>
        </w:tc>
      </w:tr>
    </w:tbl>
    <w:p>
      <w:pPr>
        <w:spacing w:line="360" w:lineRule="auto"/>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注：提供投标人自2018年1月1日至今完成过质量合格的类似工程业绩（</w:t>
      </w:r>
      <w:r>
        <w:rPr>
          <w:rFonts w:hint="eastAsia" w:ascii="宋体" w:hAnsi="宋体" w:cs="宋体"/>
          <w:color w:val="000000" w:themeColor="text1"/>
          <w:szCs w:val="21"/>
          <w14:textFill>
            <w14:solidFill>
              <w14:schemeClr w14:val="tx1"/>
            </w14:solidFill>
          </w14:textFill>
        </w:rPr>
        <w:t>类似工程业绩是指电压等级为10kV或以上的且单项合同金额</w:t>
      </w:r>
      <w:r>
        <w:rPr>
          <w:rFonts w:hint="eastAsia" w:ascii="宋体" w:hAnsi="宋体" w:cs="宋体"/>
          <w:color w:val="000000" w:themeColor="text1"/>
          <w:szCs w:val="21"/>
          <w:u w:val="single"/>
          <w14:textFill>
            <w14:solidFill>
              <w14:schemeClr w14:val="tx1"/>
            </w14:solidFill>
          </w14:textFill>
        </w:rPr>
        <w:t>1500</w:t>
      </w:r>
      <w:r>
        <w:rPr>
          <w:rFonts w:hint="eastAsia" w:ascii="宋体" w:hAnsi="宋体" w:cs="宋体"/>
          <w:color w:val="000000" w:themeColor="text1"/>
          <w:szCs w:val="21"/>
          <w14:textFill>
            <w14:solidFill>
              <w14:schemeClr w14:val="tx1"/>
            </w14:solidFill>
          </w14:textFill>
        </w:rPr>
        <w:t>万元或以上电力施工工程业绩</w:t>
      </w:r>
      <w:r>
        <w:rPr>
          <w:rFonts w:hint="eastAsia" w:ascii="宋体" w:hAnsi="宋体"/>
          <w:color w:val="000000" w:themeColor="text1"/>
          <w14:textFill>
            <w14:solidFill>
              <w14:schemeClr w14:val="tx1"/>
            </w14:solidFill>
          </w14:textFill>
        </w:rPr>
        <w:t>）。</w:t>
      </w:r>
    </w:p>
    <w:p>
      <w:pPr>
        <w:tabs>
          <w:tab w:val="left" w:pos="720"/>
        </w:tabs>
        <w:snapToGrid w:val="0"/>
        <w:spacing w:line="360" w:lineRule="auto"/>
        <w:ind w:firstLine="283" w:firstLineChars="135"/>
        <w:jc w:val="lef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szCs w:val="21"/>
          <w14:textFill>
            <w14:solidFill>
              <w14:schemeClr w14:val="tx1"/>
            </w14:solidFill>
          </w14:textFill>
        </w:rPr>
        <w:t>业绩需同时提供施工合同关键页、质量验收资料关键页或业主方证明扫描件</w:t>
      </w:r>
      <w:r>
        <w:rPr>
          <w:rFonts w:hint="eastAsia" w:ascii="宋体" w:hAnsi="宋体"/>
          <w:color w:val="000000" w:themeColor="text1"/>
          <w:szCs w:val="21"/>
          <w14:textFill>
            <w14:solidFill>
              <w14:schemeClr w14:val="tx1"/>
            </w14:solidFill>
          </w14:textFill>
        </w:rPr>
        <w:t>（业主方证明文件须具有业主方盖章）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如上述资料不能证明电压等级，须另提供可证明电压等级的其他资料。</w:t>
      </w:r>
    </w:p>
    <w:p>
      <w:pPr>
        <w:tabs>
          <w:tab w:val="left" w:pos="720"/>
        </w:tabs>
        <w:snapToGrid w:val="0"/>
        <w:spacing w:line="360" w:lineRule="auto"/>
        <w:ind w:firstLine="283" w:firstLineChars="135"/>
        <w:jc w:val="left"/>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2）完成时间以质量验收记录时间为准或业主方证明时间</w:t>
      </w:r>
      <w:r>
        <w:rPr>
          <w:rFonts w:hint="eastAsia" w:asciiTheme="minorEastAsia" w:hAnsiTheme="minorEastAsia" w:eastAsiaTheme="minorEastAsia"/>
          <w:color w:val="000000" w:themeColor="text1"/>
          <w:szCs w:val="21"/>
          <w14:textFill>
            <w14:solidFill>
              <w14:schemeClr w14:val="tx1"/>
            </w14:solidFill>
          </w14:textFill>
        </w:rPr>
        <w:t>为准。验收记录至少具有建设单位（或监理）、施工单位盖章。</w:t>
      </w:r>
    </w:p>
    <w:p>
      <w:pPr>
        <w:tabs>
          <w:tab w:val="left" w:pos="720"/>
        </w:tabs>
        <w:snapToGrid w:val="0"/>
        <w:spacing w:line="360" w:lineRule="auto"/>
        <w:ind w:firstLine="283" w:firstLineChars="135"/>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单独发包的电力工程：业绩金额以中标通知书为准，中标通知书上没有金额或免招标的，以施工合同（不含补充合同）为准。如中标通知书与施工合同均不能单独体现电力工程金额，投标人须提供载明电力工程业绩金额的相关证明材料。</w:t>
      </w:r>
    </w:p>
    <w:p>
      <w:pPr>
        <w:pStyle w:val="2"/>
        <w:spacing w:line="360" w:lineRule="auto"/>
        <w:ind w:firstLine="283" w:firstLineChars="135"/>
        <w:jc w:val="left"/>
        <w:rPr>
          <w:rFonts w:asciiTheme="minorEastAsia" w:hAnsiTheme="minorEastAsia" w:eastAsia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w:t>
      </w:r>
      <w:r>
        <w:rPr>
          <w:rFonts w:asciiTheme="minorEastAsia" w:hAnsiTheme="minorEastAsia" w:eastAsiaTheme="minorEastAsia"/>
          <w:color w:val="000000" w:themeColor="text1"/>
          <w:sz w:val="21"/>
          <w:szCs w:val="21"/>
          <w:lang w:val="en-US"/>
          <w14:textFill>
            <w14:solidFill>
              <w14:schemeClr w14:val="tx1"/>
            </w14:solidFill>
          </w14:textFill>
        </w:rPr>
        <w:t>4</w:t>
      </w:r>
      <w:r>
        <w:rPr>
          <w:rFonts w:hint="eastAsia" w:asciiTheme="minorEastAsia" w:hAnsiTheme="minorEastAsia" w:eastAsiaTheme="minorEastAsia"/>
          <w:color w:val="000000" w:themeColor="text1"/>
          <w:sz w:val="21"/>
          <w:szCs w:val="21"/>
          <w:lang w:val="en-US"/>
          <w14:textFill>
            <w14:solidFill>
              <w14:schemeClr w14:val="tx1"/>
            </w14:solidFill>
          </w14:textFill>
        </w:rPr>
        <w:t>）总承包依法分包电力工程：业绩金额以分包合同中约定的合同金额为准。</w:t>
      </w:r>
    </w:p>
    <w:p>
      <w:pPr>
        <w:pStyle w:val="2"/>
        <w:spacing w:line="360" w:lineRule="auto"/>
        <w:ind w:firstLine="283" w:firstLineChars="135"/>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w:t>
      </w:r>
      <w:r>
        <w:rPr>
          <w:rFonts w:asciiTheme="minorEastAsia" w:hAnsiTheme="minorEastAsia" w:eastAsiaTheme="minorEastAsia"/>
          <w:color w:val="000000" w:themeColor="text1"/>
          <w:sz w:val="21"/>
          <w:szCs w:val="21"/>
          <w:lang w:val="en-US"/>
          <w14:textFill>
            <w14:solidFill>
              <w14:schemeClr w14:val="tx1"/>
            </w14:solidFill>
          </w14:textFill>
        </w:rPr>
        <w:t>5</w:t>
      </w:r>
      <w:r>
        <w:rPr>
          <w:rFonts w:hint="eastAsia" w:asciiTheme="minorEastAsia" w:hAnsiTheme="minorEastAsia" w:eastAsiaTheme="minorEastAsia"/>
          <w:color w:val="000000" w:themeColor="text1"/>
          <w:sz w:val="21"/>
          <w:szCs w:val="21"/>
          <w:lang w:val="en-US"/>
          <w14:textFill>
            <w14:solidFill>
              <w14:schemeClr w14:val="tx1"/>
            </w14:solidFill>
          </w14:textFill>
        </w:rPr>
        <w:t>）施工总承包（含电力）工程：业绩金额以总承包施工合同载明的电力工程金额为准，如施工合同不能单独体现电力工程金额，投标人须提供载明电力工程业绩金额的相关证明材料；投标人需提供子分部工程质量验收记录或业主证明扫描件证明该施工总承包工程业绩中电力工程为投标人完成。</w:t>
      </w:r>
    </w:p>
    <w:p>
      <w:pPr>
        <w:widowControl/>
        <w:adjustRightInd w:val="0"/>
        <w:snapToGrid w:val="0"/>
        <w:spacing w:line="360" w:lineRule="auto"/>
        <w:ind w:right="46" w:rightChars="22" w:firstLine="283" w:firstLineChars="135"/>
        <w:jc w:val="left"/>
        <w:rPr>
          <w:rFonts w:ascii="宋体" w:hAnsi="宋体"/>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）不符合上述要求的业绩证明资料，该项业绩不予认定</w:t>
      </w:r>
      <w:r>
        <w:rPr>
          <w:rFonts w:hint="eastAsia" w:ascii="宋体" w:hAnsi="宋体"/>
          <w:color w:val="000000" w:themeColor="text1"/>
          <w14:textFill>
            <w14:solidFill>
              <w14:schemeClr w14:val="tx1"/>
            </w14:solidFill>
          </w14:textFill>
        </w:rPr>
        <w:t>。</w:t>
      </w:r>
    </w:p>
    <w:p>
      <w:pPr>
        <w:widowControl/>
        <w:adjustRightInd w:val="0"/>
        <w:snapToGrid w:val="0"/>
        <w:spacing w:line="360" w:lineRule="auto"/>
        <w:ind w:right="46" w:rightChars="22" w:firstLine="283" w:firstLineChars="135"/>
        <w:jc w:val="left"/>
        <w:rPr>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）投标文件中提供不超过5项。超过5项的,按序号顺序选择符合要求的前5项作为定标参考资料。</w:t>
      </w:r>
    </w:p>
    <w:p>
      <w:pPr>
        <w:spacing w:line="360" w:lineRule="auto"/>
        <w:ind w:firstLine="4819" w:firstLineChars="2295"/>
        <w:jc w:val="left"/>
        <w:rPr>
          <w:rFonts w:ascii="宋体" w:hAnsi="宋体"/>
          <w:color w:val="000000" w:themeColor="text1"/>
          <w14:textFill>
            <w14:solidFill>
              <w14:schemeClr w14:val="tx1"/>
            </w14:solidFill>
          </w14:textFill>
        </w:rPr>
      </w:pPr>
    </w:p>
    <w:p>
      <w:pPr>
        <w:spacing w:line="360" w:lineRule="auto"/>
        <w:ind w:firstLine="4819" w:firstLineChars="229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投标人（盖章）：</w:t>
      </w:r>
    </w:p>
    <w:p>
      <w:pPr>
        <w:spacing w:line="360" w:lineRule="auto"/>
        <w:ind w:firstLine="4819" w:firstLineChars="229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法定代表人或授权代表（签字或盖章）：</w:t>
      </w:r>
    </w:p>
    <w:p>
      <w:pPr>
        <w:wordWrap w:val="0"/>
        <w:spacing w:line="360" w:lineRule="auto"/>
        <w:ind w:firstLine="4819" w:firstLineChars="2295"/>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   年   月   日</w:t>
      </w:r>
    </w:p>
    <w:p>
      <w:pPr>
        <w:autoSpaceDE w:val="0"/>
        <w:autoSpaceDN w:val="0"/>
        <w:adjustRightInd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0" w:name="_Toc114572564"/>
      <w:r>
        <w:rPr>
          <w:rFonts w:hint="eastAsia" w:ascii="宋体" w:hAnsi="宋体"/>
          <w:color w:val="000000" w:themeColor="text1"/>
          <w:spacing w:val="0"/>
          <w:kern w:val="2"/>
          <w:sz w:val="21"/>
          <w:szCs w:val="21"/>
          <w:lang w:val="en-US"/>
          <w14:textFill>
            <w14:solidFill>
              <w14:schemeClr w14:val="tx1"/>
            </w14:solidFill>
          </w14:textFill>
        </w:rPr>
        <w:t>格式十二：</w:t>
      </w:r>
      <w:bookmarkEnd w:id="40"/>
      <w:r>
        <w:rPr>
          <w:rFonts w:hint="eastAsia" w:ascii="宋体" w:hAnsi="宋体"/>
          <w:color w:val="000000" w:themeColor="text1"/>
          <w:spacing w:val="0"/>
          <w:kern w:val="2"/>
          <w:sz w:val="21"/>
          <w:szCs w:val="21"/>
          <w:lang w:val="en-US"/>
          <w14:textFill>
            <w14:solidFill>
              <w14:schemeClr w14:val="tx1"/>
            </w14:solidFill>
          </w14:textFill>
        </w:rPr>
        <w:t>企业信誉（如有）</w:t>
      </w:r>
    </w:p>
    <w:p>
      <w:pPr>
        <w:rPr>
          <w:color w:val="000000" w:themeColor="text1"/>
          <w14:textFill>
            <w14:solidFill>
              <w14:schemeClr w14:val="tx1"/>
            </w14:solidFill>
          </w14:textFill>
        </w:rPr>
      </w:pPr>
    </w:p>
    <w:p>
      <w:pPr>
        <w:pStyle w:val="79"/>
        <w:spacing w:line="480" w:lineRule="auto"/>
        <w:ind w:firstLine="840" w:firstLineChars="350"/>
        <w:rPr>
          <w:rFonts w:ascii="宋体" w:hAnsi="宋体"/>
          <w:color w:val="000000" w:themeColor="text1"/>
          <w:spacing w:val="0"/>
          <w:kern w:val="2"/>
          <w:szCs w:val="21"/>
          <w:lang w:val="en-US"/>
          <w14:textFill>
            <w14:solidFill>
              <w14:schemeClr w14:val="tx1"/>
            </w14:solidFill>
          </w14:textFill>
        </w:rPr>
      </w:pPr>
      <w:r>
        <w:rPr>
          <w:rFonts w:hint="eastAsia" w:ascii="宋体" w:hAnsi="宋体"/>
          <w:color w:val="000000" w:themeColor="text1"/>
          <w:spacing w:val="0"/>
          <w:kern w:val="2"/>
          <w:szCs w:val="21"/>
          <w:lang w:val="en-US"/>
          <w14:textFill>
            <w14:solidFill>
              <w14:schemeClr w14:val="tx1"/>
            </w14:solidFill>
          </w14:textFill>
        </w:rPr>
        <w:t>提供有效期内的ISO9001质量管理体系认证、ISO14001环境管理体系认证、ISO45001职业健康安全管理体系认证扫描件证明材料。</w:t>
      </w:r>
    </w:p>
    <w:p>
      <w:pPr>
        <w:pStyle w:val="97"/>
        <w:rPr>
          <w:color w:val="000000" w:themeColor="text1"/>
          <w14:textFill>
            <w14:solidFill>
              <w14:schemeClr w14:val="tx1"/>
            </w14:solidFill>
          </w14:textFill>
        </w:rPr>
      </w:pPr>
    </w:p>
    <w:p>
      <w:pPr>
        <w:pStyle w:val="97"/>
        <w:rPr>
          <w:color w:val="000000" w:themeColor="text1"/>
          <w14:textFill>
            <w14:solidFill>
              <w14:schemeClr w14:val="tx1"/>
            </w14:solidFill>
          </w14:textFill>
        </w:rPr>
        <w:sectPr>
          <w:pgSz w:w="11907" w:h="16839"/>
          <w:pgMar w:top="1134" w:right="1134" w:bottom="1134" w:left="1134" w:header="1134" w:footer="737" w:gutter="0"/>
          <w:cols w:space="720" w:num="1"/>
          <w:docGrid w:linePitch="380" w:charSpace="-4301"/>
        </w:sectPr>
      </w:pP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1" w:name="_Toc114572565"/>
      <w:bookmarkStart w:id="42" w:name="_Toc9143"/>
      <w:r>
        <w:rPr>
          <w:rFonts w:hint="eastAsia" w:ascii="宋体" w:hAnsi="宋体"/>
          <w:color w:val="000000" w:themeColor="text1"/>
          <w:spacing w:val="0"/>
          <w:kern w:val="2"/>
          <w:sz w:val="21"/>
          <w:szCs w:val="21"/>
          <w:lang w:val="en-US"/>
          <w14:textFill>
            <w14:solidFill>
              <w14:schemeClr w14:val="tx1"/>
            </w14:solidFill>
          </w14:textFill>
        </w:rPr>
        <w:t>格式十三：承诺书</w:t>
      </w:r>
      <w:bookmarkEnd w:id="41"/>
    </w:p>
    <w:p>
      <w:pPr>
        <w:pStyle w:val="86"/>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承  诺  书</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经详细阅读本工程招标文件、招标答疑纪要和踏勘现场，我司已理解招标人对本招标项目工程管理的高标准及工期的严格要求，在此，我司郑重作出以下承诺：</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一、我司已按投标须知</w:t>
      </w:r>
      <w:r>
        <w:rPr>
          <w:rFonts w:hint="eastAsia" w:ascii="宋体" w:hAnsi="宋体"/>
          <w:color w:val="000000" w:themeColor="text1"/>
          <w:spacing w:val="0"/>
          <w:sz w:val="21"/>
          <w:szCs w:val="21"/>
          <w:u w:val="single"/>
          <w14:textFill>
            <w14:solidFill>
              <w14:schemeClr w14:val="tx1"/>
            </w14:solidFill>
          </w14:textFill>
        </w:rPr>
        <w:t>第5条</w:t>
      </w:r>
      <w:r>
        <w:rPr>
          <w:rFonts w:hint="eastAsia" w:ascii="宋体" w:hAnsi="宋体"/>
          <w:color w:val="000000" w:themeColor="text1"/>
          <w:spacing w:val="0"/>
          <w:sz w:val="21"/>
          <w:szCs w:val="21"/>
          <w14:textFill>
            <w14:solidFill>
              <w14:schemeClr w14:val="tx1"/>
            </w14:solidFill>
          </w14:textFill>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四、经认真进行市场调查，我司承诺本招标项目材料、设备来源有保证，可按投标承诺及时组织到货，无需代换，图纸、资料和设计文件中所要求的条件我司全部能够满足。</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五、</w:t>
      </w:r>
      <w:r>
        <w:rPr>
          <w:rFonts w:hint="eastAsia" w:ascii="宋体" w:hAnsi="宋体"/>
          <w:color w:val="000000" w:themeColor="text1"/>
          <w:spacing w:val="0"/>
          <w:position w:val="2"/>
          <w:sz w:val="21"/>
          <w:szCs w:val="21"/>
          <w14:textFill>
            <w14:solidFill>
              <w14:schemeClr w14:val="tx1"/>
            </w14:solidFill>
          </w14:textFill>
        </w:rPr>
        <w:t>鉴于本工程的重要性、复杂性和工期的紧迫性，为确保按时、按质完成本工程的施工任务，</w:t>
      </w:r>
      <w:r>
        <w:rPr>
          <w:rStyle w:val="39"/>
          <w:rFonts w:ascii="宋体" w:hAnsi="宋体"/>
          <w:color w:val="000000" w:themeColor="text1"/>
          <w:spacing w:val="0"/>
          <w:sz w:val="21"/>
          <w:szCs w:val="21"/>
          <w14:textFill>
            <w14:solidFill>
              <w14:schemeClr w14:val="tx1"/>
            </w14:solidFill>
          </w14:textFill>
        </w:rPr>
        <w:t>我司</w:t>
      </w:r>
      <w:r>
        <w:rPr>
          <w:rFonts w:hint="eastAsia" w:ascii="宋体" w:hAnsi="宋体"/>
          <w:color w:val="000000" w:themeColor="text1"/>
          <w:spacing w:val="0"/>
          <w:position w:val="2"/>
          <w:sz w:val="21"/>
          <w:szCs w:val="21"/>
          <w14:textFill>
            <w14:solidFill>
              <w14:schemeClr w14:val="tx1"/>
            </w14:solidFill>
          </w14:textFill>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position w:val="2"/>
          <w:sz w:val="21"/>
          <w:szCs w:val="21"/>
          <w14:textFill>
            <w14:solidFill>
              <w14:schemeClr w14:val="tx1"/>
            </w14:solidFill>
          </w14:textFill>
        </w:rPr>
        <w:t>六</w:t>
      </w:r>
      <w:r>
        <w:rPr>
          <w:rFonts w:hint="eastAsia" w:ascii="宋体" w:hAnsi="宋体"/>
          <w:color w:val="000000" w:themeColor="text1"/>
          <w:spacing w:val="0"/>
          <w:sz w:val="21"/>
          <w:szCs w:val="21"/>
          <w14:textFill>
            <w14:solidFill>
              <w14:schemeClr w14:val="tx1"/>
            </w14:solidFill>
          </w14:textFill>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配合总承包单位，不提出任何违反招标文件合同条款精神的任何书面要求和疑问；</w:t>
      </w:r>
      <w:r>
        <w:rPr>
          <w:rFonts w:hint="eastAsia" w:ascii="宋体" w:hAnsi="宋体"/>
          <w:b/>
          <w:color w:val="000000" w:themeColor="text1"/>
          <w:spacing w:val="0"/>
          <w:sz w:val="21"/>
          <w:szCs w:val="21"/>
          <w14:textFill>
            <w14:solidFill>
              <w14:schemeClr w14:val="tx1"/>
            </w14:solidFill>
          </w14:textFill>
        </w:rPr>
        <w:t>保证按合同条款的要求开具工程建设资金监管账户</w:t>
      </w:r>
      <w:r>
        <w:rPr>
          <w:rFonts w:hint="eastAsia" w:ascii="宋体" w:hAnsi="宋体"/>
          <w:color w:val="000000" w:themeColor="text1"/>
          <w:spacing w:val="0"/>
          <w:sz w:val="21"/>
          <w:szCs w:val="21"/>
          <w14:textFill>
            <w14:solidFill>
              <w14:schemeClr w14:val="tx1"/>
            </w14:solidFill>
          </w14:textFill>
        </w:rPr>
        <w:t>，否则，同意被视为自动放弃中标，由招标人没收我司提交的投标保证金，对由此造成的后果由我司承担相应的法律责任。</w:t>
      </w:r>
    </w:p>
    <w:p>
      <w:pPr>
        <w:pStyle w:val="79"/>
        <w:ind w:firstLine="420"/>
        <w:rPr>
          <w:rFonts w:ascii="宋体" w:hAnsi="宋体"/>
          <w:bCs/>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七、我司保证本工程文明施工和职业健康安全管理方案完全满足国家、省、市政府、主管部门颁布的安全生产规程与规定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pPr>
        <w:pStyle w:val="79"/>
        <w:ind w:firstLine="420"/>
        <w:rPr>
          <w:rFonts w:ascii="宋体" w:hAnsi="宋体"/>
          <w:bCs/>
          <w:color w:val="000000" w:themeColor="text1"/>
          <w:spacing w:val="0"/>
          <w:sz w:val="21"/>
          <w:szCs w:val="21"/>
          <w14:textFill>
            <w14:solidFill>
              <w14:schemeClr w14:val="tx1"/>
            </w14:solidFill>
          </w14:textFill>
        </w:rPr>
      </w:pPr>
      <w:r>
        <w:rPr>
          <w:rFonts w:hint="eastAsia" w:ascii="宋体" w:hAnsi="宋体"/>
          <w:bCs/>
          <w:color w:val="000000" w:themeColor="text1"/>
          <w:spacing w:val="0"/>
          <w:sz w:val="21"/>
          <w:szCs w:val="21"/>
          <w14:textFill>
            <w14:solidFill>
              <w14:schemeClr w14:val="tx1"/>
            </w14:solidFill>
          </w14:textFill>
        </w:rPr>
        <w:t>八、</w:t>
      </w:r>
      <w:r>
        <w:rPr>
          <w:rFonts w:hint="eastAsia" w:ascii="宋体" w:hAnsi="宋体"/>
          <w:color w:val="000000" w:themeColor="text1"/>
          <w:spacing w:val="0"/>
          <w:sz w:val="21"/>
          <w:szCs w:val="21"/>
          <w14:textFill>
            <w14:solidFill>
              <w14:schemeClr w14:val="tx1"/>
            </w14:solidFill>
          </w14:textFill>
        </w:rPr>
        <w:t>我司保证本工程竣工验收、竣工资料和竣工备案管理完全符合国家、省、市政府、主管部门颁布的竣工验收和档案管理各项规定及招标文件中提出的各项管理要求。</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九、我司保证在本项目投标中不存在围标、串标等违法、违规行为，如经招标监管部门查实存在上述行为，我司同意由招标人没收我司提交的投标保证金，并对由此造成的后果承担相应的法律责任。</w:t>
      </w:r>
    </w:p>
    <w:p>
      <w:pPr>
        <w:pStyle w:val="79"/>
        <w:ind w:firstLine="420"/>
        <w:rPr>
          <w:rFonts w:ascii="宋体" w:hAnsi="宋体"/>
          <w:bCs/>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十、如果我司中标，我司保证实际投入本项目的人员、材料、机械、设备与我司递交的投标文件</w:t>
      </w:r>
      <w:r>
        <w:rPr>
          <w:rFonts w:hint="eastAsia" w:ascii="宋体" w:hAnsi="宋体"/>
          <w:bCs/>
          <w:color w:val="000000" w:themeColor="text1"/>
          <w:spacing w:val="0"/>
          <w:sz w:val="21"/>
          <w:szCs w:val="21"/>
          <w14:textFill>
            <w14:solidFill>
              <w14:schemeClr w14:val="tx1"/>
            </w14:solidFill>
          </w14:textFill>
        </w:rPr>
        <w:t>一致，且不低于本项目招标文件的要求，并保证本项目管理机构人员[包括但不限于项目负责人（项目经理）、项目总工]在进场前准时参加招标人组织的面</w:t>
      </w:r>
      <w:r>
        <w:rPr>
          <w:rFonts w:hint="eastAsia" w:ascii="宋体" w:hAnsi="宋体"/>
          <w:color w:val="000000" w:themeColor="text1"/>
          <w:spacing w:val="0"/>
          <w:sz w:val="21"/>
          <w:szCs w:val="21"/>
          <w14:textFill>
            <w14:solidFill>
              <w14:schemeClr w14:val="tx1"/>
            </w14:solidFill>
          </w14:textFill>
        </w:rPr>
        <w:t>试考核。若不满足招标文件要求或考核不通过，我司承诺无条件按招标人的要求进行更换，直至招标人满意为止。</w:t>
      </w:r>
      <w:r>
        <w:rPr>
          <w:rFonts w:hint="eastAsia" w:ascii="宋体" w:hAnsi="宋体"/>
          <w:bCs/>
          <w:color w:val="000000" w:themeColor="text1"/>
          <w:spacing w:val="0"/>
          <w:sz w:val="21"/>
          <w:szCs w:val="21"/>
          <w14:textFill>
            <w14:solidFill>
              <w14:schemeClr w14:val="tx1"/>
            </w14:solidFill>
          </w14:textFill>
        </w:rPr>
        <w:t>经招标人和总监理工程师考核，我司未按投标文件投入项目管理机构人员或经过更换后的人员不能满足本项目要求的，</w:t>
      </w:r>
      <w:r>
        <w:rPr>
          <w:rFonts w:hint="eastAsia" w:ascii="宋体" w:hAnsi="宋体"/>
          <w:color w:val="000000" w:themeColor="text1"/>
          <w:spacing w:val="0"/>
          <w:sz w:val="21"/>
          <w:szCs w:val="21"/>
          <w14:textFill>
            <w14:solidFill>
              <w14:schemeClr w14:val="tx1"/>
            </w14:solidFill>
          </w14:textFill>
        </w:rPr>
        <w:t>我司承诺</w:t>
      </w:r>
      <w:r>
        <w:rPr>
          <w:rFonts w:hint="eastAsia" w:ascii="宋体" w:hAnsi="宋体"/>
          <w:bCs/>
          <w:color w:val="000000" w:themeColor="text1"/>
          <w:spacing w:val="0"/>
          <w:sz w:val="21"/>
          <w:szCs w:val="21"/>
          <w14:textFill>
            <w14:solidFill>
              <w14:schemeClr w14:val="tx1"/>
            </w14:solidFill>
          </w14:textFill>
        </w:rPr>
        <w:t>除无条件按招标人的要求更换外，还应按合同约定的金额向招标人支付违约金。</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一、如果我司中标，我司承诺按合同工期、质量、安全等要求完成合同任务，如出现工期、质量、安全等不满足合同要求，或出现招标人认为必要的其他情形，我司除按照合同约定承担有关违约责任外，招标人有权视现场情况要求我司法定代表人或法定代表人的授权委托人驻场办公，直至招标人同意退场为止；我司也无条件同意：招标人可要求提前解除合同或将我司承包的部分工程另行委托第三方实施。</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十二、如果我司中标，对招标人、监理人为确保工程质量管理和工程进度而下达的调整项目经理部组成人员的指令、通知，我司承诺无条件地在限期内执行并调整到位。</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三、我司承诺按招标效果图、招标技术文件要求、招标图纸及推荐品牌等选用本工程材料、设备，我司报价已综合考虑招标效果图、招标技术文件要求、招标图纸及推荐品牌等的相关要求；如我司中标本项目，在报招标人同意后方用于本工程。</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十四、我司承诺投标报价已充分考虑本项目工期、施工特殊要求等涉及的相关费用。</w:t>
      </w:r>
    </w:p>
    <w:p>
      <w:pPr>
        <w:pStyle w:val="79"/>
        <w:ind w:firstLine="420"/>
        <w:rPr>
          <w:rFonts w:ascii="宋体" w:hAnsi="宋体"/>
          <w:color w:val="000000" w:themeColor="text1"/>
          <w:spacing w:val="0"/>
          <w:sz w:val="21"/>
          <w:szCs w:val="21"/>
          <w14:textFill>
            <w14:solidFill>
              <w14:schemeClr w14:val="tx1"/>
            </w14:solidFill>
          </w14:textFill>
        </w:rPr>
      </w:pPr>
      <w:r>
        <w:rPr>
          <w:rFonts w:hint="eastAsia" w:ascii="宋体" w:hAnsi="宋体"/>
          <w:color w:val="000000" w:themeColor="text1"/>
          <w:spacing w:val="0"/>
          <w:sz w:val="21"/>
          <w:szCs w:val="21"/>
          <w14:textFill>
            <w14:solidFill>
              <w14:schemeClr w14:val="tx1"/>
            </w14:solidFill>
          </w14:textFill>
        </w:rPr>
        <w:t>十五、如果我司中标，我司承诺采用正版计价软件计价、并提供与投标金额完全一致的正版计价软件的备份文件。</w:t>
      </w:r>
    </w:p>
    <w:p>
      <w:pPr>
        <w:pStyle w:val="79"/>
        <w:ind w:firstLine="3480" w:firstLineChars="1450"/>
        <w:rPr>
          <w:rFonts w:ascii="宋体" w:hAnsi="宋体"/>
          <w:color w:val="000000" w:themeColor="text1"/>
          <w:spacing w:val="0"/>
          <w14:textFill>
            <w14:solidFill>
              <w14:schemeClr w14:val="tx1"/>
            </w14:solidFill>
          </w14:textFill>
        </w:rPr>
      </w:pPr>
      <w:r>
        <w:rPr>
          <w:rFonts w:hint="eastAsia" w:ascii="宋体" w:hAnsi="宋体"/>
          <w:color w:val="000000" w:themeColor="text1"/>
          <w:spacing w:val="0"/>
          <w14:textFill>
            <w14:solidFill>
              <w14:schemeClr w14:val="tx1"/>
            </w14:solidFill>
          </w14:textFill>
        </w:rPr>
        <w:t>投标人：　　（盖章）</w:t>
      </w:r>
    </w:p>
    <w:p>
      <w:pPr>
        <w:pStyle w:val="79"/>
        <w:ind w:firstLine="3480" w:firstLineChars="1450"/>
        <w:rPr>
          <w:rFonts w:ascii="宋体" w:hAnsi="宋体"/>
          <w:color w:val="000000" w:themeColor="text1"/>
          <w:spacing w:val="0"/>
          <w14:textFill>
            <w14:solidFill>
              <w14:schemeClr w14:val="tx1"/>
            </w14:solidFill>
          </w14:textFill>
        </w:rPr>
      </w:pPr>
      <w:r>
        <w:rPr>
          <w:rFonts w:hint="eastAsia" w:ascii="宋体" w:hAnsi="宋体"/>
          <w:color w:val="000000" w:themeColor="text1"/>
          <w:spacing w:val="0"/>
          <w14:textFill>
            <w14:solidFill>
              <w14:schemeClr w14:val="tx1"/>
            </w14:solidFill>
          </w14:textFill>
        </w:rPr>
        <w:t>法定代表人或授权代理人(签字或盖章)：</w:t>
      </w:r>
    </w:p>
    <w:p>
      <w:pPr>
        <w:pStyle w:val="79"/>
        <w:spacing w:before="156" w:after="156"/>
        <w:ind w:firstLine="3480" w:firstLineChars="1450"/>
        <w:rPr>
          <w:b/>
          <w:color w:val="000000" w:themeColor="text1"/>
          <w:sz w:val="32"/>
          <w:szCs w:val="32"/>
          <w14:textFill>
            <w14:solidFill>
              <w14:schemeClr w14:val="tx1"/>
            </w14:solidFill>
          </w14:textFill>
        </w:rPr>
      </w:pPr>
      <w:r>
        <w:rPr>
          <w:rFonts w:hint="eastAsia" w:ascii="宋体" w:hAnsi="宋体"/>
          <w:color w:val="000000" w:themeColor="text1"/>
          <w:spacing w:val="0"/>
          <w14:textFill>
            <w14:solidFill>
              <w14:schemeClr w14:val="tx1"/>
            </w14:solidFill>
          </w14:textFill>
        </w:rPr>
        <w:t>日   期：    年    月    日</w:t>
      </w:r>
      <w:bookmarkStart w:id="43" w:name="_Toc62481126"/>
      <w:r>
        <w:rPr>
          <w:rFonts w:hint="eastAsia"/>
          <w:b/>
          <w:color w:val="000000" w:themeColor="text1"/>
          <w:sz w:val="32"/>
          <w:szCs w:val="32"/>
          <w14:textFill>
            <w14:solidFill>
              <w14:schemeClr w14:val="tx1"/>
            </w14:solidFill>
          </w14:textFill>
        </w:rPr>
        <w:br w:type="page"/>
      </w:r>
    </w:p>
    <w:p>
      <w:pPr>
        <w:pStyle w:val="79"/>
        <w:ind w:firstLine="0" w:firstLineChars="0"/>
        <w:outlineLvl w:val="2"/>
        <w:rPr>
          <w:rFonts w:ascii="宋体" w:hAnsi="宋体"/>
          <w:color w:val="000000" w:themeColor="text1"/>
          <w:spacing w:val="-6"/>
          <w:kern w:val="2"/>
          <w:sz w:val="21"/>
          <w:szCs w:val="21"/>
          <w:lang w:val="en-US"/>
          <w14:textFill>
            <w14:solidFill>
              <w14:schemeClr w14:val="tx1"/>
            </w14:solidFill>
          </w14:textFill>
        </w:rPr>
      </w:pPr>
      <w:bookmarkStart w:id="44" w:name="_Toc114572566"/>
      <w:r>
        <w:rPr>
          <w:rFonts w:hint="eastAsia" w:ascii="宋体" w:hAnsi="宋体"/>
          <w:color w:val="000000" w:themeColor="text1"/>
          <w:spacing w:val="-6"/>
          <w:kern w:val="2"/>
          <w:sz w:val="21"/>
          <w:szCs w:val="21"/>
          <w:lang w:val="en-US"/>
          <w14:textFill>
            <w14:solidFill>
              <w14:schemeClr w14:val="tx1"/>
            </w14:solidFill>
          </w14:textFill>
        </w:rPr>
        <w:t>格式十四：危险性较大的分部分项工程清单及超过一定规模的危险性较大的分部分项工程清单</w:t>
      </w:r>
      <w:bookmarkEnd w:id="44"/>
    </w:p>
    <w:p>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危险性较大的分部分项工程清单及</w:t>
      </w:r>
      <w:bookmarkEnd w:id="43"/>
    </w:p>
    <w:p>
      <w:pPr>
        <w:jc w:val="center"/>
        <w:rPr>
          <w:b/>
          <w:color w:val="000000" w:themeColor="text1"/>
          <w:sz w:val="32"/>
          <w:szCs w:val="32"/>
          <w14:textFill>
            <w14:solidFill>
              <w14:schemeClr w14:val="tx1"/>
            </w14:solidFill>
          </w14:textFill>
        </w:rPr>
      </w:pPr>
      <w:bookmarkStart w:id="45" w:name="_Toc62481127"/>
      <w:r>
        <w:rPr>
          <w:rFonts w:hint="eastAsia"/>
          <w:b/>
          <w:color w:val="000000" w:themeColor="text1"/>
          <w:sz w:val="32"/>
          <w:szCs w:val="32"/>
          <w14:textFill>
            <w14:solidFill>
              <w14:schemeClr w14:val="tx1"/>
            </w14:solidFill>
          </w14:textFill>
        </w:rPr>
        <w:t>超过一定规模的危险性较大的分部分项工程清单</w:t>
      </w:r>
      <w:bookmarkEnd w:id="45"/>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1、根据中华人民共和国住房和城乡建设部令第37号《危险性较大的分部分项工程安全管理规定》（以下简称“37号文”），投标人在投标时须补充完善危大工程清单并明确相应的安全管理措施。</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2、招标人根据设计文件的要求及37号文的规定列出“危险性较大的分部分项工程清单及超过一定规模的危险性较大的分部分项工程清单”中与本招标项目相关的清单项，具体详第5点“打√”标识。</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（1）投标单位同意建设单位在清单中标识的该项请在对应项打“√”标识，并与投标文件中提供相应的安全管理措施。</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（2）投标单位对清单中认为需要补充的该项请在对应项打“√”标识，并与投标文件中提供相应的安全管理措施。</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（3）投标单位不同意建设单位在清单中标识的该项请在对应项打“×”标识，并在备注栏填上相关说明。</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3、投标单位应当在投标时根据招标人提供的下述第5点清单，在投标施工组织中编制专项施工方案。</w:t>
      </w:r>
    </w:p>
    <w:p>
      <w:pPr>
        <w:spacing w:line="360" w:lineRule="auto"/>
        <w:ind w:firstLine="480" w:firstLineChars="200"/>
        <w:jc w:val="left"/>
        <w:rPr>
          <w:rFonts w:ascii="宋体 ，Arial" w:eastAsia="宋体 ，Arial"/>
          <w:color w:val="000000" w:themeColor="text1"/>
          <w:sz w:val="24"/>
          <w:szCs w:val="24"/>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spacing w:line="360" w:lineRule="auto"/>
        <w:ind w:firstLine="480" w:firstLineChars="200"/>
        <w:jc w:val="left"/>
        <w:rPr>
          <w:rFonts w:ascii="宋体 ，Arial" w:eastAsia="宋体 ，Arial"/>
          <w:color w:val="000000" w:themeColor="text1"/>
          <w:sz w:val="28"/>
          <w:szCs w:val="28"/>
          <w14:textFill>
            <w14:solidFill>
              <w14:schemeClr w14:val="tx1"/>
            </w14:solidFill>
          </w14:textFill>
        </w:rPr>
      </w:pPr>
      <w:r>
        <w:rPr>
          <w:rFonts w:hint="eastAsia" w:ascii="宋体 ，Arial" w:eastAsia="宋体 ，Arial"/>
          <w:color w:val="000000" w:themeColor="text1"/>
          <w:sz w:val="24"/>
          <w:szCs w:val="24"/>
          <w14:textFill>
            <w14:solidFill>
              <w14:schemeClr w14:val="tx1"/>
            </w14:solidFill>
          </w14:textFill>
        </w:rPr>
        <w:t>5、危险性较大的分部分项工程清单及超过一定规模的危险性较大的分部分项工程清单：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275"/>
        <w:gridCol w:w="141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一、危险性较大的分部分项工程清单</w:t>
            </w:r>
          </w:p>
        </w:tc>
        <w:tc>
          <w:tcPr>
            <w:tcW w:w="1275" w:type="dxa"/>
            <w:vAlign w:val="center"/>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建设单位</w:t>
            </w:r>
          </w:p>
        </w:tc>
        <w:tc>
          <w:tcPr>
            <w:tcW w:w="1418" w:type="dxa"/>
            <w:vAlign w:val="center"/>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投标单位</w:t>
            </w:r>
          </w:p>
        </w:tc>
        <w:tc>
          <w:tcPr>
            <w:tcW w:w="759" w:type="dxa"/>
            <w:shd w:val="clear" w:color="auto" w:fill="auto"/>
            <w:vAlign w:val="center"/>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一、基坑支护</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（一）开挖深度超过3m（含3m）的基坑（槽）的土方开挖、支护、降水工程。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（二）开挖深度虽未超过3m，但地质条件、周围环境和地下管线复杂，或影响毗邻建、构筑物安全的基坑（槽）的土方开挖、支护、降水工程。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二、模板工程及支撑体系</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（一）各类工具式模板工程：包括滑模、爬模、飞模、隧道模等工程。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（三）承重支撑体系：用于钢结构安装等满堂支撑体系。</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　三、起重吊装及起重机械安装拆卸工程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（一）采用非常规起重设备、方法，且单件起吊重量在10kN及以上的起重吊装工程。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（二）采用起重机械进行安装的工程。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hAnsi="宋体" w:eastAsia="宋体 ，Arial" w:cs="宋体"/>
                <w:color w:val="000000" w:themeColor="text1"/>
                <w:kern w:val="0"/>
                <w:szCs w:val="21"/>
                <w14:textFill>
                  <w14:solidFill>
                    <w14:schemeClr w14:val="tx1"/>
                  </w14:solidFill>
                </w14:textFill>
              </w:rPr>
            </w:pPr>
            <w:r>
              <w:rPr>
                <w:rFonts w:hint="eastAsia" w:ascii="宋体 ，Arial" w:hAnsi="宋体" w:eastAsia="宋体 ，Arial" w:cs="宋体"/>
                <w:color w:val="000000" w:themeColor="text1"/>
                <w:kern w:val="0"/>
                <w:szCs w:val="21"/>
                <w14:textFill>
                  <w14:solidFill>
                    <w14:schemeClr w14:val="tx1"/>
                  </w14:solidFill>
                </w14:textFill>
              </w:rPr>
              <w:t>（三）起重机械安装和拆卸工程。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（一）搭设高度24m及以上的落地式钢管脚手架工程（包括采光井、电梯井脚手架）。</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（二）附着式升降脚手架工程。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（三）悬挑式脚手架工程。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（四）高处作业吊篮。</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（五）卸料平台、操作平台工程。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（六）异型脚手架工程。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ascii="宋体 ，Arial" w:eastAsia="宋体 ，Arial"/>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 xml:space="preserve">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可能影响行人、交通、电力设施、通讯设施或其它建、构筑物安全的拆除工程。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ascii="宋体 ，Arial" w:eastAsia="宋体 ，Arial"/>
                <w:color w:val="000000" w:themeColor="text1"/>
                <w:sz w:val="24"/>
                <w:szCs w:val="24"/>
                <w14:textFill>
                  <w14:solidFill>
                    <w14:schemeClr w14:val="tx1"/>
                  </w14:solidFill>
                </w14:textFill>
              </w:rPr>
              <w:t>√</w:t>
            </w:r>
            <w:r>
              <w:rPr>
                <w:rFonts w:hint="eastAsia"/>
                <w:color w:val="000000" w:themeColor="text1"/>
                <w:szCs w:val="21"/>
                <w14:textFill>
                  <w14:solidFill>
                    <w14:schemeClr w14:val="tx1"/>
                  </w14:solidFill>
                </w14:textFill>
              </w:rPr>
              <w:t xml:space="preserve">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　六、暗挖工程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采用矿山法、盾构法、顶管法施工的隧道、洞室工程。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七、其它</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（一）建筑幕墙安装工程。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（二）钢结构、网架和索膜结构安装工程。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（三）人工挖孔桩工程。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（四）水下作业工程。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（五）装配式建筑混凝土预制构件安装工程。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（六）采用新技术、新工艺、新材料、新设备可能影响工程施工安全，尚无国家、行业及地方技术标准的分部分项工程。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widowControl/>
              <w:spacing w:line="360" w:lineRule="atLeast"/>
              <w:jc w:val="center"/>
              <w:rPr>
                <w:rFonts w:eastAsia="宋体 ，Arial" w:cs="宋体"/>
                <w:b/>
                <w:color w:val="000000" w:themeColor="text1"/>
                <w:kern w:val="0"/>
                <w:szCs w:val="21"/>
                <w14:textFill>
                  <w14:solidFill>
                    <w14:schemeClr w14:val="tx1"/>
                  </w14:solidFill>
                </w14:textFill>
              </w:rPr>
            </w:pPr>
            <w:r>
              <w:rPr>
                <w:rFonts w:hint="eastAsia" w:ascii="宋体 ，Arial" w:hAnsi="宋体" w:eastAsia="宋体 ，Arial" w:cs="宋体"/>
                <w:b/>
                <w:bCs/>
                <w:color w:val="000000" w:themeColor="text1"/>
                <w:kern w:val="0"/>
                <w:szCs w:val="21"/>
                <w14:textFill>
                  <w14:solidFill>
                    <w14:schemeClr w14:val="tx1"/>
                  </w14:solidFill>
                </w14:textFill>
              </w:rPr>
              <w:t>二、超过一定规模的危险性较大的分部分项工程清单</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一、深基坑工程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开挖深度超过5m（含5m）的基坑（槽）的土方开挖、支护、降水工程。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二、模板工程及支撑体系</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（一）各类工具式模板工程：包括滑模、爬模、飞模、隧道模等工程。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（二）混凝土模板支撑工程：搭设高度8m及以上，或搭设跨度18m及以上，或施工总荷载（设计值）15kN/m2及以上，或集中线荷载（设计值）20kN/m及以上。</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（三）承重支撑体系：用于钢结构安装等满堂支撑体系，承受单点集中荷载7kN及以上。</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　三、起重吊装及起重机械安装拆卸工程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（一）采用非常规起重设备、方法，且单件起吊重量在100kN及以上的起重吊装工程。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（二）起重量300kN及以上，或搭设总高度200m及以上，或搭设基础标高在200m及以上的起重机械安装和拆卸工程。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（一）搭设高度50m及以上的落地式钢管脚手架工程。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（二）提升高度在150m及以上的附着式升降脚手架工程或附着式升降操作平台工程。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（三）分段架体搭设高度20m及以上的悬挑式脚手架工程。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（一）码头、桥梁、高架、烟囱、水塔或拆除中容易引起有毒有害气（液）体或粉尘扩散、易燃易爆事故发生的特殊建、构筑物的拆除工程。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（二）文物保护建筑、优秀历史建筑或历史文化风貌区影响范围内的拆除工程。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六、暗挖工程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采用矿山法、盾构法、顶管法施工的隧道、洞室工程。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七、其它</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（一）施工高度50m及以上的建筑幕墙安装工程。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（二）跨度36m及以上的钢结构安装工程，或跨度60m及以上的网架和索膜结构安装工程。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（三）开挖深度16m及以上的人工挖孔桩工程。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（四）水下作业工程。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（五）重量1000kN及以上的大型结构整体顶升、平移、转体等施工工艺。</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tcPr>
          <w:p>
            <w:pPr>
              <w:jc w:val="left"/>
              <w:rPr>
                <w:rFonts w:ascii="宋体 ，Arial" w:eastAsia="宋体 ，Arial"/>
                <w:color w:val="000000" w:themeColor="text1"/>
                <w:szCs w:val="21"/>
                <w14:textFill>
                  <w14:solidFill>
                    <w14:schemeClr w14:val="tx1"/>
                  </w14:solidFill>
                </w14:textFill>
              </w:rPr>
            </w:pPr>
            <w:r>
              <w:rPr>
                <w:rFonts w:hint="eastAsia" w:ascii="宋体 ，Arial" w:eastAsia="宋体 ，Arial"/>
                <w:color w:val="000000" w:themeColor="text1"/>
                <w:szCs w:val="21"/>
                <w14:textFill>
                  <w14:solidFill>
                    <w14:schemeClr w14:val="tx1"/>
                  </w14:solidFill>
                </w14:textFill>
              </w:rPr>
              <w:t>（六）采用新技术、新工艺、新材料、新设备可能影响工程施工安全，尚无国家、行业及地方技术标准的分部分项工程。</w:t>
            </w:r>
          </w:p>
        </w:tc>
        <w:tc>
          <w:tcPr>
            <w:tcW w:w="127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141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c>
          <w:tcPr>
            <w:tcW w:w="759" w:type="dxa"/>
            <w:shd w:val="clear" w:color="auto" w:fill="auto"/>
            <w:vAlign w:val="center"/>
          </w:tcPr>
          <w:p>
            <w:pPr>
              <w:jc w:val="center"/>
              <w:rPr>
                <w:color w:val="000000" w:themeColor="text1"/>
                <w:szCs w:val="21"/>
                <w14:textFill>
                  <w14:solidFill>
                    <w14:schemeClr w14:val="tx1"/>
                  </w14:solidFill>
                </w14:textFill>
              </w:rPr>
            </w:pPr>
          </w:p>
        </w:tc>
      </w:tr>
    </w:tbl>
    <w:p>
      <w:pPr>
        <w:jc w:val="center"/>
        <w:rPr>
          <w:b/>
          <w:color w:val="000000" w:themeColor="text1"/>
          <w:sz w:val="36"/>
          <w:szCs w:val="36"/>
          <w14:textFill>
            <w14:solidFill>
              <w14:schemeClr w14:val="tx1"/>
            </w14:solidFill>
          </w14:textFill>
        </w:rPr>
      </w:pP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　　（盖章）</w:t>
      </w:r>
    </w:p>
    <w:p>
      <w:pPr>
        <w:pStyle w:val="79"/>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法定代表人或授权代理人(签字或盖章)：</w:t>
      </w:r>
    </w:p>
    <w:p>
      <w:pPr>
        <w:pStyle w:val="79"/>
        <w:spacing w:before="156" w:after="156"/>
        <w:ind w:firstLine="3596" w:firstLineChars="14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日   期：    年    月    日 </w:t>
      </w:r>
      <w:r>
        <w:rPr>
          <w:rFonts w:hint="eastAsia" w:ascii="宋体" w:hAnsi="宋体"/>
          <w:color w:val="000000" w:themeColor="text1"/>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6" w:name="_Toc114572567"/>
      <w:r>
        <w:rPr>
          <w:rFonts w:hint="eastAsia" w:ascii="宋体" w:hAnsi="宋体"/>
          <w:color w:val="000000" w:themeColor="text1"/>
          <w:spacing w:val="0"/>
          <w:kern w:val="2"/>
          <w:sz w:val="21"/>
          <w:szCs w:val="21"/>
          <w:lang w:val="en-US"/>
          <w14:textFill>
            <w14:solidFill>
              <w14:schemeClr w14:val="tx1"/>
            </w14:solidFill>
          </w14:textFill>
        </w:rPr>
        <w:t>格式十五：投标保证金（格式可自定）</w:t>
      </w:r>
      <w:bookmarkEnd w:id="46"/>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（注：投标人采用投标保函或投标保证保险的形式提交投标保证金的，应提交投标保函或投标保证保险文本的扫描件并加盖投标人电子印章。）</w:t>
      </w: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投标保证金</w:t>
      </w:r>
    </w:p>
    <w:p>
      <w:pPr>
        <w:spacing w:line="200" w:lineRule="exact"/>
        <w:rPr>
          <w:rFonts w:ascii="宋体" w:hAnsi="宋体"/>
          <w:color w:val="000000" w:themeColor="text1"/>
          <w14:textFill>
            <w14:solidFill>
              <w14:schemeClr w14:val="tx1"/>
            </w14:solidFill>
          </w14:textFill>
        </w:rPr>
      </w:pP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（招标人名称）：</w:t>
      </w:r>
    </w:p>
    <w:p>
      <w:pPr>
        <w:spacing w:line="360" w:lineRule="auto"/>
        <w:rPr>
          <w:rFonts w:ascii="宋体" w:hAnsi="宋体"/>
          <w:color w:val="000000" w:themeColor="text1"/>
          <w:sz w:val="24"/>
          <w:u w:val="single"/>
          <w14:textFill>
            <w14:solidFill>
              <w14:schemeClr w14:val="tx1"/>
            </w14:solidFill>
          </w14:textFill>
        </w:rPr>
      </w:pP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我方于  年  月  日参加          （项目名称）的投标，现保证：我方在规定的投标有效期内撤销或修改投标文件的，或者在收到中标通知书后无正当理由拒签合同或拒交规定履约担保的，投标保证金不予退还。</w:t>
      </w:r>
    </w:p>
    <w:p>
      <w:pPr>
        <w:spacing w:line="440" w:lineRule="exact"/>
        <w:rPr>
          <w:rFonts w:ascii="宋体" w:hAnsi="宋体"/>
          <w:color w:val="000000" w:themeColor="text1"/>
          <w:u w:val="single"/>
          <w14:textFill>
            <w14:solidFill>
              <w14:schemeClr w14:val="tx1"/>
            </w14:solidFill>
          </w14:textFill>
        </w:rPr>
      </w:pPr>
    </w:p>
    <w:tbl>
      <w:tblPr>
        <w:tblStyle w:val="34"/>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jc w:val="center"/>
              <w:rPr>
                <w:rFonts w:ascii="宋体" w:hAnsi="宋体"/>
                <w:b/>
                <w:color w:val="000000" w:themeColor="text1"/>
                <w:sz w:val="48"/>
                <w14:textFill>
                  <w14:solidFill>
                    <w14:schemeClr w14:val="tx1"/>
                  </w14:solidFill>
                </w14:textFill>
              </w:rPr>
            </w:pPr>
            <w:r>
              <w:rPr>
                <w:rFonts w:hint="eastAsia" w:ascii="宋体" w:hAnsi="宋体"/>
                <w:b/>
                <w:color w:val="000000" w:themeColor="text1"/>
                <w:sz w:val="48"/>
                <w14:textFill>
                  <w14:solidFill>
                    <w14:schemeClr w14:val="tx1"/>
                  </w14:solidFill>
                </w14:textFill>
              </w:rPr>
              <w:t>粘 贴 处</w:t>
            </w: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tc>
      </w:tr>
    </w:tbl>
    <w:p>
      <w:pPr>
        <w:ind w:right="46" w:rightChars="22"/>
        <w:rPr>
          <w:color w:val="000000" w:themeColor="text1"/>
          <w14:textFill>
            <w14:solidFill>
              <w14:schemeClr w14:val="tx1"/>
            </w14:solidFill>
          </w14:textFill>
        </w:rPr>
      </w:pPr>
    </w:p>
    <w:p>
      <w:pPr>
        <w:widowControl/>
        <w:jc w:val="left"/>
        <w:rPr>
          <w:rFonts w:ascii="宋体" w:hAnsi="宋体"/>
          <w:b/>
          <w:color w:val="000000" w:themeColor="text1"/>
          <w:kern w:val="0"/>
          <w:sz w:val="24"/>
          <w:szCs w:val="24"/>
          <w14:textFill>
            <w14:solidFill>
              <w14:schemeClr w14:val="tx1"/>
            </w14:solidFill>
          </w14:textFill>
        </w:rPr>
      </w:pPr>
      <w:r>
        <w:rPr>
          <w:rFonts w:ascii="宋体" w:hAnsi="宋体"/>
          <w:color w:val="000000" w:themeColor="text1"/>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bookmarkStart w:id="47" w:name="_Toc114572568"/>
      <w:r>
        <w:rPr>
          <w:rFonts w:hint="eastAsia" w:ascii="宋体" w:hAnsi="宋体"/>
          <w:color w:val="000000" w:themeColor="text1"/>
          <w:spacing w:val="0"/>
          <w:kern w:val="2"/>
          <w:sz w:val="21"/>
          <w:szCs w:val="21"/>
          <w:lang w:val="en-US"/>
          <w14:textFill>
            <w14:solidFill>
              <w14:schemeClr w14:val="tx1"/>
            </w14:solidFill>
          </w14:textFill>
        </w:rPr>
        <w:t>格式十六：材料市场价格变动的相关承诺</w:t>
      </w:r>
    </w:p>
    <w:p>
      <w:pPr>
        <w:spacing w:before="156" w:beforeLines="50" w:after="240" w:line="360" w:lineRule="auto"/>
        <w:jc w:val="center"/>
        <w:rPr>
          <w:rFonts w:ascii="宋体" w:hAnsi="宋体"/>
          <w:kern w:val="0"/>
          <w:sz w:val="32"/>
          <w:szCs w:val="32"/>
        </w:rPr>
      </w:pPr>
      <w:r>
        <w:rPr>
          <w:rFonts w:hint="eastAsia" w:ascii="宋体" w:hAnsi="宋体"/>
          <w:b/>
          <w:kern w:val="0"/>
          <w:sz w:val="32"/>
          <w:szCs w:val="32"/>
        </w:rPr>
        <w:t>材料市场价格变动的相关承诺</w:t>
      </w:r>
    </w:p>
    <w:p>
      <w:pPr>
        <w:spacing w:line="360" w:lineRule="auto"/>
        <w:ind w:left="-2" w:leftChars="-1" w:firstLine="540" w:firstLineChars="225"/>
        <w:rPr>
          <w:rFonts w:ascii="宋体" w:hAnsi="宋体"/>
          <w:kern w:val="0"/>
          <w:sz w:val="24"/>
        </w:rPr>
      </w:pPr>
      <w:r>
        <w:rPr>
          <w:rFonts w:hint="eastAsia" w:ascii="宋体" w:hAnsi="宋体"/>
          <w:kern w:val="0"/>
          <w:sz w:val="24"/>
        </w:rPr>
        <w:t>本项目招标合同专用条款16.1.3，“本工程可调价材料为电缆、母线槽的“铜”金属材料，人工、机械及其他材料等物价波动引起的价格风险已包含在本合同价格中，不因物价波动因素而调整合同价款。”</w:t>
      </w:r>
    </w:p>
    <w:p>
      <w:pPr>
        <w:spacing w:line="360" w:lineRule="auto"/>
        <w:ind w:left="-2" w:leftChars="-1" w:firstLine="540" w:firstLineChars="225"/>
        <w:rPr>
          <w:rFonts w:ascii="宋体" w:hAnsi="宋体"/>
          <w:kern w:val="0"/>
          <w:sz w:val="24"/>
        </w:rPr>
      </w:pPr>
      <w:r>
        <w:rPr>
          <w:rFonts w:hint="eastAsia" w:ascii="宋体" w:hAnsi="宋体"/>
          <w:kern w:val="0"/>
          <w:sz w:val="24"/>
        </w:rPr>
        <w:t>根据我司的工程经验，对市场材料历史价格的了解并结合我司的投标报价，如我司中标，我司承诺：可调价材料的锁价期信息价与基准价相比，跌幅在5%（含本数）或涨幅在</w:t>
      </w:r>
      <w:r>
        <w:rPr>
          <w:rFonts w:hint="eastAsia" w:ascii="宋体" w:hAnsi="宋体"/>
          <w:kern w:val="0"/>
          <w:sz w:val="24"/>
          <w:u w:val="single"/>
        </w:rPr>
        <w:t xml:space="preserve">    </w:t>
      </w:r>
      <w:r>
        <w:rPr>
          <w:rFonts w:hint="eastAsia" w:ascii="宋体" w:hAnsi="宋体"/>
          <w:kern w:val="0"/>
          <w:sz w:val="24"/>
        </w:rPr>
        <w:t>%（含本数）以内时，价格涨跌风险分发包双方各自自行承担，合同价格不予调整；当跌幅在5%（不含本数）或涨幅在</w:t>
      </w:r>
      <w:r>
        <w:rPr>
          <w:rFonts w:hint="eastAsia" w:ascii="宋体" w:hAnsi="宋体"/>
          <w:kern w:val="0"/>
          <w:sz w:val="24"/>
          <w:u w:val="single"/>
        </w:rPr>
        <w:t xml:space="preserve">    </w:t>
      </w:r>
      <w:r>
        <w:rPr>
          <w:rFonts w:hint="eastAsia" w:ascii="宋体" w:hAnsi="宋体"/>
          <w:kern w:val="0"/>
          <w:sz w:val="24"/>
        </w:rPr>
        <w:t>%（（不含本数）以外时，超出部分的且在调整范围内的材料价格涨跌风险由发包人承担。</w:t>
      </w:r>
    </w:p>
    <w:p>
      <w:pPr>
        <w:pStyle w:val="79"/>
        <w:ind w:firstLine="0" w:firstLineChars="0"/>
        <w:rPr>
          <w:rFonts w:ascii="宋体" w:hAnsi="宋体"/>
          <w:color w:val="000000" w:themeColor="text1"/>
          <w:spacing w:val="0"/>
          <w:kern w:val="2"/>
          <w:sz w:val="21"/>
          <w:szCs w:val="21"/>
          <w:lang w:val="en-US"/>
          <w14:textFill>
            <w14:solidFill>
              <w14:schemeClr w14:val="tx1"/>
            </w14:solidFill>
          </w14:textFill>
        </w:rPr>
      </w:pPr>
    </w:p>
    <w:p>
      <w:pPr>
        <w:pStyle w:val="79"/>
        <w:ind w:firstLine="0" w:firstLineChars="0"/>
        <w:rPr>
          <w:rFonts w:ascii="宋体" w:hAnsi="宋体"/>
          <w:color w:val="000000" w:themeColor="text1"/>
          <w:spacing w:val="0"/>
          <w:kern w:val="2"/>
          <w:sz w:val="21"/>
          <w:szCs w:val="21"/>
          <w:lang w:val="en-US"/>
          <w14:textFill>
            <w14:solidFill>
              <w14:schemeClr w14:val="tx1"/>
            </w14:solidFill>
          </w14:textFill>
        </w:rPr>
      </w:pPr>
    </w:p>
    <w:p>
      <w:pPr>
        <w:spacing w:line="360" w:lineRule="auto"/>
        <w:ind w:left="-2" w:leftChars="-1" w:firstLine="474" w:firstLineChars="225"/>
        <w:rPr>
          <w:rFonts w:ascii="宋体" w:hAnsi="宋体"/>
          <w:b/>
          <w:kern w:val="0"/>
          <w:szCs w:val="21"/>
        </w:rPr>
      </w:pPr>
      <w:r>
        <w:rPr>
          <w:rFonts w:hint="eastAsia" w:ascii="宋体" w:hAnsi="宋体"/>
          <w:b/>
          <w:kern w:val="0"/>
          <w:szCs w:val="21"/>
        </w:rPr>
        <w:t>注：</w:t>
      </w:r>
    </w:p>
    <w:p>
      <w:pPr>
        <w:spacing w:line="360" w:lineRule="auto"/>
        <w:ind w:left="-2" w:leftChars="-1" w:firstLine="474" w:firstLineChars="225"/>
        <w:rPr>
          <w:rFonts w:ascii="宋体" w:hAnsi="宋体"/>
          <w:b/>
          <w:kern w:val="0"/>
          <w:szCs w:val="21"/>
        </w:rPr>
      </w:pPr>
      <w:r>
        <w:rPr>
          <w:rFonts w:hint="eastAsia" w:ascii="宋体" w:hAnsi="宋体"/>
          <w:b/>
          <w:kern w:val="0"/>
          <w:szCs w:val="21"/>
        </w:rPr>
        <w:t>1、投标人须填写承诺中的可承担价格上涨风险的涨幅比例。</w:t>
      </w:r>
    </w:p>
    <w:p>
      <w:pPr>
        <w:spacing w:line="360" w:lineRule="auto"/>
        <w:ind w:left="-2" w:leftChars="-1" w:firstLine="474" w:firstLineChars="225"/>
        <w:rPr>
          <w:rFonts w:ascii="宋体" w:hAnsi="宋体"/>
          <w:b/>
          <w:kern w:val="0"/>
          <w:szCs w:val="21"/>
        </w:rPr>
      </w:pPr>
      <w:r>
        <w:rPr>
          <w:rFonts w:hint="eastAsia" w:ascii="宋体" w:hAnsi="宋体"/>
          <w:b/>
          <w:kern w:val="0"/>
          <w:szCs w:val="21"/>
        </w:rPr>
        <w:t>2、填写的涨幅比例不得低于5%，如填写的涨幅比例低于5%，则按5%为准。</w:t>
      </w:r>
    </w:p>
    <w:p>
      <w:pPr>
        <w:pStyle w:val="79"/>
        <w:ind w:firstLine="3915" w:firstLineChars="1579"/>
        <w:rPr>
          <w:rFonts w:ascii="宋体" w:hAnsi="宋体" w:cs="宋体"/>
        </w:rPr>
      </w:pPr>
    </w:p>
    <w:p>
      <w:pPr>
        <w:pStyle w:val="79"/>
        <w:ind w:firstLine="3915" w:firstLineChars="1579"/>
        <w:rPr>
          <w:rFonts w:ascii="宋体" w:hAnsi="宋体" w:cs="宋体"/>
        </w:rPr>
      </w:pPr>
      <w:r>
        <w:rPr>
          <w:rFonts w:hint="eastAsia" w:ascii="宋体" w:hAnsi="宋体" w:cs="宋体"/>
        </w:rPr>
        <w:t>投标人：　　（盖章）</w:t>
      </w:r>
    </w:p>
    <w:p>
      <w:pPr>
        <w:pStyle w:val="79"/>
        <w:ind w:firstLine="3915" w:firstLineChars="1579"/>
        <w:rPr>
          <w:rFonts w:ascii="宋体" w:hAnsi="宋体" w:cs="宋体"/>
        </w:rPr>
      </w:pPr>
      <w:r>
        <w:rPr>
          <w:rFonts w:hint="eastAsia" w:ascii="宋体" w:hAnsi="宋体" w:cs="宋体"/>
        </w:rPr>
        <w:t>法定代表人或授权代理人（签字或盖章）：</w:t>
      </w:r>
    </w:p>
    <w:p>
      <w:pPr>
        <w:pStyle w:val="79"/>
        <w:ind w:firstLine="3968" w:firstLineChars="1600"/>
        <w:jc w:val="left"/>
        <w:rPr>
          <w:rFonts w:ascii="宋体" w:hAnsi="宋体"/>
          <w:color w:val="000000" w:themeColor="text1"/>
          <w:spacing w:val="0"/>
          <w:kern w:val="2"/>
          <w:sz w:val="21"/>
          <w:szCs w:val="21"/>
          <w:lang w:val="en-US"/>
          <w14:textFill>
            <w14:solidFill>
              <w14:schemeClr w14:val="tx1"/>
            </w14:solidFill>
          </w14:textFill>
        </w:rPr>
      </w:pPr>
      <w:r>
        <w:rPr>
          <w:rFonts w:hint="eastAsia" w:ascii="宋体" w:hAnsi="宋体" w:cs="宋体"/>
        </w:rPr>
        <w:t>日   期：    年    月    日</w:t>
      </w:r>
    </w:p>
    <w:p>
      <w:pPr>
        <w:widowControl/>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pStyle w:val="79"/>
        <w:ind w:firstLine="0" w:firstLineChars="0"/>
        <w:outlineLvl w:val="2"/>
        <w:rPr>
          <w:rFonts w:ascii="宋体" w:hAnsi="宋体"/>
          <w:color w:val="000000" w:themeColor="text1"/>
          <w:spacing w:val="0"/>
          <w:kern w:val="2"/>
          <w:sz w:val="21"/>
          <w:szCs w:val="21"/>
          <w:lang w:val="en-US"/>
          <w14:textFill>
            <w14:solidFill>
              <w14:schemeClr w14:val="tx1"/>
            </w14:solidFill>
          </w14:textFill>
        </w:rPr>
      </w:pPr>
      <w:r>
        <w:rPr>
          <w:rFonts w:hint="eastAsia" w:ascii="宋体" w:hAnsi="宋体"/>
          <w:color w:val="000000" w:themeColor="text1"/>
          <w:spacing w:val="0"/>
          <w:kern w:val="2"/>
          <w:sz w:val="21"/>
          <w:szCs w:val="21"/>
          <w:lang w:val="en-US"/>
          <w14:textFill>
            <w14:solidFill>
              <w14:schemeClr w14:val="tx1"/>
            </w14:solidFill>
          </w14:textFill>
        </w:rPr>
        <w:t>格式十七：其他投标人认为应该提供的资料</w:t>
      </w:r>
      <w:bookmarkEnd w:id="47"/>
    </w:p>
    <w:bookmarkEnd w:id="42"/>
    <w:p>
      <w:pPr>
        <w:jc w:val="center"/>
        <w:rPr>
          <w:b/>
          <w:color w:val="000000" w:themeColor="text1"/>
          <w:sz w:val="36"/>
          <w14:textFill>
            <w14:solidFill>
              <w14:schemeClr w14:val="tx1"/>
            </w14:solidFill>
          </w14:textFill>
        </w:rPr>
      </w:pPr>
    </w:p>
    <w:p>
      <w:pPr>
        <w:widowControl/>
        <w:jc w:val="left"/>
        <w:rPr>
          <w:rFonts w:ascii="宋体" w:hAnsi="宋体"/>
          <w:color w:val="000000" w:themeColor="text1"/>
          <w:szCs w:val="21"/>
          <w14:textFill>
            <w14:solidFill>
              <w14:schemeClr w14:val="tx1"/>
            </w14:solidFill>
          </w14:textFill>
        </w:rPr>
      </w:pPr>
    </w:p>
    <w:p>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注：投标人认为有必要或招标文件要求提供的其他资料，均需单位盖章。</w:t>
      </w:r>
    </w:p>
    <w:p>
      <w:pPr>
        <w:autoSpaceDE w:val="0"/>
        <w:autoSpaceDN w:val="0"/>
        <w:adjustRightInd w:val="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88"/>
        <w:spacing w:beforeLines="0" w:afterLines="0" w:line="360" w:lineRule="auto"/>
        <w:rPr>
          <w:rFonts w:ascii="宋体" w:hAnsi="宋体" w:eastAsia="宋体" w:cs="宋体"/>
          <w:color w:val="000000" w:themeColor="text1"/>
          <w:sz w:val="28"/>
          <w14:textFill>
            <w14:solidFill>
              <w14:schemeClr w14:val="tx1"/>
            </w14:solidFill>
          </w14:textFill>
        </w:rPr>
      </w:pPr>
      <w:bookmarkStart w:id="48" w:name="_Toc114572569"/>
      <w:r>
        <w:rPr>
          <w:rFonts w:hint="eastAsia" w:ascii="宋体" w:hAnsi="宋体" w:eastAsia="宋体" w:cs="宋体"/>
          <w:color w:val="000000" w:themeColor="text1"/>
          <w:sz w:val="28"/>
          <w14:textFill>
            <w14:solidFill>
              <w14:schemeClr w14:val="tx1"/>
            </w14:solidFill>
          </w14:textFill>
        </w:rPr>
        <w:t>二、经济标投标文件格式</w:t>
      </w:r>
      <w:bookmarkEnd w:id="48"/>
    </w:p>
    <w:p>
      <w:pPr>
        <w:autoSpaceDE w:val="0"/>
        <w:autoSpaceDN w:val="0"/>
        <w:adjustRightInd w:val="0"/>
        <w:outlineLvl w:val="2"/>
        <w:rPr>
          <w:rFonts w:ascii="宋体" w:hAnsi="宋体"/>
          <w:b/>
          <w:color w:val="000000" w:themeColor="text1"/>
          <w:sz w:val="24"/>
          <w:szCs w:val="24"/>
          <w14:textFill>
            <w14:solidFill>
              <w14:schemeClr w14:val="tx1"/>
            </w14:solidFill>
          </w14:textFill>
        </w:rPr>
      </w:pPr>
      <w:bookmarkStart w:id="49" w:name="_Toc114572570"/>
      <w:r>
        <w:rPr>
          <w:rFonts w:hint="eastAsia" w:ascii="宋体" w:hAnsi="宋体"/>
          <w:color w:val="000000" w:themeColor="text1"/>
          <w:szCs w:val="21"/>
          <w14:textFill>
            <w14:solidFill>
              <w14:schemeClr w14:val="tx1"/>
            </w14:solidFill>
          </w14:textFill>
        </w:rPr>
        <w:t>格式一：封面</w:t>
      </w:r>
      <w:bookmarkEnd w:id="49"/>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36"/>
          <w:szCs w:val="36"/>
          <w:u w:val="single"/>
          <w14:textFill>
            <w14:solidFill>
              <w14:schemeClr w14:val="tx1"/>
            </w14:solidFill>
          </w14:textFill>
        </w:rPr>
      </w:pPr>
      <w:r>
        <w:rPr>
          <w:rFonts w:hint="eastAsia" w:ascii="宋体" w:hAnsi="宋体"/>
          <w:color w:val="000000" w:themeColor="text1"/>
          <w:spacing w:val="4"/>
          <w:kern w:val="0"/>
          <w:sz w:val="36"/>
          <w:szCs w:val="36"/>
          <w:u w:val="single"/>
          <w14:textFill>
            <w14:solidFill>
              <w14:schemeClr w14:val="tx1"/>
            </w14:solidFill>
          </w14:textFill>
        </w:rPr>
        <w:t xml:space="preserve">[工程名称] </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jc w:val="center"/>
        <w:rPr>
          <w:rFonts w:ascii="宋体" w:hAnsi="宋体"/>
          <w:color w:val="000000" w:themeColor="text1"/>
          <w:spacing w:val="4"/>
          <w:kern w:val="0"/>
          <w:sz w:val="84"/>
          <w:szCs w:val="84"/>
          <w14:textFill>
            <w14:solidFill>
              <w14:schemeClr w14:val="tx1"/>
            </w14:solidFill>
          </w14:textFill>
        </w:rPr>
      </w:pPr>
      <w:r>
        <w:rPr>
          <w:rFonts w:hint="eastAsia" w:ascii="宋体" w:hAnsi="宋体"/>
          <w:color w:val="000000" w:themeColor="text1"/>
          <w:spacing w:val="4"/>
          <w:kern w:val="0"/>
          <w:sz w:val="84"/>
          <w:szCs w:val="84"/>
          <w14:textFill>
            <w14:solidFill>
              <w14:schemeClr w14:val="tx1"/>
            </w14:solidFill>
          </w14:textFill>
        </w:rPr>
        <w:t>投标文件</w:t>
      </w:r>
    </w:p>
    <w:p>
      <w:pPr>
        <w:topLinePunct/>
        <w:adjustRightInd w:val="0"/>
        <w:snapToGrid w:val="0"/>
        <w:spacing w:line="360" w:lineRule="auto"/>
        <w:jc w:val="center"/>
        <w:rPr>
          <w:rFonts w:ascii="宋体" w:hAnsi="宋体"/>
          <w:color w:val="000000" w:themeColor="text1"/>
          <w:spacing w:val="4"/>
          <w:kern w:val="0"/>
          <w:sz w:val="36"/>
          <w:szCs w:val="36"/>
          <w14:textFill>
            <w14:solidFill>
              <w14:schemeClr w14:val="tx1"/>
            </w14:solidFill>
          </w14:textFill>
        </w:rPr>
      </w:pPr>
      <w:r>
        <w:rPr>
          <w:rFonts w:hint="eastAsia" w:ascii="宋体" w:hAnsi="宋体"/>
          <w:color w:val="000000" w:themeColor="text1"/>
          <w:spacing w:val="4"/>
          <w:kern w:val="0"/>
          <w:sz w:val="36"/>
          <w:szCs w:val="36"/>
          <w14:textFill>
            <w14:solidFill>
              <w14:schemeClr w14:val="tx1"/>
            </w14:solidFill>
          </w14:textFill>
        </w:rPr>
        <w:t>第二册 （经济标投标文件）</w:t>
      </w: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496" w:firstLineChars="200"/>
        <w:rPr>
          <w:rFonts w:ascii="宋体" w:hAnsi="宋体"/>
          <w:color w:val="000000" w:themeColor="text1"/>
          <w:spacing w:val="4"/>
          <w:kern w:val="0"/>
          <w:sz w:val="24"/>
          <w:szCs w:val="24"/>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投标人：</w:t>
      </w:r>
      <w:r>
        <w:rPr>
          <w:rFonts w:hint="eastAsia" w:ascii="宋体" w:hAnsi="宋体"/>
          <w:color w:val="000000" w:themeColor="text1"/>
          <w:spacing w:val="4"/>
          <w:kern w:val="0"/>
          <w:sz w:val="30"/>
          <w:szCs w:val="30"/>
          <w:u w:val="single"/>
          <w14:textFill>
            <w14:solidFill>
              <w14:schemeClr w14:val="tx1"/>
            </w14:solidFill>
          </w14:textFill>
        </w:rPr>
        <w:t xml:space="preserve">       （填写投标人单位名称）    （盖章）</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法定代表人或</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其委托代理人：</w:t>
      </w:r>
      <w:r>
        <w:rPr>
          <w:rFonts w:hint="eastAsia" w:ascii="宋体" w:hAnsi="宋体"/>
          <w:color w:val="000000" w:themeColor="text1"/>
          <w:spacing w:val="4"/>
          <w:kern w:val="0"/>
          <w:sz w:val="30"/>
          <w:szCs w:val="30"/>
          <w:u w:val="single"/>
          <w14:textFill>
            <w14:solidFill>
              <w14:schemeClr w14:val="tx1"/>
            </w14:solidFill>
          </w14:textFill>
        </w:rPr>
        <w:t xml:space="preserve">                     （签字或盖章）</w:t>
      </w:r>
    </w:p>
    <w:p>
      <w:pPr>
        <w:topLinePunct/>
        <w:adjustRightInd w:val="0"/>
        <w:snapToGrid w:val="0"/>
        <w:spacing w:line="360" w:lineRule="auto"/>
        <w:ind w:firstLine="616" w:firstLineChars="200"/>
        <w:jc w:val="left"/>
        <w:rPr>
          <w:rFonts w:ascii="宋体" w:hAnsi="宋体"/>
          <w:color w:val="000000" w:themeColor="text1"/>
          <w:spacing w:val="4"/>
          <w:kern w:val="0"/>
          <w:sz w:val="30"/>
          <w:szCs w:val="30"/>
          <w:u w:val="single"/>
          <w14:textFill>
            <w14:solidFill>
              <w14:schemeClr w14:val="tx1"/>
            </w14:solidFill>
          </w14:textFill>
        </w:rPr>
      </w:pPr>
      <w:r>
        <w:rPr>
          <w:rFonts w:hint="eastAsia" w:ascii="宋体" w:hAnsi="宋体"/>
          <w:color w:val="000000" w:themeColor="text1"/>
          <w:spacing w:val="4"/>
          <w:kern w:val="0"/>
          <w:sz w:val="30"/>
          <w:szCs w:val="30"/>
          <w14:textFill>
            <w14:solidFill>
              <w14:schemeClr w14:val="tx1"/>
            </w14:solidFill>
          </w14:textFill>
        </w:rPr>
        <w:t>日  期：</w:t>
      </w:r>
      <w:r>
        <w:rPr>
          <w:rFonts w:hint="eastAsia" w:ascii="宋体" w:hAnsi="宋体"/>
          <w:color w:val="000000" w:themeColor="text1"/>
          <w:spacing w:val="4"/>
          <w:kern w:val="0"/>
          <w:sz w:val="30"/>
          <w:szCs w:val="30"/>
          <w:u w:val="single"/>
          <w14:textFill>
            <w14:solidFill>
              <w14:schemeClr w14:val="tx1"/>
            </w14:solidFill>
          </w14:textFill>
        </w:rPr>
        <w:t xml:space="preserve">                                         </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0" w:name="_Toc8132550"/>
      <w:bookmarkStart w:id="51" w:name="_Toc24368098"/>
      <w:bookmarkStart w:id="52" w:name="_Toc114572571"/>
      <w:r>
        <w:rPr>
          <w:rFonts w:hint="eastAsia" w:ascii="宋体" w:hAnsi="宋体"/>
          <w:color w:val="000000" w:themeColor="text1"/>
          <w:szCs w:val="21"/>
          <w14:textFill>
            <w14:solidFill>
              <w14:schemeClr w14:val="tx1"/>
            </w14:solidFill>
          </w14:textFill>
        </w:rPr>
        <w:t>格式二</w:t>
      </w:r>
      <w:bookmarkEnd w:id="50"/>
      <w:bookmarkEnd w:id="51"/>
      <w:r>
        <w:rPr>
          <w:rFonts w:hint="eastAsia" w:ascii="宋体" w:hAnsi="宋体"/>
          <w:color w:val="000000" w:themeColor="text1"/>
          <w:szCs w:val="21"/>
          <w14:textFill>
            <w14:solidFill>
              <w14:schemeClr w14:val="tx1"/>
            </w14:solidFill>
          </w14:textFill>
        </w:rPr>
        <w:t>：工程量清单计价表</w:t>
      </w:r>
      <w:bookmarkEnd w:id="52"/>
    </w:p>
    <w:p>
      <w:pPr>
        <w:pStyle w:val="86"/>
        <w:ind w:firstLine="39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工程量清单计价表</w:t>
      </w:r>
    </w:p>
    <w:p>
      <w:pPr>
        <w:pStyle w:val="79"/>
        <w:ind w:firstLine="498"/>
        <w:rPr>
          <w:rFonts w:ascii="宋体" w:hAnsi="宋体" w:cs="宋体"/>
          <w:b/>
          <w:color w:val="000000" w:themeColor="text1"/>
          <w14:textFill>
            <w14:solidFill>
              <w14:schemeClr w14:val="tx1"/>
            </w14:solidFill>
          </w14:textFill>
        </w:rPr>
      </w:pPr>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本部分内容详见招标文件第七章工程量清单。</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3" w:name="_Toc8132551"/>
      <w:bookmarkStart w:id="54" w:name="_Toc24368099"/>
      <w:bookmarkStart w:id="55" w:name="_Toc114572572"/>
      <w:r>
        <w:rPr>
          <w:rFonts w:hint="eastAsia" w:ascii="宋体" w:hAnsi="宋体"/>
          <w:color w:val="000000" w:themeColor="text1"/>
          <w:szCs w:val="21"/>
          <w14:textFill>
            <w14:solidFill>
              <w14:schemeClr w14:val="tx1"/>
            </w14:solidFill>
          </w14:textFill>
        </w:rPr>
        <w:t>格式三</w:t>
      </w:r>
      <w:bookmarkEnd w:id="53"/>
      <w:bookmarkEnd w:id="54"/>
      <w:r>
        <w:rPr>
          <w:rFonts w:hint="eastAsia" w:ascii="宋体" w:hAnsi="宋体"/>
          <w:color w:val="000000" w:themeColor="text1"/>
          <w:szCs w:val="21"/>
          <w14:textFill>
            <w14:solidFill>
              <w14:schemeClr w14:val="tx1"/>
            </w14:solidFill>
          </w14:textFill>
        </w:rPr>
        <w:t>：参与编制经济标投标文件人员名单</w:t>
      </w:r>
      <w:bookmarkEnd w:id="55"/>
    </w:p>
    <w:p>
      <w:pPr>
        <w:autoSpaceDE w:val="0"/>
        <w:autoSpaceDN w:val="0"/>
        <w:adjustRightInd w:val="0"/>
        <w:rPr>
          <w:rFonts w:ascii="宋体" w:cs="宋体"/>
          <w:color w:val="000000" w:themeColor="text1"/>
          <w14:textFill>
            <w14:solidFill>
              <w14:schemeClr w14:val="tx1"/>
            </w14:solidFill>
          </w14:textFill>
        </w:rPr>
      </w:pPr>
    </w:p>
    <w:p>
      <w:pPr>
        <w:pStyle w:val="86"/>
        <w:ind w:firstLine="39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参与编制经济标投标文件人员名单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14:textFill>
                  <w14:solidFill>
                    <w14:schemeClr w14:val="tx1"/>
                  </w14:solidFill>
                </w14:textFill>
              </w:rPr>
            </w:pPr>
          </w:p>
        </w:tc>
      </w:tr>
    </w:tbl>
    <w:p>
      <w:pPr>
        <w:autoSpaceDE w:val="0"/>
        <w:autoSpaceDN w:val="0"/>
        <w:adjustRightInd w:val="0"/>
        <w:spacing w:line="360" w:lineRule="auto"/>
        <w:ind w:firstLine="36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注：参与编制经济标书所有人员名单应包括如编制各种专业工程量清单投标报价、负责清样校对、负责打印及复印等所有人员在内的人员名单。</w:t>
      </w:r>
    </w:p>
    <w:p>
      <w:pPr>
        <w:autoSpaceDE w:val="0"/>
        <w:autoSpaceDN w:val="0"/>
        <w:adjustRightInd w:val="0"/>
        <w:outlineLvl w:val="2"/>
        <w:rPr>
          <w:rFonts w:ascii="宋体" w:hAnsi="宋体"/>
          <w:color w:val="000000" w:themeColor="text1"/>
          <w:szCs w:val="2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6" w:name="_Toc114572573"/>
      <w:r>
        <w:rPr>
          <w:rFonts w:hint="eastAsia" w:ascii="宋体" w:hAnsi="宋体"/>
          <w:color w:val="000000" w:themeColor="text1"/>
          <w:szCs w:val="21"/>
          <w14:textFill>
            <w14:solidFill>
              <w14:schemeClr w14:val="tx1"/>
            </w14:solidFill>
          </w14:textFill>
        </w:rPr>
        <w:t>格式四：对投标文件编制的承诺、投标文件编制情况</w:t>
      </w:r>
      <w:bookmarkEnd w:id="56"/>
    </w:p>
    <w:p>
      <w:pPr>
        <w:pStyle w:val="5"/>
        <w:spacing w:before="240" w:after="0" w:line="360" w:lineRule="auto"/>
        <w:ind w:firstLine="0"/>
        <w:jc w:val="center"/>
        <w:rPr>
          <w:rFonts w:ascii="宋体" w:hAns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对投标文件编制的承诺</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本公司授权</w:t>
      </w:r>
      <w:r>
        <w:rPr>
          <w:rFonts w:hint="eastAsia" w:ascii="宋体" w:hAnsi="宋体"/>
          <w:color w:val="000000" w:themeColor="text1"/>
          <w:sz w:val="24"/>
          <w:szCs w:val="24"/>
          <w:u w:val="single"/>
          <w14:textFill>
            <w14:solidFill>
              <w14:schemeClr w14:val="tx1"/>
            </w14:solidFill>
          </w14:textFill>
        </w:rPr>
        <w:t xml:space="preserve">         （身份证号：               ）</w:t>
      </w:r>
      <w:r>
        <w:rPr>
          <w:rFonts w:hint="eastAsia" w:ascii="宋体" w:hAnsi="宋体"/>
          <w:color w:val="000000" w:themeColor="text1"/>
          <w:sz w:val="24"/>
          <w:szCs w:val="24"/>
          <w14:textFill>
            <w14:solidFill>
              <w14:schemeClr w14:val="tx1"/>
            </w14:solidFill>
          </w14:textFill>
        </w:rPr>
        <w:t>负责对投标文件的编制及内容进行解释、说明，并承诺以下事项：</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2.在本项目开标至评标结束前，努力确保被授权人在项目评标所在地附近；</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3.从评标委员会要求澄清起二小时内，被授权人应如实地书面澄清。</w:t>
      </w:r>
    </w:p>
    <w:p>
      <w:pPr>
        <w:pStyle w:val="5"/>
        <w:spacing w:after="0" w:line="360" w:lineRule="auto"/>
        <w:ind w:left="-2" w:leftChars="-1"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如由于未遵守上述承诺内容之一导致无法进行澄清的，我公司认可和接受评标委员会作出的评审结论。</w:t>
      </w:r>
    </w:p>
    <w:p>
      <w:pPr>
        <w:pStyle w:val="5"/>
        <w:spacing w:after="0" w:line="360" w:lineRule="auto"/>
        <w:ind w:firstLine="360" w:firstLineChars="150"/>
        <w:rPr>
          <w:rFonts w:ascii="宋体" w:hAnsi="宋体"/>
          <w:color w:val="000000" w:themeColor="text1"/>
          <w:sz w:val="24"/>
          <w:szCs w:val="24"/>
          <w14:textFill>
            <w14:solidFill>
              <w14:schemeClr w14:val="tx1"/>
            </w14:solidFill>
          </w14:textFill>
        </w:rPr>
      </w:pPr>
    </w:p>
    <w:p>
      <w:pPr>
        <w:pStyle w:val="5"/>
        <w:spacing w:after="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附件：《投标文件编制情况》</w:t>
      </w:r>
    </w:p>
    <w:p>
      <w:pPr>
        <w:spacing w:line="360" w:lineRule="auto"/>
        <w:ind w:right="90" w:firstLine="3240" w:firstLineChars="135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投标人名称（盖章）：</w:t>
      </w:r>
    </w:p>
    <w:p>
      <w:pPr>
        <w:spacing w:line="360" w:lineRule="auto"/>
        <w:ind w:firstLine="2160" w:firstLineChars="9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法定代表人或被授权人（签字或盖章）：</w:t>
      </w:r>
    </w:p>
    <w:p>
      <w:pPr>
        <w:spacing w:line="360" w:lineRule="auto"/>
        <w:ind w:firstLine="4440" w:firstLineChars="18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 年 月 日</w:t>
      </w:r>
    </w:p>
    <w:p>
      <w:pPr>
        <w:pStyle w:val="5"/>
        <w:spacing w:after="0" w:line="360" w:lineRule="auto"/>
        <w:ind w:firstLine="0"/>
        <w:rPr>
          <w:rFonts w:ascii="宋体" w:hAnsi="宋体"/>
          <w:b/>
          <w:color w:val="000000" w:themeColor="text1"/>
          <w:sz w:val="32"/>
          <w:szCs w:val="32"/>
          <w14:textFill>
            <w14:solidFill>
              <w14:schemeClr w14:val="tx1"/>
            </w14:solidFill>
          </w14:textFill>
        </w:rPr>
      </w:pPr>
    </w:p>
    <w:p>
      <w:pPr>
        <w:pStyle w:val="5"/>
        <w:spacing w:after="0" w:line="360" w:lineRule="auto"/>
        <w:ind w:firstLine="0"/>
        <w:jc w:val="center"/>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投标文件编制情况</w:t>
      </w:r>
    </w:p>
    <w:p>
      <w:pPr>
        <w:pStyle w:val="5"/>
        <w:spacing w:after="0"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1.投标文件报价编制方式: □自行编制的，编制的负责人：</w:t>
      </w:r>
      <w:r>
        <w:rPr>
          <w:rFonts w:hint="eastAsia" w:ascii="宋体" w:hAnsi="宋体"/>
          <w:color w:val="000000" w:themeColor="text1"/>
          <w:sz w:val="24"/>
          <w:szCs w:val="24"/>
          <w:u w:val="single"/>
          <w14:textFill>
            <w14:solidFill>
              <w14:schemeClr w14:val="tx1"/>
            </w14:solidFill>
          </w14:textFill>
        </w:rPr>
        <w:t xml:space="preserve">（盖造价工程师执业专用章（一级或二级），执业单位应与投标人一致） </w:t>
      </w:r>
      <w:r>
        <w:rPr>
          <w:rFonts w:hint="eastAsia" w:ascii="宋体" w:hAnsi="宋体"/>
          <w:color w:val="000000" w:themeColor="text1"/>
          <w:sz w:val="24"/>
          <w:szCs w:val="24"/>
          <w14:textFill>
            <w14:solidFill>
              <w14:schemeClr w14:val="tx1"/>
            </w14:solidFill>
          </w14:textFill>
        </w:rPr>
        <w:t>。□委托编制的，受委托单位：</w:t>
      </w:r>
      <w:r>
        <w:rPr>
          <w:rFonts w:ascii="宋体" w:hAnsi="宋体"/>
          <w:color w:val="000000" w:themeColor="text1"/>
          <w:sz w:val="24"/>
          <w:szCs w:val="24"/>
          <w:u w:val="single"/>
          <w:lang w:val="en-US"/>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，编制的负责人：</w:t>
      </w:r>
      <w:r>
        <w:rPr>
          <w:rFonts w:hint="eastAsia" w:ascii="宋体" w:hAnsi="宋体"/>
          <w:color w:val="000000" w:themeColor="text1"/>
          <w:sz w:val="24"/>
          <w:szCs w:val="24"/>
          <w:u w:val="single"/>
          <w14:textFill>
            <w14:solidFill>
              <w14:schemeClr w14:val="tx1"/>
            </w14:solidFill>
          </w14:textFill>
        </w:rPr>
        <w:t xml:space="preserve">（盖造价工程师执业专用章（一级或二级），执业单位应与受委托单位一致） </w:t>
      </w:r>
      <w:r>
        <w:rPr>
          <w:rFonts w:hint="eastAsia" w:ascii="宋体" w:hAnsi="宋体"/>
          <w:color w:val="000000" w:themeColor="text1"/>
          <w:sz w:val="24"/>
          <w:szCs w:val="24"/>
          <w14:textFill>
            <w14:solidFill>
              <w14:schemeClr w14:val="tx1"/>
            </w14:solidFill>
          </w14:textFill>
        </w:rPr>
        <w:t>。</w:t>
      </w:r>
    </w:p>
    <w:p>
      <w:pPr>
        <w:pStyle w:val="5"/>
        <w:spacing w:after="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2.投标文件加密打包的电脑情况</w:t>
      </w:r>
    </w:p>
    <w:tbl>
      <w:tblPr>
        <w:tblStyle w:val="34"/>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653" w:hRule="atLeast"/>
        </w:trPr>
        <w:tc>
          <w:tcPr>
            <w:tcW w:w="8522" w:type="dxa"/>
          </w:tcPr>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投标文件加密打包的电脑  自有    □      外包    □   其他    □</w:t>
            </w:r>
          </w:p>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电脑类型</w:t>
            </w:r>
          </w:p>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电脑所属单位</w:t>
            </w:r>
          </w:p>
          <w:p>
            <w:pPr>
              <w:pStyle w:val="5"/>
              <w:spacing w:after="0" w:line="360" w:lineRule="auto"/>
              <w:ind w:firstLine="0"/>
              <w:rPr>
                <w:rFonts w:ascii="宋体" w:hAnsi="宋体"/>
                <w:color w:val="000000" w:themeColor="text1"/>
                <w:kern w:val="2"/>
                <w:sz w:val="24"/>
                <w:szCs w:val="24"/>
                <w:lang w:val="en-US"/>
                <w14:textFill>
                  <w14:solidFill>
                    <w14:schemeClr w14:val="tx1"/>
                  </w14:solidFill>
                </w14:textFill>
              </w:rPr>
            </w:pPr>
            <w:r>
              <w:rPr>
                <w:rFonts w:hint="eastAsia" w:ascii="宋体" w:hAnsi="宋体"/>
                <w:color w:val="000000" w:themeColor="text1"/>
                <w:kern w:val="2"/>
                <w:sz w:val="24"/>
                <w:szCs w:val="24"/>
                <w:lang w:val="en-US"/>
                <w14:textFill>
                  <w14:solidFill>
                    <w14:schemeClr w14:val="tx1"/>
                  </w14:solidFill>
                </w14:textFill>
              </w:rPr>
              <w:t>电脑所在地址        （如××市××区(县) ××街（路）××号××大厦××房）</w:t>
            </w:r>
          </w:p>
        </w:tc>
      </w:tr>
    </w:tbl>
    <w:p>
      <w:pPr>
        <w:topLinePunct/>
        <w:adjustRightInd w:val="0"/>
        <w:snapToGrid w:val="0"/>
        <w:spacing w:before="156" w:beforeLines="50" w:after="156" w:afterLines="50"/>
        <w:outlineLvl w:val="2"/>
        <w:rPr>
          <w:color w:val="000000" w:themeColor="text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3"/>
        <w:rPr>
          <w:rStyle w:val="67"/>
          <w:rFonts w:ascii="宋体" w:hAnsi="宋体"/>
          <w:b w:val="0"/>
          <w:color w:val="000000" w:themeColor="text1"/>
          <w14:textFill>
            <w14:solidFill>
              <w14:schemeClr w14:val="tx1"/>
            </w14:solidFill>
          </w14:textFill>
        </w:rPr>
      </w:pPr>
      <w:bookmarkStart w:id="57" w:name="_Toc114572574"/>
      <w:r>
        <w:rPr>
          <w:rFonts w:hint="eastAsia"/>
          <w:color w:val="000000" w:themeColor="text1"/>
          <w14:textFill>
            <w14:solidFill>
              <w14:schemeClr w14:val="tx1"/>
            </w14:solidFill>
          </w14:textFill>
        </w:rPr>
        <w:t>第五章 技术条件（工程建设标准）</w:t>
      </w:r>
      <w:bookmarkEnd w:id="57"/>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下列文件应被认为是组成本章内容的一部分，并互为补充和解释，如各文件存在冲突之处，以要求更严格者为准（但设计文件另有要求的除外）：</w:t>
      </w:r>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1、遵照招标人相关规定要求（技术规格书、另册）；</w:t>
      </w:r>
    </w:p>
    <w:p>
      <w:pPr>
        <w:pStyle w:val="79"/>
        <w:ind w:firstLine="496"/>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、采用中华人民共和国现行技术和验收规范（</w:t>
      </w:r>
      <w:bookmarkStart w:id="58" w:name="_Hlk55661495"/>
      <w:r>
        <w:rPr>
          <w:rFonts w:hint="eastAsia" w:ascii="宋体" w:hAnsi="宋体" w:cs="宋体"/>
          <w:color w:val="000000" w:themeColor="text1"/>
          <w14:textFill>
            <w14:solidFill>
              <w14:schemeClr w14:val="tx1"/>
            </w14:solidFill>
          </w14:textFill>
        </w:rPr>
        <w:t>通用技术标准及规范</w:t>
      </w:r>
      <w:bookmarkEnd w:id="58"/>
      <w:r>
        <w:rPr>
          <w:rFonts w:hint="eastAsia" w:ascii="宋体" w:hAnsi="宋体" w:cs="宋体"/>
          <w:color w:val="000000" w:themeColor="text1"/>
          <w14:textFill>
            <w14:solidFill>
              <w14:schemeClr w14:val="tx1"/>
            </w14:solidFill>
          </w14:textFill>
        </w:rPr>
        <w:t>）。</w:t>
      </w:r>
    </w:p>
    <w:p>
      <w:pPr>
        <w:pStyle w:val="79"/>
        <w:ind w:firstLine="49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3、采用图纸中规定的其它技术和验收标准；</w:t>
      </w:r>
    </w:p>
    <w:p>
      <w:pPr>
        <w:pStyle w:val="3"/>
        <w:ind w:firstLine="420"/>
        <w:rPr>
          <w:rFonts w:ascii="宋体" w:hAnsi="宋体"/>
          <w:color w:val="000000" w:themeColor="text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59" w:name="_Toc114572575"/>
      <w:r>
        <w:rPr>
          <w:rFonts w:hint="eastAsia" w:ascii="宋体" w:hAnsi="宋体"/>
          <w:color w:val="000000" w:themeColor="text1"/>
          <w14:textFill>
            <w14:solidFill>
              <w14:schemeClr w14:val="tx1"/>
            </w14:solidFill>
          </w14:textFill>
        </w:rPr>
        <w:t>第六章 图纸及勘察资料</w:t>
      </w:r>
      <w:bookmarkEnd w:id="59"/>
    </w:p>
    <w:p>
      <w:pPr>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注：本章由招标人自行制定，另册。</w:t>
      </w:r>
    </w:p>
    <w:p>
      <w:pPr>
        <w:pStyle w:val="3"/>
        <w:rPr>
          <w:rFonts w:ascii="宋体" w:hAnsi="宋体"/>
          <w:color w:val="000000" w:themeColor="text1"/>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60" w:name="_Toc114572576"/>
      <w:r>
        <w:rPr>
          <w:rFonts w:hint="eastAsia" w:ascii="宋体" w:hAnsi="宋体"/>
          <w:color w:val="000000" w:themeColor="text1"/>
          <w14:textFill>
            <w14:solidFill>
              <w14:schemeClr w14:val="tx1"/>
            </w14:solidFill>
          </w14:textFill>
        </w:rPr>
        <w:t>第七章 工程量清单</w:t>
      </w:r>
      <w:bookmarkEnd w:id="60"/>
    </w:p>
    <w:p>
      <w:pPr>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注：本章由招标人自行制定，另册。</w:t>
      </w:r>
    </w:p>
    <w:p>
      <w:pPr>
        <w:pStyle w:val="3"/>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61" w:name="_Toc114572577"/>
      <w:bookmarkStart w:id="62" w:name="_Toc24368104"/>
      <w:bookmarkStart w:id="63" w:name="_Toc8132556"/>
      <w:r>
        <w:rPr>
          <w:rFonts w:hint="eastAsia" w:ascii="宋体" w:hAnsi="宋体" w:cs="宋体"/>
          <w:color w:val="000000" w:themeColor="text1"/>
          <w14:textFill>
            <w14:solidFill>
              <w14:schemeClr w14:val="tx1"/>
            </w14:solidFill>
          </w14:textFill>
        </w:rPr>
        <w:t>第八章 最高投标限价</w:t>
      </w:r>
      <w:bookmarkEnd w:id="61"/>
      <w:bookmarkEnd w:id="62"/>
      <w:bookmarkEnd w:id="63"/>
    </w:p>
    <w:p>
      <w:pPr>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详见《最高投标限价公布函》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center"/>
      <w:rPr>
        <w:rStyle w:val="39"/>
      </w:rPr>
    </w:pPr>
    <w:r>
      <w:fldChar w:fldCharType="begin"/>
    </w:r>
    <w:r>
      <w:rPr>
        <w:rStyle w:val="39"/>
      </w:rPr>
      <w:instrText xml:space="preserve">PAGE  </w:instrText>
    </w:r>
    <w:r>
      <w:fldChar w:fldCharType="separate"/>
    </w:r>
    <w:r>
      <w:rPr>
        <w:rStyle w:val="39"/>
      </w:rP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39"/>
      </w:rPr>
    </w:pPr>
    <w:r>
      <w:fldChar w:fldCharType="begin"/>
    </w:r>
    <w:r>
      <w:rPr>
        <w:rStyle w:val="39"/>
      </w:rPr>
      <w:instrText xml:space="preserve">PAGE  </w:instrText>
    </w:r>
    <w:r>
      <w:fldChar w:fldCharType="separate"/>
    </w:r>
    <w:r>
      <w:rPr>
        <w:rStyle w:val="39"/>
        <w:rFonts w:hint="eastAsia"/>
        <w:lang w:val="en-US"/>
      </w:rPr>
      <w:t>一</w:t>
    </w:r>
    <w:r>
      <w:rPr>
        <w:rStyle w:val="39"/>
        <w:lang w:val="en-US"/>
      </w:rPr>
      <w:t>–2</w:t>
    </w:r>
    <w:r>
      <w:fldChar w:fldCharType="end"/>
    </w:r>
  </w:p>
  <w:p>
    <w:pPr>
      <w:pStyle w:val="24"/>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t>54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9"/>
      </w:rPr>
    </w:pPr>
    <w:r>
      <w:fldChar w:fldCharType="begin"/>
    </w:r>
    <w:r>
      <w:rPr>
        <w:rStyle w:val="39"/>
      </w:rPr>
      <w:instrText xml:space="preserve">PAGE  </w:instrText>
    </w:r>
    <w:r>
      <w:fldChar w:fldCharType="separate"/>
    </w:r>
    <w:r>
      <w:rPr>
        <w:rStyle w:val="39"/>
        <w:rFonts w:hint="eastAsia"/>
        <w:lang w:val="en-US"/>
      </w:rPr>
      <w:t>一</w:t>
    </w:r>
    <w:r>
      <w:rPr>
        <w:rStyle w:val="39"/>
        <w:lang w:val="en-US"/>
      </w:rPr>
      <w:t>–2</w:t>
    </w:r>
    <w:r>
      <w:fldChar w:fldCharType="end"/>
    </w:r>
  </w:p>
  <w:p>
    <w:pPr>
      <w:pStyle w:val="2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9"/>
      </w:rPr>
      <w:instrText xml:space="preserve"> PAGE </w:instrText>
    </w:r>
    <w:r>
      <w:fldChar w:fldCharType="separate"/>
    </w:r>
    <w:r>
      <w:rPr>
        <w:rStyle w:val="39"/>
      </w:rPr>
      <w:t>52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8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33575336"/>
    <w:multiLevelType w:val="multilevel"/>
    <w:tmpl w:val="3357533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DE0691"/>
    <w:multiLevelType w:val="multilevel"/>
    <w:tmpl w:val="54DE0691"/>
    <w:lvl w:ilvl="0" w:tentative="0">
      <w:start w:val="1"/>
      <w:numFmt w:val="decimalEnclosedCircle"/>
      <w:suff w:val="space"/>
      <w:lvlText w:val="%1"/>
      <w:lvlJc w:val="left"/>
      <w:pPr>
        <w:ind w:left="644" w:hanging="360"/>
      </w:pPr>
      <w:rPr>
        <w:rFonts w:cs="Times New Roman" w:asciiTheme="minorEastAsia" w:hAnsiTheme="minorEastAsia" w:eastAsiaTheme="minor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5E0BF777"/>
    <w:multiLevelType w:val="singleLevel"/>
    <w:tmpl w:val="5E0BF777"/>
    <w:lvl w:ilvl="0" w:tentative="0">
      <w:start w:val="2"/>
      <w:numFmt w:val="decimal"/>
      <w:suff w:val="nothing"/>
      <w:lvlText w:val="%1、"/>
      <w:lvlJc w:val="left"/>
    </w:lvl>
  </w:abstractNum>
  <w:abstractNum w:abstractNumId="4">
    <w:nsid w:val="5E0C0C8D"/>
    <w:multiLevelType w:val="singleLevel"/>
    <w:tmpl w:val="5E0C0C8D"/>
    <w:lvl w:ilvl="0" w:tentative="0">
      <w:start w:val="31"/>
      <w:numFmt w:val="decimal"/>
      <w:suff w:val="nothing"/>
      <w:lvlText w:val="%1．"/>
      <w:lvlJc w:val="left"/>
    </w:lvl>
  </w:abstractNum>
  <w:abstractNum w:abstractNumId="5">
    <w:nsid w:val="6DD670CA"/>
    <w:multiLevelType w:val="multilevel"/>
    <w:tmpl w:val="6DD670CA"/>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WJkNTg5NWFmNjE1M2Y3N2JkYTU0OTRlZmYyMTQifQ=="/>
  </w:docVars>
  <w:rsids>
    <w:rsidRoot w:val="00347B42"/>
    <w:rsid w:val="000005E2"/>
    <w:rsid w:val="00000C16"/>
    <w:rsid w:val="00002543"/>
    <w:rsid w:val="0000323E"/>
    <w:rsid w:val="00007136"/>
    <w:rsid w:val="0001060C"/>
    <w:rsid w:val="00010C32"/>
    <w:rsid w:val="00010EA5"/>
    <w:rsid w:val="00011FD8"/>
    <w:rsid w:val="00012158"/>
    <w:rsid w:val="00013C7D"/>
    <w:rsid w:val="00013CD7"/>
    <w:rsid w:val="00016176"/>
    <w:rsid w:val="00016F6F"/>
    <w:rsid w:val="0001760A"/>
    <w:rsid w:val="00020B6C"/>
    <w:rsid w:val="00025E7C"/>
    <w:rsid w:val="00026C2A"/>
    <w:rsid w:val="0002737A"/>
    <w:rsid w:val="000306C2"/>
    <w:rsid w:val="00030DB4"/>
    <w:rsid w:val="00031D33"/>
    <w:rsid w:val="00032AA0"/>
    <w:rsid w:val="00034D3A"/>
    <w:rsid w:val="00034DBD"/>
    <w:rsid w:val="00036FB3"/>
    <w:rsid w:val="0003752C"/>
    <w:rsid w:val="000402BA"/>
    <w:rsid w:val="000442DA"/>
    <w:rsid w:val="000448C2"/>
    <w:rsid w:val="00044F99"/>
    <w:rsid w:val="00045410"/>
    <w:rsid w:val="0004594E"/>
    <w:rsid w:val="000460AE"/>
    <w:rsid w:val="000503B2"/>
    <w:rsid w:val="00052C95"/>
    <w:rsid w:val="00053083"/>
    <w:rsid w:val="0005345A"/>
    <w:rsid w:val="00054803"/>
    <w:rsid w:val="00054995"/>
    <w:rsid w:val="000565AA"/>
    <w:rsid w:val="0006078D"/>
    <w:rsid w:val="00061053"/>
    <w:rsid w:val="00061908"/>
    <w:rsid w:val="00061D6F"/>
    <w:rsid w:val="00062844"/>
    <w:rsid w:val="00062AEF"/>
    <w:rsid w:val="00062BA5"/>
    <w:rsid w:val="000636B6"/>
    <w:rsid w:val="0006420A"/>
    <w:rsid w:val="0006503C"/>
    <w:rsid w:val="00066B61"/>
    <w:rsid w:val="00066CBE"/>
    <w:rsid w:val="00071650"/>
    <w:rsid w:val="00071E69"/>
    <w:rsid w:val="00071FE8"/>
    <w:rsid w:val="00073D70"/>
    <w:rsid w:val="00074D0D"/>
    <w:rsid w:val="000753CD"/>
    <w:rsid w:val="00075D64"/>
    <w:rsid w:val="00076377"/>
    <w:rsid w:val="00077F18"/>
    <w:rsid w:val="00081189"/>
    <w:rsid w:val="00081E49"/>
    <w:rsid w:val="00083088"/>
    <w:rsid w:val="00083BB7"/>
    <w:rsid w:val="000840D1"/>
    <w:rsid w:val="00084DE7"/>
    <w:rsid w:val="00084DF6"/>
    <w:rsid w:val="00084ECA"/>
    <w:rsid w:val="00084F28"/>
    <w:rsid w:val="0008650C"/>
    <w:rsid w:val="000871EF"/>
    <w:rsid w:val="0009311A"/>
    <w:rsid w:val="0009332A"/>
    <w:rsid w:val="000942F8"/>
    <w:rsid w:val="000949B0"/>
    <w:rsid w:val="00094E89"/>
    <w:rsid w:val="00095DFD"/>
    <w:rsid w:val="00096202"/>
    <w:rsid w:val="00096D76"/>
    <w:rsid w:val="000971B7"/>
    <w:rsid w:val="00097A36"/>
    <w:rsid w:val="000A02C4"/>
    <w:rsid w:val="000A14FB"/>
    <w:rsid w:val="000A2AA1"/>
    <w:rsid w:val="000A2B71"/>
    <w:rsid w:val="000A36CC"/>
    <w:rsid w:val="000A454D"/>
    <w:rsid w:val="000A67CF"/>
    <w:rsid w:val="000B10F0"/>
    <w:rsid w:val="000B188E"/>
    <w:rsid w:val="000B39D9"/>
    <w:rsid w:val="000B4127"/>
    <w:rsid w:val="000B4B48"/>
    <w:rsid w:val="000B5B07"/>
    <w:rsid w:val="000B5DC3"/>
    <w:rsid w:val="000B5E51"/>
    <w:rsid w:val="000B5E99"/>
    <w:rsid w:val="000B6105"/>
    <w:rsid w:val="000C0A58"/>
    <w:rsid w:val="000C257F"/>
    <w:rsid w:val="000C2A11"/>
    <w:rsid w:val="000C307E"/>
    <w:rsid w:val="000C34BD"/>
    <w:rsid w:val="000C3BEC"/>
    <w:rsid w:val="000C46BF"/>
    <w:rsid w:val="000C606B"/>
    <w:rsid w:val="000D3584"/>
    <w:rsid w:val="000D53FD"/>
    <w:rsid w:val="000D71FF"/>
    <w:rsid w:val="000D7CAF"/>
    <w:rsid w:val="000D7EC5"/>
    <w:rsid w:val="000D7F69"/>
    <w:rsid w:val="000E32E4"/>
    <w:rsid w:val="000E3334"/>
    <w:rsid w:val="000E3868"/>
    <w:rsid w:val="000E391A"/>
    <w:rsid w:val="000E458D"/>
    <w:rsid w:val="000E5963"/>
    <w:rsid w:val="000E59FD"/>
    <w:rsid w:val="000F22FC"/>
    <w:rsid w:val="000F2C2C"/>
    <w:rsid w:val="000F369B"/>
    <w:rsid w:val="000F72CB"/>
    <w:rsid w:val="001001A3"/>
    <w:rsid w:val="00102881"/>
    <w:rsid w:val="00102CA8"/>
    <w:rsid w:val="00103676"/>
    <w:rsid w:val="00103896"/>
    <w:rsid w:val="00103D22"/>
    <w:rsid w:val="001056F3"/>
    <w:rsid w:val="0010606C"/>
    <w:rsid w:val="001061BC"/>
    <w:rsid w:val="00106D5C"/>
    <w:rsid w:val="00107984"/>
    <w:rsid w:val="00110932"/>
    <w:rsid w:val="00110A74"/>
    <w:rsid w:val="00111051"/>
    <w:rsid w:val="00111134"/>
    <w:rsid w:val="00111948"/>
    <w:rsid w:val="0011250E"/>
    <w:rsid w:val="00112FCF"/>
    <w:rsid w:val="00113581"/>
    <w:rsid w:val="00113A4E"/>
    <w:rsid w:val="0011470D"/>
    <w:rsid w:val="00116AE2"/>
    <w:rsid w:val="00117141"/>
    <w:rsid w:val="0011719C"/>
    <w:rsid w:val="00117296"/>
    <w:rsid w:val="00121379"/>
    <w:rsid w:val="00121EE0"/>
    <w:rsid w:val="001236AE"/>
    <w:rsid w:val="001249D0"/>
    <w:rsid w:val="00125C0E"/>
    <w:rsid w:val="0012612A"/>
    <w:rsid w:val="00127718"/>
    <w:rsid w:val="00130040"/>
    <w:rsid w:val="001325D3"/>
    <w:rsid w:val="001329FD"/>
    <w:rsid w:val="00134E17"/>
    <w:rsid w:val="00136D79"/>
    <w:rsid w:val="00137377"/>
    <w:rsid w:val="00137B7C"/>
    <w:rsid w:val="00142968"/>
    <w:rsid w:val="00143473"/>
    <w:rsid w:val="00144AAD"/>
    <w:rsid w:val="00147A1D"/>
    <w:rsid w:val="00150937"/>
    <w:rsid w:val="001513F1"/>
    <w:rsid w:val="001601EA"/>
    <w:rsid w:val="001611C2"/>
    <w:rsid w:val="00161CF0"/>
    <w:rsid w:val="00162557"/>
    <w:rsid w:val="00162AF5"/>
    <w:rsid w:val="00163656"/>
    <w:rsid w:val="001647E3"/>
    <w:rsid w:val="00165DFA"/>
    <w:rsid w:val="00174120"/>
    <w:rsid w:val="001747C3"/>
    <w:rsid w:val="00175B0D"/>
    <w:rsid w:val="00176C40"/>
    <w:rsid w:val="00176E98"/>
    <w:rsid w:val="0017705E"/>
    <w:rsid w:val="0017706C"/>
    <w:rsid w:val="00177C9A"/>
    <w:rsid w:val="00177F58"/>
    <w:rsid w:val="0018182F"/>
    <w:rsid w:val="00181FE7"/>
    <w:rsid w:val="0018284A"/>
    <w:rsid w:val="0018339B"/>
    <w:rsid w:val="0018397A"/>
    <w:rsid w:val="00183FE1"/>
    <w:rsid w:val="0018468E"/>
    <w:rsid w:val="00184EFF"/>
    <w:rsid w:val="001853DD"/>
    <w:rsid w:val="00185DA9"/>
    <w:rsid w:val="001864C3"/>
    <w:rsid w:val="0018662F"/>
    <w:rsid w:val="0018780E"/>
    <w:rsid w:val="001914E9"/>
    <w:rsid w:val="00191A5C"/>
    <w:rsid w:val="00195344"/>
    <w:rsid w:val="00195B6E"/>
    <w:rsid w:val="001967E3"/>
    <w:rsid w:val="001A0A7C"/>
    <w:rsid w:val="001A11D8"/>
    <w:rsid w:val="001A2298"/>
    <w:rsid w:val="001A2326"/>
    <w:rsid w:val="001A35BC"/>
    <w:rsid w:val="001A3FFA"/>
    <w:rsid w:val="001A584E"/>
    <w:rsid w:val="001A696B"/>
    <w:rsid w:val="001A7406"/>
    <w:rsid w:val="001B10C9"/>
    <w:rsid w:val="001B1869"/>
    <w:rsid w:val="001B2E49"/>
    <w:rsid w:val="001B4135"/>
    <w:rsid w:val="001B6ECC"/>
    <w:rsid w:val="001C1434"/>
    <w:rsid w:val="001C2500"/>
    <w:rsid w:val="001C3914"/>
    <w:rsid w:val="001C4472"/>
    <w:rsid w:val="001C4586"/>
    <w:rsid w:val="001C5A2D"/>
    <w:rsid w:val="001D11BE"/>
    <w:rsid w:val="001D2DA7"/>
    <w:rsid w:val="001D3834"/>
    <w:rsid w:val="001D5C66"/>
    <w:rsid w:val="001D6BE0"/>
    <w:rsid w:val="001D6E76"/>
    <w:rsid w:val="001D716F"/>
    <w:rsid w:val="001D78C1"/>
    <w:rsid w:val="001E00CC"/>
    <w:rsid w:val="001E06BC"/>
    <w:rsid w:val="001E1076"/>
    <w:rsid w:val="001E1B21"/>
    <w:rsid w:val="001E2D03"/>
    <w:rsid w:val="001E4736"/>
    <w:rsid w:val="001E6107"/>
    <w:rsid w:val="001E6D18"/>
    <w:rsid w:val="001F149A"/>
    <w:rsid w:val="001F1C7F"/>
    <w:rsid w:val="001F1CC6"/>
    <w:rsid w:val="001F1D00"/>
    <w:rsid w:val="001F2118"/>
    <w:rsid w:val="001F299B"/>
    <w:rsid w:val="001F45E9"/>
    <w:rsid w:val="001F5A6F"/>
    <w:rsid w:val="001F5AB2"/>
    <w:rsid w:val="001F5AFA"/>
    <w:rsid w:val="001F5E60"/>
    <w:rsid w:val="001F72D9"/>
    <w:rsid w:val="00200197"/>
    <w:rsid w:val="002001CE"/>
    <w:rsid w:val="002013C8"/>
    <w:rsid w:val="002015BA"/>
    <w:rsid w:val="00201D4E"/>
    <w:rsid w:val="00201D59"/>
    <w:rsid w:val="00203F97"/>
    <w:rsid w:val="002044ED"/>
    <w:rsid w:val="00205F2B"/>
    <w:rsid w:val="0020631D"/>
    <w:rsid w:val="00212E0B"/>
    <w:rsid w:val="002136CF"/>
    <w:rsid w:val="002153FF"/>
    <w:rsid w:val="00216436"/>
    <w:rsid w:val="002175C4"/>
    <w:rsid w:val="00220F2C"/>
    <w:rsid w:val="00222A58"/>
    <w:rsid w:val="00223049"/>
    <w:rsid w:val="00223491"/>
    <w:rsid w:val="00223524"/>
    <w:rsid w:val="00223FE1"/>
    <w:rsid w:val="002240C8"/>
    <w:rsid w:val="002265DC"/>
    <w:rsid w:val="002312CE"/>
    <w:rsid w:val="00231650"/>
    <w:rsid w:val="00233B1B"/>
    <w:rsid w:val="002357F9"/>
    <w:rsid w:val="002361BF"/>
    <w:rsid w:val="002373DA"/>
    <w:rsid w:val="00237924"/>
    <w:rsid w:val="00244825"/>
    <w:rsid w:val="002448F9"/>
    <w:rsid w:val="00246410"/>
    <w:rsid w:val="002468C8"/>
    <w:rsid w:val="002479B7"/>
    <w:rsid w:val="00247FF7"/>
    <w:rsid w:val="00250FBE"/>
    <w:rsid w:val="00251DE7"/>
    <w:rsid w:val="00253153"/>
    <w:rsid w:val="002540E8"/>
    <w:rsid w:val="00255819"/>
    <w:rsid w:val="00256599"/>
    <w:rsid w:val="00257BCA"/>
    <w:rsid w:val="0026001D"/>
    <w:rsid w:val="002619CA"/>
    <w:rsid w:val="00263069"/>
    <w:rsid w:val="002635D5"/>
    <w:rsid w:val="00263B3E"/>
    <w:rsid w:val="0026489C"/>
    <w:rsid w:val="00265805"/>
    <w:rsid w:val="002658A0"/>
    <w:rsid w:val="00267AFF"/>
    <w:rsid w:val="00272133"/>
    <w:rsid w:val="00272A7F"/>
    <w:rsid w:val="00272F67"/>
    <w:rsid w:val="00276136"/>
    <w:rsid w:val="00282638"/>
    <w:rsid w:val="0028360C"/>
    <w:rsid w:val="00283FA4"/>
    <w:rsid w:val="00284C0F"/>
    <w:rsid w:val="00285FE0"/>
    <w:rsid w:val="0028615B"/>
    <w:rsid w:val="0029101D"/>
    <w:rsid w:val="00291F3B"/>
    <w:rsid w:val="00292D1E"/>
    <w:rsid w:val="00294074"/>
    <w:rsid w:val="00294F89"/>
    <w:rsid w:val="00296734"/>
    <w:rsid w:val="00296FD1"/>
    <w:rsid w:val="002A02E8"/>
    <w:rsid w:val="002A2085"/>
    <w:rsid w:val="002A4235"/>
    <w:rsid w:val="002A4E62"/>
    <w:rsid w:val="002A52FF"/>
    <w:rsid w:val="002A6A1E"/>
    <w:rsid w:val="002A6EA1"/>
    <w:rsid w:val="002A7404"/>
    <w:rsid w:val="002A74E6"/>
    <w:rsid w:val="002A7B37"/>
    <w:rsid w:val="002B08A3"/>
    <w:rsid w:val="002B0C80"/>
    <w:rsid w:val="002B0FC2"/>
    <w:rsid w:val="002B25C8"/>
    <w:rsid w:val="002B2D72"/>
    <w:rsid w:val="002B3519"/>
    <w:rsid w:val="002B464B"/>
    <w:rsid w:val="002B4A4C"/>
    <w:rsid w:val="002B4F8B"/>
    <w:rsid w:val="002B5A08"/>
    <w:rsid w:val="002B76F6"/>
    <w:rsid w:val="002B788E"/>
    <w:rsid w:val="002B7D0B"/>
    <w:rsid w:val="002C0157"/>
    <w:rsid w:val="002C0635"/>
    <w:rsid w:val="002C0B6A"/>
    <w:rsid w:val="002C1F62"/>
    <w:rsid w:val="002C219A"/>
    <w:rsid w:val="002C2555"/>
    <w:rsid w:val="002C6165"/>
    <w:rsid w:val="002C7333"/>
    <w:rsid w:val="002D0BE9"/>
    <w:rsid w:val="002D194A"/>
    <w:rsid w:val="002D198A"/>
    <w:rsid w:val="002D3260"/>
    <w:rsid w:val="002D4605"/>
    <w:rsid w:val="002D4645"/>
    <w:rsid w:val="002D4B66"/>
    <w:rsid w:val="002D5386"/>
    <w:rsid w:val="002D5398"/>
    <w:rsid w:val="002D56DB"/>
    <w:rsid w:val="002D5CE6"/>
    <w:rsid w:val="002D6301"/>
    <w:rsid w:val="002D70FB"/>
    <w:rsid w:val="002E0EE0"/>
    <w:rsid w:val="002E12FE"/>
    <w:rsid w:val="002E1CAB"/>
    <w:rsid w:val="002E4FBA"/>
    <w:rsid w:val="002E5633"/>
    <w:rsid w:val="002E6565"/>
    <w:rsid w:val="002E6E8A"/>
    <w:rsid w:val="002E7C8E"/>
    <w:rsid w:val="002F0FB2"/>
    <w:rsid w:val="002F33BD"/>
    <w:rsid w:val="002F348E"/>
    <w:rsid w:val="002F3749"/>
    <w:rsid w:val="002F385E"/>
    <w:rsid w:val="002F3B4F"/>
    <w:rsid w:val="002F4045"/>
    <w:rsid w:val="002F522E"/>
    <w:rsid w:val="002F5AAC"/>
    <w:rsid w:val="002F6720"/>
    <w:rsid w:val="00301CC6"/>
    <w:rsid w:val="003026DC"/>
    <w:rsid w:val="003028EA"/>
    <w:rsid w:val="00302A5A"/>
    <w:rsid w:val="00302CD9"/>
    <w:rsid w:val="00302F2E"/>
    <w:rsid w:val="003053FF"/>
    <w:rsid w:val="00305D84"/>
    <w:rsid w:val="0031136A"/>
    <w:rsid w:val="003119C8"/>
    <w:rsid w:val="00312537"/>
    <w:rsid w:val="0031317E"/>
    <w:rsid w:val="00314DE3"/>
    <w:rsid w:val="00315DF0"/>
    <w:rsid w:val="00320CDE"/>
    <w:rsid w:val="003212C9"/>
    <w:rsid w:val="00324AE3"/>
    <w:rsid w:val="00325B7D"/>
    <w:rsid w:val="00326B8E"/>
    <w:rsid w:val="00330283"/>
    <w:rsid w:val="00330F40"/>
    <w:rsid w:val="00330F90"/>
    <w:rsid w:val="00331897"/>
    <w:rsid w:val="0033348E"/>
    <w:rsid w:val="0033375F"/>
    <w:rsid w:val="00333E7D"/>
    <w:rsid w:val="00335917"/>
    <w:rsid w:val="00337981"/>
    <w:rsid w:val="003379A6"/>
    <w:rsid w:val="00337AAB"/>
    <w:rsid w:val="00337C35"/>
    <w:rsid w:val="00340588"/>
    <w:rsid w:val="00341C86"/>
    <w:rsid w:val="00341CAA"/>
    <w:rsid w:val="00342F23"/>
    <w:rsid w:val="0034309F"/>
    <w:rsid w:val="00343908"/>
    <w:rsid w:val="003442A9"/>
    <w:rsid w:val="00344B44"/>
    <w:rsid w:val="00345A0B"/>
    <w:rsid w:val="00346A09"/>
    <w:rsid w:val="0034722A"/>
    <w:rsid w:val="003475ED"/>
    <w:rsid w:val="00347697"/>
    <w:rsid w:val="00347B42"/>
    <w:rsid w:val="003514E4"/>
    <w:rsid w:val="0035201F"/>
    <w:rsid w:val="00352208"/>
    <w:rsid w:val="00352B53"/>
    <w:rsid w:val="003536C7"/>
    <w:rsid w:val="00354A31"/>
    <w:rsid w:val="00355EC9"/>
    <w:rsid w:val="00356D9A"/>
    <w:rsid w:val="00356F17"/>
    <w:rsid w:val="003572BA"/>
    <w:rsid w:val="003601D7"/>
    <w:rsid w:val="003633A8"/>
    <w:rsid w:val="00363AE9"/>
    <w:rsid w:val="00364B4B"/>
    <w:rsid w:val="00365AEE"/>
    <w:rsid w:val="00366977"/>
    <w:rsid w:val="00366FB6"/>
    <w:rsid w:val="0036776E"/>
    <w:rsid w:val="0037040B"/>
    <w:rsid w:val="0037126B"/>
    <w:rsid w:val="00371299"/>
    <w:rsid w:val="00373F98"/>
    <w:rsid w:val="00374C84"/>
    <w:rsid w:val="00374E14"/>
    <w:rsid w:val="0037531C"/>
    <w:rsid w:val="00376306"/>
    <w:rsid w:val="00376593"/>
    <w:rsid w:val="00376CE6"/>
    <w:rsid w:val="003777E3"/>
    <w:rsid w:val="0037782D"/>
    <w:rsid w:val="00380F9A"/>
    <w:rsid w:val="00382589"/>
    <w:rsid w:val="0038295D"/>
    <w:rsid w:val="003834DE"/>
    <w:rsid w:val="003861FF"/>
    <w:rsid w:val="00392436"/>
    <w:rsid w:val="00392FD9"/>
    <w:rsid w:val="0039369C"/>
    <w:rsid w:val="00394C3A"/>
    <w:rsid w:val="0039508B"/>
    <w:rsid w:val="00396CA9"/>
    <w:rsid w:val="00396CFE"/>
    <w:rsid w:val="00396D9E"/>
    <w:rsid w:val="003A22C1"/>
    <w:rsid w:val="003A2796"/>
    <w:rsid w:val="003A317D"/>
    <w:rsid w:val="003A3ED2"/>
    <w:rsid w:val="003A575B"/>
    <w:rsid w:val="003A64AA"/>
    <w:rsid w:val="003B29B7"/>
    <w:rsid w:val="003B2AA3"/>
    <w:rsid w:val="003B330F"/>
    <w:rsid w:val="003B7810"/>
    <w:rsid w:val="003C0A0B"/>
    <w:rsid w:val="003C1B84"/>
    <w:rsid w:val="003C1EA9"/>
    <w:rsid w:val="003C24E2"/>
    <w:rsid w:val="003C50D7"/>
    <w:rsid w:val="003C63D9"/>
    <w:rsid w:val="003C66F4"/>
    <w:rsid w:val="003D0219"/>
    <w:rsid w:val="003D1361"/>
    <w:rsid w:val="003D1BDE"/>
    <w:rsid w:val="003D22F7"/>
    <w:rsid w:val="003D2D22"/>
    <w:rsid w:val="003D316F"/>
    <w:rsid w:val="003D3703"/>
    <w:rsid w:val="003D4D0D"/>
    <w:rsid w:val="003D58E5"/>
    <w:rsid w:val="003D5E5D"/>
    <w:rsid w:val="003E32B1"/>
    <w:rsid w:val="003E436C"/>
    <w:rsid w:val="003E445E"/>
    <w:rsid w:val="003E4619"/>
    <w:rsid w:val="003E4BCF"/>
    <w:rsid w:val="003E5D31"/>
    <w:rsid w:val="003E6532"/>
    <w:rsid w:val="003E67E3"/>
    <w:rsid w:val="003E74DF"/>
    <w:rsid w:val="003E7999"/>
    <w:rsid w:val="003E7F5C"/>
    <w:rsid w:val="003F0C1B"/>
    <w:rsid w:val="003F1357"/>
    <w:rsid w:val="003F3556"/>
    <w:rsid w:val="003F4CF5"/>
    <w:rsid w:val="003F517C"/>
    <w:rsid w:val="00401743"/>
    <w:rsid w:val="00403BF6"/>
    <w:rsid w:val="004041DC"/>
    <w:rsid w:val="00404D36"/>
    <w:rsid w:val="00405959"/>
    <w:rsid w:val="00405C28"/>
    <w:rsid w:val="00406F19"/>
    <w:rsid w:val="00407552"/>
    <w:rsid w:val="00410075"/>
    <w:rsid w:val="0041048D"/>
    <w:rsid w:val="00413DDB"/>
    <w:rsid w:val="00414C49"/>
    <w:rsid w:val="00414DDE"/>
    <w:rsid w:val="00416A8C"/>
    <w:rsid w:val="00416AFF"/>
    <w:rsid w:val="00416B37"/>
    <w:rsid w:val="00417599"/>
    <w:rsid w:val="0042125D"/>
    <w:rsid w:val="00422B8B"/>
    <w:rsid w:val="00422FEC"/>
    <w:rsid w:val="00424AB5"/>
    <w:rsid w:val="00426CF9"/>
    <w:rsid w:val="00426D85"/>
    <w:rsid w:val="00427B38"/>
    <w:rsid w:val="004305A3"/>
    <w:rsid w:val="00430B44"/>
    <w:rsid w:val="004314BF"/>
    <w:rsid w:val="00431C33"/>
    <w:rsid w:val="0043318F"/>
    <w:rsid w:val="00433CB8"/>
    <w:rsid w:val="004342D6"/>
    <w:rsid w:val="00436DC3"/>
    <w:rsid w:val="00440AEB"/>
    <w:rsid w:val="00440E9B"/>
    <w:rsid w:val="00441917"/>
    <w:rsid w:val="004444E5"/>
    <w:rsid w:val="00445AF8"/>
    <w:rsid w:val="00446140"/>
    <w:rsid w:val="00447046"/>
    <w:rsid w:val="00447C79"/>
    <w:rsid w:val="0045005F"/>
    <w:rsid w:val="0045029E"/>
    <w:rsid w:val="00451468"/>
    <w:rsid w:val="00451D6E"/>
    <w:rsid w:val="00453211"/>
    <w:rsid w:val="0045431A"/>
    <w:rsid w:val="004554BD"/>
    <w:rsid w:val="004560D9"/>
    <w:rsid w:val="004567DC"/>
    <w:rsid w:val="00456B5D"/>
    <w:rsid w:val="00456D3A"/>
    <w:rsid w:val="004579A7"/>
    <w:rsid w:val="00462704"/>
    <w:rsid w:val="00462ED4"/>
    <w:rsid w:val="00462F0C"/>
    <w:rsid w:val="004638EC"/>
    <w:rsid w:val="00464A26"/>
    <w:rsid w:val="00466283"/>
    <w:rsid w:val="0046746D"/>
    <w:rsid w:val="004702B4"/>
    <w:rsid w:val="00472229"/>
    <w:rsid w:val="00472A11"/>
    <w:rsid w:val="00472ECE"/>
    <w:rsid w:val="00473C0B"/>
    <w:rsid w:val="004743F9"/>
    <w:rsid w:val="004745D6"/>
    <w:rsid w:val="004748E2"/>
    <w:rsid w:val="00477F3D"/>
    <w:rsid w:val="004817DD"/>
    <w:rsid w:val="004834D6"/>
    <w:rsid w:val="004838D9"/>
    <w:rsid w:val="0048462F"/>
    <w:rsid w:val="00484678"/>
    <w:rsid w:val="0049000E"/>
    <w:rsid w:val="00490398"/>
    <w:rsid w:val="00491521"/>
    <w:rsid w:val="00495582"/>
    <w:rsid w:val="004978B6"/>
    <w:rsid w:val="004A1960"/>
    <w:rsid w:val="004A1BDE"/>
    <w:rsid w:val="004A295E"/>
    <w:rsid w:val="004A4BFB"/>
    <w:rsid w:val="004A4DDD"/>
    <w:rsid w:val="004A5365"/>
    <w:rsid w:val="004A5EA2"/>
    <w:rsid w:val="004A6D39"/>
    <w:rsid w:val="004A6FBB"/>
    <w:rsid w:val="004B21FA"/>
    <w:rsid w:val="004B36AE"/>
    <w:rsid w:val="004C26E1"/>
    <w:rsid w:val="004C2D22"/>
    <w:rsid w:val="004C4659"/>
    <w:rsid w:val="004C494E"/>
    <w:rsid w:val="004D364C"/>
    <w:rsid w:val="004D3BD1"/>
    <w:rsid w:val="004D3CB2"/>
    <w:rsid w:val="004D42F6"/>
    <w:rsid w:val="004D4309"/>
    <w:rsid w:val="004D52F5"/>
    <w:rsid w:val="004D63B6"/>
    <w:rsid w:val="004E073F"/>
    <w:rsid w:val="004E0C27"/>
    <w:rsid w:val="004E344D"/>
    <w:rsid w:val="004E407D"/>
    <w:rsid w:val="004E40C9"/>
    <w:rsid w:val="004E60B5"/>
    <w:rsid w:val="004E6E16"/>
    <w:rsid w:val="004E7C5C"/>
    <w:rsid w:val="004F04C0"/>
    <w:rsid w:val="004F0A6B"/>
    <w:rsid w:val="004F165A"/>
    <w:rsid w:val="004F2BCE"/>
    <w:rsid w:val="004F3E51"/>
    <w:rsid w:val="004F6AF1"/>
    <w:rsid w:val="004F71EB"/>
    <w:rsid w:val="004F741D"/>
    <w:rsid w:val="00500EB8"/>
    <w:rsid w:val="00502991"/>
    <w:rsid w:val="00503F39"/>
    <w:rsid w:val="005059F5"/>
    <w:rsid w:val="00506192"/>
    <w:rsid w:val="00506207"/>
    <w:rsid w:val="005063C9"/>
    <w:rsid w:val="00510CBD"/>
    <w:rsid w:val="0051115B"/>
    <w:rsid w:val="005120E2"/>
    <w:rsid w:val="0051212A"/>
    <w:rsid w:val="0051265B"/>
    <w:rsid w:val="005127D6"/>
    <w:rsid w:val="00513831"/>
    <w:rsid w:val="00513ACB"/>
    <w:rsid w:val="00513C3D"/>
    <w:rsid w:val="00514A7E"/>
    <w:rsid w:val="00514D6C"/>
    <w:rsid w:val="00517158"/>
    <w:rsid w:val="0052004B"/>
    <w:rsid w:val="00524DD8"/>
    <w:rsid w:val="00525243"/>
    <w:rsid w:val="0052662A"/>
    <w:rsid w:val="00526FB8"/>
    <w:rsid w:val="00530AE3"/>
    <w:rsid w:val="005316B0"/>
    <w:rsid w:val="00534B28"/>
    <w:rsid w:val="00537255"/>
    <w:rsid w:val="00537B2F"/>
    <w:rsid w:val="00537EFF"/>
    <w:rsid w:val="00542451"/>
    <w:rsid w:val="00542A75"/>
    <w:rsid w:val="00542F36"/>
    <w:rsid w:val="0054413D"/>
    <w:rsid w:val="00546B7D"/>
    <w:rsid w:val="0054787A"/>
    <w:rsid w:val="00550D50"/>
    <w:rsid w:val="00551344"/>
    <w:rsid w:val="005513F8"/>
    <w:rsid w:val="00552641"/>
    <w:rsid w:val="00554DD4"/>
    <w:rsid w:val="00555B57"/>
    <w:rsid w:val="00556285"/>
    <w:rsid w:val="0055648A"/>
    <w:rsid w:val="00557AF7"/>
    <w:rsid w:val="00557E3B"/>
    <w:rsid w:val="00560DFD"/>
    <w:rsid w:val="00562F8C"/>
    <w:rsid w:val="00564966"/>
    <w:rsid w:val="005659A2"/>
    <w:rsid w:val="005659C4"/>
    <w:rsid w:val="00567E95"/>
    <w:rsid w:val="00570EF5"/>
    <w:rsid w:val="00571973"/>
    <w:rsid w:val="00571D09"/>
    <w:rsid w:val="00571E62"/>
    <w:rsid w:val="00572670"/>
    <w:rsid w:val="00575E95"/>
    <w:rsid w:val="0057622E"/>
    <w:rsid w:val="00576230"/>
    <w:rsid w:val="00580EB3"/>
    <w:rsid w:val="00583430"/>
    <w:rsid w:val="00583742"/>
    <w:rsid w:val="00583B3A"/>
    <w:rsid w:val="005853D8"/>
    <w:rsid w:val="00585616"/>
    <w:rsid w:val="00587565"/>
    <w:rsid w:val="005879B4"/>
    <w:rsid w:val="0059096F"/>
    <w:rsid w:val="00590DEB"/>
    <w:rsid w:val="005911E8"/>
    <w:rsid w:val="00593D1E"/>
    <w:rsid w:val="00595115"/>
    <w:rsid w:val="00597EBD"/>
    <w:rsid w:val="005A26E9"/>
    <w:rsid w:val="005A3974"/>
    <w:rsid w:val="005A418B"/>
    <w:rsid w:val="005A49CA"/>
    <w:rsid w:val="005A51E5"/>
    <w:rsid w:val="005A5DA6"/>
    <w:rsid w:val="005B12D1"/>
    <w:rsid w:val="005B14C1"/>
    <w:rsid w:val="005B24D1"/>
    <w:rsid w:val="005B4D2F"/>
    <w:rsid w:val="005B6BD5"/>
    <w:rsid w:val="005C0722"/>
    <w:rsid w:val="005C18DD"/>
    <w:rsid w:val="005C23BD"/>
    <w:rsid w:val="005C2663"/>
    <w:rsid w:val="005C30DF"/>
    <w:rsid w:val="005C3F92"/>
    <w:rsid w:val="005C4A87"/>
    <w:rsid w:val="005C667A"/>
    <w:rsid w:val="005C727E"/>
    <w:rsid w:val="005C7F5B"/>
    <w:rsid w:val="005D1679"/>
    <w:rsid w:val="005D29D8"/>
    <w:rsid w:val="005D39B0"/>
    <w:rsid w:val="005D3BAD"/>
    <w:rsid w:val="005D4707"/>
    <w:rsid w:val="005D5A74"/>
    <w:rsid w:val="005D5DD2"/>
    <w:rsid w:val="005D691E"/>
    <w:rsid w:val="005D7454"/>
    <w:rsid w:val="005E40BE"/>
    <w:rsid w:val="005E4570"/>
    <w:rsid w:val="005E5F19"/>
    <w:rsid w:val="005E689A"/>
    <w:rsid w:val="005F3600"/>
    <w:rsid w:val="005F7BCF"/>
    <w:rsid w:val="00600847"/>
    <w:rsid w:val="006027D1"/>
    <w:rsid w:val="0060354B"/>
    <w:rsid w:val="00603655"/>
    <w:rsid w:val="00603C87"/>
    <w:rsid w:val="006052F2"/>
    <w:rsid w:val="006061AE"/>
    <w:rsid w:val="00606A48"/>
    <w:rsid w:val="00611446"/>
    <w:rsid w:val="00611C01"/>
    <w:rsid w:val="00612EF6"/>
    <w:rsid w:val="006138D0"/>
    <w:rsid w:val="00613EEC"/>
    <w:rsid w:val="0061419F"/>
    <w:rsid w:val="006145B5"/>
    <w:rsid w:val="006201B3"/>
    <w:rsid w:val="00621203"/>
    <w:rsid w:val="00622E9F"/>
    <w:rsid w:val="0062370B"/>
    <w:rsid w:val="0062387F"/>
    <w:rsid w:val="00624EAA"/>
    <w:rsid w:val="006256AC"/>
    <w:rsid w:val="006261A1"/>
    <w:rsid w:val="00626846"/>
    <w:rsid w:val="00627039"/>
    <w:rsid w:val="00627251"/>
    <w:rsid w:val="00632EA9"/>
    <w:rsid w:val="0063325C"/>
    <w:rsid w:val="00635764"/>
    <w:rsid w:val="00636039"/>
    <w:rsid w:val="006360C4"/>
    <w:rsid w:val="0063771D"/>
    <w:rsid w:val="006378DE"/>
    <w:rsid w:val="00637D56"/>
    <w:rsid w:val="0064028D"/>
    <w:rsid w:val="006404F7"/>
    <w:rsid w:val="00641D6C"/>
    <w:rsid w:val="006432E3"/>
    <w:rsid w:val="00643AF2"/>
    <w:rsid w:val="006441C4"/>
    <w:rsid w:val="00644242"/>
    <w:rsid w:val="00644BE3"/>
    <w:rsid w:val="00644CF5"/>
    <w:rsid w:val="00644DA3"/>
    <w:rsid w:val="00646144"/>
    <w:rsid w:val="006467FA"/>
    <w:rsid w:val="00651574"/>
    <w:rsid w:val="00652ABC"/>
    <w:rsid w:val="00653293"/>
    <w:rsid w:val="00654002"/>
    <w:rsid w:val="006540D2"/>
    <w:rsid w:val="0065420C"/>
    <w:rsid w:val="00654618"/>
    <w:rsid w:val="006558D2"/>
    <w:rsid w:val="006572AF"/>
    <w:rsid w:val="00657700"/>
    <w:rsid w:val="006579DC"/>
    <w:rsid w:val="00657E4A"/>
    <w:rsid w:val="00662A99"/>
    <w:rsid w:val="00662C84"/>
    <w:rsid w:val="00664A7E"/>
    <w:rsid w:val="00665277"/>
    <w:rsid w:val="00665C9E"/>
    <w:rsid w:val="00667A22"/>
    <w:rsid w:val="006704A8"/>
    <w:rsid w:val="00671671"/>
    <w:rsid w:val="00672597"/>
    <w:rsid w:val="006747FF"/>
    <w:rsid w:val="006748E6"/>
    <w:rsid w:val="00674C0E"/>
    <w:rsid w:val="00675461"/>
    <w:rsid w:val="00675A12"/>
    <w:rsid w:val="006764AB"/>
    <w:rsid w:val="006764B1"/>
    <w:rsid w:val="00683CBB"/>
    <w:rsid w:val="00684FDE"/>
    <w:rsid w:val="00686DD6"/>
    <w:rsid w:val="006874C5"/>
    <w:rsid w:val="00690832"/>
    <w:rsid w:val="006930CE"/>
    <w:rsid w:val="00694038"/>
    <w:rsid w:val="00694CF6"/>
    <w:rsid w:val="006A2B18"/>
    <w:rsid w:val="006A324B"/>
    <w:rsid w:val="006A43AD"/>
    <w:rsid w:val="006A6D82"/>
    <w:rsid w:val="006B0ABB"/>
    <w:rsid w:val="006B21C9"/>
    <w:rsid w:val="006B2E88"/>
    <w:rsid w:val="006B364C"/>
    <w:rsid w:val="006B3C76"/>
    <w:rsid w:val="006B4921"/>
    <w:rsid w:val="006B4DA9"/>
    <w:rsid w:val="006B5908"/>
    <w:rsid w:val="006C01B5"/>
    <w:rsid w:val="006C0A98"/>
    <w:rsid w:val="006C188C"/>
    <w:rsid w:val="006C1AE1"/>
    <w:rsid w:val="006C34AE"/>
    <w:rsid w:val="006C4BA2"/>
    <w:rsid w:val="006C50B0"/>
    <w:rsid w:val="006D09BB"/>
    <w:rsid w:val="006D2915"/>
    <w:rsid w:val="006D43BA"/>
    <w:rsid w:val="006D496A"/>
    <w:rsid w:val="006D619D"/>
    <w:rsid w:val="006D6243"/>
    <w:rsid w:val="006E14DC"/>
    <w:rsid w:val="006E28BF"/>
    <w:rsid w:val="006E38A7"/>
    <w:rsid w:val="006E493B"/>
    <w:rsid w:val="006E7E5D"/>
    <w:rsid w:val="006F0463"/>
    <w:rsid w:val="006F1269"/>
    <w:rsid w:val="006F2ADA"/>
    <w:rsid w:val="006F3BCC"/>
    <w:rsid w:val="006F49C3"/>
    <w:rsid w:val="006F6F8E"/>
    <w:rsid w:val="00701C9A"/>
    <w:rsid w:val="0070422B"/>
    <w:rsid w:val="00706402"/>
    <w:rsid w:val="00706C2B"/>
    <w:rsid w:val="00710A9A"/>
    <w:rsid w:val="00711057"/>
    <w:rsid w:val="00713067"/>
    <w:rsid w:val="0071381B"/>
    <w:rsid w:val="00713B42"/>
    <w:rsid w:val="0071490F"/>
    <w:rsid w:val="00717219"/>
    <w:rsid w:val="00717BB0"/>
    <w:rsid w:val="00717F24"/>
    <w:rsid w:val="00720FC7"/>
    <w:rsid w:val="00721125"/>
    <w:rsid w:val="007263EF"/>
    <w:rsid w:val="00726E46"/>
    <w:rsid w:val="007270DA"/>
    <w:rsid w:val="007271DF"/>
    <w:rsid w:val="00727600"/>
    <w:rsid w:val="00730BC3"/>
    <w:rsid w:val="007367B3"/>
    <w:rsid w:val="0073694B"/>
    <w:rsid w:val="007370E9"/>
    <w:rsid w:val="00740704"/>
    <w:rsid w:val="0074595A"/>
    <w:rsid w:val="00745EBB"/>
    <w:rsid w:val="007463E8"/>
    <w:rsid w:val="00746927"/>
    <w:rsid w:val="007476C0"/>
    <w:rsid w:val="007476C6"/>
    <w:rsid w:val="00750B83"/>
    <w:rsid w:val="00750F3B"/>
    <w:rsid w:val="00750F57"/>
    <w:rsid w:val="00751BDD"/>
    <w:rsid w:val="00751E86"/>
    <w:rsid w:val="0075225F"/>
    <w:rsid w:val="007523D2"/>
    <w:rsid w:val="00754B8D"/>
    <w:rsid w:val="00760150"/>
    <w:rsid w:val="007631AF"/>
    <w:rsid w:val="0076596A"/>
    <w:rsid w:val="007662E2"/>
    <w:rsid w:val="00767CBC"/>
    <w:rsid w:val="00771F15"/>
    <w:rsid w:val="007722C4"/>
    <w:rsid w:val="007738EC"/>
    <w:rsid w:val="00773C5D"/>
    <w:rsid w:val="007741B2"/>
    <w:rsid w:val="00774547"/>
    <w:rsid w:val="00774A07"/>
    <w:rsid w:val="007751F3"/>
    <w:rsid w:val="00775311"/>
    <w:rsid w:val="00775538"/>
    <w:rsid w:val="007757A9"/>
    <w:rsid w:val="00775DAF"/>
    <w:rsid w:val="0077607F"/>
    <w:rsid w:val="00777146"/>
    <w:rsid w:val="0078003A"/>
    <w:rsid w:val="00780480"/>
    <w:rsid w:val="00780B9B"/>
    <w:rsid w:val="00781190"/>
    <w:rsid w:val="0078213E"/>
    <w:rsid w:val="0078247D"/>
    <w:rsid w:val="00785139"/>
    <w:rsid w:val="00786572"/>
    <w:rsid w:val="00786D20"/>
    <w:rsid w:val="00790F7F"/>
    <w:rsid w:val="00790FBD"/>
    <w:rsid w:val="00791682"/>
    <w:rsid w:val="0079186F"/>
    <w:rsid w:val="00793EE9"/>
    <w:rsid w:val="00794DC2"/>
    <w:rsid w:val="00795F53"/>
    <w:rsid w:val="00796416"/>
    <w:rsid w:val="00797696"/>
    <w:rsid w:val="00797BB3"/>
    <w:rsid w:val="007A0025"/>
    <w:rsid w:val="007A1030"/>
    <w:rsid w:val="007A1826"/>
    <w:rsid w:val="007A2A0A"/>
    <w:rsid w:val="007A30AA"/>
    <w:rsid w:val="007A32D9"/>
    <w:rsid w:val="007A4750"/>
    <w:rsid w:val="007A6F77"/>
    <w:rsid w:val="007A73C7"/>
    <w:rsid w:val="007B092F"/>
    <w:rsid w:val="007B0EF1"/>
    <w:rsid w:val="007B1278"/>
    <w:rsid w:val="007B333B"/>
    <w:rsid w:val="007B3520"/>
    <w:rsid w:val="007B428F"/>
    <w:rsid w:val="007B5C38"/>
    <w:rsid w:val="007C219C"/>
    <w:rsid w:val="007C2C04"/>
    <w:rsid w:val="007C478F"/>
    <w:rsid w:val="007C4E45"/>
    <w:rsid w:val="007C5AF4"/>
    <w:rsid w:val="007C6405"/>
    <w:rsid w:val="007D020A"/>
    <w:rsid w:val="007D24BE"/>
    <w:rsid w:val="007D25F4"/>
    <w:rsid w:val="007D36FD"/>
    <w:rsid w:val="007D448A"/>
    <w:rsid w:val="007D484A"/>
    <w:rsid w:val="007D5643"/>
    <w:rsid w:val="007D6537"/>
    <w:rsid w:val="007D6910"/>
    <w:rsid w:val="007D74C0"/>
    <w:rsid w:val="007D7B11"/>
    <w:rsid w:val="007E0026"/>
    <w:rsid w:val="007E0D3E"/>
    <w:rsid w:val="007E11A6"/>
    <w:rsid w:val="007E1B2D"/>
    <w:rsid w:val="007E29C0"/>
    <w:rsid w:val="007E3986"/>
    <w:rsid w:val="007E3DA5"/>
    <w:rsid w:val="007E4300"/>
    <w:rsid w:val="007E55BC"/>
    <w:rsid w:val="007E6447"/>
    <w:rsid w:val="007E7542"/>
    <w:rsid w:val="007F019F"/>
    <w:rsid w:val="007F080B"/>
    <w:rsid w:val="007F0AFC"/>
    <w:rsid w:val="007F38AA"/>
    <w:rsid w:val="007F39F6"/>
    <w:rsid w:val="007F52B5"/>
    <w:rsid w:val="007F7A27"/>
    <w:rsid w:val="00800302"/>
    <w:rsid w:val="00801D32"/>
    <w:rsid w:val="00803CB0"/>
    <w:rsid w:val="00804E23"/>
    <w:rsid w:val="00805618"/>
    <w:rsid w:val="008061BC"/>
    <w:rsid w:val="00807E9A"/>
    <w:rsid w:val="00812CAF"/>
    <w:rsid w:val="008150C6"/>
    <w:rsid w:val="00816003"/>
    <w:rsid w:val="00816F4E"/>
    <w:rsid w:val="008176B4"/>
    <w:rsid w:val="00820519"/>
    <w:rsid w:val="008221B2"/>
    <w:rsid w:val="00823980"/>
    <w:rsid w:val="0082574C"/>
    <w:rsid w:val="00826E6C"/>
    <w:rsid w:val="00830678"/>
    <w:rsid w:val="008308EB"/>
    <w:rsid w:val="0083178B"/>
    <w:rsid w:val="00832266"/>
    <w:rsid w:val="00834CBA"/>
    <w:rsid w:val="0084067C"/>
    <w:rsid w:val="0084070D"/>
    <w:rsid w:val="00840970"/>
    <w:rsid w:val="00843FC5"/>
    <w:rsid w:val="00844506"/>
    <w:rsid w:val="008458C1"/>
    <w:rsid w:val="008475D6"/>
    <w:rsid w:val="0084795C"/>
    <w:rsid w:val="00850F6F"/>
    <w:rsid w:val="00851103"/>
    <w:rsid w:val="0085136E"/>
    <w:rsid w:val="008542AB"/>
    <w:rsid w:val="00854D6C"/>
    <w:rsid w:val="008562F0"/>
    <w:rsid w:val="00857454"/>
    <w:rsid w:val="008576C7"/>
    <w:rsid w:val="00860313"/>
    <w:rsid w:val="0086109B"/>
    <w:rsid w:val="00863CEC"/>
    <w:rsid w:val="00863EF1"/>
    <w:rsid w:val="00864B82"/>
    <w:rsid w:val="00866192"/>
    <w:rsid w:val="008663C9"/>
    <w:rsid w:val="008706B1"/>
    <w:rsid w:val="00871629"/>
    <w:rsid w:val="008718B9"/>
    <w:rsid w:val="00872703"/>
    <w:rsid w:val="0087356D"/>
    <w:rsid w:val="008766AD"/>
    <w:rsid w:val="00876F8C"/>
    <w:rsid w:val="00877F9C"/>
    <w:rsid w:val="0088333B"/>
    <w:rsid w:val="00883FC1"/>
    <w:rsid w:val="00885A5C"/>
    <w:rsid w:val="00886332"/>
    <w:rsid w:val="00890310"/>
    <w:rsid w:val="008909DB"/>
    <w:rsid w:val="00891C5D"/>
    <w:rsid w:val="0089322D"/>
    <w:rsid w:val="00893417"/>
    <w:rsid w:val="00895365"/>
    <w:rsid w:val="0089575A"/>
    <w:rsid w:val="00895EB4"/>
    <w:rsid w:val="00896481"/>
    <w:rsid w:val="008967DB"/>
    <w:rsid w:val="008970BA"/>
    <w:rsid w:val="00897796"/>
    <w:rsid w:val="00897A1D"/>
    <w:rsid w:val="008A12A7"/>
    <w:rsid w:val="008A28BE"/>
    <w:rsid w:val="008A4499"/>
    <w:rsid w:val="008A5EDE"/>
    <w:rsid w:val="008A5F07"/>
    <w:rsid w:val="008A6F46"/>
    <w:rsid w:val="008A7231"/>
    <w:rsid w:val="008A749F"/>
    <w:rsid w:val="008B16A6"/>
    <w:rsid w:val="008B16DC"/>
    <w:rsid w:val="008B39B1"/>
    <w:rsid w:val="008B49FF"/>
    <w:rsid w:val="008B59B5"/>
    <w:rsid w:val="008B668B"/>
    <w:rsid w:val="008B777F"/>
    <w:rsid w:val="008B7B23"/>
    <w:rsid w:val="008C0D28"/>
    <w:rsid w:val="008C119B"/>
    <w:rsid w:val="008C2C26"/>
    <w:rsid w:val="008C30C6"/>
    <w:rsid w:val="008C483B"/>
    <w:rsid w:val="008C577E"/>
    <w:rsid w:val="008C57AC"/>
    <w:rsid w:val="008D1978"/>
    <w:rsid w:val="008D36A3"/>
    <w:rsid w:val="008D4D1D"/>
    <w:rsid w:val="008D5BEB"/>
    <w:rsid w:val="008D6002"/>
    <w:rsid w:val="008D66D4"/>
    <w:rsid w:val="008D74F2"/>
    <w:rsid w:val="008E044D"/>
    <w:rsid w:val="008E126B"/>
    <w:rsid w:val="008E17CD"/>
    <w:rsid w:val="008E1E5C"/>
    <w:rsid w:val="008E4599"/>
    <w:rsid w:val="008E45D8"/>
    <w:rsid w:val="008E75A7"/>
    <w:rsid w:val="008F00CB"/>
    <w:rsid w:val="008F0309"/>
    <w:rsid w:val="008F1750"/>
    <w:rsid w:val="008F1FCE"/>
    <w:rsid w:val="008F2B11"/>
    <w:rsid w:val="008F6D42"/>
    <w:rsid w:val="0090171A"/>
    <w:rsid w:val="00901D1F"/>
    <w:rsid w:val="0090234C"/>
    <w:rsid w:val="009044C0"/>
    <w:rsid w:val="0090612B"/>
    <w:rsid w:val="00907341"/>
    <w:rsid w:val="00911281"/>
    <w:rsid w:val="00915DD2"/>
    <w:rsid w:val="00920600"/>
    <w:rsid w:val="0092132D"/>
    <w:rsid w:val="0092169E"/>
    <w:rsid w:val="00921A95"/>
    <w:rsid w:val="009243A4"/>
    <w:rsid w:val="00924B8C"/>
    <w:rsid w:val="009258A6"/>
    <w:rsid w:val="00925C66"/>
    <w:rsid w:val="00925E48"/>
    <w:rsid w:val="00926C9B"/>
    <w:rsid w:val="009303CE"/>
    <w:rsid w:val="009317FE"/>
    <w:rsid w:val="00933DDF"/>
    <w:rsid w:val="009349D9"/>
    <w:rsid w:val="00935D46"/>
    <w:rsid w:val="00936FC6"/>
    <w:rsid w:val="00937F7E"/>
    <w:rsid w:val="009408C7"/>
    <w:rsid w:val="0094175E"/>
    <w:rsid w:val="00943355"/>
    <w:rsid w:val="00943CF2"/>
    <w:rsid w:val="009443E4"/>
    <w:rsid w:val="0094491C"/>
    <w:rsid w:val="00944F6E"/>
    <w:rsid w:val="00945195"/>
    <w:rsid w:val="00946331"/>
    <w:rsid w:val="009513E1"/>
    <w:rsid w:val="00951455"/>
    <w:rsid w:val="009520FF"/>
    <w:rsid w:val="00953CEA"/>
    <w:rsid w:val="00955DCF"/>
    <w:rsid w:val="00957D7D"/>
    <w:rsid w:val="00960064"/>
    <w:rsid w:val="009627ED"/>
    <w:rsid w:val="00962DB2"/>
    <w:rsid w:val="00966304"/>
    <w:rsid w:val="00971567"/>
    <w:rsid w:val="00973120"/>
    <w:rsid w:val="009761B5"/>
    <w:rsid w:val="0097797C"/>
    <w:rsid w:val="00977DCF"/>
    <w:rsid w:val="00977EB4"/>
    <w:rsid w:val="009831F8"/>
    <w:rsid w:val="009845C6"/>
    <w:rsid w:val="009851BD"/>
    <w:rsid w:val="00986F16"/>
    <w:rsid w:val="00987A7A"/>
    <w:rsid w:val="0099063A"/>
    <w:rsid w:val="00992DDB"/>
    <w:rsid w:val="00994D31"/>
    <w:rsid w:val="0099505A"/>
    <w:rsid w:val="00996DCD"/>
    <w:rsid w:val="00996ED9"/>
    <w:rsid w:val="009A1685"/>
    <w:rsid w:val="009A1697"/>
    <w:rsid w:val="009A27B8"/>
    <w:rsid w:val="009A2BF9"/>
    <w:rsid w:val="009A2F77"/>
    <w:rsid w:val="009A4161"/>
    <w:rsid w:val="009A4217"/>
    <w:rsid w:val="009A5ED7"/>
    <w:rsid w:val="009B07F8"/>
    <w:rsid w:val="009B0E7B"/>
    <w:rsid w:val="009B240D"/>
    <w:rsid w:val="009B244C"/>
    <w:rsid w:val="009B379C"/>
    <w:rsid w:val="009B3C28"/>
    <w:rsid w:val="009B3CB2"/>
    <w:rsid w:val="009B5058"/>
    <w:rsid w:val="009B6489"/>
    <w:rsid w:val="009B6940"/>
    <w:rsid w:val="009B6FE1"/>
    <w:rsid w:val="009B7B98"/>
    <w:rsid w:val="009B7DAB"/>
    <w:rsid w:val="009C11E2"/>
    <w:rsid w:val="009C18E1"/>
    <w:rsid w:val="009C20EA"/>
    <w:rsid w:val="009C2734"/>
    <w:rsid w:val="009C27EB"/>
    <w:rsid w:val="009C2A97"/>
    <w:rsid w:val="009C3BBA"/>
    <w:rsid w:val="009C4520"/>
    <w:rsid w:val="009C4CE5"/>
    <w:rsid w:val="009C52B7"/>
    <w:rsid w:val="009C582B"/>
    <w:rsid w:val="009C795A"/>
    <w:rsid w:val="009D19FE"/>
    <w:rsid w:val="009D2429"/>
    <w:rsid w:val="009D2B88"/>
    <w:rsid w:val="009D2E29"/>
    <w:rsid w:val="009D378F"/>
    <w:rsid w:val="009D4999"/>
    <w:rsid w:val="009D64F2"/>
    <w:rsid w:val="009D65DD"/>
    <w:rsid w:val="009D69E7"/>
    <w:rsid w:val="009D7DB6"/>
    <w:rsid w:val="009E1F89"/>
    <w:rsid w:val="009E2847"/>
    <w:rsid w:val="009E3EB7"/>
    <w:rsid w:val="009E4838"/>
    <w:rsid w:val="009F03E2"/>
    <w:rsid w:val="009F0919"/>
    <w:rsid w:val="009F1658"/>
    <w:rsid w:val="009F1ECF"/>
    <w:rsid w:val="009F2A94"/>
    <w:rsid w:val="009F2E64"/>
    <w:rsid w:val="009F3B39"/>
    <w:rsid w:val="009F42BF"/>
    <w:rsid w:val="009F46FF"/>
    <w:rsid w:val="009F54EF"/>
    <w:rsid w:val="009F74BA"/>
    <w:rsid w:val="009F7634"/>
    <w:rsid w:val="00A00A12"/>
    <w:rsid w:val="00A01EFD"/>
    <w:rsid w:val="00A04B7E"/>
    <w:rsid w:val="00A05B94"/>
    <w:rsid w:val="00A06215"/>
    <w:rsid w:val="00A0688F"/>
    <w:rsid w:val="00A06999"/>
    <w:rsid w:val="00A0764E"/>
    <w:rsid w:val="00A076F8"/>
    <w:rsid w:val="00A106B9"/>
    <w:rsid w:val="00A12954"/>
    <w:rsid w:val="00A158B2"/>
    <w:rsid w:val="00A16430"/>
    <w:rsid w:val="00A17313"/>
    <w:rsid w:val="00A17455"/>
    <w:rsid w:val="00A21FC6"/>
    <w:rsid w:val="00A22B24"/>
    <w:rsid w:val="00A24135"/>
    <w:rsid w:val="00A24589"/>
    <w:rsid w:val="00A24595"/>
    <w:rsid w:val="00A25D2B"/>
    <w:rsid w:val="00A2745D"/>
    <w:rsid w:val="00A3031B"/>
    <w:rsid w:val="00A30C8D"/>
    <w:rsid w:val="00A31F25"/>
    <w:rsid w:val="00A33519"/>
    <w:rsid w:val="00A33573"/>
    <w:rsid w:val="00A33DFC"/>
    <w:rsid w:val="00A341C0"/>
    <w:rsid w:val="00A3565B"/>
    <w:rsid w:val="00A374EE"/>
    <w:rsid w:val="00A406B4"/>
    <w:rsid w:val="00A4093E"/>
    <w:rsid w:val="00A40CC5"/>
    <w:rsid w:val="00A413A5"/>
    <w:rsid w:val="00A427AC"/>
    <w:rsid w:val="00A427DD"/>
    <w:rsid w:val="00A43BA0"/>
    <w:rsid w:val="00A46F8F"/>
    <w:rsid w:val="00A471EA"/>
    <w:rsid w:val="00A50D25"/>
    <w:rsid w:val="00A51553"/>
    <w:rsid w:val="00A516CE"/>
    <w:rsid w:val="00A51FEF"/>
    <w:rsid w:val="00A53069"/>
    <w:rsid w:val="00A54115"/>
    <w:rsid w:val="00A55B36"/>
    <w:rsid w:val="00A562FA"/>
    <w:rsid w:val="00A563EB"/>
    <w:rsid w:val="00A57094"/>
    <w:rsid w:val="00A61897"/>
    <w:rsid w:val="00A632A1"/>
    <w:rsid w:val="00A636C6"/>
    <w:rsid w:val="00A6479C"/>
    <w:rsid w:val="00A64FA5"/>
    <w:rsid w:val="00A67837"/>
    <w:rsid w:val="00A70347"/>
    <w:rsid w:val="00A7119E"/>
    <w:rsid w:val="00A71EAC"/>
    <w:rsid w:val="00A75113"/>
    <w:rsid w:val="00A76DFE"/>
    <w:rsid w:val="00A76F12"/>
    <w:rsid w:val="00A81F41"/>
    <w:rsid w:val="00A83CE7"/>
    <w:rsid w:val="00A84276"/>
    <w:rsid w:val="00A86613"/>
    <w:rsid w:val="00A86D90"/>
    <w:rsid w:val="00A871A1"/>
    <w:rsid w:val="00A874E9"/>
    <w:rsid w:val="00A904A5"/>
    <w:rsid w:val="00A904AE"/>
    <w:rsid w:val="00A91850"/>
    <w:rsid w:val="00A92CB7"/>
    <w:rsid w:val="00A93013"/>
    <w:rsid w:val="00A93DA3"/>
    <w:rsid w:val="00A9485C"/>
    <w:rsid w:val="00A958B4"/>
    <w:rsid w:val="00A964CD"/>
    <w:rsid w:val="00AA22B0"/>
    <w:rsid w:val="00AA3446"/>
    <w:rsid w:val="00AA378D"/>
    <w:rsid w:val="00AA68F0"/>
    <w:rsid w:val="00AA6D46"/>
    <w:rsid w:val="00AA6DA3"/>
    <w:rsid w:val="00AA7ED8"/>
    <w:rsid w:val="00AB08C5"/>
    <w:rsid w:val="00AB0BFE"/>
    <w:rsid w:val="00AB15E7"/>
    <w:rsid w:val="00AB324F"/>
    <w:rsid w:val="00AB36B8"/>
    <w:rsid w:val="00AB41F3"/>
    <w:rsid w:val="00AB4F1F"/>
    <w:rsid w:val="00AB524A"/>
    <w:rsid w:val="00AB66B8"/>
    <w:rsid w:val="00AC06C6"/>
    <w:rsid w:val="00AC0819"/>
    <w:rsid w:val="00AC1E17"/>
    <w:rsid w:val="00AC2AB8"/>
    <w:rsid w:val="00AC3779"/>
    <w:rsid w:val="00AC51D5"/>
    <w:rsid w:val="00AC57E9"/>
    <w:rsid w:val="00AD01FC"/>
    <w:rsid w:val="00AD0A5F"/>
    <w:rsid w:val="00AD1C8F"/>
    <w:rsid w:val="00AD2F5E"/>
    <w:rsid w:val="00AD3436"/>
    <w:rsid w:val="00AD4B69"/>
    <w:rsid w:val="00AD6661"/>
    <w:rsid w:val="00AD6DFE"/>
    <w:rsid w:val="00AD7E1A"/>
    <w:rsid w:val="00AD7FCF"/>
    <w:rsid w:val="00AE0CF8"/>
    <w:rsid w:val="00AE1967"/>
    <w:rsid w:val="00AE1AB2"/>
    <w:rsid w:val="00AE231D"/>
    <w:rsid w:val="00AE27E4"/>
    <w:rsid w:val="00AE3477"/>
    <w:rsid w:val="00AE784C"/>
    <w:rsid w:val="00AF021C"/>
    <w:rsid w:val="00AF0A2E"/>
    <w:rsid w:val="00AF13DA"/>
    <w:rsid w:val="00AF23E1"/>
    <w:rsid w:val="00AF52F1"/>
    <w:rsid w:val="00AF5FDB"/>
    <w:rsid w:val="00AF7292"/>
    <w:rsid w:val="00AF7D38"/>
    <w:rsid w:val="00B019CB"/>
    <w:rsid w:val="00B03D11"/>
    <w:rsid w:val="00B06B5F"/>
    <w:rsid w:val="00B075DF"/>
    <w:rsid w:val="00B10910"/>
    <w:rsid w:val="00B10CD4"/>
    <w:rsid w:val="00B116EA"/>
    <w:rsid w:val="00B11B61"/>
    <w:rsid w:val="00B1317C"/>
    <w:rsid w:val="00B146D4"/>
    <w:rsid w:val="00B16F92"/>
    <w:rsid w:val="00B17C84"/>
    <w:rsid w:val="00B20B6C"/>
    <w:rsid w:val="00B21E19"/>
    <w:rsid w:val="00B22A71"/>
    <w:rsid w:val="00B2461A"/>
    <w:rsid w:val="00B264F2"/>
    <w:rsid w:val="00B2710D"/>
    <w:rsid w:val="00B27549"/>
    <w:rsid w:val="00B27AF6"/>
    <w:rsid w:val="00B30D9E"/>
    <w:rsid w:val="00B31A6D"/>
    <w:rsid w:val="00B321E5"/>
    <w:rsid w:val="00B34D27"/>
    <w:rsid w:val="00B40DC8"/>
    <w:rsid w:val="00B42C10"/>
    <w:rsid w:val="00B43A91"/>
    <w:rsid w:val="00B45C9D"/>
    <w:rsid w:val="00B4602C"/>
    <w:rsid w:val="00B477B1"/>
    <w:rsid w:val="00B50BB3"/>
    <w:rsid w:val="00B51AEF"/>
    <w:rsid w:val="00B53251"/>
    <w:rsid w:val="00B54DA7"/>
    <w:rsid w:val="00B55091"/>
    <w:rsid w:val="00B560F9"/>
    <w:rsid w:val="00B57781"/>
    <w:rsid w:val="00B601A6"/>
    <w:rsid w:val="00B6198F"/>
    <w:rsid w:val="00B629DC"/>
    <w:rsid w:val="00B62DC9"/>
    <w:rsid w:val="00B633AA"/>
    <w:rsid w:val="00B64AF8"/>
    <w:rsid w:val="00B650A1"/>
    <w:rsid w:val="00B65CD9"/>
    <w:rsid w:val="00B66152"/>
    <w:rsid w:val="00B66C2A"/>
    <w:rsid w:val="00B70CAD"/>
    <w:rsid w:val="00B70D5E"/>
    <w:rsid w:val="00B70E7D"/>
    <w:rsid w:val="00B72710"/>
    <w:rsid w:val="00B73B87"/>
    <w:rsid w:val="00B75A70"/>
    <w:rsid w:val="00B8044A"/>
    <w:rsid w:val="00B81AFA"/>
    <w:rsid w:val="00B82916"/>
    <w:rsid w:val="00B84D5B"/>
    <w:rsid w:val="00B853CD"/>
    <w:rsid w:val="00B85761"/>
    <w:rsid w:val="00B85E6A"/>
    <w:rsid w:val="00B87D6C"/>
    <w:rsid w:val="00B921A5"/>
    <w:rsid w:val="00B92430"/>
    <w:rsid w:val="00B925AD"/>
    <w:rsid w:val="00B94563"/>
    <w:rsid w:val="00B94955"/>
    <w:rsid w:val="00B9590A"/>
    <w:rsid w:val="00B95D77"/>
    <w:rsid w:val="00B95FBD"/>
    <w:rsid w:val="00B97F98"/>
    <w:rsid w:val="00BA64C3"/>
    <w:rsid w:val="00BA6615"/>
    <w:rsid w:val="00BA6624"/>
    <w:rsid w:val="00BA749D"/>
    <w:rsid w:val="00BA79F2"/>
    <w:rsid w:val="00BB0D8F"/>
    <w:rsid w:val="00BB10E9"/>
    <w:rsid w:val="00BB2856"/>
    <w:rsid w:val="00BB35A9"/>
    <w:rsid w:val="00BB3944"/>
    <w:rsid w:val="00BB395B"/>
    <w:rsid w:val="00BB4AE7"/>
    <w:rsid w:val="00BB5DDC"/>
    <w:rsid w:val="00BB5EEC"/>
    <w:rsid w:val="00BB65BD"/>
    <w:rsid w:val="00BC0F95"/>
    <w:rsid w:val="00BC1175"/>
    <w:rsid w:val="00BC158C"/>
    <w:rsid w:val="00BC1E26"/>
    <w:rsid w:val="00BC214C"/>
    <w:rsid w:val="00BC2221"/>
    <w:rsid w:val="00BC3587"/>
    <w:rsid w:val="00BC3743"/>
    <w:rsid w:val="00BC39EC"/>
    <w:rsid w:val="00BC6502"/>
    <w:rsid w:val="00BD248B"/>
    <w:rsid w:val="00BD2A40"/>
    <w:rsid w:val="00BD4502"/>
    <w:rsid w:val="00BD454A"/>
    <w:rsid w:val="00BD5205"/>
    <w:rsid w:val="00BD7381"/>
    <w:rsid w:val="00BE0C34"/>
    <w:rsid w:val="00BE2EC0"/>
    <w:rsid w:val="00BE309C"/>
    <w:rsid w:val="00BE34BE"/>
    <w:rsid w:val="00BE53A2"/>
    <w:rsid w:val="00BE572C"/>
    <w:rsid w:val="00BE5A6C"/>
    <w:rsid w:val="00BE7F67"/>
    <w:rsid w:val="00BF05B1"/>
    <w:rsid w:val="00BF1829"/>
    <w:rsid w:val="00BF43AF"/>
    <w:rsid w:val="00BF63F3"/>
    <w:rsid w:val="00BF6E78"/>
    <w:rsid w:val="00BF7174"/>
    <w:rsid w:val="00BF750A"/>
    <w:rsid w:val="00C02B79"/>
    <w:rsid w:val="00C03729"/>
    <w:rsid w:val="00C05804"/>
    <w:rsid w:val="00C0612B"/>
    <w:rsid w:val="00C06655"/>
    <w:rsid w:val="00C1095B"/>
    <w:rsid w:val="00C10A85"/>
    <w:rsid w:val="00C1110F"/>
    <w:rsid w:val="00C120F8"/>
    <w:rsid w:val="00C13569"/>
    <w:rsid w:val="00C16176"/>
    <w:rsid w:val="00C16BFB"/>
    <w:rsid w:val="00C2137A"/>
    <w:rsid w:val="00C21B16"/>
    <w:rsid w:val="00C223FB"/>
    <w:rsid w:val="00C23120"/>
    <w:rsid w:val="00C24489"/>
    <w:rsid w:val="00C250FA"/>
    <w:rsid w:val="00C25A07"/>
    <w:rsid w:val="00C30633"/>
    <w:rsid w:val="00C306D6"/>
    <w:rsid w:val="00C307CF"/>
    <w:rsid w:val="00C32601"/>
    <w:rsid w:val="00C32AEF"/>
    <w:rsid w:val="00C34A70"/>
    <w:rsid w:val="00C34D8C"/>
    <w:rsid w:val="00C36C97"/>
    <w:rsid w:val="00C37240"/>
    <w:rsid w:val="00C40F5B"/>
    <w:rsid w:val="00C417B2"/>
    <w:rsid w:val="00C427AA"/>
    <w:rsid w:val="00C446FE"/>
    <w:rsid w:val="00C4548F"/>
    <w:rsid w:val="00C45636"/>
    <w:rsid w:val="00C45960"/>
    <w:rsid w:val="00C45CA4"/>
    <w:rsid w:val="00C47244"/>
    <w:rsid w:val="00C4760F"/>
    <w:rsid w:val="00C506BE"/>
    <w:rsid w:val="00C50760"/>
    <w:rsid w:val="00C5167E"/>
    <w:rsid w:val="00C51B0B"/>
    <w:rsid w:val="00C5246B"/>
    <w:rsid w:val="00C52B90"/>
    <w:rsid w:val="00C53A3F"/>
    <w:rsid w:val="00C54D59"/>
    <w:rsid w:val="00C55378"/>
    <w:rsid w:val="00C556EB"/>
    <w:rsid w:val="00C5585B"/>
    <w:rsid w:val="00C55CEB"/>
    <w:rsid w:val="00C567F2"/>
    <w:rsid w:val="00C57125"/>
    <w:rsid w:val="00C60C2F"/>
    <w:rsid w:val="00C60DD0"/>
    <w:rsid w:val="00C6163D"/>
    <w:rsid w:val="00C62764"/>
    <w:rsid w:val="00C64DF7"/>
    <w:rsid w:val="00C65149"/>
    <w:rsid w:val="00C651C8"/>
    <w:rsid w:val="00C66112"/>
    <w:rsid w:val="00C674C0"/>
    <w:rsid w:val="00C67983"/>
    <w:rsid w:val="00C708F9"/>
    <w:rsid w:val="00C712DF"/>
    <w:rsid w:val="00C72480"/>
    <w:rsid w:val="00C7383A"/>
    <w:rsid w:val="00C73883"/>
    <w:rsid w:val="00C74D19"/>
    <w:rsid w:val="00C75244"/>
    <w:rsid w:val="00C76F81"/>
    <w:rsid w:val="00C776C1"/>
    <w:rsid w:val="00C8021A"/>
    <w:rsid w:val="00C809ED"/>
    <w:rsid w:val="00C80D1E"/>
    <w:rsid w:val="00C82227"/>
    <w:rsid w:val="00C82825"/>
    <w:rsid w:val="00C83F5F"/>
    <w:rsid w:val="00C841FC"/>
    <w:rsid w:val="00C85387"/>
    <w:rsid w:val="00C8559A"/>
    <w:rsid w:val="00C85DA3"/>
    <w:rsid w:val="00C85F7C"/>
    <w:rsid w:val="00C90840"/>
    <w:rsid w:val="00C909A7"/>
    <w:rsid w:val="00C909DE"/>
    <w:rsid w:val="00C93DFF"/>
    <w:rsid w:val="00C9490C"/>
    <w:rsid w:val="00C95676"/>
    <w:rsid w:val="00C96E62"/>
    <w:rsid w:val="00C96FE2"/>
    <w:rsid w:val="00C97116"/>
    <w:rsid w:val="00C9737C"/>
    <w:rsid w:val="00CA0C7C"/>
    <w:rsid w:val="00CA17FB"/>
    <w:rsid w:val="00CA26AC"/>
    <w:rsid w:val="00CA2C13"/>
    <w:rsid w:val="00CA2C2C"/>
    <w:rsid w:val="00CA35C9"/>
    <w:rsid w:val="00CA447C"/>
    <w:rsid w:val="00CA508A"/>
    <w:rsid w:val="00CA74D7"/>
    <w:rsid w:val="00CA7BB7"/>
    <w:rsid w:val="00CB060E"/>
    <w:rsid w:val="00CB09BC"/>
    <w:rsid w:val="00CB0AB2"/>
    <w:rsid w:val="00CB0D82"/>
    <w:rsid w:val="00CB0E22"/>
    <w:rsid w:val="00CB1658"/>
    <w:rsid w:val="00CB2553"/>
    <w:rsid w:val="00CB3D5B"/>
    <w:rsid w:val="00CB42A4"/>
    <w:rsid w:val="00CB42FF"/>
    <w:rsid w:val="00CB67DA"/>
    <w:rsid w:val="00CC08CA"/>
    <w:rsid w:val="00CC24B7"/>
    <w:rsid w:val="00CC3899"/>
    <w:rsid w:val="00CC433C"/>
    <w:rsid w:val="00CC4BAB"/>
    <w:rsid w:val="00CC4E5B"/>
    <w:rsid w:val="00CC7EEE"/>
    <w:rsid w:val="00CD25A9"/>
    <w:rsid w:val="00CD3A48"/>
    <w:rsid w:val="00CD407E"/>
    <w:rsid w:val="00CD46A7"/>
    <w:rsid w:val="00CD4F69"/>
    <w:rsid w:val="00CD518A"/>
    <w:rsid w:val="00CD662B"/>
    <w:rsid w:val="00CE0C22"/>
    <w:rsid w:val="00CE3814"/>
    <w:rsid w:val="00CE59B0"/>
    <w:rsid w:val="00CE6DC8"/>
    <w:rsid w:val="00CF0371"/>
    <w:rsid w:val="00CF052B"/>
    <w:rsid w:val="00CF200A"/>
    <w:rsid w:val="00CF423B"/>
    <w:rsid w:val="00CF45E8"/>
    <w:rsid w:val="00CF5271"/>
    <w:rsid w:val="00CF5839"/>
    <w:rsid w:val="00CF7D6D"/>
    <w:rsid w:val="00D0151E"/>
    <w:rsid w:val="00D023B2"/>
    <w:rsid w:val="00D027F1"/>
    <w:rsid w:val="00D0627E"/>
    <w:rsid w:val="00D0720D"/>
    <w:rsid w:val="00D07C2B"/>
    <w:rsid w:val="00D16358"/>
    <w:rsid w:val="00D172E0"/>
    <w:rsid w:val="00D179CD"/>
    <w:rsid w:val="00D20385"/>
    <w:rsid w:val="00D21E65"/>
    <w:rsid w:val="00D2291B"/>
    <w:rsid w:val="00D25F6F"/>
    <w:rsid w:val="00D26562"/>
    <w:rsid w:val="00D2694E"/>
    <w:rsid w:val="00D26F14"/>
    <w:rsid w:val="00D27B71"/>
    <w:rsid w:val="00D27D49"/>
    <w:rsid w:val="00D30399"/>
    <w:rsid w:val="00D310A6"/>
    <w:rsid w:val="00D31185"/>
    <w:rsid w:val="00D32165"/>
    <w:rsid w:val="00D32685"/>
    <w:rsid w:val="00D3478B"/>
    <w:rsid w:val="00D36547"/>
    <w:rsid w:val="00D368B3"/>
    <w:rsid w:val="00D40D44"/>
    <w:rsid w:val="00D42415"/>
    <w:rsid w:val="00D42D93"/>
    <w:rsid w:val="00D431D5"/>
    <w:rsid w:val="00D43D2C"/>
    <w:rsid w:val="00D46E5D"/>
    <w:rsid w:val="00D51686"/>
    <w:rsid w:val="00D52DE4"/>
    <w:rsid w:val="00D52E92"/>
    <w:rsid w:val="00D54A83"/>
    <w:rsid w:val="00D5505A"/>
    <w:rsid w:val="00D55D22"/>
    <w:rsid w:val="00D5616D"/>
    <w:rsid w:val="00D569D6"/>
    <w:rsid w:val="00D60A41"/>
    <w:rsid w:val="00D625B5"/>
    <w:rsid w:val="00D63C58"/>
    <w:rsid w:val="00D6419E"/>
    <w:rsid w:val="00D641D0"/>
    <w:rsid w:val="00D6498E"/>
    <w:rsid w:val="00D65957"/>
    <w:rsid w:val="00D66CE4"/>
    <w:rsid w:val="00D67410"/>
    <w:rsid w:val="00D675E6"/>
    <w:rsid w:val="00D71594"/>
    <w:rsid w:val="00D72508"/>
    <w:rsid w:val="00D73076"/>
    <w:rsid w:val="00D76202"/>
    <w:rsid w:val="00D774EF"/>
    <w:rsid w:val="00D80A58"/>
    <w:rsid w:val="00D80BD1"/>
    <w:rsid w:val="00D815FE"/>
    <w:rsid w:val="00D82114"/>
    <w:rsid w:val="00D828C0"/>
    <w:rsid w:val="00D82CC6"/>
    <w:rsid w:val="00D85DD9"/>
    <w:rsid w:val="00D876B1"/>
    <w:rsid w:val="00D900BF"/>
    <w:rsid w:val="00D932D6"/>
    <w:rsid w:val="00D94932"/>
    <w:rsid w:val="00D9642D"/>
    <w:rsid w:val="00D96528"/>
    <w:rsid w:val="00D965AE"/>
    <w:rsid w:val="00D97001"/>
    <w:rsid w:val="00D97027"/>
    <w:rsid w:val="00DA0AAD"/>
    <w:rsid w:val="00DA0B05"/>
    <w:rsid w:val="00DA1415"/>
    <w:rsid w:val="00DA51DC"/>
    <w:rsid w:val="00DA66FF"/>
    <w:rsid w:val="00DA7CFA"/>
    <w:rsid w:val="00DA7D2A"/>
    <w:rsid w:val="00DB5710"/>
    <w:rsid w:val="00DB69B3"/>
    <w:rsid w:val="00DC29D8"/>
    <w:rsid w:val="00DC30AB"/>
    <w:rsid w:val="00DC4BCE"/>
    <w:rsid w:val="00DC542E"/>
    <w:rsid w:val="00DC5E43"/>
    <w:rsid w:val="00DC619E"/>
    <w:rsid w:val="00DC6F20"/>
    <w:rsid w:val="00DC7764"/>
    <w:rsid w:val="00DD052F"/>
    <w:rsid w:val="00DD05C6"/>
    <w:rsid w:val="00DD31D5"/>
    <w:rsid w:val="00DD43AB"/>
    <w:rsid w:val="00DD4659"/>
    <w:rsid w:val="00DD4EF1"/>
    <w:rsid w:val="00DD57A3"/>
    <w:rsid w:val="00DD590F"/>
    <w:rsid w:val="00DD65B8"/>
    <w:rsid w:val="00DD77AD"/>
    <w:rsid w:val="00DE09AF"/>
    <w:rsid w:val="00DE1BC0"/>
    <w:rsid w:val="00DE2FAA"/>
    <w:rsid w:val="00DE30E4"/>
    <w:rsid w:val="00DE31AD"/>
    <w:rsid w:val="00DE4367"/>
    <w:rsid w:val="00DE5070"/>
    <w:rsid w:val="00DE5083"/>
    <w:rsid w:val="00DE7215"/>
    <w:rsid w:val="00DE7356"/>
    <w:rsid w:val="00DF0231"/>
    <w:rsid w:val="00DF0EEE"/>
    <w:rsid w:val="00DF18A0"/>
    <w:rsid w:val="00DF1D9D"/>
    <w:rsid w:val="00DF3183"/>
    <w:rsid w:val="00DF3BA0"/>
    <w:rsid w:val="00DF43ED"/>
    <w:rsid w:val="00DF73B7"/>
    <w:rsid w:val="00DF7CFE"/>
    <w:rsid w:val="00E0046D"/>
    <w:rsid w:val="00E00866"/>
    <w:rsid w:val="00E032B5"/>
    <w:rsid w:val="00E04E4A"/>
    <w:rsid w:val="00E05243"/>
    <w:rsid w:val="00E07503"/>
    <w:rsid w:val="00E10F42"/>
    <w:rsid w:val="00E130EC"/>
    <w:rsid w:val="00E16B31"/>
    <w:rsid w:val="00E1795D"/>
    <w:rsid w:val="00E17A07"/>
    <w:rsid w:val="00E17D86"/>
    <w:rsid w:val="00E212FA"/>
    <w:rsid w:val="00E234AF"/>
    <w:rsid w:val="00E236E4"/>
    <w:rsid w:val="00E2497C"/>
    <w:rsid w:val="00E25F92"/>
    <w:rsid w:val="00E26460"/>
    <w:rsid w:val="00E26982"/>
    <w:rsid w:val="00E26DE4"/>
    <w:rsid w:val="00E30C22"/>
    <w:rsid w:val="00E35A4D"/>
    <w:rsid w:val="00E42627"/>
    <w:rsid w:val="00E427E9"/>
    <w:rsid w:val="00E44E14"/>
    <w:rsid w:val="00E4563A"/>
    <w:rsid w:val="00E46F7E"/>
    <w:rsid w:val="00E50ED6"/>
    <w:rsid w:val="00E519ED"/>
    <w:rsid w:val="00E53702"/>
    <w:rsid w:val="00E54A12"/>
    <w:rsid w:val="00E54BFE"/>
    <w:rsid w:val="00E550D6"/>
    <w:rsid w:val="00E55297"/>
    <w:rsid w:val="00E55F9B"/>
    <w:rsid w:val="00E5790C"/>
    <w:rsid w:val="00E57A3C"/>
    <w:rsid w:val="00E57FF9"/>
    <w:rsid w:val="00E603A6"/>
    <w:rsid w:val="00E607F0"/>
    <w:rsid w:val="00E608C5"/>
    <w:rsid w:val="00E609F9"/>
    <w:rsid w:val="00E6152C"/>
    <w:rsid w:val="00E61D7E"/>
    <w:rsid w:val="00E635D1"/>
    <w:rsid w:val="00E649F7"/>
    <w:rsid w:val="00E657AA"/>
    <w:rsid w:val="00E66C13"/>
    <w:rsid w:val="00E700AA"/>
    <w:rsid w:val="00E71954"/>
    <w:rsid w:val="00E71B8E"/>
    <w:rsid w:val="00E73FE8"/>
    <w:rsid w:val="00E74A6F"/>
    <w:rsid w:val="00E74B95"/>
    <w:rsid w:val="00E74E5E"/>
    <w:rsid w:val="00E753F6"/>
    <w:rsid w:val="00E75684"/>
    <w:rsid w:val="00E76A4B"/>
    <w:rsid w:val="00E76AC0"/>
    <w:rsid w:val="00E76D11"/>
    <w:rsid w:val="00E776DF"/>
    <w:rsid w:val="00E80AEA"/>
    <w:rsid w:val="00E82369"/>
    <w:rsid w:val="00E82A74"/>
    <w:rsid w:val="00E858D8"/>
    <w:rsid w:val="00E85C6C"/>
    <w:rsid w:val="00E86353"/>
    <w:rsid w:val="00E90309"/>
    <w:rsid w:val="00E91110"/>
    <w:rsid w:val="00E92F4D"/>
    <w:rsid w:val="00E93AD0"/>
    <w:rsid w:val="00E94049"/>
    <w:rsid w:val="00E941D1"/>
    <w:rsid w:val="00E94C93"/>
    <w:rsid w:val="00E95A4A"/>
    <w:rsid w:val="00E95B5C"/>
    <w:rsid w:val="00E96177"/>
    <w:rsid w:val="00E9689F"/>
    <w:rsid w:val="00E974E6"/>
    <w:rsid w:val="00EA02EB"/>
    <w:rsid w:val="00EA2484"/>
    <w:rsid w:val="00EA39C2"/>
    <w:rsid w:val="00EA4A8F"/>
    <w:rsid w:val="00EA5855"/>
    <w:rsid w:val="00EA5887"/>
    <w:rsid w:val="00EA758C"/>
    <w:rsid w:val="00EB01AA"/>
    <w:rsid w:val="00EB23E8"/>
    <w:rsid w:val="00EB2966"/>
    <w:rsid w:val="00EB29BF"/>
    <w:rsid w:val="00EB2C07"/>
    <w:rsid w:val="00EB30D2"/>
    <w:rsid w:val="00EB5C00"/>
    <w:rsid w:val="00EB5D6B"/>
    <w:rsid w:val="00EB6655"/>
    <w:rsid w:val="00EB67A9"/>
    <w:rsid w:val="00EB67B0"/>
    <w:rsid w:val="00EB7932"/>
    <w:rsid w:val="00EC1180"/>
    <w:rsid w:val="00EC11D3"/>
    <w:rsid w:val="00EC470A"/>
    <w:rsid w:val="00EC4927"/>
    <w:rsid w:val="00EC5FAD"/>
    <w:rsid w:val="00EC6317"/>
    <w:rsid w:val="00EC689F"/>
    <w:rsid w:val="00EC6DA8"/>
    <w:rsid w:val="00EC6F88"/>
    <w:rsid w:val="00EC7A12"/>
    <w:rsid w:val="00EC7A69"/>
    <w:rsid w:val="00EC7EE4"/>
    <w:rsid w:val="00ED01FE"/>
    <w:rsid w:val="00ED038F"/>
    <w:rsid w:val="00ED03AC"/>
    <w:rsid w:val="00ED09EF"/>
    <w:rsid w:val="00ED2DF1"/>
    <w:rsid w:val="00ED39E4"/>
    <w:rsid w:val="00ED3EFE"/>
    <w:rsid w:val="00ED528D"/>
    <w:rsid w:val="00ED660C"/>
    <w:rsid w:val="00EE228A"/>
    <w:rsid w:val="00EE310E"/>
    <w:rsid w:val="00EE38E6"/>
    <w:rsid w:val="00EE48D4"/>
    <w:rsid w:val="00EE4990"/>
    <w:rsid w:val="00EE4C71"/>
    <w:rsid w:val="00EE4CB5"/>
    <w:rsid w:val="00EE5ADA"/>
    <w:rsid w:val="00EF2411"/>
    <w:rsid w:val="00EF277E"/>
    <w:rsid w:val="00EF3E3A"/>
    <w:rsid w:val="00EF55FD"/>
    <w:rsid w:val="00EF69FC"/>
    <w:rsid w:val="00EF70D9"/>
    <w:rsid w:val="00F0141E"/>
    <w:rsid w:val="00F03695"/>
    <w:rsid w:val="00F06C04"/>
    <w:rsid w:val="00F07ACE"/>
    <w:rsid w:val="00F11AE2"/>
    <w:rsid w:val="00F127D9"/>
    <w:rsid w:val="00F12FC9"/>
    <w:rsid w:val="00F13F07"/>
    <w:rsid w:val="00F14B07"/>
    <w:rsid w:val="00F15BF3"/>
    <w:rsid w:val="00F179DD"/>
    <w:rsid w:val="00F17E03"/>
    <w:rsid w:val="00F2018E"/>
    <w:rsid w:val="00F21468"/>
    <w:rsid w:val="00F219EF"/>
    <w:rsid w:val="00F22DC6"/>
    <w:rsid w:val="00F2342B"/>
    <w:rsid w:val="00F236D1"/>
    <w:rsid w:val="00F23D3E"/>
    <w:rsid w:val="00F24458"/>
    <w:rsid w:val="00F25269"/>
    <w:rsid w:val="00F25315"/>
    <w:rsid w:val="00F2589D"/>
    <w:rsid w:val="00F25928"/>
    <w:rsid w:val="00F321C7"/>
    <w:rsid w:val="00F32301"/>
    <w:rsid w:val="00F33F14"/>
    <w:rsid w:val="00F34ABE"/>
    <w:rsid w:val="00F351F3"/>
    <w:rsid w:val="00F37685"/>
    <w:rsid w:val="00F415E5"/>
    <w:rsid w:val="00F43AB2"/>
    <w:rsid w:val="00F44B47"/>
    <w:rsid w:val="00F453F6"/>
    <w:rsid w:val="00F45AD8"/>
    <w:rsid w:val="00F45DD9"/>
    <w:rsid w:val="00F45F4F"/>
    <w:rsid w:val="00F46546"/>
    <w:rsid w:val="00F47312"/>
    <w:rsid w:val="00F47313"/>
    <w:rsid w:val="00F47440"/>
    <w:rsid w:val="00F50F79"/>
    <w:rsid w:val="00F52239"/>
    <w:rsid w:val="00F52702"/>
    <w:rsid w:val="00F5289C"/>
    <w:rsid w:val="00F55E8E"/>
    <w:rsid w:val="00F60747"/>
    <w:rsid w:val="00F61414"/>
    <w:rsid w:val="00F61709"/>
    <w:rsid w:val="00F62115"/>
    <w:rsid w:val="00F6465E"/>
    <w:rsid w:val="00F65F55"/>
    <w:rsid w:val="00F65FED"/>
    <w:rsid w:val="00F668A1"/>
    <w:rsid w:val="00F670A5"/>
    <w:rsid w:val="00F67BDB"/>
    <w:rsid w:val="00F70294"/>
    <w:rsid w:val="00F72575"/>
    <w:rsid w:val="00F75771"/>
    <w:rsid w:val="00F766E5"/>
    <w:rsid w:val="00F77039"/>
    <w:rsid w:val="00F77328"/>
    <w:rsid w:val="00F813B8"/>
    <w:rsid w:val="00F81C56"/>
    <w:rsid w:val="00F83A04"/>
    <w:rsid w:val="00F83C57"/>
    <w:rsid w:val="00F84EF2"/>
    <w:rsid w:val="00F867EA"/>
    <w:rsid w:val="00F90027"/>
    <w:rsid w:val="00F91685"/>
    <w:rsid w:val="00F95174"/>
    <w:rsid w:val="00F97307"/>
    <w:rsid w:val="00F97718"/>
    <w:rsid w:val="00F97E5E"/>
    <w:rsid w:val="00FA131A"/>
    <w:rsid w:val="00FA19D6"/>
    <w:rsid w:val="00FA1C21"/>
    <w:rsid w:val="00FA2281"/>
    <w:rsid w:val="00FA5051"/>
    <w:rsid w:val="00FA53E3"/>
    <w:rsid w:val="00FA55A3"/>
    <w:rsid w:val="00FA6576"/>
    <w:rsid w:val="00FA69E4"/>
    <w:rsid w:val="00FA7C7F"/>
    <w:rsid w:val="00FA7C9E"/>
    <w:rsid w:val="00FB03B7"/>
    <w:rsid w:val="00FB13B4"/>
    <w:rsid w:val="00FB15FF"/>
    <w:rsid w:val="00FB1E1F"/>
    <w:rsid w:val="00FB5555"/>
    <w:rsid w:val="00FB5EE4"/>
    <w:rsid w:val="00FB6370"/>
    <w:rsid w:val="00FB7051"/>
    <w:rsid w:val="00FB73D2"/>
    <w:rsid w:val="00FB7EEC"/>
    <w:rsid w:val="00FB7F7B"/>
    <w:rsid w:val="00FC12E4"/>
    <w:rsid w:val="00FC1624"/>
    <w:rsid w:val="00FC3836"/>
    <w:rsid w:val="00FC3C3D"/>
    <w:rsid w:val="00FC5EA0"/>
    <w:rsid w:val="00FC7224"/>
    <w:rsid w:val="00FC7FD7"/>
    <w:rsid w:val="00FD16EB"/>
    <w:rsid w:val="00FD28BF"/>
    <w:rsid w:val="00FD2A21"/>
    <w:rsid w:val="00FD316C"/>
    <w:rsid w:val="00FD33AD"/>
    <w:rsid w:val="00FD38F0"/>
    <w:rsid w:val="00FD4972"/>
    <w:rsid w:val="00FD4D99"/>
    <w:rsid w:val="00FD77AA"/>
    <w:rsid w:val="00FE0162"/>
    <w:rsid w:val="00FE38B0"/>
    <w:rsid w:val="00FE5E32"/>
    <w:rsid w:val="00FE7886"/>
    <w:rsid w:val="00FF1275"/>
    <w:rsid w:val="00FF158F"/>
    <w:rsid w:val="00FF1D78"/>
    <w:rsid w:val="00FF48DF"/>
    <w:rsid w:val="00FF49EA"/>
    <w:rsid w:val="00FF4E8A"/>
    <w:rsid w:val="00FF58E3"/>
    <w:rsid w:val="00FF6152"/>
    <w:rsid w:val="00FF68C5"/>
    <w:rsid w:val="02467172"/>
    <w:rsid w:val="03A43FD2"/>
    <w:rsid w:val="03F434D0"/>
    <w:rsid w:val="04BB27E6"/>
    <w:rsid w:val="06B347B9"/>
    <w:rsid w:val="07883680"/>
    <w:rsid w:val="08421A77"/>
    <w:rsid w:val="088303E0"/>
    <w:rsid w:val="08D570F1"/>
    <w:rsid w:val="09C22200"/>
    <w:rsid w:val="0A217D6C"/>
    <w:rsid w:val="0B4D165D"/>
    <w:rsid w:val="0BBD6380"/>
    <w:rsid w:val="0CF341B2"/>
    <w:rsid w:val="0D604C11"/>
    <w:rsid w:val="0D9F4465"/>
    <w:rsid w:val="0DCF453B"/>
    <w:rsid w:val="0E5F2E94"/>
    <w:rsid w:val="0FA55E9D"/>
    <w:rsid w:val="11771E5F"/>
    <w:rsid w:val="123E7485"/>
    <w:rsid w:val="127C4DBC"/>
    <w:rsid w:val="133B388D"/>
    <w:rsid w:val="13A4226B"/>
    <w:rsid w:val="13C449D1"/>
    <w:rsid w:val="152B6CD0"/>
    <w:rsid w:val="181004DD"/>
    <w:rsid w:val="1B984A26"/>
    <w:rsid w:val="1BAB4461"/>
    <w:rsid w:val="1E3D7EA6"/>
    <w:rsid w:val="1E927AA1"/>
    <w:rsid w:val="1EA26398"/>
    <w:rsid w:val="1F4A7B38"/>
    <w:rsid w:val="211F1734"/>
    <w:rsid w:val="253B34AA"/>
    <w:rsid w:val="276852AC"/>
    <w:rsid w:val="277F4ED4"/>
    <w:rsid w:val="27BC194C"/>
    <w:rsid w:val="285319F5"/>
    <w:rsid w:val="28BC5D82"/>
    <w:rsid w:val="29A60AF3"/>
    <w:rsid w:val="2B2C0C17"/>
    <w:rsid w:val="2B514BE0"/>
    <w:rsid w:val="2BC21BFD"/>
    <w:rsid w:val="2C833043"/>
    <w:rsid w:val="30C45E54"/>
    <w:rsid w:val="316F516E"/>
    <w:rsid w:val="319D35B5"/>
    <w:rsid w:val="325405E3"/>
    <w:rsid w:val="32D836F8"/>
    <w:rsid w:val="33090121"/>
    <w:rsid w:val="33B139B6"/>
    <w:rsid w:val="33D13BCE"/>
    <w:rsid w:val="344405A6"/>
    <w:rsid w:val="367D5E25"/>
    <w:rsid w:val="3A0C7A8A"/>
    <w:rsid w:val="3A2A60C3"/>
    <w:rsid w:val="3C321E09"/>
    <w:rsid w:val="3D456A6D"/>
    <w:rsid w:val="3E5D543D"/>
    <w:rsid w:val="3F5509F1"/>
    <w:rsid w:val="3FAA57E9"/>
    <w:rsid w:val="40831E01"/>
    <w:rsid w:val="411E5469"/>
    <w:rsid w:val="43495480"/>
    <w:rsid w:val="439718C7"/>
    <w:rsid w:val="43D5532B"/>
    <w:rsid w:val="444807E2"/>
    <w:rsid w:val="46A547D5"/>
    <w:rsid w:val="47CB3D6E"/>
    <w:rsid w:val="494842C1"/>
    <w:rsid w:val="4B326E98"/>
    <w:rsid w:val="4B5B322C"/>
    <w:rsid w:val="4C886818"/>
    <w:rsid w:val="4D730106"/>
    <w:rsid w:val="4F7E37D7"/>
    <w:rsid w:val="503F0626"/>
    <w:rsid w:val="50D91050"/>
    <w:rsid w:val="5119769F"/>
    <w:rsid w:val="51921F09"/>
    <w:rsid w:val="52B61649"/>
    <w:rsid w:val="5322093A"/>
    <w:rsid w:val="56384D25"/>
    <w:rsid w:val="59AD4989"/>
    <w:rsid w:val="5A1249C6"/>
    <w:rsid w:val="5A640BAB"/>
    <w:rsid w:val="5B14575F"/>
    <w:rsid w:val="635142A1"/>
    <w:rsid w:val="63F8715B"/>
    <w:rsid w:val="643957B8"/>
    <w:rsid w:val="64B1350A"/>
    <w:rsid w:val="64BD54AA"/>
    <w:rsid w:val="64F033A2"/>
    <w:rsid w:val="67307A10"/>
    <w:rsid w:val="67A35808"/>
    <w:rsid w:val="691354A9"/>
    <w:rsid w:val="694E5019"/>
    <w:rsid w:val="69FE33CB"/>
    <w:rsid w:val="6AAA6FFC"/>
    <w:rsid w:val="6CAB6BFE"/>
    <w:rsid w:val="6D4A6F7C"/>
    <w:rsid w:val="6DD170C5"/>
    <w:rsid w:val="6E192634"/>
    <w:rsid w:val="6EBA1BC7"/>
    <w:rsid w:val="6ED612F8"/>
    <w:rsid w:val="6F35036D"/>
    <w:rsid w:val="700D088C"/>
    <w:rsid w:val="707A560C"/>
    <w:rsid w:val="751A4E26"/>
    <w:rsid w:val="75607705"/>
    <w:rsid w:val="756821B5"/>
    <w:rsid w:val="760C477D"/>
    <w:rsid w:val="7757075C"/>
    <w:rsid w:val="77642B72"/>
    <w:rsid w:val="781B1759"/>
    <w:rsid w:val="7D7A39E8"/>
    <w:rsid w:val="7EA52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7"/>
    <w:qFormat/>
    <w:uiPriority w:val="0"/>
    <w:pPr>
      <w:keepNext/>
      <w:keepLines/>
      <w:spacing w:after="120" w:line="360" w:lineRule="auto"/>
      <w:outlineLvl w:val="0"/>
    </w:pPr>
    <w:rPr>
      <w:kern w:val="44"/>
      <w:sz w:val="28"/>
      <w:szCs w:val="28"/>
    </w:rPr>
  </w:style>
  <w:style w:type="paragraph" w:styleId="7">
    <w:name w:val="heading 2"/>
    <w:basedOn w:val="1"/>
    <w:next w:val="1"/>
    <w:link w:val="54"/>
    <w:qFormat/>
    <w:uiPriority w:val="0"/>
    <w:pPr>
      <w:keepNext/>
      <w:keepLines/>
      <w:spacing w:before="120" w:after="120" w:line="415" w:lineRule="auto"/>
      <w:jc w:val="center"/>
      <w:outlineLvl w:val="1"/>
    </w:pPr>
    <w:rPr>
      <w:rFonts w:ascii="Arial" w:hAnsi="Arial"/>
      <w:b/>
      <w:color w:val="000000"/>
      <w:kern w:val="0"/>
      <w:sz w:val="24"/>
      <w:szCs w:val="24"/>
      <w:lang w:val="zh-CN"/>
    </w:rPr>
  </w:style>
  <w:style w:type="paragraph" w:styleId="8">
    <w:name w:val="heading 3"/>
    <w:basedOn w:val="1"/>
    <w:next w:val="1"/>
    <w:link w:val="70"/>
    <w:qFormat/>
    <w:uiPriority w:val="0"/>
    <w:pPr>
      <w:widowControl/>
      <w:spacing w:before="100" w:beforeAutospacing="1" w:after="100" w:afterAutospacing="1"/>
      <w:jc w:val="left"/>
      <w:outlineLvl w:val="2"/>
    </w:pPr>
    <w:rPr>
      <w:rFonts w:ascii="宋体" w:hAnsi="宋体"/>
      <w:kern w:val="0"/>
      <w:sz w:val="27"/>
      <w:szCs w:val="27"/>
      <w:lang w:val="zh-CN"/>
    </w:rPr>
  </w:style>
  <w:style w:type="paragraph" w:styleId="9">
    <w:name w:val="heading 4"/>
    <w:basedOn w:val="8"/>
    <w:next w:val="2"/>
    <w:link w:val="52"/>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10">
    <w:name w:val="heading 5"/>
    <w:basedOn w:val="9"/>
    <w:next w:val="2"/>
    <w:link w:val="60"/>
    <w:qFormat/>
    <w:uiPriority w:val="0"/>
    <w:pPr>
      <w:numPr>
        <w:ilvl w:val="4"/>
      </w:numPr>
      <w:spacing w:line="240" w:lineRule="exact"/>
      <w:outlineLvl w:val="4"/>
    </w:pPr>
  </w:style>
  <w:style w:type="paragraph" w:styleId="11">
    <w:name w:val="heading 6"/>
    <w:basedOn w:val="1"/>
    <w:next w:val="1"/>
    <w:link w:val="62"/>
    <w:qFormat/>
    <w:uiPriority w:val="0"/>
    <w:pPr>
      <w:keepNext/>
      <w:keepLines/>
      <w:numPr>
        <w:ilvl w:val="5"/>
        <w:numId w:val="2"/>
      </w:numPr>
      <w:spacing w:before="240" w:after="64" w:line="320" w:lineRule="auto"/>
      <w:outlineLvl w:val="5"/>
    </w:pPr>
    <w:rPr>
      <w:rFonts w:ascii="Arial" w:hAnsi="Arial" w:eastAsia="黑体"/>
      <w:b/>
      <w:bCs/>
      <w:kern w:val="0"/>
      <w:sz w:val="24"/>
      <w:szCs w:val="24"/>
      <w:lang w:val="zh-CN"/>
    </w:rPr>
  </w:style>
  <w:style w:type="paragraph" w:styleId="12">
    <w:name w:val="heading 7"/>
    <w:basedOn w:val="1"/>
    <w:next w:val="2"/>
    <w:link w:val="69"/>
    <w:qFormat/>
    <w:uiPriority w:val="0"/>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13">
    <w:name w:val="heading 8"/>
    <w:basedOn w:val="1"/>
    <w:next w:val="2"/>
    <w:link w:val="46"/>
    <w:qFormat/>
    <w:uiPriority w:val="0"/>
    <w:pPr>
      <w:keepNext/>
      <w:keepLines/>
      <w:numPr>
        <w:ilvl w:val="7"/>
        <w:numId w:val="1"/>
      </w:numPr>
      <w:spacing w:before="240" w:after="64" w:line="320" w:lineRule="auto"/>
      <w:outlineLvl w:val="7"/>
    </w:pPr>
    <w:rPr>
      <w:rFonts w:ascii="Arial" w:hAnsi="Arial" w:eastAsia="黑体"/>
      <w:kern w:val="0"/>
      <w:sz w:val="24"/>
      <w:szCs w:val="20"/>
      <w:lang w:val="zh-CN"/>
    </w:rPr>
  </w:style>
  <w:style w:type="paragraph" w:styleId="14">
    <w:name w:val="heading 9"/>
    <w:basedOn w:val="1"/>
    <w:next w:val="2"/>
    <w:link w:val="55"/>
    <w:qFormat/>
    <w:uiPriority w:val="0"/>
    <w:pPr>
      <w:keepNext/>
      <w:keepLines/>
      <w:numPr>
        <w:ilvl w:val="8"/>
        <w:numId w:val="1"/>
      </w:numPr>
      <w:spacing w:before="240" w:after="64" w:line="320" w:lineRule="auto"/>
      <w:outlineLvl w:val="8"/>
    </w:pPr>
    <w:rPr>
      <w:rFonts w:ascii="Arial" w:hAnsi="Arial" w:eastAsia="黑体"/>
      <w:kern w:val="0"/>
      <w:sz w:val="20"/>
      <w:szCs w:val="20"/>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8"/>
    <w:qFormat/>
    <w:uiPriority w:val="0"/>
    <w:pPr>
      <w:ind w:firstLine="420"/>
    </w:pPr>
    <w:rPr>
      <w:rFonts w:ascii="Times New Roman" w:hAnsi="Times New Roman"/>
      <w:kern w:val="0"/>
      <w:sz w:val="20"/>
      <w:szCs w:val="20"/>
      <w:lang w:val="zh-CN"/>
    </w:rPr>
  </w:style>
  <w:style w:type="paragraph" w:styleId="4">
    <w:name w:val="Title"/>
    <w:basedOn w:val="1"/>
    <w:link w:val="51"/>
    <w:qFormat/>
    <w:uiPriority w:val="0"/>
    <w:pPr>
      <w:spacing w:before="120" w:after="60"/>
      <w:jc w:val="center"/>
    </w:pPr>
    <w:rPr>
      <w:rFonts w:ascii="Arial" w:hAnsi="Arial"/>
      <w:b/>
      <w:kern w:val="0"/>
      <w:sz w:val="44"/>
      <w:szCs w:val="20"/>
      <w:lang w:val="zh-CN"/>
    </w:rPr>
  </w:style>
  <w:style w:type="paragraph" w:styleId="5">
    <w:name w:val="Body Text First Indent"/>
    <w:basedOn w:val="6"/>
    <w:link w:val="63"/>
    <w:qFormat/>
    <w:uiPriority w:val="0"/>
    <w:pPr>
      <w:ind w:firstLine="420"/>
    </w:pPr>
  </w:style>
  <w:style w:type="paragraph" w:styleId="6">
    <w:name w:val="Body Text"/>
    <w:basedOn w:val="1"/>
    <w:link w:val="59"/>
    <w:qFormat/>
    <w:uiPriority w:val="0"/>
    <w:pPr>
      <w:spacing w:after="120"/>
    </w:pPr>
    <w:rPr>
      <w:rFonts w:ascii="Times New Roman" w:hAnsi="Times New Roman"/>
      <w:kern w:val="0"/>
      <w:sz w:val="20"/>
      <w:szCs w:val="20"/>
      <w:lang w:val="zh-CN"/>
    </w:rPr>
  </w:style>
  <w:style w:type="paragraph" w:styleId="15">
    <w:name w:val="Document Map"/>
    <w:basedOn w:val="1"/>
    <w:link w:val="71"/>
    <w:qFormat/>
    <w:uiPriority w:val="0"/>
    <w:pPr>
      <w:shd w:val="clear" w:color="auto" w:fill="000080"/>
    </w:pPr>
    <w:rPr>
      <w:rFonts w:ascii="Times New Roman" w:hAnsi="Times New Roman"/>
      <w:kern w:val="0"/>
      <w:sz w:val="20"/>
      <w:szCs w:val="20"/>
      <w:lang w:val="zh-CN"/>
    </w:rPr>
  </w:style>
  <w:style w:type="paragraph" w:styleId="16">
    <w:name w:val="annotation text"/>
    <w:basedOn w:val="1"/>
    <w:link w:val="68"/>
    <w:qFormat/>
    <w:uiPriority w:val="99"/>
    <w:pPr>
      <w:spacing w:line="360" w:lineRule="auto"/>
      <w:ind w:firstLine="523" w:firstLineChars="218"/>
      <w:jc w:val="left"/>
    </w:pPr>
    <w:rPr>
      <w:rFonts w:ascii="宋体" w:hAnsi="宋体"/>
      <w:kern w:val="0"/>
      <w:sz w:val="24"/>
      <w:szCs w:val="24"/>
      <w:lang w:val="zh-CN"/>
    </w:rPr>
  </w:style>
  <w:style w:type="paragraph" w:styleId="17">
    <w:name w:val="Body Text Indent"/>
    <w:basedOn w:val="1"/>
    <w:link w:val="53"/>
    <w:qFormat/>
    <w:uiPriority w:val="0"/>
    <w:pPr>
      <w:ind w:firstLine="570"/>
    </w:pPr>
    <w:rPr>
      <w:rFonts w:ascii="Times New Roman" w:hAnsi="Times New Roman"/>
      <w:kern w:val="0"/>
      <w:sz w:val="28"/>
      <w:szCs w:val="20"/>
      <w:lang w:val="zh-CN"/>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link w:val="57"/>
    <w:qFormat/>
    <w:uiPriority w:val="0"/>
    <w:rPr>
      <w:rFonts w:ascii="宋体" w:hAnsi="Courier New"/>
      <w:kern w:val="0"/>
      <w:sz w:val="20"/>
      <w:szCs w:val="20"/>
      <w:lang w:val="zh-CN"/>
    </w:rPr>
  </w:style>
  <w:style w:type="paragraph" w:styleId="20">
    <w:name w:val="Date"/>
    <w:basedOn w:val="1"/>
    <w:next w:val="1"/>
    <w:link w:val="44"/>
    <w:qFormat/>
    <w:uiPriority w:val="0"/>
    <w:rPr>
      <w:rFonts w:ascii="Times New Roman" w:hAnsi="Times New Roman"/>
      <w:kern w:val="0"/>
      <w:sz w:val="20"/>
      <w:szCs w:val="20"/>
      <w:lang w:val="zh-CN"/>
    </w:rPr>
  </w:style>
  <w:style w:type="paragraph" w:styleId="21">
    <w:name w:val="Body Text Indent 2"/>
    <w:basedOn w:val="1"/>
    <w:link w:val="56"/>
    <w:qFormat/>
    <w:uiPriority w:val="0"/>
    <w:pPr>
      <w:spacing w:line="400" w:lineRule="exact"/>
      <w:ind w:left="425"/>
    </w:pPr>
    <w:rPr>
      <w:rFonts w:ascii="Times New Roman" w:hAnsi="Times New Roman"/>
      <w:color w:val="000000"/>
      <w:kern w:val="0"/>
      <w:sz w:val="24"/>
      <w:szCs w:val="20"/>
      <w:lang w:val="zh-CN"/>
    </w:rPr>
  </w:style>
  <w:style w:type="paragraph" w:styleId="22">
    <w:name w:val="endnote text"/>
    <w:basedOn w:val="1"/>
    <w:link w:val="47"/>
    <w:qFormat/>
    <w:uiPriority w:val="0"/>
    <w:pPr>
      <w:snapToGrid w:val="0"/>
      <w:jc w:val="left"/>
    </w:pPr>
    <w:rPr>
      <w:rFonts w:ascii="Times New Roman" w:hAnsi="Times New Roman"/>
      <w:kern w:val="0"/>
      <w:sz w:val="20"/>
      <w:szCs w:val="20"/>
      <w:lang w:val="zh-CN"/>
    </w:rPr>
  </w:style>
  <w:style w:type="paragraph" w:styleId="23">
    <w:name w:val="Balloon Text"/>
    <w:basedOn w:val="1"/>
    <w:link w:val="49"/>
    <w:qFormat/>
    <w:uiPriority w:val="0"/>
    <w:rPr>
      <w:rFonts w:ascii="Times New Roman" w:hAnsi="Times New Roman"/>
      <w:kern w:val="0"/>
      <w:sz w:val="18"/>
      <w:szCs w:val="18"/>
      <w:lang w:val="zh-CN"/>
    </w:rPr>
  </w:style>
  <w:style w:type="paragraph" w:styleId="24">
    <w:name w:val="footer"/>
    <w:basedOn w:val="1"/>
    <w:link w:val="50"/>
    <w:unhideWhenUsed/>
    <w:qFormat/>
    <w:uiPriority w:val="99"/>
    <w:pPr>
      <w:tabs>
        <w:tab w:val="center" w:pos="4153"/>
        <w:tab w:val="right" w:pos="8306"/>
      </w:tabs>
      <w:snapToGrid w:val="0"/>
      <w:jc w:val="left"/>
    </w:pPr>
    <w:rPr>
      <w:kern w:val="0"/>
      <w:sz w:val="18"/>
      <w:szCs w:val="18"/>
      <w:lang w:val="zh-CN"/>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66"/>
    <w:qFormat/>
    <w:uiPriority w:val="0"/>
    <w:pPr>
      <w:snapToGrid w:val="0"/>
      <w:spacing w:line="360" w:lineRule="auto"/>
      <w:ind w:firstLine="523" w:firstLineChars="218"/>
      <w:jc w:val="left"/>
    </w:pPr>
    <w:rPr>
      <w:rFonts w:ascii="宋体" w:hAnsi="宋体"/>
      <w:kern w:val="0"/>
      <w:sz w:val="18"/>
      <w:szCs w:val="18"/>
      <w:lang w:val="zh-CN"/>
    </w:rPr>
  </w:style>
  <w:style w:type="paragraph" w:styleId="28">
    <w:name w:val="Body Text Indent 3"/>
    <w:basedOn w:val="1"/>
    <w:link w:val="48"/>
    <w:qFormat/>
    <w:uiPriority w:val="0"/>
    <w:pPr>
      <w:tabs>
        <w:tab w:val="left" w:pos="0"/>
      </w:tabs>
      <w:spacing w:line="400" w:lineRule="exact"/>
      <w:ind w:left="563" w:leftChars="228" w:hanging="84" w:hangingChars="35"/>
    </w:pPr>
    <w:rPr>
      <w:rFonts w:ascii="Times New Roman" w:hAnsi="Times New Roman"/>
      <w:color w:val="000000"/>
      <w:kern w:val="0"/>
      <w:sz w:val="24"/>
      <w:szCs w:val="20"/>
      <w:lang w:val="zh-CN"/>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45"/>
    <w:qFormat/>
    <w:uiPriority w:val="0"/>
    <w:rPr>
      <w:rFonts w:ascii="宋体" w:hAnsi="宋体"/>
      <w:kern w:val="0"/>
      <w:sz w:val="20"/>
      <w:szCs w:val="24"/>
      <w:u w:val="single"/>
      <w:lang w:val="zh-CN"/>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6"/>
    <w:next w:val="16"/>
    <w:link w:val="64"/>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日期 Char"/>
    <w:link w:val="20"/>
    <w:qFormat/>
    <w:uiPriority w:val="0"/>
    <w:rPr>
      <w:rFonts w:ascii="Times New Roman" w:hAnsi="Times New Roman" w:eastAsia="宋体" w:cs="Times New Roman"/>
      <w:szCs w:val="20"/>
    </w:rPr>
  </w:style>
  <w:style w:type="character" w:customStyle="1" w:styleId="45">
    <w:name w:val="正文文本 2 Char"/>
    <w:link w:val="30"/>
    <w:qFormat/>
    <w:uiPriority w:val="0"/>
    <w:rPr>
      <w:rFonts w:ascii="宋体" w:hAnsi="宋体" w:eastAsia="宋体" w:cs="Times New Roman"/>
      <w:szCs w:val="24"/>
      <w:u w:val="single"/>
    </w:rPr>
  </w:style>
  <w:style w:type="character" w:customStyle="1" w:styleId="46">
    <w:name w:val="标题 8 Char"/>
    <w:link w:val="13"/>
    <w:qFormat/>
    <w:uiPriority w:val="0"/>
    <w:rPr>
      <w:rFonts w:ascii="Arial" w:hAnsi="Arial" w:eastAsia="黑体" w:cs="Times New Roman"/>
      <w:sz w:val="24"/>
      <w:szCs w:val="20"/>
    </w:rPr>
  </w:style>
  <w:style w:type="character" w:customStyle="1" w:styleId="47">
    <w:name w:val="尾注文本 Char"/>
    <w:link w:val="22"/>
    <w:qFormat/>
    <w:uiPriority w:val="0"/>
    <w:rPr>
      <w:rFonts w:ascii="Times New Roman" w:hAnsi="Times New Roman" w:eastAsia="宋体" w:cs="Times New Roman"/>
      <w:szCs w:val="20"/>
    </w:rPr>
  </w:style>
  <w:style w:type="character" w:customStyle="1" w:styleId="48">
    <w:name w:val="正文文本缩进 3 Char"/>
    <w:link w:val="28"/>
    <w:qFormat/>
    <w:uiPriority w:val="0"/>
    <w:rPr>
      <w:rFonts w:ascii="Times New Roman" w:hAnsi="Times New Roman" w:eastAsia="宋体" w:cs="Times New Roman"/>
      <w:color w:val="000000"/>
      <w:sz w:val="24"/>
      <w:szCs w:val="20"/>
    </w:rPr>
  </w:style>
  <w:style w:type="character" w:customStyle="1" w:styleId="49">
    <w:name w:val="批注框文本 Char"/>
    <w:link w:val="23"/>
    <w:qFormat/>
    <w:uiPriority w:val="0"/>
    <w:rPr>
      <w:rFonts w:ascii="Times New Roman" w:hAnsi="Times New Roman" w:eastAsia="宋体" w:cs="Times New Roman"/>
      <w:sz w:val="18"/>
      <w:szCs w:val="18"/>
    </w:rPr>
  </w:style>
  <w:style w:type="character" w:customStyle="1" w:styleId="50">
    <w:name w:val="页脚 Char"/>
    <w:link w:val="24"/>
    <w:qFormat/>
    <w:uiPriority w:val="99"/>
    <w:rPr>
      <w:sz w:val="18"/>
      <w:szCs w:val="18"/>
    </w:rPr>
  </w:style>
  <w:style w:type="character" w:customStyle="1" w:styleId="51">
    <w:name w:val="标题 Char"/>
    <w:link w:val="4"/>
    <w:qFormat/>
    <w:uiPriority w:val="0"/>
    <w:rPr>
      <w:rFonts w:ascii="Arial" w:hAnsi="Arial" w:eastAsia="宋体" w:cs="Times New Roman"/>
      <w:b/>
      <w:sz w:val="44"/>
      <w:szCs w:val="20"/>
    </w:rPr>
  </w:style>
  <w:style w:type="character" w:customStyle="1" w:styleId="52">
    <w:name w:val="标题 4 Char"/>
    <w:link w:val="9"/>
    <w:qFormat/>
    <w:uiPriority w:val="0"/>
    <w:rPr>
      <w:rFonts w:ascii="Arial" w:hAnsi="Arial" w:eastAsia="宋体" w:cs="Times New Roman"/>
      <w:color w:val="000000"/>
      <w:szCs w:val="21"/>
    </w:rPr>
  </w:style>
  <w:style w:type="character" w:customStyle="1" w:styleId="53">
    <w:name w:val="正文文本缩进 Char"/>
    <w:link w:val="17"/>
    <w:qFormat/>
    <w:uiPriority w:val="0"/>
    <w:rPr>
      <w:rFonts w:ascii="Times New Roman" w:hAnsi="Times New Roman" w:eastAsia="宋体" w:cs="Times New Roman"/>
      <w:sz w:val="28"/>
      <w:szCs w:val="20"/>
    </w:rPr>
  </w:style>
  <w:style w:type="character" w:customStyle="1" w:styleId="54">
    <w:name w:val="标题 2 Char"/>
    <w:link w:val="7"/>
    <w:qFormat/>
    <w:uiPriority w:val="0"/>
    <w:rPr>
      <w:rFonts w:ascii="Arial" w:hAnsi="Arial" w:eastAsia="宋体" w:cs="Times New Roman"/>
      <w:b/>
      <w:color w:val="000000"/>
      <w:sz w:val="24"/>
      <w:szCs w:val="24"/>
    </w:rPr>
  </w:style>
  <w:style w:type="character" w:customStyle="1" w:styleId="55">
    <w:name w:val="标题 9 Char"/>
    <w:link w:val="14"/>
    <w:qFormat/>
    <w:uiPriority w:val="0"/>
    <w:rPr>
      <w:rFonts w:ascii="Arial" w:hAnsi="Arial" w:eastAsia="黑体" w:cs="Times New Roman"/>
      <w:szCs w:val="20"/>
    </w:rPr>
  </w:style>
  <w:style w:type="character" w:customStyle="1" w:styleId="56">
    <w:name w:val="正文文本缩进 2 Char"/>
    <w:link w:val="21"/>
    <w:qFormat/>
    <w:uiPriority w:val="0"/>
    <w:rPr>
      <w:rFonts w:ascii="Times New Roman" w:hAnsi="Times New Roman" w:eastAsia="宋体" w:cs="Times New Roman"/>
      <w:color w:val="000000"/>
      <w:sz w:val="24"/>
      <w:szCs w:val="20"/>
    </w:rPr>
  </w:style>
  <w:style w:type="character" w:customStyle="1" w:styleId="57">
    <w:name w:val="纯文本 Char"/>
    <w:link w:val="19"/>
    <w:qFormat/>
    <w:uiPriority w:val="0"/>
    <w:rPr>
      <w:rFonts w:ascii="宋体" w:hAnsi="Courier New" w:eastAsia="宋体" w:cs="Times New Roman"/>
      <w:szCs w:val="20"/>
    </w:rPr>
  </w:style>
  <w:style w:type="character" w:customStyle="1" w:styleId="58">
    <w:name w:val="正文缩进 Char"/>
    <w:link w:val="2"/>
    <w:qFormat/>
    <w:uiPriority w:val="0"/>
    <w:rPr>
      <w:rFonts w:ascii="Times New Roman" w:hAnsi="Times New Roman" w:eastAsia="宋体" w:cs="Times New Roman"/>
      <w:szCs w:val="20"/>
    </w:rPr>
  </w:style>
  <w:style w:type="character" w:customStyle="1" w:styleId="59">
    <w:name w:val="正文文本 Char"/>
    <w:link w:val="6"/>
    <w:qFormat/>
    <w:uiPriority w:val="0"/>
    <w:rPr>
      <w:rFonts w:ascii="Times New Roman" w:hAnsi="Times New Roman" w:eastAsia="宋体" w:cs="Times New Roman"/>
      <w:szCs w:val="20"/>
    </w:rPr>
  </w:style>
  <w:style w:type="character" w:customStyle="1" w:styleId="60">
    <w:name w:val="标题 5 Char"/>
    <w:link w:val="10"/>
    <w:qFormat/>
    <w:uiPriority w:val="0"/>
    <w:rPr>
      <w:rFonts w:ascii="Arial" w:hAnsi="Arial" w:eastAsia="宋体" w:cs="Times New Roman"/>
      <w:color w:val="000000"/>
      <w:szCs w:val="21"/>
    </w:rPr>
  </w:style>
  <w:style w:type="character" w:customStyle="1" w:styleId="61">
    <w:name w:val="页眉 Char"/>
    <w:link w:val="25"/>
    <w:qFormat/>
    <w:uiPriority w:val="0"/>
    <w:rPr>
      <w:sz w:val="18"/>
      <w:szCs w:val="18"/>
    </w:rPr>
  </w:style>
  <w:style w:type="character" w:customStyle="1" w:styleId="62">
    <w:name w:val="标题 6 Char"/>
    <w:link w:val="11"/>
    <w:qFormat/>
    <w:uiPriority w:val="0"/>
    <w:rPr>
      <w:rFonts w:ascii="Arial" w:hAnsi="Arial" w:eastAsia="黑体" w:cs="Times New Roman"/>
      <w:b/>
      <w:bCs/>
      <w:sz w:val="24"/>
      <w:szCs w:val="24"/>
    </w:rPr>
  </w:style>
  <w:style w:type="character" w:customStyle="1" w:styleId="63">
    <w:name w:val="正文首行缩进 Char"/>
    <w:basedOn w:val="59"/>
    <w:link w:val="5"/>
    <w:qFormat/>
    <w:uiPriority w:val="0"/>
    <w:rPr>
      <w:rFonts w:ascii="Times New Roman" w:hAnsi="Times New Roman" w:eastAsia="宋体" w:cs="Times New Roman"/>
      <w:szCs w:val="20"/>
    </w:rPr>
  </w:style>
  <w:style w:type="character" w:customStyle="1" w:styleId="64">
    <w:name w:val="批注主题 Char"/>
    <w:link w:val="33"/>
    <w:qFormat/>
    <w:uiPriority w:val="0"/>
    <w:rPr>
      <w:rFonts w:ascii="宋体" w:hAnsi="宋体" w:eastAsia="宋体" w:cs="Times New Roman"/>
      <w:b/>
      <w:bCs/>
      <w:sz w:val="24"/>
      <w:szCs w:val="24"/>
    </w:rPr>
  </w:style>
  <w:style w:type="character" w:customStyle="1" w:styleId="65">
    <w:name w:val="批注文字 Char1"/>
    <w:qFormat/>
    <w:uiPriority w:val="0"/>
    <w:rPr>
      <w:kern w:val="2"/>
      <w:sz w:val="21"/>
      <w:lang w:bidi="ar-SA"/>
    </w:rPr>
  </w:style>
  <w:style w:type="character" w:customStyle="1" w:styleId="66">
    <w:name w:val="脚注文本 Char"/>
    <w:link w:val="27"/>
    <w:qFormat/>
    <w:uiPriority w:val="0"/>
    <w:rPr>
      <w:rFonts w:ascii="宋体" w:hAnsi="宋体" w:eastAsia="宋体" w:cs="Times New Roman"/>
      <w:sz w:val="18"/>
      <w:szCs w:val="18"/>
    </w:rPr>
  </w:style>
  <w:style w:type="character" w:customStyle="1" w:styleId="67">
    <w:name w:val="标题 1 Char"/>
    <w:link w:val="3"/>
    <w:qFormat/>
    <w:uiPriority w:val="0"/>
    <w:rPr>
      <w:rFonts w:ascii="Arial" w:hAnsi="Arial" w:eastAsia="宋体" w:cs="Times New Roman"/>
      <w:b/>
      <w:kern w:val="44"/>
      <w:sz w:val="28"/>
      <w:szCs w:val="28"/>
    </w:rPr>
  </w:style>
  <w:style w:type="character" w:customStyle="1" w:styleId="68">
    <w:name w:val="批注文字 Char"/>
    <w:link w:val="16"/>
    <w:qFormat/>
    <w:uiPriority w:val="99"/>
    <w:rPr>
      <w:rFonts w:ascii="宋体" w:hAnsi="宋体" w:eastAsia="宋体" w:cs="Times New Roman"/>
      <w:sz w:val="24"/>
      <w:szCs w:val="24"/>
    </w:rPr>
  </w:style>
  <w:style w:type="character" w:customStyle="1" w:styleId="69">
    <w:name w:val="标题 7 Char"/>
    <w:link w:val="12"/>
    <w:qFormat/>
    <w:uiPriority w:val="0"/>
    <w:rPr>
      <w:rFonts w:ascii="Times New Roman" w:hAnsi="Times New Roman" w:eastAsia="宋体" w:cs="Times New Roman"/>
      <w:b/>
      <w:sz w:val="24"/>
      <w:szCs w:val="20"/>
    </w:rPr>
  </w:style>
  <w:style w:type="character" w:customStyle="1" w:styleId="70">
    <w:name w:val="标题 3 Char1"/>
    <w:link w:val="8"/>
    <w:qFormat/>
    <w:uiPriority w:val="0"/>
    <w:rPr>
      <w:rFonts w:ascii="宋体" w:hAnsi="宋体" w:eastAsia="宋体" w:cs="宋体"/>
      <w:kern w:val="0"/>
      <w:sz w:val="27"/>
      <w:szCs w:val="27"/>
    </w:rPr>
  </w:style>
  <w:style w:type="character" w:customStyle="1" w:styleId="71">
    <w:name w:val="文档结构图 Char"/>
    <w:link w:val="15"/>
    <w:qFormat/>
    <w:uiPriority w:val="0"/>
    <w:rPr>
      <w:rFonts w:ascii="Times New Roman" w:hAnsi="Times New Roman" w:eastAsia="宋体" w:cs="Times New Roman"/>
      <w:szCs w:val="20"/>
      <w:shd w:val="clear" w:color="auto" w:fill="000080"/>
    </w:rPr>
  </w:style>
  <w:style w:type="paragraph" w:customStyle="1" w:styleId="72">
    <w:name w:val="Char Char Char Char"/>
    <w:basedOn w:val="1"/>
    <w:qFormat/>
    <w:uiPriority w:val="0"/>
    <w:rPr>
      <w:rFonts w:ascii="Times New Roman" w:hAnsi="Times New Roman"/>
      <w:sz w:val="30"/>
      <w:szCs w:val="24"/>
    </w:rPr>
  </w:style>
  <w:style w:type="paragraph" w:customStyle="1" w:styleId="73">
    <w:name w:val="发文落款"/>
    <w:basedOn w:val="74"/>
    <w:qFormat/>
    <w:uiPriority w:val="0"/>
    <w:pPr>
      <w:ind w:left="4094" w:right="607" w:firstLine="0"/>
      <w:jc w:val="center"/>
    </w:pPr>
  </w:style>
  <w:style w:type="paragraph" w:customStyle="1" w:styleId="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5">
    <w:name w:val="Char"/>
    <w:basedOn w:val="1"/>
    <w:qFormat/>
    <w:uiPriority w:val="0"/>
    <w:rPr>
      <w:rFonts w:ascii="Tahoma" w:hAnsi="Tahoma"/>
      <w:sz w:val="24"/>
      <w:szCs w:val="20"/>
    </w:rPr>
  </w:style>
  <w:style w:type="paragraph" w:customStyle="1" w:styleId="76">
    <w:name w:val="修订1"/>
    <w:semiHidden/>
    <w:qFormat/>
    <w:uiPriority w:val="99"/>
    <w:rPr>
      <w:rFonts w:ascii="Times New Roman" w:hAnsi="Times New Roman" w:eastAsia="宋体" w:cs="Times New Roman"/>
      <w:kern w:val="2"/>
      <w:sz w:val="21"/>
      <w:lang w:val="en-US" w:eastAsia="zh-CN" w:bidi="ar-SA"/>
    </w:rPr>
  </w:style>
  <w:style w:type="paragraph" w:customStyle="1" w:styleId="77">
    <w:name w:val="公文抬头"/>
    <w:basedOn w:val="2"/>
    <w:qFormat/>
    <w:uiPriority w:val="0"/>
    <w:pPr>
      <w:ind w:firstLine="0"/>
    </w:pPr>
    <w:rPr>
      <w:rFonts w:ascii="仿宋_GB2312" w:eastAsia="仿宋_GB2312"/>
      <w:sz w:val="30"/>
      <w:szCs w:val="24"/>
    </w:rPr>
  </w:style>
  <w:style w:type="paragraph" w:customStyle="1" w:styleId="78">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79">
    <w:name w:val="文一"/>
    <w:basedOn w:val="1"/>
    <w:link w:val="89"/>
    <w:qFormat/>
    <w:uiPriority w:val="0"/>
    <w:pPr>
      <w:topLinePunct/>
      <w:adjustRightInd w:val="0"/>
      <w:snapToGrid w:val="0"/>
      <w:spacing w:line="360" w:lineRule="auto"/>
      <w:ind w:firstLine="200" w:firstLineChars="200"/>
    </w:pPr>
    <w:rPr>
      <w:rFonts w:ascii="等线" w:hAnsi="等线"/>
      <w:spacing w:val="4"/>
      <w:kern w:val="0"/>
      <w:sz w:val="24"/>
      <w:szCs w:val="24"/>
      <w:lang w:val="zh-CN"/>
    </w:rPr>
  </w:style>
  <w:style w:type="paragraph" w:customStyle="1" w:styleId="80">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81">
    <w:name w:val="表头"/>
    <w:basedOn w:val="1"/>
    <w:qFormat/>
    <w:uiPriority w:val="0"/>
    <w:pPr>
      <w:spacing w:line="360" w:lineRule="auto"/>
      <w:jc w:val="center"/>
    </w:pPr>
    <w:rPr>
      <w:rFonts w:ascii="黑体" w:hAnsi="Times New Roman" w:eastAsia="黑体"/>
      <w:kern w:val="0"/>
      <w:sz w:val="24"/>
      <w:szCs w:val="20"/>
    </w:rPr>
  </w:style>
  <w:style w:type="paragraph" w:customStyle="1" w:styleId="82">
    <w:name w:val="Char1"/>
    <w:basedOn w:val="1"/>
    <w:qFormat/>
    <w:uiPriority w:val="0"/>
    <w:pPr>
      <w:numPr>
        <w:ilvl w:val="0"/>
        <w:numId w:val="1"/>
      </w:numPr>
    </w:pPr>
    <w:rPr>
      <w:rFonts w:ascii="Times New Roman" w:hAnsi="Times New Roman"/>
      <w:sz w:val="24"/>
      <w:szCs w:val="24"/>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Char Char Char1 Char"/>
    <w:basedOn w:val="15"/>
    <w:qFormat/>
    <w:uiPriority w:val="0"/>
    <w:rPr>
      <w:rFonts w:ascii="Tahoma" w:hAnsi="Tahoma"/>
      <w:sz w:val="24"/>
      <w:szCs w:val="24"/>
    </w:rPr>
  </w:style>
  <w:style w:type="paragraph" w:styleId="85">
    <w:name w:val="List Paragraph"/>
    <w:basedOn w:val="1"/>
    <w:qFormat/>
    <w:uiPriority w:val="34"/>
    <w:pPr>
      <w:ind w:firstLine="420" w:firstLineChars="200"/>
    </w:pPr>
    <w:rPr>
      <w:rFonts w:ascii="Times New Roman" w:hAnsi="Times New Roman"/>
      <w:szCs w:val="20"/>
    </w:rPr>
  </w:style>
  <w:style w:type="paragraph" w:customStyle="1" w:styleId="86">
    <w:name w:val="正题"/>
    <w:basedOn w:val="79"/>
    <w:next w:val="79"/>
    <w:qFormat/>
    <w:uiPriority w:val="0"/>
    <w:pPr>
      <w:ind w:firstLine="0" w:firstLineChars="0"/>
      <w:jc w:val="center"/>
    </w:pPr>
    <w:rPr>
      <w:rFonts w:ascii="Times New Roman" w:hAnsi="Times New Roman" w:eastAsia="黑体"/>
      <w:b/>
      <w:sz w:val="36"/>
      <w:szCs w:val="36"/>
    </w:rPr>
  </w:style>
  <w:style w:type="paragraph" w:customStyle="1" w:styleId="87">
    <w:name w:val="文二"/>
    <w:basedOn w:val="1"/>
    <w:qFormat/>
    <w:uiPriority w:val="0"/>
    <w:pPr>
      <w:jc w:val="left"/>
    </w:pPr>
    <w:rPr>
      <w:rFonts w:ascii="宋体" w:hAnsi="宋体"/>
      <w:szCs w:val="21"/>
    </w:rPr>
  </w:style>
  <w:style w:type="paragraph" w:customStyle="1" w:styleId="8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等线"/>
      <w:b/>
      <w:snapToGrid w:val="0"/>
      <w:spacing w:val="4"/>
      <w:kern w:val="0"/>
      <w:sz w:val="30"/>
      <w:szCs w:val="30"/>
    </w:rPr>
  </w:style>
  <w:style w:type="character" w:customStyle="1" w:styleId="89">
    <w:name w:val="文一 Char"/>
    <w:link w:val="79"/>
    <w:qFormat/>
    <w:uiPriority w:val="0"/>
    <w:rPr>
      <w:rFonts w:ascii="等线" w:hAnsi="等线"/>
      <w:spacing w:val="4"/>
      <w:sz w:val="24"/>
      <w:szCs w:val="24"/>
    </w:rPr>
  </w:style>
  <w:style w:type="paragraph" w:customStyle="1" w:styleId="90">
    <w:name w:val="章节三"/>
    <w:basedOn w:val="1"/>
    <w:next w:val="1"/>
    <w:qFormat/>
    <w:uiPriority w:val="0"/>
    <w:pPr>
      <w:topLinePunct/>
      <w:adjustRightInd w:val="0"/>
      <w:snapToGrid w:val="0"/>
      <w:spacing w:beforeLines="50" w:afterLines="50"/>
      <w:jc w:val="left"/>
      <w:outlineLvl w:val="2"/>
    </w:pPr>
    <w:rPr>
      <w:rFonts w:ascii="黑体" w:hAnsi="宋体" w:eastAsia="黑体" w:cs="等线"/>
      <w:b/>
      <w:snapToGrid w:val="0"/>
      <w:spacing w:val="4"/>
      <w:kern w:val="0"/>
      <w:sz w:val="24"/>
      <w:szCs w:val="24"/>
    </w:rPr>
  </w:style>
  <w:style w:type="character" w:customStyle="1" w:styleId="91">
    <w:name w:val="文一 Char Char"/>
    <w:qFormat/>
    <w:uiPriority w:val="0"/>
    <w:rPr>
      <w:spacing w:val="4"/>
      <w:sz w:val="24"/>
      <w:szCs w:val="24"/>
    </w:rPr>
  </w:style>
  <w:style w:type="paragraph" w:styleId="9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93">
    <w:name w:val="批注文字 Char2"/>
    <w:qFormat/>
    <w:uiPriority w:val="0"/>
    <w:rPr>
      <w:rFonts w:eastAsia="宋体"/>
      <w:kern w:val="2"/>
      <w:sz w:val="21"/>
    </w:rPr>
  </w:style>
  <w:style w:type="character" w:customStyle="1" w:styleId="94">
    <w:name w:val="标题 3 Char"/>
    <w:qFormat/>
    <w:uiPriority w:val="0"/>
    <w:rPr>
      <w:rFonts w:ascii="宋体" w:hAnsi="宋体" w:eastAsia="宋体" w:cs="宋体"/>
      <w:kern w:val="0"/>
      <w:sz w:val="27"/>
      <w:szCs w:val="27"/>
    </w:rPr>
  </w:style>
  <w:style w:type="paragraph" w:customStyle="1" w:styleId="95">
    <w:name w:val="_Style 94"/>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96">
    <w:name w:val="Normal_0_0"/>
    <w:next w:val="97"/>
    <w:qFormat/>
    <w:uiPriority w:val="0"/>
    <w:rPr>
      <w:rFonts w:ascii="宋体" w:hAnsi="宋体" w:eastAsia="宋体" w:cs="宋体"/>
      <w:sz w:val="24"/>
      <w:szCs w:val="24"/>
      <w:lang w:val="en-US" w:eastAsia="zh-CN" w:bidi="ar-SA"/>
    </w:rPr>
  </w:style>
  <w:style w:type="paragraph" w:customStyle="1" w:styleId="97">
    <w:name w:val="Normal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NormalCharacter"/>
    <w:qFormat/>
    <w:uiPriority w:val="0"/>
  </w:style>
  <w:style w:type="character" w:customStyle="1" w:styleId="99">
    <w:name w:val="font01"/>
    <w:basedOn w:val="36"/>
    <w:qFormat/>
    <w:uiPriority w:val="0"/>
    <w:rPr>
      <w:rFonts w:hint="eastAsia" w:ascii="宋体" w:hAnsi="宋体" w:eastAsia="宋体" w:cs="宋体"/>
      <w:color w:val="000000"/>
      <w:sz w:val="24"/>
      <w:szCs w:val="24"/>
      <w:u w:val="none"/>
    </w:rPr>
  </w:style>
  <w:style w:type="paragraph" w:customStyle="1" w:styleId="100">
    <w:name w:val="修订2"/>
    <w:hidden/>
    <w:semiHidden/>
    <w:qFormat/>
    <w:uiPriority w:val="99"/>
    <w:rPr>
      <w:rFonts w:ascii="Calibri" w:hAnsi="Calibri" w:eastAsia="宋体" w:cs="Times New Roman"/>
      <w:kern w:val="2"/>
      <w:sz w:val="21"/>
      <w:szCs w:val="22"/>
      <w:lang w:val="en-US" w:eastAsia="zh-CN" w:bidi="ar-SA"/>
    </w:rPr>
  </w:style>
  <w:style w:type="paragraph" w:customStyle="1" w:styleId="101">
    <w:name w:val="修订3"/>
    <w:hidden/>
    <w:unhideWhenUsed/>
    <w:qFormat/>
    <w:uiPriority w:val="99"/>
    <w:rPr>
      <w:rFonts w:ascii="Calibri" w:hAnsi="Calibri" w:eastAsia="宋体" w:cs="Times New Roman"/>
      <w:kern w:val="2"/>
      <w:sz w:val="21"/>
      <w:szCs w:val="22"/>
      <w:lang w:val="en-US" w:eastAsia="zh-CN" w:bidi="ar-SA"/>
    </w:rPr>
  </w:style>
  <w:style w:type="paragraph" w:customStyle="1" w:styleId="102">
    <w:name w:val="修订4"/>
    <w:hidden/>
    <w:unhideWhenUsed/>
    <w:qFormat/>
    <w:uiPriority w:val="99"/>
    <w:rPr>
      <w:rFonts w:ascii="Calibri" w:hAnsi="Calibri" w:eastAsia="宋体" w:cs="Times New Roman"/>
      <w:kern w:val="2"/>
      <w:sz w:val="21"/>
      <w:szCs w:val="22"/>
      <w:lang w:val="en-US" w:eastAsia="zh-CN" w:bidi="ar-SA"/>
    </w:rPr>
  </w:style>
  <w:style w:type="paragraph" w:customStyle="1" w:styleId="103">
    <w:name w:val="样式1-正文"/>
    <w:basedOn w:val="1"/>
    <w:qFormat/>
    <w:uiPriority w:val="0"/>
    <w:pPr>
      <w:autoSpaceDE w:val="0"/>
      <w:autoSpaceDN w:val="0"/>
      <w:adjustRightInd w:val="0"/>
      <w:spacing w:line="360" w:lineRule="auto"/>
      <w:ind w:firstLine="600" w:firstLineChars="200"/>
      <w:jc w:val="left"/>
    </w:pPr>
    <w:rPr>
      <w:rFonts w:ascii="Times New Roman" w:hAnsi="Times New Roman" w:eastAsia="仿宋_GB2312"/>
      <w:color w:val="000000"/>
      <w:kern w:val="0"/>
      <w:szCs w:val="32"/>
    </w:rPr>
  </w:style>
  <w:style w:type="paragraph" w:customStyle="1" w:styleId="104">
    <w:name w:val="修订5"/>
    <w:hidden/>
    <w:unhideWhenUsed/>
    <w:qFormat/>
    <w:uiPriority w:val="99"/>
    <w:rPr>
      <w:rFonts w:ascii="Calibri" w:hAnsi="Calibri" w:eastAsia="宋体" w:cs="Times New Roman"/>
      <w:kern w:val="2"/>
      <w:sz w:val="21"/>
      <w:szCs w:val="22"/>
      <w:lang w:val="en-US" w:eastAsia="zh-CN" w:bidi="ar-SA"/>
    </w:rPr>
  </w:style>
  <w:style w:type="paragraph" w:customStyle="1" w:styleId="10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E562F-6345-494A-A32A-2C66E0B211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52817</Words>
  <Characters>55360</Characters>
  <Lines>447</Lines>
  <Paragraphs>126</Paragraphs>
  <TotalTime>41</TotalTime>
  <ScaleCrop>false</ScaleCrop>
  <LinksUpToDate>false</LinksUpToDate>
  <CharactersWithSpaces>59125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2023-03-10T02:12:00Z</dcterms:created>
  <dc:creator>叶梓威</dc:creator>
  <cp:lastModifiedBy>ruan</cp:lastModifiedBy>
  <cp:lastPrinted>2022-10-13T12:49:00Z</cp:lastPrinted>
  <dcterms:modified xsi:type="dcterms:W3CDTF">2023-06-21T02:18:14Z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F3098B8DE43B46BEB692B698CF874632</vt:lpwstr>
  </property>
</Properties>
</file>