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3"/>
        <w:rPr>
          <w:rFonts w:ascii="宋体" w:hAnsi="宋体" w:cs="宋体"/>
          <w:sz w:val="22"/>
          <w:szCs w:val="22"/>
        </w:rPr>
      </w:pPr>
      <w:r>
        <w:rPr>
          <w:rFonts w:hint="eastAsia" w:ascii="宋体" w:hAnsi="宋体" w:cs="宋体"/>
          <w:b/>
          <w:bCs/>
          <w:sz w:val="32"/>
          <w:szCs w:val="32"/>
          <w:u w:val="single"/>
        </w:rPr>
        <w:t>北部旅游公路县道 X293线水口村至畲族村段道路升级改造工程勘察设计</w:t>
      </w:r>
      <w:r>
        <w:rPr>
          <w:rFonts w:hint="eastAsia" w:ascii="宋体" w:hAnsi="宋体" w:cs="宋体"/>
          <w:b/>
          <w:bCs/>
          <w:sz w:val="32"/>
          <w:szCs w:val="32"/>
        </w:rPr>
        <w:t>招标公告</w:t>
      </w:r>
    </w:p>
    <w:p>
      <w:pPr>
        <w:spacing w:line="360" w:lineRule="auto"/>
        <w:jc w:val="center"/>
        <w:rPr>
          <w:rFonts w:ascii="宋体" w:hAnsi="宋体" w:cs="宋体"/>
          <w:szCs w:val="21"/>
        </w:rPr>
      </w:pPr>
    </w:p>
    <w:p>
      <w:pPr>
        <w:spacing w:line="360" w:lineRule="auto"/>
        <w:outlineLvl w:val="3"/>
        <w:rPr>
          <w:b/>
          <w:sz w:val="34"/>
          <w:szCs w:val="34"/>
        </w:rPr>
      </w:pPr>
      <w:r>
        <w:rPr>
          <w:rFonts w:hint="eastAsia"/>
          <w:b/>
          <w:sz w:val="34"/>
          <w:szCs w:val="34"/>
        </w:rPr>
        <w:t>1.招标条件</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 w:val="24"/>
        </w:rPr>
        <w:t>本招标项目</w:t>
      </w:r>
      <w:r>
        <w:rPr>
          <w:rFonts w:hint="eastAsia" w:ascii="宋体" w:hAnsi="宋体" w:cs="宋体"/>
          <w:sz w:val="24"/>
          <w:u w:val="single"/>
        </w:rPr>
        <w:t xml:space="preserve"> 北部旅游公路县道X293线水口村至畲族村段道路升级改造工程 </w:t>
      </w:r>
      <w:r>
        <w:rPr>
          <w:rFonts w:hint="eastAsia" w:ascii="宋体" w:hAnsi="宋体" w:cs="宋体"/>
          <w:sz w:val="24"/>
        </w:rPr>
        <w:t xml:space="preserve">已由 </w:t>
      </w:r>
      <w:r>
        <w:rPr>
          <w:rFonts w:hint="eastAsia" w:ascii="宋体" w:hAnsi="宋体" w:cs="宋体"/>
          <w:sz w:val="24"/>
          <w:u w:val="single"/>
        </w:rPr>
        <w:t xml:space="preserve">广州市增城区发展和改革局 </w:t>
      </w:r>
      <w:r>
        <w:rPr>
          <w:rFonts w:hint="eastAsia" w:ascii="宋体" w:hAnsi="宋体" w:cs="宋体"/>
          <w:sz w:val="24"/>
        </w:rPr>
        <w:t>以</w:t>
      </w:r>
      <w:r>
        <w:rPr>
          <w:rFonts w:hint="eastAsia" w:ascii="宋体" w:hAnsi="宋体" w:cs="宋体"/>
          <w:sz w:val="24"/>
          <w:u w:val="single"/>
        </w:rPr>
        <w:t xml:space="preserve"> 穗增发改函[</w:t>
      </w:r>
      <w:r>
        <w:rPr>
          <w:rFonts w:ascii="宋体" w:hAnsi="宋体" w:cs="宋体"/>
          <w:sz w:val="24"/>
          <w:u w:val="single"/>
        </w:rPr>
        <w:t>2023]713号</w:t>
      </w:r>
      <w:r>
        <w:rPr>
          <w:rFonts w:hint="eastAsia" w:ascii="宋体" w:hAnsi="宋体" w:cs="宋体"/>
          <w:sz w:val="24"/>
          <w:u w:val="single"/>
        </w:rPr>
        <w:t xml:space="preserve"> </w:t>
      </w:r>
      <w:r>
        <w:rPr>
          <w:rFonts w:hint="eastAsia" w:ascii="宋体" w:hAnsi="宋体" w:cs="宋体"/>
          <w:sz w:val="24"/>
        </w:rPr>
        <w:t>批准建设，项目业主为</w:t>
      </w:r>
      <w:r>
        <w:rPr>
          <w:rFonts w:hint="eastAsia" w:ascii="宋体" w:hAnsi="宋体" w:cs="宋体"/>
          <w:sz w:val="24"/>
          <w:u w:val="single"/>
        </w:rPr>
        <w:t>广州市增城区地方公路管理总站</w:t>
      </w:r>
      <w:r>
        <w:rPr>
          <w:rFonts w:hint="eastAsia" w:ascii="宋体" w:hAnsi="宋体" w:cs="宋体"/>
          <w:sz w:val="24"/>
        </w:rPr>
        <w:t>，建设资金来自</w:t>
      </w:r>
      <w:r>
        <w:rPr>
          <w:rFonts w:hint="eastAsia" w:ascii="宋体" w:hAnsi="宋体" w:cs="宋体"/>
          <w:sz w:val="24"/>
          <w:u w:val="single"/>
        </w:rPr>
        <w:t>财政资金</w:t>
      </w:r>
      <w:r>
        <w:rPr>
          <w:rFonts w:hint="eastAsia" w:ascii="宋体" w:hAnsi="宋体" w:cs="宋体"/>
          <w:sz w:val="24"/>
        </w:rPr>
        <w:t>，项目出资比例为</w:t>
      </w:r>
      <w:r>
        <w:rPr>
          <w:rFonts w:hint="eastAsia" w:ascii="宋体" w:hAnsi="宋体" w:cs="宋体"/>
          <w:sz w:val="24"/>
          <w:u w:val="single"/>
        </w:rPr>
        <w:t>100%</w:t>
      </w:r>
      <w:r>
        <w:rPr>
          <w:rFonts w:hint="eastAsia" w:ascii="宋体" w:hAnsi="宋体" w:cs="宋体"/>
          <w:sz w:val="24"/>
        </w:rPr>
        <w:t>，招标人为</w:t>
      </w:r>
      <w:r>
        <w:rPr>
          <w:rFonts w:hint="eastAsia" w:ascii="宋体" w:hAnsi="宋体" w:cs="宋体"/>
          <w:sz w:val="24"/>
          <w:u w:val="single"/>
        </w:rPr>
        <w:t>广州市增城区地方公路管理总站</w:t>
      </w:r>
      <w:r>
        <w:rPr>
          <w:rFonts w:hint="eastAsia" w:ascii="宋体" w:hAnsi="宋体" w:cs="宋体"/>
          <w:sz w:val="24"/>
        </w:rPr>
        <w:t>。项目已具备招标条件，现对该项目的勘察设计采用资格后审方式进行公开招标。</w:t>
      </w:r>
    </w:p>
    <w:p>
      <w:pPr>
        <w:spacing w:line="360" w:lineRule="auto"/>
        <w:rPr>
          <w:rFonts w:ascii="宋体" w:hAnsi="宋体" w:cs="宋体"/>
          <w:szCs w:val="21"/>
        </w:rPr>
      </w:pPr>
    </w:p>
    <w:p>
      <w:pPr>
        <w:spacing w:line="360" w:lineRule="auto"/>
        <w:outlineLvl w:val="3"/>
        <w:rPr>
          <w:b/>
          <w:sz w:val="34"/>
          <w:szCs w:val="34"/>
        </w:rPr>
      </w:pPr>
      <w:r>
        <w:rPr>
          <w:rFonts w:hint="eastAsia"/>
          <w:b/>
          <w:sz w:val="34"/>
          <w:szCs w:val="34"/>
        </w:rPr>
        <w:t>2.项目概况与招标范围</w:t>
      </w:r>
    </w:p>
    <w:p>
      <w:pPr>
        <w:spacing w:line="360" w:lineRule="auto"/>
        <w:ind w:firstLine="420" w:firstLineChars="200"/>
        <w:rPr>
          <w:rFonts w:ascii="宋体" w:hAnsi="宋体" w:cs="宋体"/>
          <w:sz w:val="24"/>
        </w:rPr>
      </w:pPr>
      <w:r>
        <w:rPr>
          <w:rFonts w:hint="eastAsia" w:ascii="宋体" w:hAnsi="宋体" w:cs="宋体"/>
          <w:szCs w:val="21"/>
        </w:rPr>
        <w:t xml:space="preserve">2.1 </w:t>
      </w:r>
      <w:r>
        <w:rPr>
          <w:rFonts w:hint="eastAsia" w:ascii="宋体" w:hAnsi="宋体" w:cs="宋体"/>
          <w:sz w:val="24"/>
        </w:rPr>
        <w:t>项目概况：</w:t>
      </w:r>
    </w:p>
    <w:p>
      <w:pPr>
        <w:spacing w:line="360" w:lineRule="auto"/>
        <w:ind w:firstLine="480" w:firstLineChars="200"/>
        <w:rPr>
          <w:rFonts w:ascii="宋体"/>
          <w:sz w:val="24"/>
          <w:szCs w:val="22"/>
        </w:rPr>
      </w:pPr>
      <w:r>
        <w:rPr>
          <w:rFonts w:hint="eastAsia" w:ascii="宋体"/>
          <w:sz w:val="24"/>
          <w:szCs w:val="22"/>
        </w:rPr>
        <w:t>增城区正果镇X293西北向联通S119线，东南向联通广东省少数民族示范村—畲族村，发挥着重要的旅游集散公路功能，被定位为广州市北部旅游1号公路后X293线的改造分两期进行。本项目属于二期，起于水口村东侧，桩号K5+225，与已经建成的一期项目（即X293与S119正果大道平交口K0+000至水口村K5+225，共计5.225km）建设终点相接，西北往东南延伸，穿越兰溪村和畲族村，终于增城与惠州界，桩号K20+840，全长15.615km。路面宽度5~6m为主，均为水泥砼路面，多为半填半挖路基。</w:t>
      </w:r>
    </w:p>
    <w:p>
      <w:pPr>
        <w:spacing w:line="360" w:lineRule="auto"/>
        <w:ind w:firstLine="480" w:firstLineChars="200"/>
        <w:rPr>
          <w:rFonts w:ascii="宋体"/>
          <w:sz w:val="24"/>
          <w:szCs w:val="22"/>
        </w:rPr>
      </w:pPr>
      <w:r>
        <w:rPr>
          <w:rFonts w:hint="eastAsia" w:ascii="宋体"/>
          <w:sz w:val="24"/>
          <w:szCs w:val="22"/>
        </w:rPr>
        <w:t>本项目建设范围包括：路线、路基工程、路面工程、交通工程、桥梁涵洞工程、照明工程及景观工程。</w:t>
      </w:r>
    </w:p>
    <w:p>
      <w:pPr>
        <w:spacing w:line="360" w:lineRule="auto"/>
        <w:ind w:firstLine="480" w:firstLineChars="200"/>
        <w:rPr>
          <w:rFonts w:ascii="宋体"/>
          <w:sz w:val="24"/>
          <w:szCs w:val="22"/>
        </w:rPr>
      </w:pPr>
      <w:r>
        <w:rPr>
          <w:rFonts w:hint="eastAsia" w:ascii="宋体"/>
          <w:sz w:val="24"/>
          <w:szCs w:val="22"/>
        </w:rPr>
        <w:t>项目估算总金额11780.0409万元，其中建安费9242.1548万元。</w:t>
      </w:r>
    </w:p>
    <w:p>
      <w:pPr>
        <w:spacing w:line="360" w:lineRule="auto"/>
        <w:ind w:firstLine="480" w:firstLineChars="200"/>
        <w:rPr>
          <w:rFonts w:ascii="宋体" w:hAnsi="宋体" w:cs="宋体"/>
          <w:sz w:val="24"/>
        </w:rPr>
      </w:pPr>
      <w:r>
        <w:rPr>
          <w:rFonts w:hint="eastAsia" w:ascii="宋体" w:hAnsi="宋体" w:cs="宋体"/>
          <w:sz w:val="24"/>
        </w:rPr>
        <w:t>2.2 技术标准：</w:t>
      </w:r>
    </w:p>
    <w:p>
      <w:pPr>
        <w:spacing w:line="360" w:lineRule="auto"/>
        <w:ind w:firstLine="480" w:firstLineChars="200"/>
        <w:rPr>
          <w:rFonts w:ascii="宋体" w:hAnsi="宋体" w:cs="宋体"/>
          <w:sz w:val="24"/>
        </w:rPr>
      </w:pPr>
      <w:r>
        <w:rPr>
          <w:rFonts w:hint="eastAsia" w:ascii="宋体" w:hAnsi="宋体" w:cs="宋体"/>
          <w:sz w:val="24"/>
        </w:rPr>
        <w:t>北部旅游公路县道X293线水口村至畲族村段道路升级改造工程勘察设计，设计速度为兰溪村段（K5+225~K12+400）30km/h、畲族村段（K12+400~K20+840）20km/h，局部陡坡急弯对交通安全影响较大的路段进行限速15km/h处理。采用四级公路标准，双向2车道。</w:t>
      </w:r>
    </w:p>
    <w:p>
      <w:pPr>
        <w:spacing w:line="360" w:lineRule="auto"/>
        <w:ind w:firstLine="480" w:firstLineChars="200"/>
        <w:rPr>
          <w:rFonts w:ascii="宋体" w:hAnsi="宋体" w:cs="宋体"/>
          <w:sz w:val="24"/>
        </w:rPr>
      </w:pPr>
      <w:r>
        <w:rPr>
          <w:rFonts w:hint="eastAsia" w:ascii="宋体" w:hAnsi="宋体" w:cs="宋体"/>
          <w:sz w:val="24"/>
        </w:rPr>
        <w:t>2.3 勘察设计服务期限（具体详见专用合同条款8.1.3款）</w:t>
      </w:r>
    </w:p>
    <w:p>
      <w:pPr>
        <w:spacing w:line="360" w:lineRule="auto"/>
        <w:ind w:firstLine="480" w:firstLineChars="200"/>
        <w:rPr>
          <w:rFonts w:ascii="宋体" w:hAnsi="宋体" w:cs="宋体"/>
          <w:sz w:val="24"/>
        </w:rPr>
      </w:pPr>
      <w:r>
        <w:rPr>
          <w:rFonts w:hint="eastAsia" w:ascii="宋体" w:hAnsi="宋体" w:cs="宋体"/>
          <w:sz w:val="24"/>
        </w:rPr>
        <w:t>2.3.1 合同签订后1个月内，通过工程勘察外业验收并提交勘察报告送审稿8份；</w:t>
      </w:r>
    </w:p>
    <w:p>
      <w:pPr>
        <w:spacing w:line="360" w:lineRule="auto"/>
        <w:ind w:firstLine="480" w:firstLineChars="200"/>
        <w:rPr>
          <w:rFonts w:ascii="宋体" w:hAnsi="宋体" w:cs="宋体"/>
          <w:sz w:val="24"/>
        </w:rPr>
      </w:pPr>
      <w:r>
        <w:rPr>
          <w:rFonts w:hint="eastAsia" w:ascii="宋体" w:hAnsi="宋体" w:cs="宋体"/>
          <w:sz w:val="24"/>
        </w:rPr>
        <w:t>2.3.2 合同签订后120个工作日内完成初步设计（含概算），提交工程初步设计文件送审稿8份；</w:t>
      </w:r>
    </w:p>
    <w:p>
      <w:pPr>
        <w:spacing w:line="360" w:lineRule="auto"/>
        <w:ind w:firstLine="480" w:firstLineChars="200"/>
        <w:rPr>
          <w:rFonts w:ascii="宋体" w:hAnsi="宋体" w:cs="宋体"/>
          <w:sz w:val="24"/>
        </w:rPr>
      </w:pPr>
      <w:r>
        <w:rPr>
          <w:rFonts w:hint="eastAsia" w:ascii="宋体" w:hAnsi="宋体" w:cs="宋体"/>
          <w:sz w:val="24"/>
        </w:rPr>
        <w:t>2.3.3 初步设计文件批复后1个月内完成施工图阶段勘察，提交勘察报告送审稿8份；</w:t>
      </w:r>
    </w:p>
    <w:p>
      <w:pPr>
        <w:spacing w:line="360" w:lineRule="auto"/>
        <w:ind w:firstLine="480" w:firstLineChars="200"/>
        <w:rPr>
          <w:rFonts w:ascii="宋体" w:hAnsi="宋体" w:cs="宋体"/>
          <w:sz w:val="24"/>
        </w:rPr>
      </w:pPr>
      <w:r>
        <w:rPr>
          <w:rFonts w:hint="eastAsia" w:ascii="宋体" w:hAnsi="宋体" w:cs="宋体"/>
          <w:sz w:val="24"/>
        </w:rPr>
        <w:t>2.3.4 根据发包人和上级主管部门审查意见，5天内修改完成勘察报告和初步设计文件，提交勘察报告最终版8份，初步设计文件最终版8份；</w:t>
      </w:r>
    </w:p>
    <w:p>
      <w:pPr>
        <w:spacing w:line="360" w:lineRule="auto"/>
        <w:ind w:firstLine="480" w:firstLineChars="200"/>
        <w:rPr>
          <w:rFonts w:ascii="宋体" w:hAnsi="宋体" w:cs="宋体"/>
          <w:sz w:val="24"/>
        </w:rPr>
      </w:pPr>
      <w:r>
        <w:rPr>
          <w:rFonts w:hint="eastAsia" w:ascii="宋体" w:hAnsi="宋体" w:cs="宋体"/>
          <w:sz w:val="24"/>
        </w:rPr>
        <w:t>2.3.5 初步设计文件批复后</w:t>
      </w:r>
      <w:bookmarkStart w:id="0" w:name="_Hlk136764538"/>
      <w:r>
        <w:rPr>
          <w:rFonts w:hint="eastAsia" w:ascii="宋体" w:hAnsi="宋体" w:cs="宋体"/>
          <w:sz w:val="24"/>
        </w:rPr>
        <w:t>180个工作日</w:t>
      </w:r>
      <w:bookmarkEnd w:id="0"/>
      <w:r>
        <w:rPr>
          <w:rFonts w:hint="eastAsia" w:ascii="宋体" w:hAnsi="宋体" w:cs="宋体"/>
          <w:sz w:val="24"/>
        </w:rPr>
        <w:t>内应向招标人提交施工图设计及工程量清单预算送审稿8份；</w:t>
      </w:r>
    </w:p>
    <w:p>
      <w:pPr>
        <w:spacing w:line="360" w:lineRule="auto"/>
        <w:ind w:firstLine="480" w:firstLineChars="200"/>
        <w:rPr>
          <w:rFonts w:ascii="宋体" w:hAnsi="宋体" w:cs="宋体"/>
          <w:sz w:val="24"/>
        </w:rPr>
      </w:pPr>
      <w:r>
        <w:rPr>
          <w:rFonts w:hint="eastAsia" w:ascii="宋体" w:hAnsi="宋体" w:cs="宋体"/>
          <w:sz w:val="24"/>
        </w:rPr>
        <w:t>2.3.6 施工图审查意见下发后10天内修改完成施工图设计文件；</w:t>
      </w:r>
    </w:p>
    <w:p>
      <w:pPr>
        <w:spacing w:line="360" w:lineRule="auto"/>
        <w:ind w:firstLine="480" w:firstLineChars="200"/>
        <w:rPr>
          <w:rFonts w:ascii="宋体" w:hAnsi="宋体" w:cs="宋体"/>
          <w:sz w:val="24"/>
        </w:rPr>
      </w:pPr>
      <w:r>
        <w:rPr>
          <w:rFonts w:hint="eastAsia" w:ascii="宋体" w:hAnsi="宋体" w:cs="宋体"/>
          <w:sz w:val="24"/>
        </w:rPr>
        <w:t>2.3.7 后续服务从施工开始至工程竣工验收止。</w:t>
      </w:r>
    </w:p>
    <w:p>
      <w:pPr>
        <w:spacing w:line="360" w:lineRule="auto"/>
        <w:ind w:firstLine="480" w:firstLineChars="200"/>
        <w:rPr>
          <w:rFonts w:ascii="宋体" w:hAnsi="宋体" w:cs="宋体"/>
          <w:sz w:val="24"/>
        </w:rPr>
      </w:pPr>
      <w:r>
        <w:rPr>
          <w:rFonts w:hint="eastAsia" w:ascii="宋体" w:hAnsi="宋体" w:cs="宋体"/>
          <w:sz w:val="24"/>
        </w:rPr>
        <w:t>2.4 招标范围及标段划分</w:t>
      </w:r>
    </w:p>
    <w:tbl>
      <w:tblPr>
        <w:tblStyle w:val="11"/>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87"/>
        <w:gridCol w:w="1290"/>
        <w:gridCol w:w="1485"/>
        <w:gridCol w:w="41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387" w:type="dxa"/>
            <w:vAlign w:val="center"/>
          </w:tcPr>
          <w:p>
            <w:pPr>
              <w:widowControl/>
              <w:spacing w:line="440" w:lineRule="exact"/>
              <w:rPr>
                <w:rFonts w:ascii="宋体" w:hAnsi="宋体" w:cs="宋体"/>
                <w:b/>
                <w:kern w:val="0"/>
                <w:sz w:val="24"/>
              </w:rPr>
            </w:pPr>
            <w:r>
              <w:rPr>
                <w:rFonts w:hint="eastAsia" w:ascii="宋体" w:hAnsi="宋体" w:cs="宋体"/>
                <w:b/>
                <w:kern w:val="0"/>
                <w:sz w:val="24"/>
              </w:rPr>
              <w:t>标段类别</w:t>
            </w:r>
          </w:p>
        </w:tc>
        <w:tc>
          <w:tcPr>
            <w:tcW w:w="1290" w:type="dxa"/>
            <w:vAlign w:val="center"/>
          </w:tcPr>
          <w:p>
            <w:pPr>
              <w:widowControl/>
              <w:spacing w:line="440" w:lineRule="exact"/>
              <w:jc w:val="center"/>
              <w:rPr>
                <w:rFonts w:ascii="宋体" w:hAnsi="宋体" w:cs="宋体"/>
                <w:b/>
                <w:kern w:val="0"/>
                <w:sz w:val="24"/>
              </w:rPr>
            </w:pPr>
            <w:r>
              <w:rPr>
                <w:rFonts w:hint="eastAsia" w:ascii="宋体" w:hAnsi="宋体" w:cs="宋体"/>
                <w:b/>
                <w:kern w:val="0"/>
                <w:sz w:val="24"/>
              </w:rPr>
              <w:t>里程范围</w:t>
            </w:r>
          </w:p>
        </w:tc>
        <w:tc>
          <w:tcPr>
            <w:tcW w:w="1485" w:type="dxa"/>
            <w:vAlign w:val="center"/>
          </w:tcPr>
          <w:p>
            <w:pPr>
              <w:widowControl/>
              <w:spacing w:line="440" w:lineRule="exact"/>
              <w:jc w:val="center"/>
              <w:rPr>
                <w:rFonts w:ascii="宋体" w:hAnsi="宋体" w:cs="宋体"/>
                <w:b/>
                <w:kern w:val="0"/>
                <w:sz w:val="24"/>
              </w:rPr>
            </w:pPr>
            <w:r>
              <w:rPr>
                <w:rFonts w:hint="eastAsia" w:ascii="宋体" w:hAnsi="宋体" w:cs="宋体"/>
                <w:b/>
                <w:kern w:val="0"/>
                <w:sz w:val="24"/>
              </w:rPr>
              <w:t>长度</w:t>
            </w:r>
          </w:p>
        </w:tc>
        <w:tc>
          <w:tcPr>
            <w:tcW w:w="4156" w:type="dxa"/>
            <w:vAlign w:val="center"/>
          </w:tcPr>
          <w:p>
            <w:pPr>
              <w:widowControl/>
              <w:spacing w:line="440" w:lineRule="exact"/>
              <w:jc w:val="center"/>
              <w:rPr>
                <w:rFonts w:ascii="宋体" w:hAnsi="宋体" w:cs="宋体"/>
                <w:b/>
                <w:kern w:val="0"/>
                <w:sz w:val="24"/>
              </w:rPr>
            </w:pPr>
            <w:r>
              <w:rPr>
                <w:rFonts w:hint="eastAsia" w:ascii="宋体" w:hAnsi="宋体" w:cs="宋体"/>
                <w:b/>
                <w:kern w:val="0"/>
                <w:sz w:val="24"/>
              </w:rPr>
              <w:t>工作内容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387"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A类（土建工程类）</w:t>
            </w:r>
          </w:p>
        </w:tc>
        <w:tc>
          <w:tcPr>
            <w:tcW w:w="1290" w:type="dxa"/>
            <w:vAlign w:val="center"/>
          </w:tcPr>
          <w:p>
            <w:pPr>
              <w:widowControl/>
              <w:spacing w:line="440" w:lineRule="exact"/>
              <w:jc w:val="center"/>
              <w:rPr>
                <w:rFonts w:ascii="宋体" w:hAnsi="宋体" w:cs="宋体"/>
                <w:kern w:val="0"/>
                <w:sz w:val="24"/>
              </w:rPr>
            </w:pPr>
            <w:r>
              <w:rPr>
                <w:rFonts w:hint="eastAsia" w:ascii="宋体"/>
                <w:sz w:val="24"/>
                <w:szCs w:val="22"/>
              </w:rPr>
              <w:t>K5+225</w:t>
            </w:r>
            <w:r>
              <w:rPr>
                <w:rFonts w:hint="eastAsia" w:ascii="宋体" w:hAnsi="宋体" w:cs="宋体"/>
                <w:kern w:val="0"/>
                <w:sz w:val="24"/>
              </w:rPr>
              <w:t>～</w:t>
            </w:r>
            <w:r>
              <w:rPr>
                <w:rFonts w:hint="eastAsia" w:ascii="宋体"/>
                <w:sz w:val="24"/>
                <w:szCs w:val="22"/>
              </w:rPr>
              <w:t>K20+840</w:t>
            </w:r>
          </w:p>
        </w:tc>
        <w:tc>
          <w:tcPr>
            <w:tcW w:w="1485"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约15.615km</w:t>
            </w:r>
          </w:p>
        </w:tc>
        <w:tc>
          <w:tcPr>
            <w:tcW w:w="4156" w:type="dxa"/>
            <w:vAlign w:val="center"/>
          </w:tcPr>
          <w:p>
            <w:pPr>
              <w:widowControl/>
              <w:spacing w:line="440" w:lineRule="exact"/>
              <w:rPr>
                <w:rFonts w:ascii="宋体" w:hAnsi="宋体" w:cs="宋体"/>
                <w:kern w:val="0"/>
                <w:sz w:val="24"/>
              </w:rPr>
            </w:pPr>
            <w:r>
              <w:rPr>
                <w:rFonts w:hint="eastAsia" w:ascii="宋体" w:hAnsi="宋体" w:cs="宋体"/>
                <w:kern w:val="0"/>
                <w:sz w:val="24"/>
              </w:rPr>
              <w:t>全线范围内的总体设计、</w:t>
            </w:r>
            <w:r>
              <w:rPr>
                <w:rFonts w:hint="eastAsia" w:ascii="宋体"/>
                <w:sz w:val="24"/>
                <w:szCs w:val="22"/>
              </w:rPr>
              <w:t>路线、路基工程、路面工程、交通工程、桥梁涵洞工程、照明工程及景观工程</w:t>
            </w:r>
            <w:r>
              <w:rPr>
                <w:rFonts w:hint="eastAsia" w:ascii="宋体" w:hAnsi="宋体" w:cs="宋体"/>
                <w:kern w:val="0"/>
                <w:sz w:val="24"/>
              </w:rPr>
              <w:t>等工作内容。本次招标范围包含项目的工程测量、岩土勘察、初步设计及概算、施工图设计及预算、工程招标配合（含工程量清单、招标控制价、工程量清单计量规则及技术规范编制）、后续施工配合服务等。</w:t>
            </w:r>
          </w:p>
        </w:tc>
      </w:tr>
    </w:tbl>
    <w:p>
      <w:pPr>
        <w:spacing w:line="360" w:lineRule="auto"/>
        <w:ind w:firstLine="420" w:firstLineChars="200"/>
        <w:rPr>
          <w:rFonts w:ascii="宋体" w:hAnsi="宋体" w:cs="宋体"/>
          <w:szCs w:val="21"/>
        </w:rPr>
      </w:pPr>
    </w:p>
    <w:p>
      <w:pPr>
        <w:spacing w:line="360" w:lineRule="auto"/>
        <w:outlineLvl w:val="3"/>
        <w:rPr>
          <w:b/>
          <w:sz w:val="34"/>
          <w:szCs w:val="34"/>
        </w:rPr>
      </w:pPr>
      <w:r>
        <w:rPr>
          <w:rFonts w:hint="eastAsia"/>
          <w:b/>
          <w:sz w:val="34"/>
          <w:szCs w:val="34"/>
        </w:rPr>
        <w:t>3.投标人资格要求</w:t>
      </w:r>
    </w:p>
    <w:p>
      <w:pPr>
        <w:spacing w:line="360" w:lineRule="auto"/>
        <w:ind w:firstLine="480" w:firstLineChars="200"/>
        <w:rPr>
          <w:rFonts w:ascii="宋体" w:hAnsi="宋体" w:cs="宋体"/>
          <w:sz w:val="24"/>
        </w:rPr>
      </w:pPr>
      <w:r>
        <w:rPr>
          <w:rFonts w:hint="eastAsia" w:ascii="宋体" w:hAnsi="宋体" w:cs="宋体"/>
          <w:sz w:val="24"/>
        </w:rPr>
        <w:t>3.1 本次招标要求投标人须具备相应资质，相应业绩，并在人员等方面具有相应的勘察设计能力（具体详见附件1资格审查条件附录1至附录4）。</w:t>
      </w:r>
    </w:p>
    <w:p>
      <w:pPr>
        <w:spacing w:line="360" w:lineRule="auto"/>
        <w:ind w:firstLine="480" w:firstLineChars="200"/>
        <w:rPr>
          <w:rFonts w:ascii="宋体" w:hAnsi="宋体" w:cs="宋体"/>
          <w:sz w:val="24"/>
        </w:rPr>
      </w:pPr>
      <w:r>
        <w:rPr>
          <w:rFonts w:hint="eastAsia" w:ascii="宋体" w:hAnsi="宋体" w:cs="宋体"/>
          <w:sz w:val="24"/>
        </w:rPr>
        <w:t>投标人应进入交通运输部“全国公路建设市场信用信息管理系统（http：//glxy.mot.gov.cn）”中的公路工程设计资质企业名录，且投标人名称和资质与该名录中的相应企业名称和资质完全一致。</w:t>
      </w:r>
    </w:p>
    <w:p>
      <w:pPr>
        <w:spacing w:line="360" w:lineRule="auto"/>
        <w:ind w:firstLine="480" w:firstLineChars="200"/>
        <w:rPr>
          <w:rFonts w:ascii="宋体" w:hAnsi="宋体" w:cs="宋体"/>
          <w:sz w:val="24"/>
        </w:rPr>
      </w:pPr>
      <w:r>
        <w:rPr>
          <w:rFonts w:hint="eastAsia" w:ascii="宋体" w:hAnsi="宋体" w:cs="宋体"/>
          <w:sz w:val="24"/>
        </w:rPr>
        <w:t>3.2 本次招标</w:t>
      </w:r>
      <w:r>
        <w:rPr>
          <w:rFonts w:hint="eastAsia" w:ascii="宋体" w:hAnsi="宋体" w:cs="宋体"/>
          <w:sz w:val="24"/>
          <w:u w:val="single"/>
        </w:rPr>
        <w:t xml:space="preserve"> 不接受 </w:t>
      </w:r>
      <w:r>
        <w:rPr>
          <w:rFonts w:hint="eastAsia" w:ascii="宋体" w:hAnsi="宋体" w:cs="宋体"/>
          <w:sz w:val="24"/>
        </w:rPr>
        <w:t>联合体投标。</w:t>
      </w:r>
    </w:p>
    <w:p>
      <w:pPr>
        <w:spacing w:line="360" w:lineRule="auto"/>
        <w:ind w:firstLine="480" w:firstLineChars="200"/>
        <w:rPr>
          <w:rFonts w:ascii="宋体" w:hAnsi="宋体" w:cs="宋体"/>
          <w:sz w:val="24"/>
        </w:rPr>
      </w:pPr>
      <w:r>
        <w:rPr>
          <w:rFonts w:hint="eastAsia" w:ascii="宋体" w:hAnsi="宋体" w:cs="宋体"/>
          <w:sz w:val="24"/>
        </w:rPr>
        <w:t>3.3 本项目的勘察设计咨询中标单位与其存在利害关系的单位均不得参加本项目的勘察设计投标。</w:t>
      </w:r>
    </w:p>
    <w:p>
      <w:pPr>
        <w:spacing w:line="360" w:lineRule="auto"/>
        <w:ind w:firstLine="480" w:firstLineChars="200"/>
        <w:rPr>
          <w:rFonts w:ascii="宋体" w:hAnsi="宋体" w:cs="宋体"/>
          <w:sz w:val="24"/>
        </w:rPr>
      </w:pPr>
      <w:r>
        <w:rPr>
          <w:rFonts w:hint="eastAsia" w:ascii="宋体" w:hAnsi="宋体" w:cs="宋体"/>
          <w:sz w:val="24"/>
        </w:rPr>
        <w:t>3.4 与招标人存在利害关系可能影响招标公正性的单位，不得参加投标。单位负责人为同一人（单位负责人指单位的法定代表人或者法律、行政法规规定代表单位行使职权的主要负责人）、或者存在控股（控股是指股份占股份有限公司股本总额的50%以上的绝对控股、相对控股或协议控股）、管理关系（管理关系是指不具有出资持股关系的其他单位之间存在的管理与被管理关系）的不同单位，不得参加同一标段或者未划分标段的同一招标项目投标，否则相关投标均无效。</w:t>
      </w:r>
    </w:p>
    <w:p>
      <w:pPr>
        <w:spacing w:line="360" w:lineRule="auto"/>
        <w:ind w:firstLine="480" w:firstLineChars="200"/>
        <w:rPr>
          <w:rFonts w:ascii="宋体" w:hAnsi="宋体" w:cs="宋体"/>
          <w:sz w:val="24"/>
        </w:rPr>
      </w:pPr>
      <w:r>
        <w:rPr>
          <w:rFonts w:hint="eastAsia" w:ascii="宋体" w:hAnsi="宋体" w:cs="宋体"/>
          <w:sz w:val="24"/>
        </w:rPr>
        <w:t>3.5 在“信用中国”网站（http://www.creditchina.gov.cn/）中被列入失信被执行人名单的投标人，在国家企业信用信息公示系统（www.gsxt.gov.cn）中被列入严重违法失信企业名单的投标人，均不得参加投标。</w:t>
      </w:r>
    </w:p>
    <w:p>
      <w:pPr>
        <w:spacing w:line="360" w:lineRule="auto"/>
        <w:ind w:firstLine="480" w:firstLineChars="200"/>
        <w:rPr>
          <w:rFonts w:ascii="宋体" w:hAnsi="宋体" w:cs="宋体"/>
          <w:sz w:val="24"/>
        </w:rPr>
      </w:pPr>
      <w:r>
        <w:rPr>
          <w:rFonts w:hint="eastAsia" w:ascii="宋体" w:hAnsi="宋体" w:cs="宋体"/>
          <w:sz w:val="24"/>
        </w:rPr>
        <w:t>3.6 投标人已在广州公共资源交易中心办理企业信息登记，投标人企业信息登记详情参见广州公共资源交易网（http://www.gzzb.gd.cn）服务指南栏目。</w:t>
      </w:r>
    </w:p>
    <w:p>
      <w:pPr>
        <w:spacing w:line="400" w:lineRule="exact"/>
        <w:ind w:firstLine="420" w:firstLineChars="200"/>
        <w:rPr>
          <w:kern w:val="20"/>
        </w:rPr>
      </w:pPr>
    </w:p>
    <w:p>
      <w:pPr>
        <w:spacing w:line="360" w:lineRule="auto"/>
        <w:outlineLvl w:val="3"/>
      </w:pPr>
      <w:r>
        <w:rPr>
          <w:rFonts w:hint="eastAsia"/>
          <w:b/>
          <w:sz w:val="34"/>
          <w:szCs w:val="34"/>
        </w:rPr>
        <w:t>4.技术成果经济补偿</w:t>
      </w:r>
    </w:p>
    <w:p>
      <w:pPr>
        <w:spacing w:line="440" w:lineRule="exact"/>
        <w:ind w:firstLine="480" w:firstLineChars="200"/>
        <w:rPr>
          <w:rFonts w:ascii="宋体" w:hAnsi="宋体" w:cs="宋体"/>
          <w:sz w:val="24"/>
        </w:rPr>
      </w:pPr>
      <w:r>
        <w:rPr>
          <w:rFonts w:hint="eastAsia" w:ascii="宋体" w:hAnsi="宋体" w:cs="宋体"/>
          <w:sz w:val="24"/>
        </w:rPr>
        <w:t>本次招标对未中标人投标文件中的技术成果</w:t>
      </w:r>
      <w:r>
        <w:rPr>
          <w:rFonts w:hint="eastAsia" w:ascii="宋体" w:hAnsi="宋体" w:cs="宋体"/>
          <w:sz w:val="24"/>
          <w:u w:val="single"/>
        </w:rPr>
        <w:t>不给予</w:t>
      </w:r>
      <w:r>
        <w:rPr>
          <w:rFonts w:hint="eastAsia" w:ascii="宋体" w:hAnsi="宋体" w:cs="宋体"/>
          <w:sz w:val="24"/>
        </w:rPr>
        <w:t>经济补偿。</w:t>
      </w:r>
    </w:p>
    <w:p>
      <w:pPr>
        <w:spacing w:line="400" w:lineRule="exact"/>
        <w:ind w:firstLine="420" w:firstLineChars="200"/>
        <w:rPr>
          <w:kern w:val="20"/>
        </w:rPr>
      </w:pPr>
    </w:p>
    <w:p>
      <w:pPr>
        <w:spacing w:line="360" w:lineRule="auto"/>
        <w:outlineLvl w:val="3"/>
      </w:pPr>
      <w:r>
        <w:rPr>
          <w:rFonts w:hint="eastAsia" w:ascii="标宋" w:eastAsia="标宋"/>
          <w:b/>
          <w:sz w:val="34"/>
          <w:szCs w:val="34"/>
        </w:rPr>
        <w:t>5.招标文件获取</w:t>
      </w:r>
    </w:p>
    <w:p>
      <w:pPr>
        <w:spacing w:line="440" w:lineRule="exact"/>
        <w:ind w:firstLine="420" w:firstLineChars="200"/>
        <w:rPr>
          <w:rFonts w:ascii="宋体" w:hAnsi="宋体" w:cs="宋体"/>
          <w:sz w:val="24"/>
        </w:rPr>
      </w:pPr>
      <w:r>
        <w:rPr>
          <w:rFonts w:hint="eastAsia" w:ascii="标宋" w:eastAsia="标宋"/>
          <w:szCs w:val="21"/>
        </w:rPr>
        <w:t xml:space="preserve">  </w:t>
      </w:r>
      <w:r>
        <w:rPr>
          <w:rFonts w:hint="eastAsia" w:ascii="宋体" w:hAnsi="宋体" w:cs="宋体"/>
          <w:sz w:val="24"/>
        </w:rPr>
        <w:t>5.1 凡有意参加投标者，请于2023年</w:t>
      </w:r>
      <w:r>
        <w:rPr>
          <w:rFonts w:hint="eastAsia" w:ascii="宋体" w:hAnsi="宋体" w:cs="宋体"/>
          <w:sz w:val="24"/>
          <w:u w:val="single"/>
        </w:rPr>
        <w:t xml:space="preserve"> </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21</w:t>
      </w:r>
      <w:r>
        <w:rPr>
          <w:rFonts w:hint="eastAsia" w:ascii="宋体" w:hAnsi="宋体" w:cs="宋体"/>
          <w:sz w:val="24"/>
          <w:u w:val="single"/>
        </w:rPr>
        <w:t xml:space="preserve"> </w:t>
      </w:r>
      <w:r>
        <w:rPr>
          <w:rFonts w:hint="eastAsia" w:ascii="宋体" w:hAnsi="宋体" w:cs="宋体"/>
          <w:sz w:val="24"/>
        </w:rPr>
        <w:t>日至2023年</w:t>
      </w:r>
      <w:r>
        <w:rPr>
          <w:rFonts w:hint="eastAsia" w:ascii="宋体" w:hAnsi="宋体" w:cs="宋体"/>
          <w:sz w:val="24"/>
          <w:u w:val="single"/>
        </w:rPr>
        <w:t xml:space="preserve"> </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28</w:t>
      </w:r>
      <w:r>
        <w:rPr>
          <w:rFonts w:hint="eastAsia" w:ascii="宋体" w:hAnsi="宋体" w:cs="宋体"/>
          <w:sz w:val="24"/>
          <w:u w:val="single"/>
        </w:rPr>
        <w:t xml:space="preserve"> </w:t>
      </w:r>
      <w:r>
        <w:rPr>
          <w:rFonts w:hint="eastAsia" w:ascii="宋体" w:hAnsi="宋体" w:cs="宋体"/>
          <w:sz w:val="24"/>
        </w:rPr>
        <w:t>日(北京时间，下同)，登陆广州公共资源交易中心网站（http://www.gzggzy.cn/）交易平台选择对应项目进行投标登记，投标人提交登记信息并经招标代理在公共资源交易系统投标登记确认后，投标人方可自行下载招标文件等相关资料（投标登记时间从招标公告发布时间起五日）。</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5.2 如招标人需发布补充公告的，以最后发布的补充公告的时间起计算编制投标文件时间，并需在补充公告中明确说明，如有补充资料通过交易中心网站同时发布。</w:t>
      </w:r>
    </w:p>
    <w:p>
      <w:pPr>
        <w:spacing w:line="360" w:lineRule="auto"/>
        <w:outlineLvl w:val="3"/>
      </w:pPr>
      <w:r>
        <w:rPr>
          <w:rFonts w:hint="eastAsia" w:ascii="标宋" w:eastAsia="标宋"/>
          <w:b/>
          <w:sz w:val="34"/>
          <w:szCs w:val="34"/>
        </w:rPr>
        <w:t>6.投标文件的递交及相关事宜</w:t>
      </w:r>
    </w:p>
    <w:p>
      <w:pPr>
        <w:spacing w:line="440" w:lineRule="exact"/>
        <w:ind w:firstLine="480" w:firstLineChars="200"/>
        <w:rPr>
          <w:rFonts w:ascii="宋体" w:hAnsi="宋体" w:cs="宋体"/>
          <w:sz w:val="24"/>
        </w:rPr>
      </w:pPr>
      <w:r>
        <w:rPr>
          <w:rFonts w:hint="eastAsia" w:ascii="宋体" w:hAnsi="宋体" w:cs="宋体"/>
          <w:sz w:val="24"/>
        </w:rPr>
        <w:t>6.1 招标人不组织进行工程现场踏勘、不召开投标预备会。</w:t>
      </w:r>
    </w:p>
    <w:p>
      <w:pPr>
        <w:spacing w:line="440" w:lineRule="exact"/>
        <w:ind w:firstLine="480" w:firstLineChars="200"/>
        <w:rPr>
          <w:rFonts w:ascii="宋体" w:hAnsi="宋体" w:cs="宋体"/>
          <w:sz w:val="24"/>
        </w:rPr>
      </w:pPr>
      <w:r>
        <w:rPr>
          <w:rFonts w:hint="eastAsia" w:ascii="宋体" w:hAnsi="宋体" w:cs="宋体"/>
          <w:sz w:val="24"/>
        </w:rPr>
        <w:t>6.2 投标文件递交的截止时间(投标截止时间，下同)为202</w:t>
      </w:r>
      <w:r>
        <w:rPr>
          <w:rFonts w:ascii="宋体" w:hAnsi="宋体" w:cs="宋体"/>
          <w:sz w:val="24"/>
        </w:rPr>
        <w:t>3</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7</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13</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时00分。投标文件应为加密的电子投标文件，投标人递交电子投标文件通过广州公共资源交易网进行。递交电子投标文件的时间为202</w:t>
      </w:r>
      <w:r>
        <w:rPr>
          <w:rFonts w:ascii="宋体" w:hAnsi="宋体" w:cs="宋体"/>
          <w:sz w:val="24"/>
        </w:rPr>
        <w:t>3</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21</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rPr>
        <w:t>分至202</w:t>
      </w:r>
      <w:r>
        <w:rPr>
          <w:rFonts w:ascii="宋体" w:hAnsi="宋体" w:cs="宋体"/>
          <w:sz w:val="24"/>
        </w:rPr>
        <w:t>3</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7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13</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u w:val="single"/>
          <w:lang w:val="en-US" w:eastAsia="zh-CN"/>
        </w:rPr>
        <w:t>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分，电子投标文件递交截止时间为202</w:t>
      </w:r>
      <w:r>
        <w:rPr>
          <w:rFonts w:ascii="宋体" w:hAnsi="宋体" w:cs="宋体"/>
          <w:sz w:val="24"/>
        </w:rPr>
        <w:t>3</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7</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13</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lang w:val="en-US" w:eastAsia="zh-CN"/>
        </w:rPr>
        <w:t>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分。</w:t>
      </w:r>
    </w:p>
    <w:p>
      <w:pPr>
        <w:spacing w:line="440" w:lineRule="exact"/>
        <w:ind w:firstLine="480" w:firstLineChars="200"/>
        <w:rPr>
          <w:rFonts w:ascii="宋体" w:hAnsi="宋体" w:cs="宋体"/>
          <w:sz w:val="24"/>
        </w:rPr>
      </w:pPr>
      <w:r>
        <w:rPr>
          <w:rFonts w:hint="eastAsia" w:ascii="宋体" w:hAnsi="宋体" w:cs="宋体"/>
          <w:sz w:val="24"/>
        </w:rPr>
        <w:t>6.3 未在投标截止时间前完成电子投标文件上传的，视为逾期送达，招标人（“电子招标投标交易平台”）将拒绝接收。</w:t>
      </w:r>
    </w:p>
    <w:p>
      <w:pPr>
        <w:spacing w:line="360" w:lineRule="auto"/>
      </w:pPr>
    </w:p>
    <w:p>
      <w:pPr>
        <w:spacing w:line="360" w:lineRule="auto"/>
        <w:outlineLvl w:val="3"/>
      </w:pPr>
      <w:r>
        <w:rPr>
          <w:rFonts w:hint="eastAsia" w:ascii="标宋" w:eastAsia="标宋"/>
          <w:b/>
          <w:sz w:val="34"/>
          <w:szCs w:val="34"/>
        </w:rPr>
        <w:t>7.发布公告的媒介</w:t>
      </w:r>
    </w:p>
    <w:p>
      <w:pPr>
        <w:spacing w:line="360" w:lineRule="auto"/>
        <w:ind w:firstLine="480" w:firstLineChars="200"/>
        <w:rPr>
          <w:rFonts w:ascii="宋体" w:hAnsi="宋体" w:cs="宋体"/>
          <w:sz w:val="24"/>
        </w:rPr>
      </w:pPr>
      <w:r>
        <w:rPr>
          <w:rFonts w:hint="eastAsia" w:ascii="宋体" w:hAnsi="宋体" w:cs="宋体"/>
          <w:sz w:val="24"/>
        </w:rPr>
        <w:t>本次招标公告同时在广东省招标投标监管网、中国招标投标公共服务平台、广州公共资源交易中心网站上发布。如公告详细内容不一致者，以广东省招标投标监管网网站公告为准。</w:t>
      </w:r>
    </w:p>
    <w:p>
      <w:pPr>
        <w:spacing w:line="360" w:lineRule="auto"/>
        <w:ind w:firstLine="480" w:firstLineChars="200"/>
        <w:rPr>
          <w:rFonts w:ascii="宋体" w:hAnsi="宋体" w:cs="宋体"/>
          <w:sz w:val="24"/>
        </w:rPr>
      </w:pPr>
      <w:r>
        <w:rPr>
          <w:rFonts w:hint="eastAsia" w:ascii="宋体" w:hAnsi="宋体" w:cs="宋体"/>
          <w:sz w:val="24"/>
        </w:rPr>
        <w:t>在规定的招标文件获取期间，如某个标段获取招标文件的投标人不足3家时，招标人依法有权选择以下任一方式：（1）在广州公共资源交易中心网站发布公告延长招标文件获取时间，在延期招标文件获取时间内，已获取招标文件投标人的资料仍有效并可自行补充资料，未获取招标文件的投标人可根据公告的约定进行获取；（2）依法重新组织招标或不再招标。</w:t>
      </w:r>
    </w:p>
    <w:p>
      <w:pPr>
        <w:spacing w:line="360" w:lineRule="auto"/>
        <w:ind w:firstLine="480" w:firstLineChars="200"/>
        <w:rPr>
          <w:rFonts w:ascii="宋体" w:hAnsi="宋体" w:cs="宋体"/>
          <w:sz w:val="24"/>
        </w:rPr>
      </w:pPr>
    </w:p>
    <w:p>
      <w:pPr>
        <w:spacing w:line="360" w:lineRule="auto"/>
        <w:outlineLvl w:val="3"/>
        <w:rPr>
          <w:rFonts w:ascii="标宋" w:eastAsia="标宋"/>
          <w:b/>
          <w:sz w:val="34"/>
          <w:szCs w:val="34"/>
        </w:rPr>
      </w:pPr>
      <w:r>
        <w:rPr>
          <w:rFonts w:hint="eastAsia" w:ascii="标宋" w:eastAsia="标宋"/>
          <w:b/>
          <w:sz w:val="34"/>
          <w:szCs w:val="34"/>
        </w:rPr>
        <w:t>8.联系方式</w:t>
      </w:r>
    </w:p>
    <w:p>
      <w:pPr>
        <w:spacing w:line="360" w:lineRule="auto"/>
        <w:jc w:val="center"/>
      </w:pPr>
    </w:p>
    <w:tbl>
      <w:tblPr>
        <w:tblStyle w:val="11"/>
        <w:tblW w:w="9559" w:type="dxa"/>
        <w:tblInd w:w="0" w:type="dxa"/>
        <w:tblLayout w:type="autofit"/>
        <w:tblCellMar>
          <w:top w:w="0" w:type="dxa"/>
          <w:left w:w="108" w:type="dxa"/>
          <w:bottom w:w="0" w:type="dxa"/>
          <w:right w:w="108" w:type="dxa"/>
        </w:tblCellMar>
      </w:tblPr>
      <w:tblGrid>
        <w:gridCol w:w="4759"/>
        <w:gridCol w:w="4800"/>
      </w:tblGrid>
      <w:tr>
        <w:tblPrEx>
          <w:tblCellMar>
            <w:top w:w="0" w:type="dxa"/>
            <w:left w:w="108" w:type="dxa"/>
            <w:bottom w:w="0" w:type="dxa"/>
            <w:right w:w="108" w:type="dxa"/>
          </w:tblCellMar>
        </w:tblPrEx>
        <w:trPr>
          <w:trHeight w:val="1654" w:hRule="atLeast"/>
        </w:trPr>
        <w:tc>
          <w:tcPr>
            <w:tcW w:w="4759" w:type="dxa"/>
          </w:tcPr>
          <w:p>
            <w:pPr>
              <w:spacing w:line="360" w:lineRule="auto"/>
            </w:pPr>
            <w:r>
              <w:rPr>
                <w:rFonts w:hint="eastAsia" w:ascii="标宋" w:eastAsia="标宋"/>
                <w:szCs w:val="21"/>
              </w:rPr>
              <w:t>招标人：广州市增城区地方公路管理总站</w:t>
            </w:r>
          </w:p>
          <w:p>
            <w:pPr>
              <w:spacing w:line="360" w:lineRule="auto"/>
            </w:pPr>
            <w:r>
              <w:rPr>
                <w:rFonts w:hint="eastAsia" w:ascii="标宋" w:eastAsia="标宋"/>
                <w:szCs w:val="21"/>
              </w:rPr>
              <w:t>地址：广州市增城区荔城街光明西路18号</w:t>
            </w:r>
          </w:p>
          <w:p>
            <w:pPr>
              <w:spacing w:line="360" w:lineRule="auto"/>
            </w:pPr>
            <w:r>
              <w:rPr>
                <w:rFonts w:hint="eastAsia" w:ascii="标宋" w:eastAsia="标宋"/>
                <w:szCs w:val="21"/>
              </w:rPr>
              <w:t>邮政编码：</w:t>
            </w:r>
            <w:r>
              <w:rPr>
                <w:rFonts w:ascii="标宋" w:eastAsia="标宋"/>
                <w:szCs w:val="21"/>
              </w:rPr>
              <w:t>511300</w:t>
            </w:r>
          </w:p>
          <w:p>
            <w:pPr>
              <w:spacing w:line="360" w:lineRule="auto"/>
            </w:pPr>
            <w:r>
              <w:rPr>
                <w:rFonts w:hint="eastAsia" w:ascii="标宋" w:eastAsia="标宋"/>
                <w:szCs w:val="21"/>
              </w:rPr>
              <w:t xml:space="preserve">联系人： </w:t>
            </w:r>
            <w:r>
              <w:rPr>
                <w:rFonts w:hint="eastAsia" w:ascii="宋体" w:hAnsi="宋体"/>
                <w:szCs w:val="21"/>
              </w:rPr>
              <w:t xml:space="preserve"> 何工</w:t>
            </w:r>
          </w:p>
          <w:p>
            <w:pPr>
              <w:spacing w:line="360" w:lineRule="auto"/>
            </w:pPr>
            <w:r>
              <w:rPr>
                <w:rFonts w:hint="eastAsia" w:ascii="标宋" w:eastAsia="标宋"/>
                <w:szCs w:val="21"/>
              </w:rPr>
              <w:t>电 话：</w:t>
            </w:r>
            <w:r>
              <w:rPr>
                <w:rFonts w:ascii="宋体" w:hAnsi="宋体"/>
                <w:szCs w:val="21"/>
              </w:rPr>
              <w:t xml:space="preserve"> 020-82710939</w:t>
            </w:r>
          </w:p>
          <w:p>
            <w:pPr>
              <w:spacing w:line="360" w:lineRule="auto"/>
            </w:pPr>
            <w:r>
              <w:rPr>
                <w:rFonts w:hint="eastAsia" w:ascii="标宋" w:eastAsia="标宋"/>
                <w:szCs w:val="21"/>
              </w:rPr>
              <w:t>传 真：  /</w:t>
            </w:r>
          </w:p>
          <w:p>
            <w:pPr>
              <w:spacing w:line="360" w:lineRule="auto"/>
            </w:pPr>
            <w:r>
              <w:rPr>
                <w:rFonts w:hint="eastAsia" w:ascii="标宋" w:eastAsia="标宋"/>
                <w:szCs w:val="21"/>
              </w:rPr>
              <w:t>电子邮件：  /</w:t>
            </w:r>
          </w:p>
        </w:tc>
        <w:tc>
          <w:tcPr>
            <w:tcW w:w="4800" w:type="dxa"/>
          </w:tcPr>
          <w:p>
            <w:pPr>
              <w:spacing w:line="360" w:lineRule="auto"/>
            </w:pPr>
            <w:r>
              <w:rPr>
                <w:rFonts w:hint="eastAsia" w:ascii="标宋" w:eastAsia="标宋"/>
                <w:szCs w:val="21"/>
              </w:rPr>
              <w:t>招标代理机构:广州市南粤工程建设监理有限公司</w:t>
            </w:r>
          </w:p>
          <w:p>
            <w:pPr>
              <w:spacing w:line="360" w:lineRule="auto"/>
            </w:pPr>
            <w:r>
              <w:rPr>
                <w:rFonts w:hint="eastAsia" w:ascii="标宋" w:eastAsia="标宋"/>
                <w:szCs w:val="21"/>
              </w:rPr>
              <w:t>地址：广州市越秀区环市中路301、303号</w:t>
            </w:r>
          </w:p>
          <w:p>
            <w:pPr>
              <w:spacing w:line="360" w:lineRule="auto"/>
            </w:pPr>
            <w:r>
              <w:rPr>
                <w:rFonts w:hint="eastAsia" w:ascii="标宋" w:eastAsia="标宋"/>
                <w:szCs w:val="21"/>
              </w:rPr>
              <w:t>邮政编码：</w:t>
            </w:r>
            <w:r>
              <w:rPr>
                <w:rFonts w:ascii="标宋" w:eastAsia="标宋"/>
                <w:szCs w:val="21"/>
              </w:rPr>
              <w:t>510050</w:t>
            </w:r>
          </w:p>
          <w:p>
            <w:pPr>
              <w:spacing w:line="360" w:lineRule="auto"/>
              <w:rPr>
                <w:rFonts w:ascii="标宋" w:eastAsia="标宋"/>
                <w:szCs w:val="21"/>
              </w:rPr>
            </w:pPr>
            <w:r>
              <w:rPr>
                <w:rFonts w:hint="eastAsia" w:ascii="标宋" w:eastAsia="标宋"/>
                <w:szCs w:val="21"/>
              </w:rPr>
              <w:t>联系人：胡工</w:t>
            </w:r>
          </w:p>
          <w:p>
            <w:pPr>
              <w:spacing w:line="360" w:lineRule="auto"/>
              <w:rPr>
                <w:rFonts w:eastAsia="标宋"/>
              </w:rPr>
            </w:pPr>
            <w:r>
              <w:rPr>
                <w:rFonts w:hint="eastAsia" w:ascii="标宋" w:eastAsia="标宋"/>
                <w:szCs w:val="21"/>
              </w:rPr>
              <w:t>电 话：</w:t>
            </w:r>
            <w:r>
              <w:rPr>
                <w:rFonts w:hint="eastAsia" w:ascii="标宋" w:eastAsia="标宋"/>
                <w:szCs w:val="21"/>
                <w:lang w:val="en-US" w:eastAsia="zh-CN"/>
              </w:rPr>
              <w:t>15814877335</w:t>
            </w:r>
            <w:r>
              <w:rPr>
                <w:rFonts w:ascii="标宋" w:eastAsia="标宋"/>
                <w:szCs w:val="21"/>
              </w:rPr>
              <w:t xml:space="preserve"> </w:t>
            </w:r>
          </w:p>
          <w:p>
            <w:pPr>
              <w:spacing w:line="360" w:lineRule="auto"/>
              <w:rPr>
                <w:rFonts w:hint="eastAsia" w:eastAsia="标宋"/>
                <w:lang w:val="en-US" w:eastAsia="zh-CN"/>
              </w:rPr>
            </w:pPr>
            <w:r>
              <w:rPr>
                <w:rFonts w:hint="eastAsia" w:ascii="标宋" w:eastAsia="标宋"/>
                <w:szCs w:val="21"/>
              </w:rPr>
              <w:t>传 真：</w:t>
            </w:r>
            <w:r>
              <w:rPr>
                <w:rFonts w:ascii="标宋" w:eastAsia="标宋"/>
                <w:szCs w:val="21"/>
              </w:rPr>
              <w:t xml:space="preserve"> </w:t>
            </w:r>
            <w:r>
              <w:rPr>
                <w:rFonts w:hint="eastAsia" w:ascii="标宋" w:eastAsia="标宋"/>
                <w:szCs w:val="21"/>
                <w:lang w:val="en-US" w:eastAsia="zh-CN"/>
              </w:rPr>
              <w:t>/</w:t>
            </w:r>
            <w:bookmarkStart w:id="1" w:name="_GoBack"/>
            <w:bookmarkEnd w:id="1"/>
          </w:p>
          <w:p>
            <w:pPr>
              <w:spacing w:line="360" w:lineRule="auto"/>
              <w:rPr>
                <w:rFonts w:hint="eastAsia" w:eastAsia="标宋"/>
                <w:lang w:val="en-US" w:eastAsia="zh-CN"/>
              </w:rPr>
            </w:pPr>
            <w:r>
              <w:rPr>
                <w:rFonts w:hint="eastAsia" w:ascii="标宋" w:eastAsia="标宋"/>
                <w:szCs w:val="21"/>
              </w:rPr>
              <w:t>电子邮件：</w:t>
            </w:r>
            <w:r>
              <w:rPr>
                <w:rFonts w:ascii="标宋" w:eastAsia="标宋"/>
                <w:szCs w:val="21"/>
              </w:rPr>
              <w:t xml:space="preserve"> </w:t>
            </w:r>
            <w:r>
              <w:rPr>
                <w:rFonts w:hint="eastAsia" w:ascii="标宋" w:eastAsia="标宋"/>
                <w:szCs w:val="21"/>
                <w:lang w:val="en-US" w:eastAsia="zh-CN"/>
              </w:rPr>
              <w:t>/</w:t>
            </w:r>
          </w:p>
        </w:tc>
      </w:tr>
    </w:tbl>
    <w:p>
      <w:pPr>
        <w:spacing w:line="360" w:lineRule="auto"/>
      </w:pPr>
      <w:r>
        <w:rPr>
          <w:rFonts w:hint="eastAsia"/>
          <w:szCs w:val="21"/>
        </w:rPr>
        <w:t xml:space="preserve">                                                      2023年</w:t>
      </w:r>
      <w:r>
        <w:rPr>
          <w:rFonts w:hint="eastAsia"/>
          <w:szCs w:val="21"/>
          <w:lang w:val="en-US" w:eastAsia="zh-CN"/>
        </w:rPr>
        <w:t>6</w:t>
      </w:r>
      <w:r>
        <w:rPr>
          <w:rFonts w:hint="eastAsia"/>
          <w:szCs w:val="21"/>
        </w:rPr>
        <w:t>月</w:t>
      </w:r>
      <w:r>
        <w:rPr>
          <w:szCs w:val="21"/>
        </w:rPr>
        <w:t xml:space="preserve">  </w:t>
      </w:r>
      <w:r>
        <w:rPr>
          <w:rFonts w:hint="eastAsia"/>
          <w:szCs w:val="21"/>
        </w:rPr>
        <w:t>日</w:t>
      </w:r>
    </w:p>
    <w:p>
      <w:pPr>
        <w:spacing w:line="360" w:lineRule="auto"/>
      </w:pPr>
    </w:p>
    <w:p>
      <w:pPr>
        <w:spacing w:line="440" w:lineRule="exact"/>
        <w:jc w:val="left"/>
        <w:rPr>
          <w:rFonts w:ascii="宋体" w:hAnsi="宋体" w:cs="宋体"/>
          <w:sz w:val="24"/>
        </w:rPr>
      </w:pPr>
      <w:r>
        <w:rPr>
          <w:rFonts w:hint="eastAsia" w:ascii="宋体" w:hAnsi="宋体" w:cs="宋体"/>
          <w:sz w:val="24"/>
        </w:rPr>
        <w:t>附件 1：资格审查条件附录 1 至附录 4</w:t>
      </w:r>
    </w:p>
    <w:p>
      <w:pPr>
        <w:spacing w:line="440" w:lineRule="exact"/>
        <w:jc w:val="left"/>
        <w:rPr>
          <w:rFonts w:ascii="宋体" w:hAnsi="宋体" w:cs="宋体"/>
          <w:sz w:val="24"/>
        </w:rPr>
      </w:pPr>
      <w:r>
        <w:rPr>
          <w:rFonts w:hint="eastAsia" w:ascii="宋体" w:hAnsi="宋体" w:cs="宋体"/>
          <w:sz w:val="24"/>
        </w:rPr>
        <w:t>附件 2：评标办法</w:t>
      </w:r>
    </w:p>
    <w:p>
      <w:pPr>
        <w:rPr>
          <w:rFonts w:ascii="宋体" w:hAnsi="宋体" w:cs="宋体"/>
          <w:sz w:val="24"/>
        </w:rPr>
        <w:sectPr>
          <w:footerReference r:id="rId3" w:type="default"/>
          <w:pgSz w:w="11906" w:h="16838"/>
          <w:pgMar w:top="1417" w:right="1417" w:bottom="1417" w:left="1417" w:header="851" w:footer="992" w:gutter="0"/>
          <w:pgNumType w:fmt="decimal"/>
          <w:cols w:space="0" w:num="1"/>
          <w:docGrid w:type="lines" w:linePitch="333" w:charSpace="0"/>
        </w:sectPr>
      </w:pPr>
      <w:r>
        <w:rPr>
          <w:rFonts w:hint="eastAsia" w:ascii="宋体" w:hAnsi="宋体" w:cs="宋体"/>
          <w:sz w:val="24"/>
        </w:rPr>
        <w:t>以上附件可从发布公告的网站媒介上下载。</w:t>
      </w:r>
    </w:p>
    <w:p>
      <w:pPr>
        <w:rPr>
          <w:rFonts w:ascii="宋体"/>
          <w:b/>
          <w:sz w:val="24"/>
          <w:szCs w:val="22"/>
        </w:rPr>
      </w:pPr>
      <w:r>
        <w:rPr>
          <w:rFonts w:hint="eastAsia" w:ascii="宋体"/>
          <w:b/>
          <w:sz w:val="24"/>
          <w:szCs w:val="22"/>
        </w:rPr>
        <w:t>附件 1：资格审查条件附录 1 至附录 4</w:t>
      </w:r>
    </w:p>
    <w:p>
      <w:pPr>
        <w:topLinePunct/>
        <w:spacing w:before="120" w:beforeLines="50" w:line="360" w:lineRule="auto"/>
        <w:jc w:val="center"/>
        <w:rPr>
          <w:rFonts w:ascii="宋体" w:hAnsi="宋体"/>
          <w:b/>
          <w:bCs/>
          <w:sz w:val="24"/>
        </w:rPr>
      </w:pPr>
      <w:r>
        <w:rPr>
          <w:rFonts w:hint="eastAsia" w:ascii="宋体" w:hAnsi="宋体"/>
          <w:b/>
          <w:bCs/>
          <w:sz w:val="24"/>
        </w:rPr>
        <w:t>附录1 资格审查条件（资质最低条件）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84" w:hRule="atLeast"/>
          <w:tblHeader/>
          <w:jc w:val="center"/>
        </w:trPr>
        <w:tc>
          <w:tcPr>
            <w:tcW w:w="0" w:type="auto"/>
            <w:vAlign w:val="center"/>
          </w:tcPr>
          <w:p>
            <w:pPr>
              <w:topLinePunct/>
              <w:snapToGrid w:val="0"/>
              <w:jc w:val="center"/>
              <w:rPr>
                <w:rFonts w:ascii="宋体" w:hAnsi="宋体"/>
                <w:b/>
                <w:szCs w:val="21"/>
              </w:rPr>
            </w:pPr>
            <w:r>
              <w:rPr>
                <w:rFonts w:hint="eastAsia" w:ascii="宋体" w:cs="宋体"/>
                <w:b/>
                <w:bCs/>
                <w:sz w:val="24"/>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5" w:hRule="atLeast"/>
          <w:jc w:val="center"/>
        </w:trPr>
        <w:tc>
          <w:tcPr>
            <w:tcW w:w="0" w:type="auto"/>
            <w:vAlign w:val="center"/>
          </w:tcPr>
          <w:p>
            <w:pPr>
              <w:topLinePunct/>
              <w:spacing w:line="360" w:lineRule="auto"/>
              <w:rPr>
                <w:rFonts w:ascii="宋体" w:hAnsi="宋体"/>
                <w:sz w:val="24"/>
              </w:rPr>
            </w:pPr>
            <w:r>
              <w:rPr>
                <w:rFonts w:hint="eastAsia" w:ascii="宋体" w:hAnsi="宋体"/>
                <w:sz w:val="24"/>
              </w:rPr>
              <w:t>同时具有以下资质：</w:t>
            </w:r>
          </w:p>
          <w:p>
            <w:pPr>
              <w:topLinePunct/>
              <w:spacing w:line="360" w:lineRule="auto"/>
              <w:ind w:firstLine="480" w:firstLineChars="200"/>
              <w:rPr>
                <w:rFonts w:ascii="宋体" w:hAnsi="宋体"/>
                <w:sz w:val="24"/>
              </w:rPr>
            </w:pPr>
            <w:r>
              <w:rPr>
                <w:rFonts w:hint="eastAsia" w:ascii="宋体" w:hAnsi="宋体"/>
                <w:sz w:val="24"/>
              </w:rPr>
              <w:t>1.工程设计综合甲级资质或工程设计公路行业乙级及以上资质或工程设计公路行业（公路）专业乙级及以上资质；</w:t>
            </w:r>
          </w:p>
          <w:p>
            <w:pPr>
              <w:topLinePunct/>
              <w:spacing w:line="360" w:lineRule="auto"/>
              <w:ind w:firstLine="480" w:firstLineChars="200"/>
              <w:rPr>
                <w:rFonts w:ascii="宋体" w:hAnsi="宋体"/>
                <w:b/>
                <w:sz w:val="24"/>
              </w:rPr>
            </w:pPr>
            <w:r>
              <w:rPr>
                <w:rFonts w:hint="eastAsia" w:ascii="宋体" w:hAnsi="宋体"/>
                <w:sz w:val="24"/>
              </w:rPr>
              <w:t>2.工程勘察综合类甲级资质或工程勘察专业类岩土工程（勘察）甲级资质和工程勘察专业类工程测量乙级（或以上）资质。</w:t>
            </w:r>
          </w:p>
        </w:tc>
      </w:tr>
    </w:tbl>
    <w:p>
      <w:pPr>
        <w:topLinePunct/>
        <w:rPr>
          <w:rFonts w:ascii="宋体" w:hAnsi="宋体" w:cs="宋体"/>
          <w:sz w:val="18"/>
          <w:szCs w:val="18"/>
        </w:rPr>
      </w:pPr>
      <w:r>
        <w:rPr>
          <w:rFonts w:hint="eastAsia" w:ascii="宋体" w:hAnsi="宋体" w:cs="宋体"/>
          <w:sz w:val="18"/>
          <w:szCs w:val="18"/>
        </w:rPr>
        <w:t>注：1.招标人将按照交通运输部《全国公路建设市场信用信息管理系统》网站中“公路工程设计资质企业名录”（以上简称“名录”）进行审核。对于未列入“名录”或投标人名称、资质信息与“名录”查询结果不符的，将不能通过资格审查。</w:t>
      </w:r>
    </w:p>
    <w:p>
      <w:pPr>
        <w:rPr>
          <w:rFonts w:ascii="宋体"/>
          <w:sz w:val="24"/>
          <w:szCs w:val="22"/>
        </w:rPr>
      </w:pPr>
    </w:p>
    <w:p>
      <w:pPr>
        <w:topLinePunct/>
        <w:spacing w:before="120" w:beforeLines="50" w:line="360" w:lineRule="auto"/>
        <w:jc w:val="center"/>
        <w:rPr>
          <w:rFonts w:ascii="宋体" w:hAnsi="宋体"/>
          <w:b/>
          <w:bCs/>
          <w:sz w:val="24"/>
        </w:rPr>
      </w:pPr>
      <w:r>
        <w:rPr>
          <w:rFonts w:hint="eastAsia" w:ascii="宋体" w:hAnsi="宋体"/>
          <w:b/>
          <w:bCs/>
          <w:sz w:val="24"/>
        </w:rPr>
        <w:t>附录2 资格审查条件（业绩最低条件）</w:t>
      </w:r>
    </w:p>
    <w:tbl>
      <w:tblPr>
        <w:tblStyle w:val="11"/>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9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563" w:hRule="atLeast"/>
          <w:tblHeader/>
          <w:jc w:val="center"/>
        </w:trPr>
        <w:tc>
          <w:tcPr>
            <w:tcW w:w="5000" w:type="pct"/>
            <w:tcBorders>
              <w:top w:val="outset" w:color="auto" w:sz="6" w:space="0"/>
              <w:left w:val="outset" w:color="auto" w:sz="6" w:space="0"/>
              <w:bottom w:val="outset" w:color="auto" w:sz="6" w:space="0"/>
              <w:right w:val="single" w:color="auto" w:sz="4" w:space="0"/>
            </w:tcBorders>
            <w:vAlign w:val="center"/>
          </w:tcPr>
          <w:p>
            <w:pPr>
              <w:topLinePunct/>
              <w:jc w:val="center"/>
              <w:rPr>
                <w:rFonts w:ascii="宋体" w:hAnsi="宋体" w:cs="宋体"/>
                <w:b/>
                <w:szCs w:val="21"/>
              </w:rPr>
            </w:pPr>
            <w:r>
              <w:rPr>
                <w:rFonts w:hint="eastAsia" w:ascii="宋体" w:cs="宋体"/>
                <w:b/>
                <w:bCs/>
                <w:sz w:val="24"/>
              </w:rPr>
              <w:t>业绩要求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1540" w:hRule="atLeast"/>
          <w:jc w:val="center"/>
        </w:trPr>
        <w:tc>
          <w:tcPr>
            <w:tcW w:w="5000" w:type="pct"/>
            <w:tcBorders>
              <w:top w:val="single" w:color="auto" w:sz="4" w:space="0"/>
              <w:left w:val="outset" w:color="auto" w:sz="6" w:space="0"/>
              <w:bottom w:val="single" w:color="auto" w:sz="4" w:space="0"/>
              <w:right w:val="single" w:color="auto" w:sz="4" w:space="0"/>
            </w:tcBorders>
            <w:vAlign w:val="center"/>
          </w:tcPr>
          <w:p>
            <w:pPr>
              <w:topLinePunct/>
              <w:spacing w:line="360" w:lineRule="auto"/>
              <w:ind w:firstLine="480" w:firstLineChars="200"/>
              <w:rPr>
                <w:rFonts w:ascii="宋体" w:hAnsi="宋体" w:cs="宋体"/>
                <w:szCs w:val="21"/>
              </w:rPr>
            </w:pPr>
            <w:r>
              <w:rPr>
                <w:rFonts w:hint="eastAsia" w:ascii="宋体" w:hAnsi="宋体"/>
                <w:sz w:val="24"/>
              </w:rPr>
              <w:t>近五年内（即2018年1月1日至投标文件递交截止之日止）成功过独立完成过：累计30km类似工程土建工程的勘察设计经验，且其中有一个合同段里程不少于15km的类似工程土建工程的勘察设计经验。</w:t>
            </w:r>
          </w:p>
        </w:tc>
      </w:tr>
    </w:tbl>
    <w:p>
      <w:pPr>
        <w:spacing w:line="288" w:lineRule="auto"/>
        <w:rPr>
          <w:rFonts w:ascii="宋体" w:hAnsi="宋体" w:cs="宋体"/>
          <w:sz w:val="18"/>
          <w:szCs w:val="18"/>
        </w:rPr>
      </w:pPr>
      <w:r>
        <w:rPr>
          <w:rFonts w:hint="eastAsia" w:ascii="宋体" w:hAnsi="宋体" w:cs="宋体"/>
          <w:sz w:val="18"/>
          <w:szCs w:val="18"/>
        </w:rPr>
        <w:t>注：1.投标人的业绩应符合投标人须知前附表3.5.2项的规定。</w:t>
      </w:r>
    </w:p>
    <w:p>
      <w:pPr>
        <w:spacing w:line="288" w:lineRule="auto"/>
        <w:rPr>
          <w:rFonts w:ascii="宋体" w:hAnsi="宋体" w:cs="宋体"/>
          <w:sz w:val="18"/>
          <w:szCs w:val="18"/>
        </w:rPr>
      </w:pPr>
      <w:r>
        <w:rPr>
          <w:rFonts w:hint="eastAsia" w:ascii="宋体" w:hAnsi="宋体" w:cs="宋体"/>
          <w:sz w:val="18"/>
          <w:szCs w:val="18"/>
        </w:rPr>
        <w:t>2.如近年来，投标人法人机构发生合法变更或重组或法人名称变更时，应提供相关部门的合法批件或其他相关证明材料来证明其所附业绩的继承性。</w:t>
      </w:r>
    </w:p>
    <w:p>
      <w:pPr>
        <w:rPr>
          <w:rFonts w:ascii="宋体"/>
          <w:sz w:val="24"/>
          <w:szCs w:val="22"/>
        </w:rPr>
      </w:pPr>
    </w:p>
    <w:p>
      <w:pPr>
        <w:topLinePunct/>
        <w:spacing w:before="120" w:beforeLines="50" w:line="360" w:lineRule="auto"/>
        <w:jc w:val="center"/>
        <w:rPr>
          <w:rFonts w:ascii="宋体" w:hAnsi="宋体"/>
          <w:b/>
          <w:bCs/>
          <w:sz w:val="24"/>
        </w:rPr>
      </w:pPr>
      <w:r>
        <w:rPr>
          <w:rFonts w:hint="eastAsia" w:ascii="宋体" w:hAnsi="宋体"/>
          <w:b/>
          <w:bCs/>
          <w:sz w:val="24"/>
        </w:rPr>
        <w:t>附录3 资格审查条件（信誉最低条件）</w:t>
      </w:r>
    </w:p>
    <w:tbl>
      <w:tblPr>
        <w:tblStyle w:val="1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7" w:hRule="atLeast"/>
          <w:jc w:val="center"/>
        </w:trPr>
        <w:tc>
          <w:tcPr>
            <w:tcW w:w="5000" w:type="pct"/>
            <w:tcBorders>
              <w:bottom w:val="single" w:color="auto" w:sz="4" w:space="0"/>
            </w:tcBorders>
            <w:vAlign w:val="center"/>
          </w:tcPr>
          <w:p>
            <w:pPr>
              <w:wordWrap w:val="0"/>
              <w:topLinePunct/>
              <w:jc w:val="center"/>
              <w:rPr>
                <w:rFonts w:ascii="宋体" w:hAnsi="宋体" w:cs="宋体"/>
                <w:b/>
                <w:szCs w:val="21"/>
              </w:rPr>
            </w:pPr>
            <w:r>
              <w:rPr>
                <w:rFonts w:hint="eastAsia" w:ascii="宋体" w:cs="宋体"/>
                <w:b/>
                <w:bCs/>
                <w:sz w:val="24"/>
              </w:rPr>
              <w:t>信誉要求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517" w:hRule="atLeast"/>
          <w:jc w:val="center"/>
        </w:trPr>
        <w:tc>
          <w:tcPr>
            <w:tcW w:w="5000" w:type="pct"/>
            <w:tcBorders>
              <w:top w:val="single" w:color="auto" w:sz="4" w:space="0"/>
            </w:tcBorders>
            <w:vAlign w:val="center"/>
          </w:tcPr>
          <w:p>
            <w:pPr>
              <w:topLinePunct/>
              <w:spacing w:line="360" w:lineRule="auto"/>
              <w:ind w:firstLine="480" w:firstLineChars="200"/>
              <w:rPr>
                <w:rFonts w:ascii="宋体" w:hAnsi="宋体"/>
                <w:sz w:val="24"/>
              </w:rPr>
            </w:pPr>
            <w:r>
              <w:rPr>
                <w:rFonts w:hint="eastAsia" w:ascii="宋体" w:hAnsi="宋体"/>
                <w:sz w:val="24"/>
              </w:rPr>
              <w:t>在最新年度广东省公路工程从业单位（设计单位）信用评价（含无最新年度而上一年度有信用评价）中，信用等级未被评为D级；</w:t>
            </w:r>
          </w:p>
          <w:p>
            <w:pPr>
              <w:topLinePunct/>
              <w:spacing w:line="360" w:lineRule="auto"/>
              <w:ind w:firstLine="480" w:firstLineChars="200"/>
              <w:rPr>
                <w:rFonts w:ascii="宋体" w:hAnsi="宋体" w:cs="宋体"/>
                <w:szCs w:val="21"/>
              </w:rPr>
            </w:pPr>
            <w:r>
              <w:rPr>
                <w:rFonts w:hint="eastAsia" w:ascii="宋体" w:hAnsi="宋体"/>
                <w:sz w:val="24"/>
              </w:rPr>
              <w:t>初次进入广东省的投标人，在最新年度全国公路从业单位（勘察设计单位）信用评价结果中未被评为D级。</w:t>
            </w:r>
          </w:p>
        </w:tc>
      </w:tr>
    </w:tbl>
    <w:p>
      <w:pPr>
        <w:spacing w:line="288" w:lineRule="auto"/>
        <w:rPr>
          <w:rFonts w:ascii="宋体" w:hAnsi="宋体" w:cs="宋体"/>
          <w:sz w:val="18"/>
          <w:szCs w:val="18"/>
        </w:rPr>
      </w:pPr>
      <w:r>
        <w:rPr>
          <w:rFonts w:hint="eastAsia" w:ascii="宋体" w:hAnsi="宋体" w:cs="宋体"/>
          <w:sz w:val="18"/>
          <w:szCs w:val="18"/>
        </w:rPr>
        <w:t>注：1</w:t>
      </w:r>
      <w:r>
        <w:rPr>
          <w:rFonts w:ascii="宋体" w:hAnsi="宋体" w:cs="宋体"/>
          <w:sz w:val="18"/>
          <w:szCs w:val="18"/>
        </w:rPr>
        <w:t>.</w:t>
      </w:r>
      <w:r>
        <w:rPr>
          <w:rFonts w:hint="eastAsia" w:ascii="宋体" w:hAnsi="宋体" w:cs="宋体"/>
          <w:sz w:val="18"/>
          <w:szCs w:val="18"/>
        </w:rPr>
        <w:t>信用等级的确定原则遵循投标人须知前附表10.2款的规定。</w:t>
      </w:r>
    </w:p>
    <w:p>
      <w:pPr>
        <w:spacing w:line="288" w:lineRule="auto"/>
        <w:rPr>
          <w:rFonts w:ascii="宋体" w:hAnsi="宋体" w:cs="宋体"/>
          <w:sz w:val="18"/>
          <w:szCs w:val="18"/>
        </w:rPr>
      </w:pPr>
    </w:p>
    <w:p>
      <w:pPr>
        <w:spacing w:line="288" w:lineRule="auto"/>
        <w:rPr>
          <w:rFonts w:ascii="宋体" w:hAnsi="宋体" w:cs="宋体"/>
          <w:sz w:val="18"/>
          <w:szCs w:val="18"/>
        </w:rPr>
      </w:pPr>
    </w:p>
    <w:p>
      <w:pPr>
        <w:spacing w:line="288" w:lineRule="auto"/>
        <w:rPr>
          <w:rFonts w:ascii="宋体" w:hAnsi="宋体" w:cs="宋体"/>
          <w:sz w:val="18"/>
          <w:szCs w:val="18"/>
        </w:rPr>
        <w:sectPr>
          <w:footnotePr>
            <w:numFmt w:val="decimalEnclosedCircleChinese"/>
            <w:numRestart w:val="eachPage"/>
          </w:footnotePr>
          <w:pgSz w:w="11900" w:h="16840"/>
          <w:pgMar w:top="1417" w:right="1417" w:bottom="1417" w:left="1417" w:header="851" w:footer="992" w:gutter="0"/>
          <w:pgNumType w:fmt="decimal"/>
          <w:cols w:space="0" w:num="1"/>
          <w:docGrid w:linePitch="312" w:charSpace="0"/>
        </w:sectPr>
      </w:pPr>
    </w:p>
    <w:p>
      <w:pPr>
        <w:topLinePunct/>
        <w:spacing w:before="156" w:beforeLines="50" w:line="360" w:lineRule="auto"/>
        <w:jc w:val="center"/>
        <w:rPr>
          <w:rFonts w:ascii="宋体" w:hAnsi="宋体"/>
          <w:b/>
          <w:bCs/>
          <w:sz w:val="24"/>
        </w:rPr>
      </w:pPr>
      <w:r>
        <w:rPr>
          <w:rFonts w:hint="eastAsia" w:ascii="宋体" w:hAnsi="宋体"/>
          <w:b/>
          <w:bCs/>
          <w:sz w:val="24"/>
        </w:rPr>
        <w:t>附录4 资格审查条件（项目负责人最低要求）</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924"/>
        <w:gridCol w:w="57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63" w:type="pct"/>
            <w:vAlign w:val="center"/>
          </w:tcPr>
          <w:p>
            <w:pPr>
              <w:wordWrap w:val="0"/>
              <w:topLinePunct/>
              <w:jc w:val="center"/>
              <w:rPr>
                <w:rFonts w:ascii="宋体" w:cs="宋体"/>
                <w:b/>
                <w:bCs/>
                <w:sz w:val="24"/>
              </w:rPr>
            </w:pPr>
            <w:r>
              <w:rPr>
                <w:rFonts w:hint="eastAsia" w:ascii="宋体" w:cs="宋体"/>
                <w:b/>
                <w:bCs/>
                <w:sz w:val="24"/>
              </w:rPr>
              <w:t>人员</w:t>
            </w:r>
          </w:p>
        </w:tc>
        <w:tc>
          <w:tcPr>
            <w:tcW w:w="542" w:type="pct"/>
            <w:vAlign w:val="center"/>
          </w:tcPr>
          <w:p>
            <w:pPr>
              <w:wordWrap w:val="0"/>
              <w:topLinePunct/>
              <w:jc w:val="center"/>
              <w:rPr>
                <w:rFonts w:ascii="宋体" w:cs="宋体"/>
                <w:b/>
                <w:bCs/>
                <w:sz w:val="24"/>
              </w:rPr>
            </w:pPr>
            <w:r>
              <w:rPr>
                <w:rFonts w:hint="eastAsia" w:ascii="宋体" w:cs="宋体"/>
                <w:b/>
                <w:bCs/>
                <w:sz w:val="24"/>
              </w:rPr>
              <w:t>数量</w:t>
            </w:r>
          </w:p>
        </w:tc>
        <w:tc>
          <w:tcPr>
            <w:tcW w:w="3395" w:type="pct"/>
            <w:vAlign w:val="center"/>
          </w:tcPr>
          <w:p>
            <w:pPr>
              <w:wordWrap w:val="0"/>
              <w:topLinePunct/>
              <w:jc w:val="center"/>
              <w:rPr>
                <w:rFonts w:ascii="宋体" w:cs="宋体"/>
                <w:b/>
                <w:bCs/>
                <w:sz w:val="24"/>
              </w:rPr>
            </w:pPr>
            <w:r>
              <w:rPr>
                <w:rFonts w:hint="eastAsia" w:ascii="宋体" w:cs="宋体"/>
                <w:b/>
                <w:bCs/>
                <w:sz w:val="24"/>
              </w:rPr>
              <w:t>资格要求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54" w:hRule="atLeast"/>
          <w:jc w:val="center"/>
        </w:trPr>
        <w:tc>
          <w:tcPr>
            <w:tcW w:w="1063" w:type="pct"/>
            <w:vAlign w:val="center"/>
          </w:tcPr>
          <w:p>
            <w:pPr>
              <w:topLinePunct/>
              <w:spacing w:line="360" w:lineRule="auto"/>
              <w:jc w:val="center"/>
              <w:rPr>
                <w:rFonts w:ascii="宋体" w:hAnsi="宋体"/>
                <w:sz w:val="24"/>
              </w:rPr>
            </w:pPr>
            <w:r>
              <w:rPr>
                <w:rFonts w:hint="eastAsia" w:ascii="宋体" w:hAnsi="宋体"/>
                <w:sz w:val="24"/>
              </w:rPr>
              <w:t>项目负责人</w:t>
            </w:r>
          </w:p>
        </w:tc>
        <w:tc>
          <w:tcPr>
            <w:tcW w:w="542" w:type="pct"/>
            <w:vAlign w:val="center"/>
          </w:tcPr>
          <w:p>
            <w:pPr>
              <w:topLinePunct/>
              <w:spacing w:line="360" w:lineRule="auto"/>
              <w:jc w:val="center"/>
              <w:rPr>
                <w:rFonts w:ascii="宋体" w:hAnsi="宋体"/>
                <w:sz w:val="24"/>
              </w:rPr>
            </w:pPr>
            <w:r>
              <w:rPr>
                <w:rFonts w:hint="eastAsia" w:ascii="宋体" w:hAnsi="宋体"/>
                <w:sz w:val="24"/>
              </w:rPr>
              <w:t>1</w:t>
            </w:r>
          </w:p>
        </w:tc>
        <w:tc>
          <w:tcPr>
            <w:tcW w:w="3395" w:type="pct"/>
            <w:vAlign w:val="center"/>
          </w:tcPr>
          <w:p>
            <w:pPr>
              <w:topLinePunct/>
              <w:spacing w:line="360" w:lineRule="auto"/>
              <w:rPr>
                <w:rFonts w:ascii="宋体" w:hAnsi="宋体"/>
                <w:sz w:val="24"/>
              </w:rPr>
            </w:pPr>
            <w:r>
              <w:rPr>
                <w:rFonts w:hint="eastAsia" w:ascii="宋体" w:hAnsi="宋体"/>
                <w:sz w:val="24"/>
              </w:rPr>
              <w:t>路桥相关专业高级工程师职称，近5年（即2018年1月1日至投标文件递交截止之日止）内担任过1个合同段类似工程土建工程勘察设计工作项目负责人岗位工作。</w:t>
            </w:r>
          </w:p>
        </w:tc>
      </w:tr>
    </w:tbl>
    <w:p>
      <w:pPr>
        <w:spacing w:line="288" w:lineRule="auto"/>
        <w:rPr>
          <w:rFonts w:ascii="宋体" w:hAnsi="宋体" w:cs="宋体"/>
          <w:sz w:val="18"/>
          <w:szCs w:val="18"/>
        </w:rPr>
      </w:pPr>
      <w:r>
        <w:rPr>
          <w:rFonts w:hint="eastAsia" w:ascii="宋体" w:hAnsi="宋体" w:cs="宋体"/>
          <w:sz w:val="18"/>
          <w:szCs w:val="18"/>
        </w:rPr>
        <w:t>注：1.投标人的项目负责人应符合投标人须知前附表3.5.4项的规定。</w:t>
      </w:r>
    </w:p>
    <w:p>
      <w:pPr>
        <w:spacing w:line="288" w:lineRule="auto"/>
        <w:rPr>
          <w:rFonts w:ascii="宋体" w:hAnsi="宋体" w:cs="宋体"/>
          <w:sz w:val="18"/>
          <w:szCs w:val="18"/>
        </w:rPr>
      </w:pPr>
      <w:r>
        <w:rPr>
          <w:rFonts w:hint="eastAsia" w:ascii="宋体" w:hAnsi="宋体" w:cs="宋体"/>
          <w:sz w:val="18"/>
          <w:szCs w:val="18"/>
        </w:rPr>
        <w:t xml:space="preserve">    2.类似工程指新建或改建或扩建或改造四级及以上公路工程。</w:t>
      </w:r>
    </w:p>
    <w:p>
      <w:pPr>
        <w:spacing w:line="288" w:lineRule="auto"/>
        <w:rPr>
          <w:rFonts w:ascii="宋体" w:hAnsi="宋体" w:cs="宋体"/>
          <w:sz w:val="18"/>
          <w:szCs w:val="18"/>
        </w:rPr>
        <w:sectPr>
          <w:pgSz w:w="11906" w:h="16838"/>
          <w:pgMar w:top="1440" w:right="1800" w:bottom="1440" w:left="1800" w:header="851" w:footer="992" w:gutter="0"/>
          <w:pgNumType w:fmt="decimal"/>
          <w:cols w:space="425" w:num="1"/>
          <w:docGrid w:type="lines" w:linePitch="312" w:charSpace="0"/>
        </w:sectPr>
      </w:pPr>
    </w:p>
    <w:p>
      <w:pPr>
        <w:rPr>
          <w:rFonts w:ascii="宋体"/>
          <w:b/>
          <w:sz w:val="24"/>
          <w:szCs w:val="22"/>
        </w:rPr>
      </w:pPr>
      <w:r>
        <w:rPr>
          <w:rFonts w:hint="eastAsia" w:ascii="宋体"/>
          <w:b/>
          <w:sz w:val="24"/>
          <w:szCs w:val="22"/>
        </w:rPr>
        <w:t>附件 2：评标办法</w:t>
      </w:r>
    </w:p>
    <w:p>
      <w:pPr>
        <w:jc w:val="center"/>
        <w:rPr>
          <w:rFonts w:ascii="宋体" w:hAnsi="宋体" w:cs="宋体"/>
          <w:b/>
          <w:sz w:val="36"/>
          <w:szCs w:val="36"/>
        </w:rPr>
      </w:pPr>
      <w:r>
        <w:rPr>
          <w:rFonts w:hint="eastAsia" w:ascii="宋体" w:hAnsi="宋体" w:cs="宋体"/>
          <w:b/>
          <w:sz w:val="36"/>
          <w:szCs w:val="36"/>
        </w:rPr>
        <w:t>第三章  评标办法（综合评估法）</w:t>
      </w:r>
    </w:p>
    <w:p>
      <w:pPr>
        <w:adjustRightInd w:val="0"/>
        <w:spacing w:before="260" w:line="360" w:lineRule="auto"/>
        <w:jc w:val="left"/>
        <w:textAlignment w:val="baseline"/>
        <w:outlineLvl w:val="1"/>
        <w:rPr>
          <w:rFonts w:asciiTheme="minorEastAsia" w:hAnsiTheme="minorEastAsia" w:eastAsiaTheme="minorEastAsia"/>
          <w:b/>
          <w:bCs/>
          <w:kern w:val="0"/>
          <w:sz w:val="24"/>
        </w:rPr>
      </w:pPr>
      <w:r>
        <w:rPr>
          <w:rFonts w:hint="eastAsia" w:asciiTheme="minorEastAsia" w:hAnsiTheme="minorEastAsia" w:eastAsiaTheme="minorEastAsia"/>
          <w:b/>
          <w:bCs/>
          <w:kern w:val="0"/>
          <w:sz w:val="24"/>
        </w:rPr>
        <w:t>评标办法前附表：</w:t>
      </w:r>
    </w:p>
    <w:tbl>
      <w:tblPr>
        <w:tblStyle w:val="11"/>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30"/>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2236" w:type="dxa"/>
            <w:gridSpan w:val="2"/>
            <w:vAlign w:val="center"/>
          </w:tcPr>
          <w:p>
            <w:pPr>
              <w:wordWrap w:val="0"/>
              <w:topLinePunct/>
              <w:adjustRightInd w:val="0"/>
              <w:snapToGrid w:val="0"/>
              <w:spacing w:line="240" w:lineRule="atLeast"/>
              <w:jc w:val="center"/>
              <w:textAlignment w:val="baseline"/>
              <w:rPr>
                <w:rFonts w:asciiTheme="minorEastAsia" w:hAnsiTheme="minorEastAsia" w:eastAsiaTheme="minorEastAsia"/>
                <w:b/>
                <w:kern w:val="0"/>
                <w:szCs w:val="21"/>
              </w:rPr>
            </w:pPr>
            <w:r>
              <w:rPr>
                <w:rFonts w:hint="eastAsia" w:asciiTheme="minorEastAsia" w:hAnsiTheme="minorEastAsia" w:eastAsiaTheme="minorEastAsia"/>
                <w:b/>
                <w:kern w:val="0"/>
                <w:szCs w:val="21"/>
              </w:rPr>
              <w:t>条款号</w:t>
            </w:r>
          </w:p>
        </w:tc>
        <w:tc>
          <w:tcPr>
            <w:tcW w:w="6288" w:type="dxa"/>
            <w:vAlign w:val="center"/>
          </w:tcPr>
          <w:p>
            <w:pPr>
              <w:wordWrap w:val="0"/>
              <w:topLinePunct/>
              <w:adjustRightInd w:val="0"/>
              <w:snapToGrid w:val="0"/>
              <w:spacing w:line="240" w:lineRule="atLeast"/>
              <w:jc w:val="center"/>
              <w:textAlignment w:val="baseline"/>
              <w:rPr>
                <w:rFonts w:asciiTheme="minorEastAsia" w:hAnsiTheme="minorEastAsia" w:eastAsiaTheme="minorEastAsia"/>
                <w:b/>
                <w:kern w:val="0"/>
                <w:szCs w:val="21"/>
              </w:rPr>
            </w:pPr>
            <w:r>
              <w:rPr>
                <w:rFonts w:hint="eastAsia" w:asciiTheme="minorEastAsia" w:hAnsiTheme="minorEastAsia" w:eastAsiaTheme="minorEastAsia"/>
                <w:b/>
                <w:kern w:val="0"/>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wordWrap w:val="0"/>
              <w:topLinePunct/>
              <w:spacing w:line="360" w:lineRule="auto"/>
              <w:jc w:val="center"/>
              <w:textAlignment w:val="baseline"/>
              <w:rPr>
                <w:rFonts w:asciiTheme="minorEastAsia" w:hAnsiTheme="minorEastAsia" w:eastAsiaTheme="minorEastAsia"/>
                <w:b/>
                <w:kern w:val="0"/>
                <w:szCs w:val="21"/>
              </w:rPr>
            </w:pPr>
            <w:r>
              <w:rPr>
                <w:rFonts w:asciiTheme="minorEastAsia" w:hAnsiTheme="minorEastAsia" w:eastAsiaTheme="minorEastAsia"/>
                <w:kern w:val="0"/>
                <w:szCs w:val="21"/>
              </w:rPr>
              <w:t>1</w:t>
            </w:r>
          </w:p>
        </w:tc>
        <w:tc>
          <w:tcPr>
            <w:tcW w:w="1230" w:type="dxa"/>
            <w:vAlign w:val="center"/>
          </w:tcPr>
          <w:p>
            <w:pPr>
              <w:wordWrap w:val="0"/>
              <w:topLinePunct/>
              <w:spacing w:line="360" w:lineRule="auto"/>
              <w:jc w:val="center"/>
              <w:textAlignment w:val="baseline"/>
              <w:rPr>
                <w:rFonts w:asciiTheme="minorEastAsia" w:hAnsiTheme="minorEastAsia" w:eastAsiaTheme="minorEastAsia"/>
                <w:b/>
                <w:kern w:val="0"/>
                <w:szCs w:val="21"/>
              </w:rPr>
            </w:pPr>
            <w:r>
              <w:rPr>
                <w:rFonts w:asciiTheme="minorEastAsia" w:hAnsiTheme="minorEastAsia" w:eastAsiaTheme="minorEastAsia"/>
                <w:kern w:val="0"/>
                <w:szCs w:val="21"/>
              </w:rPr>
              <w:t>评标方法</w:t>
            </w:r>
          </w:p>
        </w:tc>
        <w:tc>
          <w:tcPr>
            <w:tcW w:w="6288" w:type="dxa"/>
            <w:vAlign w:val="center"/>
          </w:tcPr>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综合评分相等时，评标委员会依次按照以下优先顺序推荐中标候选人或确定中标人：</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（1）评标价低的投标人优先；</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2）按招标文件规定被认定为最新年度广东省公路工程从业单位（设计单位）信用评价等级较高的投标人优先；【采用如下的优先顺序：承诺使用的AA级投标人、不承诺使用的AA级投标人、承诺使用的A级投标人、不承诺使用的A级投标人、B级投标人、未参评且被确定为B级投标人】</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（3）商务和技术得分较高的投标人优先；</w:t>
            </w:r>
          </w:p>
          <w:p>
            <w:pPr>
              <w:adjustRightInd w:val="0"/>
              <w:snapToGrid w:val="0"/>
              <w:spacing w:line="400" w:lineRule="exact"/>
              <w:ind w:firstLine="420" w:firstLineChars="200"/>
              <w:jc w:val="left"/>
              <w:textAlignment w:val="baseline"/>
              <w:rPr>
                <w:rFonts w:asciiTheme="minorEastAsia" w:hAnsiTheme="minorEastAsia" w:eastAsiaTheme="minorEastAsia"/>
                <w:b/>
                <w:kern w:val="0"/>
                <w:szCs w:val="21"/>
              </w:rPr>
            </w:pPr>
            <w:r>
              <w:rPr>
                <w:rFonts w:hint="eastAsia" w:ascii="宋体" w:hAnsi="宋体" w:cs="宋体"/>
                <w:kern w:val="0"/>
                <w:szCs w:val="21"/>
              </w:rPr>
              <w:t>（4）评标委员会视投标人情况综合比较，投票确定其名次。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adjustRightInd w:val="0"/>
              <w:spacing w:line="360" w:lineRule="atLeast"/>
              <w:ind w:left="420" w:leftChars="200"/>
              <w:jc w:val="left"/>
              <w:textAlignment w:val="baseline"/>
              <w:rPr>
                <w:rFonts w:asciiTheme="minorEastAsia" w:hAnsiTheme="minorEastAsia" w:eastAsiaTheme="minorEastAsia"/>
                <w:kern w:val="0"/>
                <w:sz w:val="24"/>
                <w:szCs w:val="20"/>
              </w:rPr>
            </w:pPr>
          </w:p>
          <w:p>
            <w:pPr>
              <w:adjustRightInd w:val="0"/>
              <w:spacing w:line="360" w:lineRule="atLeast"/>
              <w:jc w:val="left"/>
              <w:textAlignment w:val="baseline"/>
              <w:rPr>
                <w:rFonts w:asciiTheme="minorEastAsia" w:hAnsiTheme="minorEastAsia" w:eastAsiaTheme="minorEastAsia"/>
                <w:kern w:val="0"/>
                <w:sz w:val="24"/>
                <w:szCs w:val="20"/>
              </w:rPr>
            </w:pPr>
          </w:p>
          <w:p>
            <w:pPr>
              <w:adjustRightInd w:val="0"/>
              <w:spacing w:line="360" w:lineRule="atLeast"/>
              <w:ind w:left="368" w:leftChars="175"/>
              <w:jc w:val="left"/>
              <w:textAlignment w:val="baseline"/>
              <w:rPr>
                <w:rFonts w:asciiTheme="minorEastAsia" w:hAnsiTheme="minorEastAsia" w:eastAsiaTheme="minorEastAsia"/>
                <w:kern w:val="0"/>
                <w:sz w:val="24"/>
                <w:szCs w:val="20"/>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2.1.1</w:t>
            </w:r>
          </w:p>
          <w:p>
            <w:pPr>
              <w:wordWrap w:val="0"/>
              <w:topLinePunct/>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2.1.3</w:t>
            </w: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2.1.1</w:t>
            </w:r>
          </w:p>
          <w:p>
            <w:pPr>
              <w:wordWrap w:val="0"/>
              <w:topLinePunct/>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2.1.3</w:t>
            </w:r>
          </w:p>
        </w:tc>
        <w:tc>
          <w:tcPr>
            <w:tcW w:w="1230" w:type="dxa"/>
            <w:vAlign w:val="center"/>
          </w:tcPr>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形式评审与响应性评审标准</w:t>
            </w: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adjustRightInd w:val="0"/>
              <w:spacing w:line="400" w:lineRule="exact"/>
              <w:ind w:firstLine="480" w:firstLineChars="200"/>
              <w:jc w:val="left"/>
              <w:textAlignment w:val="baseline"/>
              <w:rPr>
                <w:kern w:val="20"/>
                <w:sz w:val="24"/>
              </w:rPr>
            </w:pPr>
          </w:p>
          <w:p>
            <w:pPr>
              <w:adjustRightInd w:val="0"/>
              <w:spacing w:line="400" w:lineRule="exact"/>
              <w:ind w:firstLine="480" w:firstLineChars="200"/>
              <w:jc w:val="left"/>
              <w:textAlignment w:val="baseline"/>
              <w:rPr>
                <w:kern w:val="20"/>
                <w:sz w:val="24"/>
              </w:rPr>
            </w:pPr>
          </w:p>
          <w:p>
            <w:pPr>
              <w:adjustRightInd w:val="0"/>
              <w:spacing w:line="400" w:lineRule="exact"/>
              <w:ind w:firstLine="480" w:firstLineChars="200"/>
              <w:jc w:val="left"/>
              <w:textAlignment w:val="baseline"/>
              <w:rPr>
                <w:kern w:val="20"/>
                <w:sz w:val="24"/>
              </w:rPr>
            </w:pPr>
          </w:p>
          <w:p>
            <w:pPr>
              <w:adjustRightInd w:val="0"/>
              <w:spacing w:line="400" w:lineRule="exact"/>
              <w:ind w:firstLine="480" w:firstLineChars="200"/>
              <w:jc w:val="left"/>
              <w:textAlignment w:val="baseline"/>
              <w:rPr>
                <w:kern w:val="20"/>
                <w:sz w:val="24"/>
              </w:rPr>
            </w:pPr>
          </w:p>
          <w:p>
            <w:pPr>
              <w:adjustRightInd w:val="0"/>
              <w:spacing w:line="400" w:lineRule="exact"/>
              <w:ind w:firstLine="480" w:firstLineChars="200"/>
              <w:jc w:val="left"/>
              <w:textAlignment w:val="baseline"/>
              <w:rPr>
                <w:kern w:val="20"/>
                <w:sz w:val="24"/>
              </w:rPr>
            </w:pPr>
          </w:p>
          <w:p>
            <w:pPr>
              <w:adjustRightInd w:val="0"/>
              <w:spacing w:line="400" w:lineRule="exact"/>
              <w:ind w:firstLine="480" w:firstLineChars="200"/>
              <w:jc w:val="left"/>
              <w:textAlignment w:val="baseline"/>
              <w:rPr>
                <w:kern w:val="20"/>
                <w:sz w:val="24"/>
              </w:rPr>
            </w:pPr>
          </w:p>
          <w:p>
            <w:pPr>
              <w:adjustRightInd w:val="0"/>
              <w:spacing w:line="400" w:lineRule="exact"/>
              <w:ind w:firstLine="480" w:firstLineChars="200"/>
              <w:jc w:val="left"/>
              <w:textAlignment w:val="baseline"/>
              <w:rPr>
                <w:kern w:val="20"/>
                <w:sz w:val="24"/>
              </w:rPr>
            </w:pPr>
          </w:p>
          <w:p>
            <w:pPr>
              <w:adjustRightInd w:val="0"/>
              <w:spacing w:line="400" w:lineRule="exact"/>
              <w:ind w:firstLine="480" w:firstLineChars="200"/>
              <w:jc w:val="left"/>
              <w:textAlignment w:val="baseline"/>
              <w:rPr>
                <w:kern w:val="20"/>
                <w:sz w:val="24"/>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p>
          <w:p>
            <w:pPr>
              <w:wordWrap w:val="0"/>
              <w:topLinePunct/>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形式评审与响应性评审标准</w:t>
            </w:r>
          </w:p>
          <w:p>
            <w:pPr>
              <w:wordWrap w:val="0"/>
              <w:topLinePunct/>
              <w:spacing w:line="360" w:lineRule="auto"/>
              <w:jc w:val="left"/>
              <w:textAlignment w:val="baseline"/>
              <w:rPr>
                <w:rFonts w:asciiTheme="minorEastAsia" w:hAnsiTheme="minorEastAsia" w:eastAsiaTheme="minorEastAsia"/>
                <w:kern w:val="0"/>
                <w:szCs w:val="21"/>
              </w:rPr>
            </w:pPr>
          </w:p>
        </w:tc>
        <w:tc>
          <w:tcPr>
            <w:tcW w:w="6288" w:type="dxa"/>
          </w:tcPr>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第一个信封（商务及技术文件）评审标准：</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（1）投标文件按照招标文件规定的格式、内容填写，字迹清晰可辨，并按招标文件的要求提供了有效的证明材料：</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a.投标函按招标文件规定填报了项目名称、补遗书编号（如有）、勘察设计服务期限、质量要求及安全目标；</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b.投标文件组成齐全完整，内容均按规定填写。</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（2）投标文件上法定代表人或其委托代理人的签字、投标人的单位章盖章齐全，符合招标文件规定。</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（3） 投标人按照招标文件的规定提供了投标保证金：</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a.投标保证金金额符合招标文件规定的金额，且投标保证金有效期不少于投标有效期；</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b.若投标保证金采用现金或支票形式提交，投标人应在投标人须知前附表3.4.1款规定的时间，将投标保证金由投标人的基本账户转入招标人指定账户；</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c.若投标保证金采用银行保函或投标人须知前附表3.4.1项规定的其他形式提交，则满足招标文件要求。</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（4）投标人法定代表人授权委托代理人签署投标文件的，须提交授权委托书，且授权人和被授权人均在授权委托书上签名，未使用印章、签名章或其他电子制版签名代替。</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（5）投标人法定代表人亲自签署投标文件的，提供了法定代表人身份证明，且法定代表人在法定代表人身份证明上签名，未使用印章、签名章或其他电子制版签名代替。</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（6）投标人未以联合体形式参加投标。</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（7）投标人如有分包计划，符合招标文件第二章“投标人须知”第1.11款规定，且按招标文件第六章“投标文件格式”的要求填写了“拟分包项目情况表”。</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（8）同一投标人未提交两个以上不同的投标文件。</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（9）投标文件中未出现有关投标报价的内容。</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（10）投标文件载明的招标项目完成期限未超过招标文件规定的时限。</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（11）投标文件对招标文件的实质性要求和条件作出响应。</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（12）权利义务符合招标文件规定：</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a.投标人应接受招标文件规定的风险划分原则，未提出新的风险划分办法；</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b.投标人未增加发包人的责任范围，或减少投标人义务；</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c.投标人未提出不同的支付办法；</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d.投标人对合同纠纷、事故处理办法未提出异议；</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e.投标人在投标活动中无欺诈行为；</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f.投标人未对合同条款有重要保留。</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（13）投标文件未附有招标人不能接受的条件。</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第二个信封（报价文件）评审标准：</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（1）投标文件按照招标文件规定的格式、内容填写，字迹清晰可辨，内容齐全完整：</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a.投标函按招标文件规定填报了项目名称、补遗书编号（如有）、投标总报价（包括大写金额和小写金额）；</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b.已标价报价清单说明文字与招标文件规定一致，未进行实质性修改和删减；</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c.投标文件组成齐全完整，内容均按规定填写。</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（2）投标文件上法定代表人或其委托代理人的签字、投标人的单位章盖章齐全，符合招标文件规定。</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（3）各项投标报价均未超过招标文件设定的相应的最高投标限价。</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（4）投标总报价的大写金额能够确定具体数值。</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（5）同一投标人未提交两个以上不同的投标总报价。</w:t>
            </w:r>
          </w:p>
          <w:p>
            <w:pPr>
              <w:adjustRightInd w:val="0"/>
              <w:snapToGrid w:val="0"/>
              <w:spacing w:line="400" w:lineRule="exact"/>
              <w:ind w:firstLine="420" w:firstLineChars="200"/>
              <w:rPr>
                <w:rFonts w:asciiTheme="minorEastAsia" w:hAnsiTheme="minorEastAsia" w:eastAsiaTheme="minorEastAsia"/>
                <w:kern w:val="0"/>
                <w:szCs w:val="21"/>
              </w:rPr>
            </w:pPr>
            <w:r>
              <w:rPr>
                <w:rFonts w:hint="eastAsia" w:ascii="宋体" w:hAnsi="宋体" w:cs="宋体"/>
                <w:kern w:val="0"/>
                <w:szCs w:val="21"/>
              </w:rPr>
              <w:t>（6）投标文件对招标文件的实质性要求和条件作出响应。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wordWrap w:val="0"/>
              <w:topLinePunct/>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2.1.2</w:t>
            </w:r>
          </w:p>
        </w:tc>
        <w:tc>
          <w:tcPr>
            <w:tcW w:w="1230" w:type="dxa"/>
            <w:vAlign w:val="center"/>
          </w:tcPr>
          <w:p>
            <w:pPr>
              <w:wordWrap w:val="0"/>
              <w:topLinePunct/>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资格评审标准</w:t>
            </w:r>
          </w:p>
        </w:tc>
        <w:tc>
          <w:tcPr>
            <w:tcW w:w="6288" w:type="dxa"/>
            <w:vAlign w:val="center"/>
          </w:tcPr>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（1）投标人具备有效的组织机构代码证（如有）、勘察资质证书和</w:t>
            </w:r>
            <w:r>
              <w:rPr>
                <w:rFonts w:hint="eastAsia" w:ascii="宋体" w:hAnsi="宋体"/>
                <w:kern w:val="0"/>
                <w:szCs w:val="21"/>
              </w:rPr>
              <w:t>基本账户开户许可证（如企业所在地已取消企业银行账户许可而无法提供开户许可证的，则需附上</w:t>
            </w:r>
            <w:r>
              <w:rPr>
                <w:rFonts w:ascii="宋体" w:hAnsi="宋体"/>
                <w:kern w:val="0"/>
                <w:szCs w:val="21"/>
              </w:rPr>
              <w:t xml:space="preserve"> “基本存款账户信息”或“人民银行账户管理系统查询的基本账户信息截图”）的扫描件</w:t>
            </w:r>
            <w:r>
              <w:rPr>
                <w:rFonts w:hint="eastAsia" w:ascii="宋体" w:hAnsi="宋体"/>
                <w:kern w:val="0"/>
                <w:szCs w:val="21"/>
              </w:rPr>
              <w:t>;</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（2）投标人的资质等级符合招标文件规定。</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（3）投标人的类似项目业绩符合招标文件规定。</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（4）投标人的信誉符合招标文件规定。</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（5）投标人的项目负责人资格符合招标文件规定。</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w:t>
            </w:r>
            <w:r>
              <w:rPr>
                <w:rFonts w:hint="eastAsia" w:hAnsi="宋体" w:cs="宋体"/>
                <w:kern w:val="0"/>
                <w:szCs w:val="21"/>
              </w:rPr>
              <w:t>6</w:t>
            </w:r>
            <w:r>
              <w:rPr>
                <w:rFonts w:hint="eastAsia" w:ascii="宋体" w:hAnsi="宋体" w:cs="宋体"/>
                <w:kern w:val="0"/>
                <w:szCs w:val="21"/>
              </w:rPr>
              <w:t>）投标人的其他要求符合招标文件规定。</w:t>
            </w:r>
          </w:p>
          <w:p>
            <w:pPr>
              <w:adjustRightInd w:val="0"/>
              <w:spacing w:line="288" w:lineRule="auto"/>
              <w:ind w:firstLine="420" w:firstLineChars="200"/>
              <w:jc w:val="left"/>
              <w:textAlignment w:val="baseline"/>
              <w:rPr>
                <w:rFonts w:hAnsi="宋体" w:cs="宋体"/>
                <w:kern w:val="0"/>
                <w:szCs w:val="21"/>
              </w:rPr>
            </w:pPr>
            <w:r>
              <w:rPr>
                <w:rFonts w:hint="eastAsia" w:ascii="宋体" w:hAnsi="宋体" w:cs="宋体"/>
                <w:kern w:val="0"/>
                <w:szCs w:val="21"/>
              </w:rPr>
              <w:t>（</w:t>
            </w:r>
            <w:r>
              <w:rPr>
                <w:rFonts w:hint="eastAsia" w:hAnsi="宋体" w:cs="宋体"/>
                <w:kern w:val="0"/>
                <w:szCs w:val="21"/>
              </w:rPr>
              <w:t>7</w:t>
            </w:r>
            <w:r>
              <w:rPr>
                <w:rFonts w:hint="eastAsia" w:ascii="宋体" w:hAnsi="宋体" w:cs="宋体"/>
                <w:kern w:val="0"/>
                <w:szCs w:val="21"/>
              </w:rPr>
              <w:t>）投标人不存在第二章“投标人须知”第1.4.3项或第1.4.4项规定的任何一种情形。</w:t>
            </w:r>
          </w:p>
          <w:p>
            <w:pPr>
              <w:adjustRightInd w:val="0"/>
              <w:snapToGrid w:val="0"/>
              <w:spacing w:line="400" w:lineRule="exact"/>
              <w:ind w:firstLine="315" w:firstLineChars="150"/>
              <w:jc w:val="left"/>
              <w:textAlignment w:val="baseline"/>
              <w:rPr>
                <w:rFonts w:asciiTheme="minorEastAsia" w:hAnsiTheme="minorEastAsia" w:eastAsiaTheme="minorEastAsia"/>
                <w:kern w:val="0"/>
                <w:sz w:val="24"/>
                <w:szCs w:val="20"/>
              </w:rPr>
            </w:pPr>
            <w:r>
              <w:rPr>
                <w:rFonts w:hint="eastAsia" w:ascii="宋体" w:hAnsi="宋体" w:cs="宋体"/>
                <w:kern w:val="0"/>
                <w:szCs w:val="21"/>
              </w:rPr>
              <w:t>（</w:t>
            </w:r>
            <w:r>
              <w:rPr>
                <w:rFonts w:hint="eastAsia" w:hAnsi="宋体" w:cs="宋体"/>
                <w:kern w:val="0"/>
                <w:szCs w:val="21"/>
              </w:rPr>
              <w:t>8</w:t>
            </w:r>
            <w:r>
              <w:rPr>
                <w:rFonts w:hint="eastAsia" w:ascii="宋体" w:hAnsi="宋体" w:cs="宋体"/>
                <w:kern w:val="0"/>
                <w:szCs w:val="21"/>
              </w:rPr>
              <w:t>）投标人符合第二章“投标人须知”第1.4.5项规定。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wordWrap w:val="0"/>
              <w:topLinePunct/>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2.2.1</w:t>
            </w:r>
          </w:p>
        </w:tc>
        <w:tc>
          <w:tcPr>
            <w:tcW w:w="1230" w:type="dxa"/>
            <w:vAlign w:val="center"/>
          </w:tcPr>
          <w:p>
            <w:pPr>
              <w:spacing w:line="360" w:lineRule="auto"/>
              <w:jc w:val="center"/>
              <w:rPr>
                <w:rFonts w:asciiTheme="minorEastAsia" w:hAnsiTheme="minorEastAsia" w:eastAsiaTheme="minorEastAsia"/>
                <w:kern w:val="0"/>
                <w:szCs w:val="21"/>
              </w:rPr>
            </w:pPr>
            <w:r>
              <w:rPr>
                <w:rFonts w:asciiTheme="minorEastAsia" w:hAnsiTheme="minorEastAsia" w:eastAsiaTheme="minorEastAsia"/>
                <w:kern w:val="0"/>
                <w:szCs w:val="21"/>
              </w:rPr>
              <w:t>分值构成</w:t>
            </w:r>
          </w:p>
          <w:p>
            <w:pPr>
              <w:wordWrap w:val="0"/>
              <w:topLinePunct/>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（总分100</w:t>
            </w:r>
            <w:r>
              <w:rPr>
                <w:rFonts w:hint="eastAsia" w:asciiTheme="minorEastAsia" w:hAnsiTheme="minorEastAsia" w:eastAsiaTheme="minorEastAsia"/>
                <w:kern w:val="0"/>
                <w:szCs w:val="21"/>
              </w:rPr>
              <w:t>分</w:t>
            </w:r>
            <w:r>
              <w:rPr>
                <w:rFonts w:asciiTheme="minorEastAsia" w:hAnsiTheme="minorEastAsia" w:eastAsiaTheme="minorEastAsia"/>
                <w:kern w:val="0"/>
                <w:szCs w:val="21"/>
              </w:rPr>
              <w:t>）</w:t>
            </w:r>
          </w:p>
        </w:tc>
        <w:tc>
          <w:tcPr>
            <w:tcW w:w="6288" w:type="dxa"/>
            <w:vAlign w:val="center"/>
          </w:tcPr>
          <w:p>
            <w:pPr>
              <w:adjustRightInd w:val="0"/>
              <w:spacing w:line="360" w:lineRule="atLeast"/>
              <w:jc w:val="left"/>
              <w:textAlignment w:val="baseline"/>
              <w:rPr>
                <w:rFonts w:hAnsi="宋体" w:cs="宋体"/>
                <w:kern w:val="0"/>
                <w:sz w:val="24"/>
                <w:szCs w:val="20"/>
              </w:rPr>
            </w:pPr>
            <w:r>
              <w:rPr>
                <w:rFonts w:hint="eastAsia" w:ascii="宋体" w:hAnsi="宋体" w:cs="宋体"/>
                <w:b/>
                <w:bCs/>
                <w:kern w:val="0"/>
                <w:szCs w:val="21"/>
              </w:rPr>
              <w:t>第一个信封（商务及技术文件）评分分值构成：</w:t>
            </w:r>
            <w:r>
              <w:rPr>
                <w:rFonts w:hint="eastAsia" w:ascii="宋体" w:hAnsi="宋体" w:cs="宋体"/>
                <w:kern w:val="0"/>
                <w:sz w:val="24"/>
                <w:szCs w:val="21"/>
              </w:rPr>
              <w:t xml:space="preserve"> </w:t>
            </w:r>
          </w:p>
          <w:p>
            <w:pPr>
              <w:adjustRightInd w:val="0"/>
              <w:spacing w:line="360" w:lineRule="atLeast"/>
              <w:jc w:val="left"/>
              <w:textAlignment w:val="baseline"/>
              <w:rPr>
                <w:rFonts w:hAnsi="宋体" w:cs="宋体"/>
                <w:kern w:val="0"/>
                <w:szCs w:val="21"/>
              </w:rPr>
            </w:pPr>
            <w:r>
              <w:rPr>
                <w:rFonts w:hint="eastAsia" w:ascii="宋体" w:hAnsi="宋体" w:cs="宋体"/>
                <w:kern w:val="0"/>
                <w:szCs w:val="21"/>
              </w:rPr>
              <w:t>技术建议书：</w:t>
            </w:r>
            <w:r>
              <w:rPr>
                <w:rFonts w:hint="eastAsia" w:ascii="宋体" w:hAnsi="宋体" w:cs="宋体"/>
                <w:kern w:val="0"/>
                <w:szCs w:val="21"/>
                <w:u w:val="single"/>
              </w:rPr>
              <w:t xml:space="preserve">   3</w:t>
            </w:r>
            <w:r>
              <w:rPr>
                <w:rFonts w:hint="eastAsia" w:hAnsi="宋体" w:cs="宋体"/>
                <w:kern w:val="0"/>
                <w:szCs w:val="21"/>
                <w:u w:val="single"/>
              </w:rPr>
              <w:t>5</w:t>
            </w:r>
            <w:r>
              <w:rPr>
                <w:rFonts w:hint="eastAsia" w:ascii="宋体" w:hAnsi="宋体" w:cs="宋体"/>
                <w:kern w:val="0"/>
                <w:szCs w:val="21"/>
                <w:u w:val="single"/>
              </w:rPr>
              <w:t xml:space="preserve">   </w:t>
            </w:r>
            <w:r>
              <w:rPr>
                <w:rFonts w:hint="eastAsia" w:ascii="宋体" w:hAnsi="宋体" w:cs="宋体"/>
                <w:kern w:val="0"/>
                <w:szCs w:val="21"/>
              </w:rPr>
              <w:t xml:space="preserve">分 </w:t>
            </w:r>
          </w:p>
          <w:p>
            <w:pPr>
              <w:adjustRightInd w:val="0"/>
              <w:spacing w:line="360" w:lineRule="atLeast"/>
              <w:jc w:val="left"/>
              <w:textAlignment w:val="baseline"/>
              <w:rPr>
                <w:rFonts w:hAnsi="宋体" w:cs="宋体"/>
                <w:kern w:val="0"/>
                <w:szCs w:val="21"/>
              </w:rPr>
            </w:pPr>
            <w:r>
              <w:rPr>
                <w:rFonts w:hint="eastAsia" w:ascii="宋体" w:hAnsi="宋体" w:cs="宋体"/>
                <w:kern w:val="0"/>
                <w:szCs w:val="21"/>
              </w:rPr>
              <w:t>主要人员：</w:t>
            </w:r>
            <w:r>
              <w:rPr>
                <w:rFonts w:hint="eastAsia" w:ascii="宋体" w:hAnsi="宋体" w:cs="宋体"/>
                <w:kern w:val="0"/>
                <w:szCs w:val="21"/>
                <w:u w:val="single"/>
              </w:rPr>
              <w:t xml:space="preserve">   20   </w:t>
            </w:r>
            <w:r>
              <w:rPr>
                <w:rFonts w:hint="eastAsia" w:ascii="宋体" w:hAnsi="宋体" w:cs="宋体"/>
                <w:kern w:val="0"/>
                <w:szCs w:val="21"/>
              </w:rPr>
              <w:t xml:space="preserve">分 </w:t>
            </w:r>
          </w:p>
          <w:p>
            <w:pPr>
              <w:adjustRightInd w:val="0"/>
              <w:spacing w:line="360" w:lineRule="atLeast"/>
              <w:jc w:val="left"/>
              <w:textAlignment w:val="baseline"/>
              <w:rPr>
                <w:rFonts w:hAnsi="宋体" w:cs="宋体"/>
                <w:kern w:val="0"/>
                <w:szCs w:val="21"/>
              </w:rPr>
            </w:pPr>
            <w:r>
              <w:rPr>
                <w:rFonts w:hint="eastAsia" w:ascii="宋体" w:hAnsi="宋体" w:cs="宋体"/>
                <w:kern w:val="0"/>
                <w:szCs w:val="21"/>
              </w:rPr>
              <w:t>技术能力：</w:t>
            </w:r>
            <w:r>
              <w:rPr>
                <w:rFonts w:hint="eastAsia" w:ascii="宋体" w:hAnsi="宋体" w:cs="宋体"/>
                <w:kern w:val="0"/>
                <w:szCs w:val="21"/>
                <w:u w:val="single"/>
              </w:rPr>
              <w:t xml:space="preserve">   </w:t>
            </w:r>
            <w:r>
              <w:rPr>
                <w:rFonts w:hint="eastAsia" w:hAnsi="宋体" w:cs="宋体"/>
                <w:kern w:val="0"/>
                <w:szCs w:val="21"/>
                <w:u w:val="single"/>
              </w:rPr>
              <w:t>0</w:t>
            </w:r>
            <w:r>
              <w:rPr>
                <w:rFonts w:hint="eastAsia" w:ascii="宋体" w:hAnsi="宋体" w:cs="宋体"/>
                <w:kern w:val="0"/>
                <w:szCs w:val="21"/>
                <w:u w:val="single"/>
              </w:rPr>
              <w:t xml:space="preserve">   </w:t>
            </w:r>
            <w:r>
              <w:rPr>
                <w:rFonts w:hint="eastAsia" w:ascii="宋体" w:hAnsi="宋体" w:cs="宋体"/>
                <w:kern w:val="0"/>
                <w:szCs w:val="21"/>
              </w:rPr>
              <w:t xml:space="preserve">分 </w:t>
            </w:r>
          </w:p>
          <w:p>
            <w:pPr>
              <w:adjustRightInd w:val="0"/>
              <w:spacing w:line="360" w:lineRule="atLeast"/>
              <w:jc w:val="left"/>
              <w:textAlignment w:val="baseline"/>
              <w:rPr>
                <w:rFonts w:hAnsi="宋体" w:cs="宋体"/>
                <w:kern w:val="0"/>
                <w:szCs w:val="21"/>
              </w:rPr>
            </w:pPr>
            <w:r>
              <w:rPr>
                <w:rFonts w:hint="eastAsia" w:ascii="宋体" w:hAnsi="宋体" w:cs="宋体"/>
                <w:kern w:val="0"/>
                <w:szCs w:val="21"/>
              </w:rPr>
              <w:t>业绩：</w:t>
            </w:r>
            <w:r>
              <w:rPr>
                <w:rFonts w:hint="eastAsia" w:ascii="宋体" w:hAnsi="宋体" w:cs="宋体"/>
                <w:kern w:val="0"/>
                <w:szCs w:val="21"/>
                <w:u w:val="single"/>
              </w:rPr>
              <w:t xml:space="preserve">   25   </w:t>
            </w:r>
            <w:r>
              <w:rPr>
                <w:rFonts w:hint="eastAsia" w:ascii="宋体" w:hAnsi="宋体" w:cs="宋体"/>
                <w:kern w:val="0"/>
                <w:szCs w:val="21"/>
              </w:rPr>
              <w:t xml:space="preserve">分 </w:t>
            </w:r>
          </w:p>
          <w:p>
            <w:pPr>
              <w:adjustRightInd w:val="0"/>
              <w:spacing w:line="360" w:lineRule="atLeast"/>
              <w:jc w:val="left"/>
              <w:textAlignment w:val="baseline"/>
              <w:rPr>
                <w:rFonts w:hAnsi="宋体" w:cs="宋体"/>
                <w:kern w:val="0"/>
                <w:szCs w:val="21"/>
              </w:rPr>
            </w:pPr>
            <w:r>
              <w:rPr>
                <w:rFonts w:hint="eastAsia" w:ascii="宋体" w:hAnsi="宋体" w:cs="宋体"/>
                <w:kern w:val="0"/>
                <w:szCs w:val="21"/>
              </w:rPr>
              <w:t>履约信誉：</w:t>
            </w:r>
            <w:r>
              <w:rPr>
                <w:rFonts w:hint="eastAsia" w:ascii="宋体" w:hAnsi="宋体" w:cs="宋体"/>
                <w:kern w:val="0"/>
                <w:szCs w:val="21"/>
                <w:u w:val="single"/>
              </w:rPr>
              <w:t xml:space="preserve">   10   </w:t>
            </w:r>
            <w:r>
              <w:rPr>
                <w:rFonts w:hint="eastAsia" w:ascii="宋体" w:hAnsi="宋体" w:cs="宋体"/>
                <w:kern w:val="0"/>
                <w:szCs w:val="21"/>
              </w:rPr>
              <w:t xml:space="preserve">分 </w:t>
            </w:r>
          </w:p>
          <w:p>
            <w:pPr>
              <w:adjustRightInd w:val="0"/>
              <w:spacing w:line="360" w:lineRule="atLeast"/>
              <w:jc w:val="left"/>
              <w:textAlignment w:val="baseline"/>
              <w:rPr>
                <w:rFonts w:hAnsi="宋体" w:cs="宋体"/>
                <w:b/>
                <w:bCs/>
                <w:kern w:val="0"/>
                <w:szCs w:val="21"/>
              </w:rPr>
            </w:pPr>
            <w:r>
              <w:rPr>
                <w:rFonts w:hint="eastAsia" w:ascii="宋体" w:hAnsi="宋体" w:cs="宋体"/>
                <w:b/>
                <w:bCs/>
                <w:kern w:val="0"/>
                <w:szCs w:val="21"/>
              </w:rPr>
              <w:t>第二个信封（报价文件）评分分值构成：</w:t>
            </w:r>
          </w:p>
          <w:p>
            <w:pPr>
              <w:adjustRightInd w:val="0"/>
              <w:snapToGrid w:val="0"/>
              <w:spacing w:line="400" w:lineRule="exact"/>
              <w:jc w:val="left"/>
              <w:textAlignment w:val="baseline"/>
              <w:rPr>
                <w:rFonts w:asciiTheme="minorEastAsia" w:hAnsiTheme="minorEastAsia" w:eastAsiaTheme="minorEastAsia"/>
                <w:kern w:val="0"/>
                <w:szCs w:val="21"/>
              </w:rPr>
            </w:pPr>
            <w:r>
              <w:rPr>
                <w:rFonts w:hint="eastAsia" w:ascii="宋体" w:hAnsi="宋体" w:cs="宋体"/>
                <w:kern w:val="0"/>
                <w:szCs w:val="21"/>
              </w:rPr>
              <w:t>评标价：</w:t>
            </w:r>
            <w:r>
              <w:rPr>
                <w:rFonts w:hint="eastAsia" w:ascii="宋体" w:hAnsi="宋体" w:cs="宋体"/>
                <w:kern w:val="0"/>
                <w:szCs w:val="21"/>
                <w:u w:val="single"/>
              </w:rPr>
              <w:t xml:space="preserve">   10   </w:t>
            </w:r>
            <w:r>
              <w:rPr>
                <w:rFonts w:hint="eastAsia" w:ascii="宋体" w:hAnsi="宋体" w:cs="宋体"/>
                <w:kern w:val="0"/>
                <w:szCs w:val="21"/>
              </w:rPr>
              <w:t>分</w:t>
            </w:r>
          </w:p>
        </w:tc>
      </w:tr>
    </w:tbl>
    <w:p>
      <w:pPr>
        <w:adjustRightInd w:val="0"/>
        <w:spacing w:line="360" w:lineRule="atLeast"/>
        <w:ind w:firstLine="480" w:firstLineChars="200"/>
        <w:jc w:val="right"/>
        <w:textAlignment w:val="baseline"/>
        <w:rPr>
          <w:rFonts w:asciiTheme="minorEastAsia" w:hAnsiTheme="minorEastAsia" w:eastAsiaTheme="minorEastAsia"/>
          <w:kern w:val="0"/>
          <w:sz w:val="24"/>
          <w:szCs w:val="20"/>
        </w:rPr>
      </w:pPr>
      <w:r>
        <w:rPr>
          <w:rFonts w:asciiTheme="minorEastAsia" w:hAnsiTheme="minorEastAsia" w:eastAsiaTheme="minorEastAsia"/>
          <w:kern w:val="0"/>
          <w:sz w:val="24"/>
          <w:szCs w:val="20"/>
        </w:rPr>
        <w:br w:type="page"/>
      </w:r>
    </w:p>
    <w:tbl>
      <w:tblPr>
        <w:tblStyle w:val="11"/>
        <w:tblW w:w="8539"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218"/>
        <w:gridCol w:w="6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blHeader/>
        </w:trPr>
        <w:tc>
          <w:tcPr>
            <w:tcW w:w="1022" w:type="dxa"/>
            <w:vAlign w:val="center"/>
          </w:tcPr>
          <w:p>
            <w:pPr>
              <w:wordWrap w:val="0"/>
              <w:topLinePunct/>
              <w:spacing w:line="276" w:lineRule="auto"/>
              <w:jc w:val="center"/>
              <w:textAlignment w:val="baseline"/>
              <w:rPr>
                <w:rFonts w:asciiTheme="minorEastAsia" w:hAnsiTheme="minorEastAsia" w:eastAsiaTheme="minorEastAsia"/>
                <w:kern w:val="0"/>
                <w:sz w:val="24"/>
              </w:rPr>
            </w:pPr>
            <w:r>
              <w:rPr>
                <w:rFonts w:hint="eastAsia" w:asciiTheme="minorEastAsia" w:hAnsiTheme="minorEastAsia" w:eastAsiaTheme="minorEastAsia"/>
                <w:b/>
                <w:kern w:val="0"/>
                <w:sz w:val="24"/>
              </w:rPr>
              <w:t>条款号</w:t>
            </w:r>
          </w:p>
        </w:tc>
        <w:tc>
          <w:tcPr>
            <w:tcW w:w="1218" w:type="dxa"/>
            <w:vAlign w:val="center"/>
          </w:tcPr>
          <w:p>
            <w:pPr>
              <w:wordWrap w:val="0"/>
              <w:topLinePunct/>
              <w:spacing w:line="276" w:lineRule="auto"/>
              <w:jc w:val="center"/>
              <w:textAlignment w:val="baseline"/>
              <w:rPr>
                <w:rFonts w:asciiTheme="minorEastAsia" w:hAnsiTheme="minorEastAsia" w:eastAsiaTheme="minorEastAsia"/>
                <w:b/>
                <w:kern w:val="0"/>
                <w:sz w:val="24"/>
              </w:rPr>
            </w:pPr>
            <w:r>
              <w:rPr>
                <w:rFonts w:hint="eastAsia" w:asciiTheme="minorEastAsia" w:hAnsiTheme="minorEastAsia" w:eastAsiaTheme="minorEastAsia"/>
                <w:b/>
                <w:kern w:val="0"/>
                <w:sz w:val="24"/>
              </w:rPr>
              <w:t>条款内容</w:t>
            </w:r>
          </w:p>
        </w:tc>
        <w:tc>
          <w:tcPr>
            <w:tcW w:w="6299" w:type="dxa"/>
            <w:vAlign w:val="center"/>
          </w:tcPr>
          <w:p>
            <w:pPr>
              <w:wordWrap w:val="0"/>
              <w:topLinePunct/>
              <w:spacing w:line="276" w:lineRule="auto"/>
              <w:ind w:firstLine="482" w:firstLineChars="200"/>
              <w:jc w:val="center"/>
              <w:textAlignment w:val="baseline"/>
              <w:rPr>
                <w:rFonts w:asciiTheme="minorEastAsia" w:hAnsiTheme="minorEastAsia" w:eastAsiaTheme="minorEastAsia"/>
                <w:b/>
                <w:kern w:val="0"/>
                <w:sz w:val="24"/>
              </w:rPr>
            </w:pPr>
            <w:r>
              <w:rPr>
                <w:rFonts w:hint="eastAsia" w:asciiTheme="minorEastAsia" w:hAnsiTheme="minorEastAsia" w:eastAsiaTheme="minorEastAsia"/>
                <w:b/>
                <w:kern w:val="0"/>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0" w:hRule="atLeast"/>
        </w:trPr>
        <w:tc>
          <w:tcPr>
            <w:tcW w:w="1022" w:type="dxa"/>
            <w:vAlign w:val="center"/>
          </w:tcPr>
          <w:p>
            <w:pPr>
              <w:wordWrap w:val="0"/>
              <w:topLinePunct/>
              <w:adjustRightInd w:val="0"/>
              <w:spacing w:line="276" w:lineRule="auto"/>
              <w:jc w:val="center"/>
              <w:textAlignment w:val="baseline"/>
              <w:rPr>
                <w:rFonts w:asciiTheme="minorEastAsia" w:hAnsiTheme="minorEastAsia" w:eastAsiaTheme="minorEastAsia"/>
                <w:kern w:val="0"/>
                <w:sz w:val="24"/>
                <w:szCs w:val="20"/>
              </w:rPr>
            </w:pPr>
            <w:r>
              <w:rPr>
                <w:rFonts w:asciiTheme="minorEastAsia" w:hAnsiTheme="minorEastAsia" w:eastAsiaTheme="minorEastAsia"/>
                <w:kern w:val="0"/>
                <w:sz w:val="24"/>
                <w:szCs w:val="20"/>
              </w:rPr>
              <w:t>2.2.2</w:t>
            </w:r>
          </w:p>
        </w:tc>
        <w:tc>
          <w:tcPr>
            <w:tcW w:w="1218" w:type="dxa"/>
            <w:vAlign w:val="center"/>
          </w:tcPr>
          <w:p>
            <w:pPr>
              <w:widowControl/>
              <w:adjustRightInd w:val="0"/>
              <w:spacing w:line="360" w:lineRule="atLeast"/>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评标基准价计算方法</w:t>
            </w:r>
          </w:p>
        </w:tc>
        <w:tc>
          <w:tcPr>
            <w:tcW w:w="6299" w:type="dxa"/>
            <w:vAlign w:val="center"/>
          </w:tcPr>
          <w:p>
            <w:pPr>
              <w:adjustRightInd w:val="0"/>
              <w:spacing w:line="312" w:lineRule="auto"/>
              <w:jc w:val="left"/>
              <w:textAlignment w:val="baseline"/>
              <w:rPr>
                <w:rFonts w:hAnsi="宋体" w:cs="宋体"/>
                <w:kern w:val="0"/>
                <w:szCs w:val="21"/>
              </w:rPr>
            </w:pPr>
            <w:r>
              <w:rPr>
                <w:rFonts w:hint="eastAsia" w:ascii="宋体" w:hAnsi="宋体" w:cs="宋体"/>
                <w:kern w:val="0"/>
                <w:szCs w:val="21"/>
              </w:rPr>
              <w:t>评标基准价的计算：</w:t>
            </w:r>
          </w:p>
          <w:p>
            <w:pPr>
              <w:adjustRightInd w:val="0"/>
              <w:spacing w:line="312" w:lineRule="auto"/>
              <w:jc w:val="left"/>
              <w:textAlignment w:val="baseline"/>
              <w:rPr>
                <w:rFonts w:hAnsi="宋体" w:cs="宋体"/>
                <w:kern w:val="0"/>
                <w:szCs w:val="21"/>
              </w:rPr>
            </w:pPr>
            <w:r>
              <w:rPr>
                <w:rFonts w:hint="eastAsia" w:ascii="宋体" w:hAnsi="宋体" w:cs="宋体"/>
                <w:kern w:val="0"/>
                <w:szCs w:val="21"/>
              </w:rPr>
              <w:t>在开标现场，招标人将当场计算并宣布评标基准价。</w:t>
            </w:r>
          </w:p>
          <w:p>
            <w:pPr>
              <w:adjustRightInd w:val="0"/>
              <w:spacing w:line="312" w:lineRule="auto"/>
              <w:jc w:val="left"/>
              <w:textAlignment w:val="baseline"/>
              <w:rPr>
                <w:rFonts w:hAnsi="宋体" w:cs="宋体"/>
                <w:kern w:val="0"/>
                <w:szCs w:val="21"/>
              </w:rPr>
            </w:pPr>
            <w:r>
              <w:rPr>
                <w:rFonts w:hint="eastAsia" w:ascii="宋体" w:hAnsi="宋体" w:cs="宋体"/>
                <w:kern w:val="0"/>
                <w:szCs w:val="21"/>
              </w:rPr>
              <w:t>（1）评标价的确定：</w:t>
            </w:r>
          </w:p>
          <w:p>
            <w:pPr>
              <w:adjustRightInd w:val="0"/>
              <w:spacing w:line="312" w:lineRule="auto"/>
              <w:jc w:val="left"/>
              <w:textAlignment w:val="baseline"/>
              <w:rPr>
                <w:rFonts w:hAnsi="宋体" w:cs="宋体"/>
                <w:kern w:val="0"/>
                <w:szCs w:val="21"/>
              </w:rPr>
            </w:pPr>
            <w:r>
              <w:rPr>
                <w:rFonts w:hint="eastAsia" w:ascii="宋体" w:hAnsi="宋体" w:cs="宋体"/>
                <w:kern w:val="0"/>
                <w:szCs w:val="21"/>
              </w:rPr>
              <w:t>评标价＝投标函文字报价</w:t>
            </w:r>
          </w:p>
          <w:p>
            <w:pPr>
              <w:adjustRightInd w:val="0"/>
              <w:spacing w:line="312" w:lineRule="auto"/>
              <w:jc w:val="left"/>
              <w:textAlignment w:val="baseline"/>
              <w:rPr>
                <w:rFonts w:hAnsi="宋体" w:cs="宋体"/>
                <w:kern w:val="0"/>
                <w:szCs w:val="21"/>
              </w:rPr>
            </w:pPr>
            <w:r>
              <w:rPr>
                <w:rFonts w:hint="eastAsia" w:ascii="宋体" w:hAnsi="宋体" w:cs="宋体"/>
                <w:kern w:val="0"/>
                <w:szCs w:val="21"/>
              </w:rPr>
              <w:t>（2）最高评标限价的确定：</w:t>
            </w:r>
          </w:p>
          <w:p>
            <w:pPr>
              <w:adjustRightInd w:val="0"/>
              <w:spacing w:line="312" w:lineRule="auto"/>
              <w:jc w:val="left"/>
              <w:textAlignment w:val="baseline"/>
              <w:rPr>
                <w:rFonts w:hAnsi="宋体" w:cs="宋体"/>
                <w:kern w:val="0"/>
                <w:szCs w:val="21"/>
              </w:rPr>
            </w:pPr>
            <w:r>
              <w:rPr>
                <w:rFonts w:hint="eastAsia" w:ascii="宋体" w:hAnsi="宋体" w:cs="宋体"/>
                <w:kern w:val="0"/>
                <w:szCs w:val="21"/>
              </w:rPr>
              <w:t>①最高投标限价下浮率的确定</w:t>
            </w:r>
          </w:p>
          <w:p>
            <w:pPr>
              <w:adjustRightInd w:val="0"/>
              <w:spacing w:line="312" w:lineRule="auto"/>
              <w:jc w:val="left"/>
              <w:textAlignment w:val="baseline"/>
              <w:rPr>
                <w:rFonts w:hAnsi="宋体" w:cs="宋体"/>
                <w:kern w:val="0"/>
                <w:szCs w:val="21"/>
              </w:rPr>
            </w:pPr>
            <w:r>
              <w:rPr>
                <w:rFonts w:hint="eastAsia" w:ascii="宋体" w:hAnsi="宋体" w:cs="宋体"/>
                <w:kern w:val="0"/>
                <w:szCs w:val="21"/>
              </w:rPr>
              <w:t>下浮率在开标前在开标现场采取摇珠方式确定。摇珠操作办法如下：以0.1%为一档次增序确定摇珠号码，31个球，摇出3个球（摇出的球不放回），摇出3个球对应的下浮率的算术平均值即为本标段招标的下浮率（注：下浮率摇珠浮动区间为0%~3%（含界值），摇出3个下浮率的算术平均值四舍五入取整到0.001％）。</w:t>
            </w:r>
          </w:p>
          <w:p>
            <w:pPr>
              <w:adjustRightInd w:val="0"/>
              <w:spacing w:line="312" w:lineRule="auto"/>
              <w:jc w:val="left"/>
              <w:textAlignment w:val="baseline"/>
              <w:rPr>
                <w:rFonts w:hAnsi="宋体" w:cs="宋体"/>
                <w:kern w:val="0"/>
                <w:szCs w:val="21"/>
              </w:rPr>
            </w:pPr>
            <w:r>
              <w:rPr>
                <w:rFonts w:hint="eastAsia" w:ascii="宋体" w:hAnsi="宋体" w:cs="宋体"/>
                <w:kern w:val="0"/>
                <w:szCs w:val="21"/>
              </w:rPr>
              <w:t>②最高评标限价=最高投标限价×（1-下浮率）</w:t>
            </w:r>
          </w:p>
          <w:p>
            <w:pPr>
              <w:adjustRightInd w:val="0"/>
              <w:spacing w:line="312" w:lineRule="auto"/>
              <w:jc w:val="left"/>
              <w:textAlignment w:val="baseline"/>
              <w:rPr>
                <w:rFonts w:hAnsi="宋体" w:cs="宋体"/>
                <w:kern w:val="0"/>
                <w:szCs w:val="21"/>
              </w:rPr>
            </w:pPr>
            <w:r>
              <w:rPr>
                <w:rFonts w:hint="eastAsia" w:ascii="宋体" w:hAnsi="宋体" w:cs="宋体"/>
                <w:kern w:val="0"/>
                <w:szCs w:val="21"/>
              </w:rPr>
              <w:t>有效评标价范围：不大于最高评标限价的评标价为有效评标价。若大于最高评标限价的评标价，其评标价得分为0分。</w:t>
            </w:r>
          </w:p>
          <w:p>
            <w:pPr>
              <w:adjustRightInd w:val="0"/>
              <w:spacing w:line="312" w:lineRule="auto"/>
              <w:jc w:val="left"/>
              <w:textAlignment w:val="baseline"/>
              <w:rPr>
                <w:rFonts w:hAnsi="宋体" w:cs="宋体"/>
                <w:kern w:val="0"/>
                <w:szCs w:val="21"/>
              </w:rPr>
            </w:pPr>
            <w:r>
              <w:rPr>
                <w:rFonts w:hint="eastAsia" w:ascii="宋体" w:hAnsi="宋体" w:cs="宋体"/>
                <w:kern w:val="0"/>
                <w:szCs w:val="21"/>
              </w:rPr>
              <w:t>（3）评标基准价的确定：</w:t>
            </w:r>
          </w:p>
          <w:p>
            <w:pPr>
              <w:adjustRightInd w:val="0"/>
              <w:spacing w:line="312" w:lineRule="auto"/>
              <w:jc w:val="left"/>
              <w:textAlignment w:val="baseline"/>
              <w:rPr>
                <w:rFonts w:hAnsi="宋体" w:cs="宋体"/>
                <w:kern w:val="0"/>
                <w:szCs w:val="21"/>
              </w:rPr>
            </w:pPr>
            <w:r>
              <w:rPr>
                <w:rFonts w:hint="eastAsia" w:ascii="宋体" w:hAnsi="宋体" w:cs="宋体"/>
                <w:kern w:val="0"/>
                <w:szCs w:val="21"/>
              </w:rPr>
              <w:t>将最高评标限价下浮1%，作为评标基准价。</w:t>
            </w:r>
          </w:p>
          <w:p>
            <w:pPr>
              <w:adjustRightInd w:val="0"/>
              <w:spacing w:line="312" w:lineRule="auto"/>
              <w:jc w:val="left"/>
              <w:textAlignment w:val="baseline"/>
              <w:rPr>
                <w:rFonts w:hAnsi="宋体" w:cs="宋体"/>
                <w:kern w:val="0"/>
                <w:szCs w:val="21"/>
              </w:rPr>
            </w:pPr>
            <w:r>
              <w:rPr>
                <w:rFonts w:hint="eastAsia" w:ascii="宋体" w:hAnsi="宋体" w:cs="宋体"/>
                <w:kern w:val="0"/>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adjustRightInd w:val="0"/>
              <w:spacing w:line="400" w:lineRule="exact"/>
              <w:ind w:firstLine="420" w:firstLineChars="200"/>
              <w:jc w:val="left"/>
              <w:textAlignment w:val="baseline"/>
              <w:rPr>
                <w:rFonts w:asciiTheme="minorEastAsia" w:hAnsiTheme="minorEastAsia" w:eastAsiaTheme="minorEastAsia"/>
                <w:kern w:val="0"/>
                <w:szCs w:val="21"/>
              </w:rPr>
            </w:pPr>
            <w:r>
              <w:rPr>
                <w:rFonts w:hint="eastAsia" w:ascii="宋体" w:hAnsi="宋体" w:cs="宋体"/>
                <w:kern w:val="0"/>
                <w:szCs w:val="21"/>
              </w:rPr>
              <w:t>注：评标价平均值、最高评标限价、评标基准价均四舍五入至个位整数。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1022" w:type="dxa"/>
            <w:vAlign w:val="center"/>
          </w:tcPr>
          <w:p>
            <w:pPr>
              <w:wordWrap w:val="0"/>
              <w:topLinePunct/>
              <w:spacing w:line="276" w:lineRule="auto"/>
              <w:jc w:val="center"/>
              <w:textAlignment w:val="baseline"/>
              <w:rPr>
                <w:rFonts w:asciiTheme="minorEastAsia" w:hAnsiTheme="minorEastAsia" w:eastAsiaTheme="minorEastAsia"/>
                <w:kern w:val="0"/>
                <w:sz w:val="24"/>
                <w:szCs w:val="20"/>
              </w:rPr>
            </w:pPr>
            <w:r>
              <w:rPr>
                <w:rFonts w:asciiTheme="minorEastAsia" w:hAnsiTheme="minorEastAsia" w:eastAsiaTheme="minorEastAsia"/>
                <w:kern w:val="0"/>
                <w:sz w:val="24"/>
                <w:szCs w:val="20"/>
              </w:rPr>
              <w:t>2.2.3</w:t>
            </w:r>
          </w:p>
        </w:tc>
        <w:tc>
          <w:tcPr>
            <w:tcW w:w="1218" w:type="dxa"/>
            <w:vAlign w:val="center"/>
          </w:tcPr>
          <w:p>
            <w:pPr>
              <w:wordWrap w:val="0"/>
              <w:topLinePunct/>
              <w:spacing w:line="276" w:lineRule="auto"/>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评标价的偏差率计算公式</w:t>
            </w:r>
          </w:p>
        </w:tc>
        <w:tc>
          <w:tcPr>
            <w:tcW w:w="6299" w:type="dxa"/>
            <w:vAlign w:val="center"/>
          </w:tcPr>
          <w:p>
            <w:pPr>
              <w:adjustRightInd w:val="0"/>
              <w:spacing w:line="360" w:lineRule="atLeast"/>
              <w:jc w:val="left"/>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偏差率</w:t>
            </w:r>
            <w:r>
              <w:rPr>
                <w:rFonts w:asciiTheme="minorEastAsia" w:hAnsiTheme="minorEastAsia" w:eastAsiaTheme="minorEastAsia"/>
                <w:kern w:val="0"/>
                <w:szCs w:val="21"/>
              </w:rPr>
              <w:t>=100% ×（投标人评标价－评标基准价）/评标基准价</w:t>
            </w:r>
          </w:p>
        </w:tc>
      </w:tr>
    </w:tbl>
    <w:p>
      <w:pPr>
        <w:adjustRightInd w:val="0"/>
        <w:spacing w:line="360" w:lineRule="atLeast"/>
        <w:jc w:val="center"/>
        <w:textAlignment w:val="baseline"/>
        <w:rPr>
          <w:rFonts w:asciiTheme="minorEastAsia" w:hAnsiTheme="minorEastAsia" w:eastAsiaTheme="minorEastAsia"/>
          <w:b/>
          <w:kern w:val="0"/>
          <w:sz w:val="24"/>
          <w:szCs w:val="20"/>
        </w:rPr>
        <w:sectPr>
          <w:footnotePr>
            <w:numFmt w:val="decimalEnclosedCircleChinese"/>
            <w:numRestart w:val="eachPage"/>
          </w:footnotePr>
          <w:pgSz w:w="11900" w:h="16840"/>
          <w:pgMar w:top="1440" w:right="1797" w:bottom="1440" w:left="1797" w:header="851" w:footer="992" w:gutter="0"/>
          <w:pgNumType w:fmt="decimal"/>
          <w:cols w:space="720" w:num="1"/>
          <w:docGrid w:linePitch="326" w:charSpace="0"/>
        </w:sectPr>
      </w:pPr>
    </w:p>
    <w:p>
      <w:pPr>
        <w:adjustRightInd w:val="0"/>
        <w:spacing w:line="360" w:lineRule="atLeast"/>
        <w:textAlignment w:val="baseline"/>
        <w:rPr>
          <w:rFonts w:asciiTheme="minorEastAsia" w:hAnsiTheme="minorEastAsia" w:eastAsiaTheme="minorEastAsia"/>
          <w:kern w:val="0"/>
          <w:sz w:val="24"/>
          <w:szCs w:val="20"/>
        </w:rPr>
      </w:pPr>
      <w:r>
        <w:rPr>
          <w:rFonts w:hint="eastAsia" w:asciiTheme="minorEastAsia" w:hAnsiTheme="minorEastAsia" w:eastAsiaTheme="minorEastAsia"/>
          <w:b/>
          <w:kern w:val="0"/>
          <w:sz w:val="24"/>
          <w:szCs w:val="20"/>
        </w:rPr>
        <w:t>续上表</w:t>
      </w:r>
    </w:p>
    <w:tbl>
      <w:tblPr>
        <w:tblStyle w:val="11"/>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32"/>
        <w:gridCol w:w="566"/>
        <w:gridCol w:w="6"/>
        <w:gridCol w:w="1132"/>
        <w:gridCol w:w="1152"/>
        <w:gridCol w:w="850"/>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5098" w:type="dxa"/>
            <w:gridSpan w:val="7"/>
            <w:vAlign w:val="center"/>
          </w:tcPr>
          <w:p>
            <w:pPr>
              <w:adjustRightInd w:val="0"/>
              <w:spacing w:line="240" w:lineRule="atLeast"/>
              <w:jc w:val="center"/>
              <w:textAlignment w:val="baseline"/>
              <w:rPr>
                <w:rFonts w:asciiTheme="minorEastAsia" w:hAnsiTheme="minorEastAsia" w:eastAsiaTheme="minorEastAsia"/>
                <w:kern w:val="0"/>
                <w:szCs w:val="21"/>
                <w:u w:val="single"/>
              </w:rPr>
            </w:pPr>
            <w:r>
              <w:rPr>
                <w:rFonts w:hint="eastAsia" w:asciiTheme="minorEastAsia" w:hAnsiTheme="minorEastAsia" w:eastAsiaTheme="minorEastAsia"/>
                <w:b/>
                <w:kern w:val="0"/>
                <w:szCs w:val="21"/>
              </w:rPr>
              <w:t>评审因素与评分值</w:t>
            </w:r>
          </w:p>
        </w:tc>
        <w:tc>
          <w:tcPr>
            <w:tcW w:w="3300" w:type="dxa"/>
            <w:vMerge w:val="restart"/>
            <w:vAlign w:val="center"/>
          </w:tcPr>
          <w:p>
            <w:pPr>
              <w:adjustRightInd w:val="0"/>
              <w:spacing w:line="360" w:lineRule="auto"/>
              <w:jc w:val="center"/>
              <w:textAlignment w:val="baseline"/>
              <w:rPr>
                <w:rFonts w:asciiTheme="minorEastAsia" w:hAnsiTheme="minorEastAsia" w:eastAsiaTheme="minorEastAsia"/>
                <w:kern w:val="0"/>
                <w:szCs w:val="21"/>
              </w:rPr>
            </w:pPr>
            <w:r>
              <w:rPr>
                <w:rFonts w:hint="eastAsia" w:asciiTheme="minorEastAsia" w:hAnsiTheme="minorEastAsia" w:eastAsiaTheme="minorEastAsia"/>
                <w:b/>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blHeader/>
          <w:jc w:val="center"/>
        </w:trPr>
        <w:tc>
          <w:tcPr>
            <w:tcW w:w="860" w:type="dxa"/>
            <w:vAlign w:val="center"/>
          </w:tcPr>
          <w:p>
            <w:pPr>
              <w:adjustRightInd w:val="0"/>
              <w:spacing w:line="400" w:lineRule="exact"/>
              <w:jc w:val="center"/>
              <w:textAlignment w:val="baseline"/>
              <w:rPr>
                <w:rFonts w:asciiTheme="minorEastAsia" w:hAnsiTheme="minorEastAsia" w:eastAsiaTheme="minorEastAsia"/>
                <w:kern w:val="0"/>
                <w:szCs w:val="21"/>
              </w:rPr>
            </w:pPr>
            <w:r>
              <w:rPr>
                <w:rFonts w:hint="eastAsia" w:asciiTheme="minorEastAsia" w:hAnsiTheme="minorEastAsia" w:eastAsiaTheme="minorEastAsia"/>
                <w:b/>
                <w:kern w:val="0"/>
                <w:szCs w:val="21"/>
              </w:rPr>
              <w:t>序号</w:t>
            </w:r>
          </w:p>
        </w:tc>
        <w:tc>
          <w:tcPr>
            <w:tcW w:w="1098" w:type="dxa"/>
            <w:gridSpan w:val="2"/>
            <w:vAlign w:val="center"/>
          </w:tcPr>
          <w:p>
            <w:pPr>
              <w:adjustRightInd w:val="0"/>
              <w:spacing w:line="400" w:lineRule="exact"/>
              <w:jc w:val="center"/>
              <w:textAlignment w:val="baseline"/>
              <w:rPr>
                <w:rFonts w:asciiTheme="minorEastAsia" w:hAnsiTheme="minorEastAsia" w:eastAsiaTheme="minorEastAsia"/>
                <w:kern w:val="0"/>
                <w:szCs w:val="21"/>
              </w:rPr>
            </w:pPr>
            <w:r>
              <w:rPr>
                <w:rFonts w:hint="eastAsia" w:asciiTheme="minorEastAsia" w:hAnsiTheme="minorEastAsia" w:eastAsiaTheme="minorEastAsia"/>
                <w:b/>
                <w:kern w:val="0"/>
                <w:szCs w:val="21"/>
              </w:rPr>
              <w:t>评审因素</w:t>
            </w:r>
          </w:p>
        </w:tc>
        <w:tc>
          <w:tcPr>
            <w:tcW w:w="1138" w:type="dxa"/>
            <w:gridSpan w:val="2"/>
            <w:vAlign w:val="center"/>
          </w:tcPr>
          <w:p>
            <w:pPr>
              <w:adjustRightInd w:val="0"/>
              <w:spacing w:line="400" w:lineRule="exact"/>
              <w:jc w:val="center"/>
              <w:textAlignment w:val="baseline"/>
              <w:rPr>
                <w:rFonts w:asciiTheme="minorEastAsia" w:hAnsiTheme="minorEastAsia" w:eastAsiaTheme="minorEastAsia"/>
                <w:kern w:val="0"/>
                <w:szCs w:val="21"/>
                <w:u w:val="single"/>
              </w:rPr>
            </w:pPr>
            <w:r>
              <w:rPr>
                <w:rFonts w:hint="eastAsia" w:asciiTheme="minorEastAsia" w:hAnsiTheme="minorEastAsia" w:eastAsiaTheme="minorEastAsia"/>
                <w:b/>
                <w:kern w:val="0"/>
                <w:szCs w:val="21"/>
              </w:rPr>
              <w:t>评审因素评分值</w:t>
            </w:r>
          </w:p>
        </w:tc>
        <w:tc>
          <w:tcPr>
            <w:tcW w:w="1152" w:type="dxa"/>
            <w:vAlign w:val="center"/>
          </w:tcPr>
          <w:p>
            <w:pPr>
              <w:adjustRightInd w:val="0"/>
              <w:spacing w:line="400" w:lineRule="exact"/>
              <w:jc w:val="left"/>
              <w:textAlignment w:val="baseline"/>
              <w:rPr>
                <w:rFonts w:asciiTheme="minorEastAsia" w:hAnsiTheme="minorEastAsia" w:eastAsiaTheme="minorEastAsia"/>
                <w:kern w:val="0"/>
                <w:szCs w:val="21"/>
              </w:rPr>
            </w:pPr>
            <w:r>
              <w:rPr>
                <w:rFonts w:hint="eastAsia" w:asciiTheme="minorEastAsia" w:hAnsiTheme="minorEastAsia" w:eastAsiaTheme="minorEastAsia"/>
                <w:b/>
                <w:kern w:val="0"/>
                <w:szCs w:val="21"/>
              </w:rPr>
              <w:t>各评审因素细分项</w:t>
            </w:r>
          </w:p>
        </w:tc>
        <w:tc>
          <w:tcPr>
            <w:tcW w:w="850" w:type="dxa"/>
            <w:vAlign w:val="center"/>
          </w:tcPr>
          <w:p>
            <w:pPr>
              <w:adjustRightInd w:val="0"/>
              <w:spacing w:line="400" w:lineRule="exact"/>
              <w:jc w:val="center"/>
              <w:textAlignment w:val="baseline"/>
              <w:rPr>
                <w:rFonts w:asciiTheme="minorEastAsia" w:hAnsiTheme="minorEastAsia" w:eastAsiaTheme="minorEastAsia"/>
                <w:kern w:val="0"/>
                <w:szCs w:val="21"/>
                <w:u w:val="single"/>
              </w:rPr>
            </w:pPr>
            <w:r>
              <w:rPr>
                <w:rFonts w:hint="eastAsia" w:asciiTheme="minorEastAsia" w:hAnsiTheme="minorEastAsia" w:eastAsiaTheme="minorEastAsia"/>
                <w:b/>
                <w:kern w:val="0"/>
                <w:szCs w:val="21"/>
              </w:rPr>
              <w:t>分值</w:t>
            </w:r>
          </w:p>
        </w:tc>
        <w:tc>
          <w:tcPr>
            <w:tcW w:w="3300" w:type="dxa"/>
            <w:vMerge w:val="continue"/>
            <w:vAlign w:val="center"/>
          </w:tcPr>
          <w:p>
            <w:pPr>
              <w:adjustRightInd w:val="0"/>
              <w:spacing w:line="360" w:lineRule="auto"/>
              <w:jc w:val="left"/>
              <w:textAlignment w:val="baseline"/>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860" w:type="dxa"/>
            <w:vMerge w:val="restart"/>
            <w:vAlign w:val="center"/>
          </w:tcPr>
          <w:p>
            <w:pPr>
              <w:adjustRightInd w:val="0"/>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2.2.4（1）</w:t>
            </w:r>
          </w:p>
        </w:tc>
        <w:tc>
          <w:tcPr>
            <w:tcW w:w="1098" w:type="dxa"/>
            <w:gridSpan w:val="2"/>
            <w:vMerge w:val="restart"/>
            <w:vAlign w:val="center"/>
          </w:tcPr>
          <w:p>
            <w:pPr>
              <w:adjustRightInd w:val="0"/>
              <w:spacing w:line="360" w:lineRule="auto"/>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技术建议书</w:t>
            </w:r>
          </w:p>
        </w:tc>
        <w:tc>
          <w:tcPr>
            <w:tcW w:w="1138" w:type="dxa"/>
            <w:gridSpan w:val="2"/>
            <w:vMerge w:val="restart"/>
            <w:vAlign w:val="center"/>
          </w:tcPr>
          <w:p>
            <w:pPr>
              <w:adjustRightInd w:val="0"/>
              <w:spacing w:line="360" w:lineRule="auto"/>
              <w:jc w:val="center"/>
              <w:textAlignment w:val="baseline"/>
              <w:rPr>
                <w:rFonts w:asciiTheme="minorEastAsia" w:hAnsiTheme="minorEastAsia" w:eastAsiaTheme="minorEastAsia"/>
                <w:kern w:val="0"/>
                <w:szCs w:val="21"/>
                <w:u w:val="single"/>
              </w:rPr>
            </w:pPr>
            <w:r>
              <w:rPr>
                <w:rFonts w:asciiTheme="minorEastAsia" w:hAnsiTheme="minorEastAsia" w:eastAsiaTheme="minorEastAsia"/>
                <w:kern w:val="0"/>
                <w:szCs w:val="21"/>
                <w:u w:val="single"/>
              </w:rPr>
              <w:t>35</w:t>
            </w:r>
            <w:r>
              <w:rPr>
                <w:rFonts w:hint="eastAsia" w:asciiTheme="minorEastAsia" w:hAnsiTheme="minorEastAsia" w:eastAsiaTheme="minorEastAsia"/>
                <w:kern w:val="0"/>
                <w:szCs w:val="21"/>
              </w:rPr>
              <w:t>分</w:t>
            </w:r>
          </w:p>
        </w:tc>
        <w:tc>
          <w:tcPr>
            <w:tcW w:w="1152" w:type="dxa"/>
            <w:vAlign w:val="center"/>
          </w:tcPr>
          <w:p>
            <w:pPr>
              <w:adjustRightInd w:val="0"/>
              <w:spacing w:line="360" w:lineRule="auto"/>
              <w:jc w:val="left"/>
              <w:textAlignment w:val="baseline"/>
              <w:rPr>
                <w:rFonts w:asciiTheme="minorEastAsia" w:hAnsiTheme="minorEastAsia" w:eastAsiaTheme="minorEastAsia"/>
                <w:kern w:val="0"/>
                <w:szCs w:val="21"/>
              </w:rPr>
            </w:pPr>
            <w:r>
              <w:rPr>
                <w:rFonts w:hint="eastAsia" w:ascii="宋体" w:hAnsi="宋体" w:cs="宋体"/>
                <w:kern w:val="0"/>
                <w:szCs w:val="21"/>
              </w:rPr>
              <w:t>对招标项目的理解和总体设计思路</w:t>
            </w:r>
          </w:p>
        </w:tc>
        <w:tc>
          <w:tcPr>
            <w:tcW w:w="850" w:type="dxa"/>
            <w:vAlign w:val="center"/>
          </w:tcPr>
          <w:p>
            <w:pPr>
              <w:adjustRightInd w:val="0"/>
              <w:spacing w:line="360" w:lineRule="auto"/>
              <w:jc w:val="center"/>
              <w:textAlignment w:val="baseline"/>
              <w:rPr>
                <w:rFonts w:asciiTheme="minorEastAsia" w:hAnsiTheme="minorEastAsia" w:eastAsiaTheme="minorEastAsia"/>
                <w:kern w:val="0"/>
                <w:szCs w:val="21"/>
              </w:rPr>
            </w:pPr>
            <w:r>
              <w:rPr>
                <w:rFonts w:hint="eastAsia" w:ascii="宋体" w:hAnsi="宋体" w:cs="宋体"/>
                <w:kern w:val="0"/>
                <w:szCs w:val="21"/>
                <w:u w:val="single"/>
              </w:rPr>
              <w:t>5</w:t>
            </w:r>
            <w:r>
              <w:rPr>
                <w:rFonts w:hint="eastAsia" w:ascii="宋体" w:hAnsi="宋体" w:cs="宋体"/>
                <w:kern w:val="0"/>
                <w:szCs w:val="21"/>
              </w:rPr>
              <w:t>分</w:t>
            </w:r>
          </w:p>
        </w:tc>
        <w:tc>
          <w:tcPr>
            <w:tcW w:w="3300" w:type="dxa"/>
            <w:vAlign w:val="center"/>
          </w:tcPr>
          <w:p>
            <w:pPr>
              <w:topLinePunct/>
              <w:adjustRightInd w:val="0"/>
              <w:spacing w:line="320" w:lineRule="exact"/>
              <w:jc w:val="left"/>
              <w:textAlignment w:val="baseline"/>
              <w:rPr>
                <w:rFonts w:hAnsi="宋体"/>
                <w:kern w:val="0"/>
                <w:szCs w:val="21"/>
              </w:rPr>
            </w:pPr>
            <w:r>
              <w:rPr>
                <w:rFonts w:hint="eastAsia" w:ascii="宋体" w:hAnsi="宋体"/>
                <w:kern w:val="0"/>
                <w:szCs w:val="21"/>
              </w:rPr>
              <w:t>根据对勘察设计工作范围和任务描述准确程度和总体设计思路清晰、切实可行程度：</w:t>
            </w:r>
          </w:p>
          <w:p>
            <w:pPr>
              <w:topLinePunct/>
              <w:adjustRightInd w:val="0"/>
              <w:spacing w:line="320" w:lineRule="exact"/>
              <w:jc w:val="left"/>
              <w:textAlignment w:val="baseline"/>
              <w:rPr>
                <w:rFonts w:hAnsi="宋体"/>
                <w:kern w:val="0"/>
                <w:szCs w:val="21"/>
              </w:rPr>
            </w:pPr>
            <w:r>
              <w:rPr>
                <w:rFonts w:hint="eastAsia" w:ascii="宋体" w:hAnsi="宋体"/>
                <w:kern w:val="0"/>
                <w:szCs w:val="21"/>
              </w:rPr>
              <w:t>思路清晰、切实可行程度高，得</w:t>
            </w:r>
            <w:r>
              <w:rPr>
                <w:rFonts w:hAnsi="宋体"/>
                <w:kern w:val="0"/>
                <w:szCs w:val="22"/>
              </w:rPr>
              <w:t>4.1</w:t>
            </w:r>
            <w:r>
              <w:rPr>
                <w:rFonts w:hint="eastAsia" w:ascii="宋体" w:hAnsi="宋体"/>
                <w:kern w:val="0"/>
                <w:szCs w:val="21"/>
              </w:rPr>
              <w:t>～</w:t>
            </w:r>
            <w:r>
              <w:rPr>
                <w:rFonts w:hAnsi="宋体"/>
                <w:kern w:val="0"/>
                <w:szCs w:val="22"/>
              </w:rPr>
              <w:t>5.0</w:t>
            </w:r>
            <w:r>
              <w:rPr>
                <w:rFonts w:hint="eastAsia" w:ascii="宋体" w:hAnsi="宋体"/>
                <w:kern w:val="0"/>
                <w:szCs w:val="21"/>
              </w:rPr>
              <w:t>分；思路比较清晰、切实可行程度较好，得</w:t>
            </w:r>
            <w:r>
              <w:rPr>
                <w:rFonts w:hAnsi="宋体"/>
                <w:kern w:val="0"/>
                <w:szCs w:val="22"/>
              </w:rPr>
              <w:t>3.1</w:t>
            </w:r>
            <w:r>
              <w:rPr>
                <w:rFonts w:hint="eastAsia" w:ascii="宋体" w:hAnsi="宋体"/>
                <w:kern w:val="0"/>
                <w:szCs w:val="21"/>
              </w:rPr>
              <w:t>～</w:t>
            </w:r>
            <w:r>
              <w:rPr>
                <w:rFonts w:hAnsi="宋体"/>
                <w:kern w:val="0"/>
                <w:szCs w:val="22"/>
              </w:rPr>
              <w:t>4.0</w:t>
            </w:r>
            <w:r>
              <w:rPr>
                <w:rFonts w:hint="eastAsia" w:ascii="宋体" w:hAnsi="宋体"/>
                <w:kern w:val="0"/>
                <w:szCs w:val="21"/>
              </w:rPr>
              <w:t>分；</w:t>
            </w:r>
          </w:p>
          <w:p>
            <w:pPr>
              <w:adjustRightInd w:val="0"/>
              <w:snapToGrid w:val="0"/>
              <w:spacing w:line="400" w:lineRule="exact"/>
              <w:jc w:val="left"/>
              <w:textAlignment w:val="baseline"/>
              <w:rPr>
                <w:rFonts w:cs="宋体" w:asciiTheme="minorEastAsia" w:hAnsiTheme="minorEastAsia" w:eastAsiaTheme="minorEastAsia"/>
                <w:kern w:val="0"/>
                <w:szCs w:val="21"/>
              </w:rPr>
            </w:pPr>
            <w:r>
              <w:rPr>
                <w:rFonts w:hint="eastAsia" w:ascii="宋体" w:hAnsi="宋体"/>
                <w:kern w:val="0"/>
                <w:szCs w:val="21"/>
              </w:rPr>
              <w:t>思路清楚、切实可行，得</w:t>
            </w:r>
            <w:r>
              <w:rPr>
                <w:rFonts w:hAnsi="宋体"/>
                <w:kern w:val="0"/>
                <w:szCs w:val="22"/>
              </w:rPr>
              <w:t>3</w:t>
            </w:r>
            <w:r>
              <w:rPr>
                <w:rFonts w:ascii="宋体" w:hAnsi="宋体"/>
                <w:kern w:val="0"/>
                <w:szCs w:val="21"/>
              </w:rPr>
              <w:t>.0</w:t>
            </w:r>
            <w:r>
              <w:rPr>
                <w:rFonts w:hint="eastAsia" w:ascii="宋体" w:hAnsi="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0" w:hRule="atLeast"/>
          <w:jc w:val="center"/>
        </w:trPr>
        <w:tc>
          <w:tcPr>
            <w:tcW w:w="860" w:type="dxa"/>
            <w:vMerge w:val="continue"/>
            <w:vAlign w:val="center"/>
          </w:tcPr>
          <w:p>
            <w:pPr>
              <w:adjustRightInd w:val="0"/>
              <w:spacing w:line="360" w:lineRule="auto"/>
              <w:jc w:val="center"/>
              <w:textAlignment w:val="baseline"/>
              <w:rPr>
                <w:rFonts w:asciiTheme="minorEastAsia" w:hAnsiTheme="minorEastAsia" w:eastAsiaTheme="minorEastAsia"/>
                <w:kern w:val="0"/>
                <w:szCs w:val="21"/>
              </w:rPr>
            </w:pPr>
          </w:p>
        </w:tc>
        <w:tc>
          <w:tcPr>
            <w:tcW w:w="1098" w:type="dxa"/>
            <w:gridSpan w:val="2"/>
            <w:vMerge w:val="continue"/>
            <w:vAlign w:val="center"/>
          </w:tcPr>
          <w:p>
            <w:pPr>
              <w:adjustRightInd w:val="0"/>
              <w:spacing w:line="360" w:lineRule="auto"/>
              <w:jc w:val="left"/>
              <w:textAlignment w:val="baseline"/>
              <w:rPr>
                <w:rFonts w:asciiTheme="minorEastAsia" w:hAnsiTheme="minorEastAsia" w:eastAsiaTheme="minorEastAsia"/>
                <w:kern w:val="0"/>
                <w:szCs w:val="21"/>
              </w:rPr>
            </w:pPr>
          </w:p>
        </w:tc>
        <w:tc>
          <w:tcPr>
            <w:tcW w:w="1138" w:type="dxa"/>
            <w:gridSpan w:val="2"/>
            <w:vMerge w:val="continue"/>
            <w:vAlign w:val="center"/>
          </w:tcPr>
          <w:p>
            <w:pPr>
              <w:adjustRightInd w:val="0"/>
              <w:spacing w:line="360" w:lineRule="auto"/>
              <w:jc w:val="center"/>
              <w:textAlignment w:val="baseline"/>
              <w:rPr>
                <w:rFonts w:asciiTheme="minorEastAsia" w:hAnsiTheme="minorEastAsia" w:eastAsiaTheme="minorEastAsia"/>
                <w:kern w:val="0"/>
                <w:szCs w:val="21"/>
                <w:u w:val="single"/>
              </w:rPr>
            </w:pPr>
          </w:p>
        </w:tc>
        <w:tc>
          <w:tcPr>
            <w:tcW w:w="1152" w:type="dxa"/>
            <w:vAlign w:val="center"/>
          </w:tcPr>
          <w:p>
            <w:pPr>
              <w:adjustRightInd w:val="0"/>
              <w:spacing w:line="360" w:lineRule="auto"/>
              <w:jc w:val="left"/>
              <w:textAlignment w:val="baseline"/>
              <w:rPr>
                <w:rFonts w:asciiTheme="minorEastAsia" w:hAnsiTheme="minorEastAsia" w:eastAsiaTheme="minorEastAsia"/>
                <w:kern w:val="0"/>
                <w:szCs w:val="21"/>
              </w:rPr>
            </w:pPr>
            <w:r>
              <w:rPr>
                <w:rFonts w:hint="eastAsia" w:ascii="宋体" w:hAnsi="宋体" w:cs="宋体"/>
                <w:kern w:val="0"/>
                <w:szCs w:val="21"/>
              </w:rPr>
              <w:t>招标项目勘察设计的特点、关键技术问题的认识及其对策措施</w:t>
            </w:r>
          </w:p>
        </w:tc>
        <w:tc>
          <w:tcPr>
            <w:tcW w:w="850" w:type="dxa"/>
            <w:vAlign w:val="center"/>
          </w:tcPr>
          <w:p>
            <w:pPr>
              <w:adjustRightInd w:val="0"/>
              <w:spacing w:line="360" w:lineRule="auto"/>
              <w:jc w:val="center"/>
              <w:textAlignment w:val="baseline"/>
              <w:rPr>
                <w:rFonts w:asciiTheme="minorEastAsia" w:hAnsiTheme="minorEastAsia" w:eastAsiaTheme="minorEastAsia"/>
                <w:kern w:val="0"/>
                <w:szCs w:val="21"/>
              </w:rPr>
            </w:pPr>
            <w:r>
              <w:rPr>
                <w:rFonts w:hint="eastAsia" w:ascii="宋体" w:hAnsi="宋体" w:cs="宋体"/>
                <w:kern w:val="0"/>
                <w:szCs w:val="21"/>
                <w:u w:val="single"/>
              </w:rPr>
              <w:t>10</w:t>
            </w:r>
            <w:r>
              <w:rPr>
                <w:rFonts w:hint="eastAsia" w:ascii="宋体" w:hAnsi="宋体" w:cs="宋体"/>
                <w:kern w:val="0"/>
                <w:szCs w:val="21"/>
              </w:rPr>
              <w:t>分</w:t>
            </w:r>
          </w:p>
        </w:tc>
        <w:tc>
          <w:tcPr>
            <w:tcW w:w="3300" w:type="dxa"/>
            <w:vAlign w:val="center"/>
          </w:tcPr>
          <w:p>
            <w:pPr>
              <w:topLinePunct/>
              <w:adjustRightInd w:val="0"/>
              <w:spacing w:line="320" w:lineRule="exact"/>
              <w:jc w:val="left"/>
              <w:textAlignment w:val="baseline"/>
              <w:rPr>
                <w:rFonts w:hAnsi="宋体"/>
                <w:kern w:val="0"/>
                <w:szCs w:val="21"/>
              </w:rPr>
            </w:pPr>
            <w:r>
              <w:rPr>
                <w:rFonts w:hint="eastAsia" w:ascii="宋体" w:hAnsi="宋体"/>
                <w:kern w:val="0"/>
                <w:szCs w:val="21"/>
              </w:rPr>
              <w:t>根据对项目特点、关键技术问题的把握程度和初步设计、施工图设计应着重解决的技术问题所提出处理措施的可行性程度：</w:t>
            </w:r>
          </w:p>
          <w:p>
            <w:pPr>
              <w:topLinePunct/>
              <w:adjustRightInd w:val="0"/>
              <w:spacing w:line="320" w:lineRule="exact"/>
              <w:jc w:val="left"/>
              <w:textAlignment w:val="baseline"/>
              <w:rPr>
                <w:rFonts w:hAnsi="宋体"/>
                <w:kern w:val="0"/>
                <w:szCs w:val="21"/>
              </w:rPr>
            </w:pPr>
            <w:r>
              <w:rPr>
                <w:rFonts w:hint="eastAsia" w:ascii="宋体" w:hAnsi="宋体"/>
                <w:kern w:val="0"/>
                <w:szCs w:val="21"/>
              </w:rPr>
              <w:t>可行性程度高，得8.1～10分；</w:t>
            </w:r>
          </w:p>
          <w:p>
            <w:pPr>
              <w:topLinePunct/>
              <w:adjustRightInd w:val="0"/>
              <w:spacing w:line="320" w:lineRule="exact"/>
              <w:jc w:val="left"/>
              <w:textAlignment w:val="baseline"/>
              <w:rPr>
                <w:rFonts w:hAnsi="宋体"/>
                <w:kern w:val="0"/>
                <w:szCs w:val="21"/>
              </w:rPr>
            </w:pPr>
            <w:r>
              <w:rPr>
                <w:rFonts w:hint="eastAsia" w:ascii="宋体" w:hAnsi="宋体"/>
                <w:kern w:val="0"/>
                <w:szCs w:val="21"/>
              </w:rPr>
              <w:t>可行性程度较好，得6.1～8.0分；</w:t>
            </w:r>
          </w:p>
          <w:p>
            <w:pPr>
              <w:numPr>
                <w:ilvl w:val="255"/>
                <w:numId w:val="0"/>
              </w:numPr>
              <w:adjustRightInd w:val="0"/>
              <w:snapToGrid w:val="0"/>
              <w:spacing w:line="400" w:lineRule="exact"/>
              <w:jc w:val="left"/>
              <w:textAlignment w:val="baseline"/>
              <w:rPr>
                <w:rFonts w:cs="宋体" w:asciiTheme="minorEastAsia" w:hAnsiTheme="minorEastAsia" w:eastAsiaTheme="minorEastAsia"/>
                <w:kern w:val="0"/>
                <w:szCs w:val="21"/>
              </w:rPr>
            </w:pPr>
            <w:r>
              <w:rPr>
                <w:rFonts w:hint="eastAsia" w:ascii="宋体" w:hAnsi="宋体"/>
                <w:kern w:val="0"/>
                <w:szCs w:val="21"/>
              </w:rPr>
              <w:t>措施可行，得6</w:t>
            </w:r>
            <w:r>
              <w:rPr>
                <w:rFonts w:ascii="宋体" w:hAnsi="宋体"/>
                <w:kern w:val="0"/>
                <w:szCs w:val="21"/>
              </w:rPr>
              <w:t>.0</w:t>
            </w:r>
            <w:r>
              <w:rPr>
                <w:rFonts w:hint="eastAsia" w:ascii="宋体" w:hAnsi="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0" w:hRule="atLeast"/>
          <w:jc w:val="center"/>
        </w:trPr>
        <w:tc>
          <w:tcPr>
            <w:tcW w:w="860" w:type="dxa"/>
            <w:vMerge w:val="continue"/>
            <w:vAlign w:val="center"/>
          </w:tcPr>
          <w:p>
            <w:pPr>
              <w:adjustRightInd w:val="0"/>
              <w:spacing w:line="360" w:lineRule="auto"/>
              <w:jc w:val="center"/>
              <w:textAlignment w:val="baseline"/>
              <w:rPr>
                <w:rFonts w:asciiTheme="minorEastAsia" w:hAnsiTheme="minorEastAsia" w:eastAsiaTheme="minorEastAsia"/>
                <w:kern w:val="0"/>
                <w:szCs w:val="21"/>
              </w:rPr>
            </w:pPr>
          </w:p>
        </w:tc>
        <w:tc>
          <w:tcPr>
            <w:tcW w:w="1098" w:type="dxa"/>
            <w:gridSpan w:val="2"/>
            <w:vMerge w:val="continue"/>
            <w:vAlign w:val="center"/>
          </w:tcPr>
          <w:p>
            <w:pPr>
              <w:adjustRightInd w:val="0"/>
              <w:spacing w:line="360" w:lineRule="auto"/>
              <w:jc w:val="left"/>
              <w:textAlignment w:val="baseline"/>
              <w:rPr>
                <w:rFonts w:asciiTheme="minorEastAsia" w:hAnsiTheme="minorEastAsia" w:eastAsiaTheme="minorEastAsia"/>
                <w:kern w:val="0"/>
                <w:szCs w:val="21"/>
              </w:rPr>
            </w:pPr>
          </w:p>
        </w:tc>
        <w:tc>
          <w:tcPr>
            <w:tcW w:w="1138" w:type="dxa"/>
            <w:gridSpan w:val="2"/>
            <w:vMerge w:val="continue"/>
            <w:vAlign w:val="center"/>
          </w:tcPr>
          <w:p>
            <w:pPr>
              <w:adjustRightInd w:val="0"/>
              <w:spacing w:line="360" w:lineRule="auto"/>
              <w:jc w:val="center"/>
              <w:textAlignment w:val="baseline"/>
              <w:rPr>
                <w:rFonts w:asciiTheme="minorEastAsia" w:hAnsiTheme="minorEastAsia" w:eastAsiaTheme="minorEastAsia"/>
                <w:kern w:val="0"/>
                <w:szCs w:val="21"/>
                <w:u w:val="single"/>
              </w:rPr>
            </w:pPr>
          </w:p>
        </w:tc>
        <w:tc>
          <w:tcPr>
            <w:tcW w:w="1152" w:type="dxa"/>
            <w:vAlign w:val="center"/>
          </w:tcPr>
          <w:p>
            <w:pPr>
              <w:adjustRightInd w:val="0"/>
              <w:spacing w:line="360" w:lineRule="auto"/>
              <w:jc w:val="left"/>
              <w:textAlignment w:val="baseline"/>
              <w:rPr>
                <w:rFonts w:ascii="宋体" w:hAnsi="宋体" w:cs="宋体"/>
                <w:kern w:val="0"/>
                <w:szCs w:val="21"/>
              </w:rPr>
            </w:pPr>
            <w:r>
              <w:rPr>
                <w:rFonts w:hint="eastAsia" w:ascii="宋体" w:hAnsi="宋体" w:cs="宋体"/>
                <w:kern w:val="0"/>
                <w:szCs w:val="21"/>
              </w:rPr>
              <w:t>勘察设计工作量及计划安排</w:t>
            </w:r>
          </w:p>
        </w:tc>
        <w:tc>
          <w:tcPr>
            <w:tcW w:w="850" w:type="dxa"/>
            <w:vAlign w:val="center"/>
          </w:tcPr>
          <w:p>
            <w:pPr>
              <w:adjustRightInd w:val="0"/>
              <w:spacing w:line="360" w:lineRule="auto"/>
              <w:jc w:val="center"/>
              <w:textAlignment w:val="baseline"/>
              <w:rPr>
                <w:rFonts w:ascii="宋体" w:hAnsi="宋体" w:cs="宋体"/>
                <w:kern w:val="0"/>
                <w:szCs w:val="21"/>
                <w:u w:val="single"/>
              </w:rPr>
            </w:pPr>
            <w:r>
              <w:rPr>
                <w:rFonts w:hint="eastAsia" w:ascii="宋体" w:hAnsi="宋体" w:cs="宋体"/>
                <w:kern w:val="0"/>
                <w:szCs w:val="21"/>
                <w:u w:val="single"/>
              </w:rPr>
              <w:t>5</w:t>
            </w:r>
            <w:r>
              <w:rPr>
                <w:rFonts w:hint="eastAsia" w:ascii="宋体" w:hAnsi="宋体" w:cs="宋体"/>
                <w:kern w:val="0"/>
                <w:szCs w:val="21"/>
              </w:rPr>
              <w:t>分</w:t>
            </w:r>
          </w:p>
        </w:tc>
        <w:tc>
          <w:tcPr>
            <w:tcW w:w="3300" w:type="dxa"/>
            <w:vAlign w:val="center"/>
          </w:tcPr>
          <w:p>
            <w:pPr>
              <w:topLinePunct/>
              <w:adjustRightInd w:val="0"/>
              <w:spacing w:line="320" w:lineRule="exact"/>
              <w:jc w:val="left"/>
              <w:textAlignment w:val="baseline"/>
              <w:rPr>
                <w:rFonts w:hAnsi="宋体"/>
                <w:kern w:val="0"/>
                <w:szCs w:val="21"/>
              </w:rPr>
            </w:pPr>
            <w:r>
              <w:rPr>
                <w:rFonts w:hint="eastAsia" w:ascii="宋体" w:hAnsi="宋体"/>
                <w:kern w:val="0"/>
                <w:szCs w:val="21"/>
              </w:rPr>
              <w:t>根据工作计划实施、安排的合理程度：</w:t>
            </w:r>
          </w:p>
          <w:p>
            <w:pPr>
              <w:topLinePunct/>
              <w:adjustRightInd w:val="0"/>
              <w:spacing w:line="320" w:lineRule="exact"/>
              <w:jc w:val="left"/>
              <w:textAlignment w:val="baseline"/>
              <w:rPr>
                <w:rFonts w:hAnsi="宋体"/>
                <w:kern w:val="0"/>
                <w:szCs w:val="21"/>
              </w:rPr>
            </w:pPr>
            <w:r>
              <w:rPr>
                <w:rFonts w:hint="eastAsia" w:ascii="宋体" w:hAnsi="宋体"/>
                <w:kern w:val="0"/>
                <w:szCs w:val="21"/>
              </w:rPr>
              <w:t>合理程度高，得4.1～5.0分；</w:t>
            </w:r>
          </w:p>
          <w:p>
            <w:pPr>
              <w:topLinePunct/>
              <w:adjustRightInd w:val="0"/>
              <w:spacing w:line="320" w:lineRule="exact"/>
              <w:jc w:val="left"/>
              <w:textAlignment w:val="baseline"/>
              <w:rPr>
                <w:rFonts w:hAnsi="宋体"/>
                <w:kern w:val="0"/>
                <w:szCs w:val="21"/>
              </w:rPr>
            </w:pPr>
            <w:r>
              <w:rPr>
                <w:rFonts w:hint="eastAsia" w:ascii="宋体" w:hAnsi="宋体"/>
                <w:kern w:val="0"/>
                <w:szCs w:val="21"/>
              </w:rPr>
              <w:t>合理程度较好，得3.1～4.0分；</w:t>
            </w:r>
          </w:p>
          <w:p>
            <w:pPr>
              <w:topLinePunct/>
              <w:adjustRightInd w:val="0"/>
              <w:spacing w:line="320" w:lineRule="exact"/>
              <w:jc w:val="left"/>
              <w:textAlignment w:val="baseline"/>
              <w:rPr>
                <w:rFonts w:ascii="宋体" w:hAnsi="宋体"/>
                <w:kern w:val="0"/>
                <w:szCs w:val="21"/>
              </w:rPr>
            </w:pPr>
            <w:r>
              <w:rPr>
                <w:rFonts w:hint="eastAsia" w:ascii="宋体" w:hAnsi="宋体"/>
                <w:kern w:val="0"/>
                <w:szCs w:val="21"/>
              </w:rPr>
              <w:t>相对合理，得3.0分。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0" w:type="dxa"/>
            <w:vMerge w:val="continue"/>
            <w:vAlign w:val="center"/>
          </w:tcPr>
          <w:p>
            <w:pPr>
              <w:adjustRightInd w:val="0"/>
              <w:spacing w:line="360" w:lineRule="auto"/>
              <w:jc w:val="center"/>
              <w:textAlignment w:val="baseline"/>
              <w:rPr>
                <w:rFonts w:asciiTheme="minorEastAsia" w:hAnsiTheme="minorEastAsia" w:eastAsiaTheme="minorEastAsia"/>
                <w:kern w:val="0"/>
                <w:szCs w:val="21"/>
              </w:rPr>
            </w:pPr>
          </w:p>
        </w:tc>
        <w:tc>
          <w:tcPr>
            <w:tcW w:w="1098" w:type="dxa"/>
            <w:gridSpan w:val="2"/>
            <w:vMerge w:val="continue"/>
            <w:vAlign w:val="center"/>
          </w:tcPr>
          <w:p>
            <w:pPr>
              <w:adjustRightInd w:val="0"/>
              <w:spacing w:line="360" w:lineRule="auto"/>
              <w:jc w:val="left"/>
              <w:textAlignment w:val="baseline"/>
              <w:rPr>
                <w:rFonts w:asciiTheme="minorEastAsia" w:hAnsiTheme="minorEastAsia" w:eastAsiaTheme="minorEastAsia"/>
                <w:kern w:val="0"/>
                <w:szCs w:val="21"/>
              </w:rPr>
            </w:pPr>
          </w:p>
        </w:tc>
        <w:tc>
          <w:tcPr>
            <w:tcW w:w="1138" w:type="dxa"/>
            <w:gridSpan w:val="2"/>
            <w:vMerge w:val="continue"/>
            <w:vAlign w:val="center"/>
          </w:tcPr>
          <w:p>
            <w:pPr>
              <w:adjustRightInd w:val="0"/>
              <w:spacing w:line="360" w:lineRule="auto"/>
              <w:jc w:val="center"/>
              <w:textAlignment w:val="baseline"/>
              <w:rPr>
                <w:rFonts w:asciiTheme="minorEastAsia" w:hAnsiTheme="minorEastAsia" w:eastAsiaTheme="minorEastAsia"/>
                <w:kern w:val="0"/>
                <w:szCs w:val="21"/>
                <w:u w:val="single"/>
              </w:rPr>
            </w:pPr>
          </w:p>
        </w:tc>
        <w:tc>
          <w:tcPr>
            <w:tcW w:w="1152" w:type="dxa"/>
            <w:vAlign w:val="center"/>
          </w:tcPr>
          <w:p>
            <w:pPr>
              <w:adjustRightInd w:val="0"/>
              <w:spacing w:line="360" w:lineRule="auto"/>
              <w:jc w:val="left"/>
              <w:textAlignment w:val="baseline"/>
              <w:rPr>
                <w:rFonts w:asciiTheme="minorEastAsia" w:hAnsiTheme="minorEastAsia" w:eastAsiaTheme="minorEastAsia"/>
                <w:kern w:val="0"/>
                <w:szCs w:val="21"/>
              </w:rPr>
            </w:pPr>
            <w:r>
              <w:rPr>
                <w:rFonts w:hint="eastAsia" w:ascii="宋体" w:hAnsi="宋体" w:cs="宋体"/>
                <w:kern w:val="0"/>
                <w:szCs w:val="21"/>
              </w:rPr>
              <w:t>勘察设计的质量保证措施、进度保证措施</w:t>
            </w:r>
          </w:p>
        </w:tc>
        <w:tc>
          <w:tcPr>
            <w:tcW w:w="850" w:type="dxa"/>
            <w:shd w:val="clear" w:color="auto" w:fill="auto"/>
            <w:vAlign w:val="center"/>
          </w:tcPr>
          <w:p>
            <w:pPr>
              <w:adjustRightInd w:val="0"/>
              <w:spacing w:line="360" w:lineRule="auto"/>
              <w:jc w:val="center"/>
              <w:textAlignment w:val="baseline"/>
              <w:rPr>
                <w:rFonts w:asciiTheme="minorEastAsia" w:hAnsiTheme="minorEastAsia" w:eastAsiaTheme="minorEastAsia"/>
                <w:kern w:val="0"/>
                <w:szCs w:val="21"/>
              </w:rPr>
            </w:pPr>
            <w:r>
              <w:rPr>
                <w:rFonts w:hint="eastAsia" w:hAnsi="宋体" w:cs="宋体"/>
                <w:kern w:val="0"/>
                <w:szCs w:val="21"/>
                <w:u w:val="single"/>
              </w:rPr>
              <w:t>10</w:t>
            </w:r>
            <w:r>
              <w:rPr>
                <w:rFonts w:hint="eastAsia" w:ascii="宋体" w:hAnsi="宋体" w:cs="宋体"/>
                <w:kern w:val="0"/>
                <w:szCs w:val="21"/>
              </w:rPr>
              <w:t>分</w:t>
            </w:r>
          </w:p>
        </w:tc>
        <w:tc>
          <w:tcPr>
            <w:tcW w:w="3300" w:type="dxa"/>
            <w:shd w:val="clear" w:color="auto" w:fill="auto"/>
            <w:vAlign w:val="center"/>
          </w:tcPr>
          <w:p>
            <w:pPr>
              <w:topLinePunct/>
              <w:adjustRightInd w:val="0"/>
              <w:spacing w:line="320" w:lineRule="exact"/>
              <w:jc w:val="left"/>
              <w:textAlignment w:val="baseline"/>
              <w:rPr>
                <w:rFonts w:hAnsi="宋体"/>
                <w:kern w:val="0"/>
                <w:szCs w:val="21"/>
              </w:rPr>
            </w:pPr>
            <w:r>
              <w:rPr>
                <w:rFonts w:hint="eastAsia" w:hAnsi="宋体"/>
                <w:kern w:val="0"/>
                <w:szCs w:val="21"/>
              </w:rPr>
              <w:t>措施可行，且同时具有质量管理体系认证、职业健康安全管理体系认证、环境管理体系认证、知识产权管理体系认证证书，得10分；措施可行，得6分。本项最多得10分。</w:t>
            </w:r>
          </w:p>
          <w:p>
            <w:pPr>
              <w:topLinePunct/>
              <w:adjustRightInd w:val="0"/>
              <w:spacing w:line="320" w:lineRule="exact"/>
              <w:jc w:val="left"/>
              <w:textAlignment w:val="baseline"/>
              <w:rPr>
                <w:rFonts w:hAnsi="宋体"/>
                <w:kern w:val="0"/>
                <w:szCs w:val="21"/>
              </w:rPr>
            </w:pPr>
            <w:r>
              <w:rPr>
                <w:rFonts w:hint="eastAsia" w:ascii="宋体" w:hAnsi="宋体"/>
                <w:kern w:val="0"/>
                <w:szCs w:val="21"/>
              </w:rPr>
              <w:t>注：1.认证体系以提供处于有效期内的证书复印</w:t>
            </w:r>
          </w:p>
          <w:p>
            <w:pPr>
              <w:topLinePunct/>
              <w:adjustRightInd w:val="0"/>
              <w:spacing w:line="320" w:lineRule="exact"/>
              <w:jc w:val="left"/>
              <w:textAlignment w:val="baseline"/>
              <w:rPr>
                <w:rFonts w:hAnsi="宋体"/>
                <w:kern w:val="0"/>
                <w:szCs w:val="21"/>
              </w:rPr>
            </w:pPr>
            <w:r>
              <w:rPr>
                <w:rFonts w:hint="eastAsia" w:ascii="宋体" w:hAnsi="宋体"/>
                <w:kern w:val="0"/>
                <w:szCs w:val="21"/>
              </w:rPr>
              <w:t>件或扫描件，上述管理体系认证还需提供全国认</w:t>
            </w:r>
          </w:p>
          <w:p>
            <w:pPr>
              <w:topLinePunct/>
              <w:adjustRightInd w:val="0"/>
              <w:spacing w:line="320" w:lineRule="exact"/>
              <w:jc w:val="left"/>
              <w:textAlignment w:val="baseline"/>
              <w:rPr>
                <w:rFonts w:hAnsi="宋体"/>
                <w:kern w:val="0"/>
                <w:szCs w:val="21"/>
              </w:rPr>
            </w:pPr>
            <w:r>
              <w:rPr>
                <w:rFonts w:hint="eastAsia" w:ascii="宋体" w:hAnsi="宋体"/>
                <w:kern w:val="0"/>
                <w:szCs w:val="21"/>
              </w:rPr>
              <w:t>证认可信息公共服务平台（http://cx.cnca.cn/）的查询截图。</w:t>
            </w:r>
          </w:p>
          <w:p>
            <w:pPr>
              <w:adjustRightInd w:val="0"/>
              <w:snapToGrid w:val="0"/>
              <w:spacing w:line="400" w:lineRule="exact"/>
              <w:textAlignment w:val="baseline"/>
              <w:rPr>
                <w:rFonts w:cs="宋体" w:asciiTheme="minorEastAsia" w:hAnsiTheme="minorEastAsia" w:eastAsiaTheme="minorEastAsia"/>
                <w:kern w:val="0"/>
                <w:szCs w:val="21"/>
              </w:rPr>
            </w:pPr>
            <w:r>
              <w:rPr>
                <w:rFonts w:hint="eastAsia" w:ascii="宋体" w:hAnsi="宋体"/>
                <w:kern w:val="0"/>
                <w:szCs w:val="21"/>
              </w:rPr>
              <w:t>2.未提供的不得分。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0" w:type="dxa"/>
            <w:vMerge w:val="continue"/>
            <w:vAlign w:val="center"/>
          </w:tcPr>
          <w:p>
            <w:pPr>
              <w:adjustRightInd w:val="0"/>
              <w:spacing w:line="360" w:lineRule="auto"/>
              <w:jc w:val="center"/>
              <w:textAlignment w:val="baseline"/>
              <w:rPr>
                <w:rFonts w:asciiTheme="minorEastAsia" w:hAnsiTheme="minorEastAsia" w:eastAsiaTheme="minorEastAsia"/>
                <w:kern w:val="0"/>
                <w:szCs w:val="21"/>
              </w:rPr>
            </w:pPr>
          </w:p>
        </w:tc>
        <w:tc>
          <w:tcPr>
            <w:tcW w:w="1098" w:type="dxa"/>
            <w:gridSpan w:val="2"/>
            <w:vMerge w:val="continue"/>
            <w:vAlign w:val="center"/>
          </w:tcPr>
          <w:p>
            <w:pPr>
              <w:adjustRightInd w:val="0"/>
              <w:spacing w:line="360" w:lineRule="auto"/>
              <w:jc w:val="left"/>
              <w:textAlignment w:val="baseline"/>
              <w:rPr>
                <w:rFonts w:asciiTheme="minorEastAsia" w:hAnsiTheme="minorEastAsia" w:eastAsiaTheme="minorEastAsia"/>
                <w:kern w:val="0"/>
                <w:szCs w:val="21"/>
              </w:rPr>
            </w:pPr>
          </w:p>
        </w:tc>
        <w:tc>
          <w:tcPr>
            <w:tcW w:w="1138" w:type="dxa"/>
            <w:gridSpan w:val="2"/>
            <w:vMerge w:val="continue"/>
            <w:vAlign w:val="center"/>
          </w:tcPr>
          <w:p>
            <w:pPr>
              <w:adjustRightInd w:val="0"/>
              <w:spacing w:line="360" w:lineRule="auto"/>
              <w:jc w:val="center"/>
              <w:textAlignment w:val="baseline"/>
              <w:rPr>
                <w:rFonts w:asciiTheme="minorEastAsia" w:hAnsiTheme="minorEastAsia" w:eastAsiaTheme="minorEastAsia"/>
                <w:kern w:val="0"/>
                <w:szCs w:val="21"/>
                <w:u w:val="single"/>
              </w:rPr>
            </w:pPr>
          </w:p>
        </w:tc>
        <w:tc>
          <w:tcPr>
            <w:tcW w:w="1152" w:type="dxa"/>
            <w:vAlign w:val="center"/>
          </w:tcPr>
          <w:p>
            <w:pPr>
              <w:adjustRightInd w:val="0"/>
              <w:spacing w:line="360" w:lineRule="auto"/>
              <w:jc w:val="left"/>
              <w:textAlignment w:val="baseline"/>
              <w:rPr>
                <w:rFonts w:asciiTheme="minorEastAsia" w:hAnsiTheme="minorEastAsia" w:eastAsiaTheme="minorEastAsia"/>
                <w:kern w:val="0"/>
                <w:szCs w:val="21"/>
              </w:rPr>
            </w:pPr>
            <w:r>
              <w:rPr>
                <w:rFonts w:hint="eastAsia" w:ascii="宋体" w:hAnsi="宋体" w:cs="宋体"/>
                <w:kern w:val="0"/>
                <w:szCs w:val="21"/>
              </w:rPr>
              <w:t>后续服务的安排及保证措施</w:t>
            </w:r>
          </w:p>
        </w:tc>
        <w:tc>
          <w:tcPr>
            <w:tcW w:w="850" w:type="dxa"/>
            <w:shd w:val="clear" w:color="auto" w:fill="auto"/>
            <w:vAlign w:val="center"/>
          </w:tcPr>
          <w:p>
            <w:pPr>
              <w:adjustRightInd w:val="0"/>
              <w:spacing w:line="360" w:lineRule="auto"/>
              <w:jc w:val="center"/>
              <w:textAlignment w:val="baseline"/>
              <w:rPr>
                <w:rFonts w:asciiTheme="minorEastAsia" w:hAnsiTheme="minorEastAsia" w:eastAsiaTheme="minorEastAsia"/>
                <w:kern w:val="0"/>
                <w:szCs w:val="21"/>
              </w:rPr>
            </w:pPr>
            <w:r>
              <w:rPr>
                <w:rFonts w:hint="eastAsia" w:ascii="宋体" w:hAnsi="宋体" w:cs="宋体"/>
                <w:kern w:val="0"/>
                <w:szCs w:val="21"/>
                <w:u w:val="single"/>
              </w:rPr>
              <w:t>5</w:t>
            </w:r>
            <w:r>
              <w:rPr>
                <w:rFonts w:hint="eastAsia" w:ascii="宋体" w:hAnsi="宋体" w:cs="宋体"/>
                <w:kern w:val="0"/>
                <w:szCs w:val="21"/>
              </w:rPr>
              <w:t>分</w:t>
            </w:r>
          </w:p>
        </w:tc>
        <w:tc>
          <w:tcPr>
            <w:tcW w:w="3300" w:type="dxa"/>
            <w:shd w:val="clear" w:color="auto" w:fill="auto"/>
            <w:vAlign w:val="center"/>
          </w:tcPr>
          <w:p>
            <w:pPr>
              <w:topLinePunct/>
              <w:adjustRightInd w:val="0"/>
              <w:spacing w:line="320" w:lineRule="exact"/>
              <w:jc w:val="left"/>
              <w:textAlignment w:val="baseline"/>
              <w:rPr>
                <w:rFonts w:hAnsi="宋体"/>
                <w:kern w:val="0"/>
                <w:szCs w:val="21"/>
              </w:rPr>
            </w:pPr>
            <w:r>
              <w:rPr>
                <w:rFonts w:hint="eastAsia" w:ascii="宋体" w:hAnsi="宋体"/>
                <w:kern w:val="0"/>
                <w:szCs w:val="21"/>
              </w:rPr>
              <w:t>根据承诺的后续服务机构人员的完善程度：</w:t>
            </w:r>
          </w:p>
          <w:p>
            <w:pPr>
              <w:topLinePunct/>
              <w:adjustRightInd w:val="0"/>
              <w:spacing w:line="320" w:lineRule="exact"/>
              <w:jc w:val="left"/>
              <w:textAlignment w:val="baseline"/>
              <w:rPr>
                <w:rFonts w:hAnsi="宋体"/>
                <w:kern w:val="0"/>
                <w:szCs w:val="21"/>
              </w:rPr>
            </w:pPr>
            <w:r>
              <w:rPr>
                <w:rFonts w:hint="eastAsia" w:ascii="宋体" w:hAnsi="宋体"/>
                <w:kern w:val="0"/>
                <w:szCs w:val="21"/>
              </w:rPr>
              <w:t>完善程度高，得4.1～5.0分；</w:t>
            </w:r>
          </w:p>
          <w:p>
            <w:pPr>
              <w:topLinePunct/>
              <w:adjustRightInd w:val="0"/>
              <w:spacing w:line="320" w:lineRule="exact"/>
              <w:jc w:val="left"/>
              <w:textAlignment w:val="baseline"/>
              <w:rPr>
                <w:rFonts w:hAnsi="宋体"/>
                <w:kern w:val="0"/>
                <w:szCs w:val="21"/>
              </w:rPr>
            </w:pPr>
            <w:r>
              <w:rPr>
                <w:rFonts w:hint="eastAsia" w:ascii="宋体" w:hAnsi="宋体"/>
                <w:kern w:val="0"/>
                <w:szCs w:val="21"/>
              </w:rPr>
              <w:t>完善程度较好，得3.1～4.0分；</w:t>
            </w:r>
          </w:p>
          <w:p>
            <w:pPr>
              <w:numPr>
                <w:ilvl w:val="255"/>
                <w:numId w:val="0"/>
              </w:numPr>
              <w:adjustRightInd w:val="0"/>
              <w:snapToGrid w:val="0"/>
              <w:spacing w:line="400" w:lineRule="exact"/>
              <w:jc w:val="left"/>
              <w:textAlignment w:val="baseline"/>
              <w:rPr>
                <w:rFonts w:cs="宋体" w:asciiTheme="minorEastAsia" w:hAnsiTheme="minorEastAsia" w:eastAsiaTheme="minorEastAsia"/>
                <w:kern w:val="0"/>
                <w:szCs w:val="21"/>
              </w:rPr>
            </w:pPr>
            <w:r>
              <w:rPr>
                <w:rFonts w:hint="eastAsia" w:ascii="宋体" w:hAnsi="宋体"/>
                <w:kern w:val="0"/>
                <w:szCs w:val="21"/>
              </w:rPr>
              <w:t>较为完善，得3.0分。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0" w:type="dxa"/>
            <w:vAlign w:val="center"/>
          </w:tcPr>
          <w:p>
            <w:pPr>
              <w:spacing w:line="276"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2.2.4</w:t>
            </w:r>
          </w:p>
          <w:p>
            <w:pPr>
              <w:adjustRightInd w:val="0"/>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(2)</w:t>
            </w:r>
          </w:p>
        </w:tc>
        <w:tc>
          <w:tcPr>
            <w:tcW w:w="1098" w:type="dxa"/>
            <w:gridSpan w:val="2"/>
            <w:vAlign w:val="center"/>
          </w:tcPr>
          <w:p>
            <w:pPr>
              <w:spacing w:line="276" w:lineRule="auto"/>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主要</w:t>
            </w:r>
          </w:p>
          <w:p>
            <w:pPr>
              <w:adjustRightInd w:val="0"/>
              <w:spacing w:line="360" w:lineRule="auto"/>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人员</w:t>
            </w:r>
          </w:p>
        </w:tc>
        <w:tc>
          <w:tcPr>
            <w:tcW w:w="1138" w:type="dxa"/>
            <w:gridSpan w:val="2"/>
            <w:vAlign w:val="center"/>
          </w:tcPr>
          <w:p>
            <w:pPr>
              <w:adjustRightInd w:val="0"/>
              <w:spacing w:line="360" w:lineRule="auto"/>
              <w:jc w:val="center"/>
              <w:textAlignment w:val="baseline"/>
              <w:rPr>
                <w:rFonts w:asciiTheme="minorEastAsia" w:hAnsiTheme="minorEastAsia" w:eastAsiaTheme="minorEastAsia"/>
                <w:kern w:val="0"/>
                <w:szCs w:val="21"/>
                <w:u w:val="single"/>
              </w:rPr>
            </w:pPr>
            <w:r>
              <w:rPr>
                <w:rFonts w:asciiTheme="minorEastAsia" w:hAnsiTheme="minorEastAsia" w:eastAsiaTheme="minorEastAsia"/>
                <w:kern w:val="0"/>
                <w:szCs w:val="21"/>
                <w:u w:val="single"/>
              </w:rPr>
              <w:t>20</w:t>
            </w:r>
            <w:r>
              <w:rPr>
                <w:rFonts w:hint="eastAsia" w:asciiTheme="minorEastAsia" w:hAnsiTheme="minorEastAsia" w:eastAsiaTheme="minorEastAsia"/>
                <w:kern w:val="0"/>
                <w:szCs w:val="21"/>
              </w:rPr>
              <w:t>分</w:t>
            </w:r>
          </w:p>
        </w:tc>
        <w:tc>
          <w:tcPr>
            <w:tcW w:w="1152" w:type="dxa"/>
            <w:vAlign w:val="center"/>
          </w:tcPr>
          <w:p>
            <w:pPr>
              <w:adjustRightInd w:val="0"/>
              <w:spacing w:line="360" w:lineRule="auto"/>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最低要求</w:t>
            </w:r>
          </w:p>
        </w:tc>
        <w:tc>
          <w:tcPr>
            <w:tcW w:w="850" w:type="dxa"/>
            <w:shd w:val="clear" w:color="auto" w:fill="auto"/>
            <w:vAlign w:val="center"/>
          </w:tcPr>
          <w:p>
            <w:pPr>
              <w:adjustRightInd w:val="0"/>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u w:val="single"/>
              </w:rPr>
              <w:t>12</w:t>
            </w:r>
            <w:r>
              <w:rPr>
                <w:rFonts w:hint="eastAsia" w:asciiTheme="minorEastAsia" w:hAnsiTheme="minorEastAsia" w:eastAsiaTheme="minorEastAsia"/>
                <w:kern w:val="0"/>
                <w:szCs w:val="21"/>
              </w:rPr>
              <w:t>分</w:t>
            </w:r>
          </w:p>
        </w:tc>
        <w:tc>
          <w:tcPr>
            <w:tcW w:w="3300" w:type="dxa"/>
            <w:shd w:val="clear" w:color="auto" w:fill="auto"/>
            <w:vAlign w:val="center"/>
          </w:tcPr>
          <w:p>
            <w:pPr>
              <w:adjustRightInd w:val="0"/>
              <w:snapToGrid w:val="0"/>
              <w:spacing w:line="400" w:lineRule="exact"/>
              <w:textAlignment w:val="baseline"/>
              <w:rPr>
                <w:rFonts w:cs="宋体" w:asciiTheme="minorEastAsia" w:hAnsiTheme="minorEastAsia" w:eastAsiaTheme="minorEastAsia"/>
                <w:kern w:val="0"/>
                <w:szCs w:val="21"/>
              </w:rPr>
            </w:pPr>
            <w:r>
              <w:rPr>
                <w:rFonts w:hint="eastAsia" w:ascii="宋体" w:hAnsi="宋体" w:cs="宋体"/>
                <w:kern w:val="0"/>
                <w:szCs w:val="21"/>
              </w:rPr>
              <w:t>满足资格审查条件主要人员最低要求，得12分。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0" w:type="dxa"/>
            <w:vAlign w:val="center"/>
          </w:tcPr>
          <w:p>
            <w:pPr>
              <w:spacing w:line="276" w:lineRule="auto"/>
              <w:jc w:val="center"/>
              <w:textAlignment w:val="baseline"/>
              <w:rPr>
                <w:rFonts w:asciiTheme="minorEastAsia" w:hAnsiTheme="minorEastAsia" w:eastAsiaTheme="minorEastAsia"/>
                <w:kern w:val="0"/>
                <w:szCs w:val="21"/>
              </w:rPr>
            </w:pPr>
          </w:p>
        </w:tc>
        <w:tc>
          <w:tcPr>
            <w:tcW w:w="1098" w:type="dxa"/>
            <w:gridSpan w:val="2"/>
            <w:vAlign w:val="center"/>
          </w:tcPr>
          <w:p>
            <w:pPr>
              <w:spacing w:line="276" w:lineRule="auto"/>
              <w:jc w:val="center"/>
              <w:textAlignment w:val="baseline"/>
              <w:rPr>
                <w:rFonts w:asciiTheme="minorEastAsia" w:hAnsiTheme="minorEastAsia" w:eastAsiaTheme="minorEastAsia"/>
                <w:kern w:val="0"/>
                <w:szCs w:val="21"/>
              </w:rPr>
            </w:pPr>
          </w:p>
        </w:tc>
        <w:tc>
          <w:tcPr>
            <w:tcW w:w="1138" w:type="dxa"/>
            <w:gridSpan w:val="2"/>
            <w:vAlign w:val="center"/>
          </w:tcPr>
          <w:p>
            <w:pPr>
              <w:adjustRightInd w:val="0"/>
              <w:spacing w:line="360" w:lineRule="auto"/>
              <w:jc w:val="center"/>
              <w:textAlignment w:val="baseline"/>
              <w:rPr>
                <w:rFonts w:asciiTheme="minorEastAsia" w:hAnsiTheme="minorEastAsia" w:eastAsiaTheme="minorEastAsia"/>
                <w:kern w:val="0"/>
                <w:szCs w:val="21"/>
                <w:u w:val="single"/>
              </w:rPr>
            </w:pPr>
          </w:p>
        </w:tc>
        <w:tc>
          <w:tcPr>
            <w:tcW w:w="1152" w:type="dxa"/>
            <w:vAlign w:val="center"/>
          </w:tcPr>
          <w:p>
            <w:pPr>
              <w:adjustRightInd w:val="0"/>
              <w:spacing w:line="360" w:lineRule="auto"/>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项目负责人任职资格与业绩</w:t>
            </w:r>
          </w:p>
        </w:tc>
        <w:tc>
          <w:tcPr>
            <w:tcW w:w="850" w:type="dxa"/>
            <w:shd w:val="clear" w:color="auto" w:fill="auto"/>
            <w:vAlign w:val="center"/>
          </w:tcPr>
          <w:p>
            <w:pPr>
              <w:adjustRightInd w:val="0"/>
              <w:spacing w:line="360" w:lineRule="auto"/>
              <w:jc w:val="center"/>
              <w:textAlignment w:val="baseline"/>
              <w:rPr>
                <w:rFonts w:asciiTheme="minorEastAsia" w:hAnsiTheme="minorEastAsia" w:eastAsiaTheme="minorEastAsia"/>
                <w:kern w:val="0"/>
                <w:szCs w:val="21"/>
                <w:u w:val="single"/>
              </w:rPr>
            </w:pPr>
            <w:r>
              <w:rPr>
                <w:rFonts w:asciiTheme="minorEastAsia" w:hAnsiTheme="minorEastAsia" w:eastAsiaTheme="minorEastAsia"/>
                <w:kern w:val="0"/>
                <w:szCs w:val="21"/>
                <w:u w:val="single"/>
              </w:rPr>
              <w:t>8</w:t>
            </w:r>
            <w:r>
              <w:rPr>
                <w:rFonts w:hint="eastAsia" w:asciiTheme="minorEastAsia" w:hAnsiTheme="minorEastAsia" w:eastAsiaTheme="minorEastAsia"/>
                <w:kern w:val="0"/>
                <w:szCs w:val="21"/>
              </w:rPr>
              <w:t>分</w:t>
            </w:r>
          </w:p>
        </w:tc>
        <w:tc>
          <w:tcPr>
            <w:tcW w:w="3300" w:type="dxa"/>
            <w:shd w:val="clear" w:color="auto" w:fill="auto"/>
            <w:vAlign w:val="center"/>
          </w:tcPr>
          <w:p>
            <w:pPr>
              <w:adjustRightInd w:val="0"/>
              <w:spacing w:line="320" w:lineRule="exact"/>
              <w:jc w:val="left"/>
              <w:textAlignment w:val="baseline"/>
              <w:rPr>
                <w:rFonts w:asciiTheme="minorEastAsia" w:hAnsiTheme="minorEastAsia" w:eastAsiaTheme="minorEastAsia"/>
                <w:kern w:val="0"/>
                <w:szCs w:val="21"/>
              </w:rPr>
            </w:pPr>
            <w:r>
              <w:rPr>
                <w:rFonts w:hint="eastAsia" w:ascii="CIDFont+F1" w:hAnsi="CIDFont+F1" w:eastAsia="CIDFont+F1"/>
                <w:kern w:val="0"/>
              </w:rPr>
              <w:t>满足资格审查条件（项目负责人最低要求）的基础上：（1）项目负责人具有注册土木工程师（岩土）注册证书、一级注册结构工程师注册证书、注册土木工程师（道路工程）资格证书的，每个证书加1分，最多加3分；（2）项目负责人近五年每增加担任过1个合同段类似工程土建工程的勘察设计工作的项目负责人岗位工作经验的加1分，最多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0" w:type="dxa"/>
            <w:vAlign w:val="center"/>
          </w:tcPr>
          <w:p>
            <w:pPr>
              <w:adjustRightInd w:val="0"/>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2.2.4（3）</w:t>
            </w:r>
          </w:p>
        </w:tc>
        <w:tc>
          <w:tcPr>
            <w:tcW w:w="1098" w:type="dxa"/>
            <w:gridSpan w:val="2"/>
            <w:vAlign w:val="center"/>
          </w:tcPr>
          <w:p>
            <w:pPr>
              <w:adjustRightInd w:val="0"/>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评标价</w:t>
            </w:r>
          </w:p>
        </w:tc>
        <w:tc>
          <w:tcPr>
            <w:tcW w:w="1138" w:type="dxa"/>
            <w:gridSpan w:val="2"/>
            <w:vAlign w:val="center"/>
          </w:tcPr>
          <w:p>
            <w:pPr>
              <w:adjustRightInd w:val="0"/>
              <w:spacing w:line="360" w:lineRule="auto"/>
              <w:jc w:val="center"/>
              <w:textAlignment w:val="baseline"/>
              <w:rPr>
                <w:rFonts w:asciiTheme="minorEastAsia" w:hAnsiTheme="minorEastAsia" w:eastAsiaTheme="minorEastAsia"/>
                <w:kern w:val="0"/>
                <w:szCs w:val="21"/>
                <w:u w:val="single"/>
              </w:rPr>
            </w:pPr>
            <w:r>
              <w:rPr>
                <w:rFonts w:asciiTheme="minorEastAsia" w:hAnsiTheme="minorEastAsia" w:eastAsiaTheme="minorEastAsia"/>
                <w:kern w:val="0"/>
                <w:szCs w:val="21"/>
                <w:u w:val="single"/>
              </w:rPr>
              <w:t>10</w:t>
            </w:r>
            <w:r>
              <w:rPr>
                <w:rFonts w:hint="eastAsia" w:asciiTheme="minorEastAsia" w:hAnsiTheme="minorEastAsia" w:eastAsiaTheme="minorEastAsia"/>
                <w:kern w:val="0"/>
                <w:szCs w:val="21"/>
              </w:rPr>
              <w:t>分</w:t>
            </w:r>
          </w:p>
        </w:tc>
        <w:tc>
          <w:tcPr>
            <w:tcW w:w="5302" w:type="dxa"/>
            <w:gridSpan w:val="3"/>
            <w:shd w:val="clear" w:color="auto" w:fill="auto"/>
            <w:vAlign w:val="center"/>
          </w:tcPr>
          <w:p>
            <w:pPr>
              <w:adjustRightInd w:val="0"/>
              <w:spacing w:line="360" w:lineRule="atLeast"/>
              <w:jc w:val="left"/>
              <w:textAlignment w:val="baseline"/>
              <w:rPr>
                <w:rFonts w:hAnsi="宋体" w:cs="宋体"/>
                <w:kern w:val="0"/>
                <w:szCs w:val="21"/>
              </w:rPr>
            </w:pPr>
            <w:r>
              <w:rPr>
                <w:rFonts w:hint="eastAsia" w:ascii="宋体" w:hAnsi="宋体" w:cs="宋体"/>
                <w:kern w:val="0"/>
                <w:szCs w:val="21"/>
              </w:rPr>
              <w:t>评标价得分计算公式示例：</w:t>
            </w:r>
          </w:p>
          <w:p>
            <w:pPr>
              <w:adjustRightInd w:val="0"/>
              <w:spacing w:line="360" w:lineRule="atLeast"/>
              <w:jc w:val="left"/>
              <w:textAlignment w:val="baseline"/>
              <w:rPr>
                <w:rFonts w:hAnsi="宋体" w:cs="宋体"/>
                <w:kern w:val="0"/>
                <w:szCs w:val="21"/>
              </w:rPr>
            </w:pPr>
            <w:r>
              <w:rPr>
                <w:rFonts w:hint="eastAsia" w:ascii="宋体" w:hAnsi="宋体" w:cs="宋体"/>
                <w:kern w:val="0"/>
                <w:szCs w:val="21"/>
              </w:rPr>
              <w:t>（1）如果投标人的评标价&gt;评标基准价，则评标价得分＝F－偏差率×100×E1；</w:t>
            </w:r>
          </w:p>
          <w:p>
            <w:pPr>
              <w:adjustRightInd w:val="0"/>
              <w:spacing w:line="360" w:lineRule="atLeast"/>
              <w:jc w:val="left"/>
              <w:textAlignment w:val="baseline"/>
              <w:rPr>
                <w:rFonts w:hAnsi="宋体" w:cs="宋体"/>
                <w:kern w:val="0"/>
                <w:szCs w:val="21"/>
                <w:vertAlign w:val="subscript"/>
              </w:rPr>
            </w:pPr>
            <w:r>
              <w:rPr>
                <w:rFonts w:hint="eastAsia" w:ascii="宋体" w:hAnsi="宋体" w:cs="宋体"/>
                <w:kern w:val="0"/>
                <w:szCs w:val="21"/>
              </w:rPr>
              <w:t>（2）如果投标人的评标价≤评标基准价，则评标价得分＝F＋偏差率×100×E2。</w:t>
            </w:r>
          </w:p>
          <w:p>
            <w:pPr>
              <w:adjustRightInd w:val="0"/>
              <w:spacing w:line="360" w:lineRule="atLeast"/>
              <w:jc w:val="left"/>
              <w:textAlignment w:val="baseline"/>
              <w:rPr>
                <w:rFonts w:hAnsi="宋体" w:cs="宋体"/>
                <w:kern w:val="0"/>
                <w:szCs w:val="21"/>
              </w:rPr>
            </w:pPr>
            <w:r>
              <w:rPr>
                <w:rFonts w:hint="eastAsia" w:hAnsi="宋体" w:cs="宋体"/>
                <w:kern w:val="0"/>
                <w:szCs w:val="21"/>
              </w:rPr>
              <w:t>注：①</w:t>
            </w:r>
            <w:r>
              <w:rPr>
                <w:rFonts w:hAnsi="宋体"/>
                <w:kern w:val="0"/>
                <w:szCs w:val="22"/>
              </w:rPr>
              <w:t>E1=0.6，E2=0.3</w:t>
            </w:r>
            <w:r>
              <w:rPr>
                <w:rFonts w:hint="eastAsia" w:hAnsi="宋体" w:cs="宋体"/>
                <w:kern w:val="0"/>
                <w:szCs w:val="21"/>
              </w:rPr>
              <w:t>；</w:t>
            </w:r>
          </w:p>
          <w:p>
            <w:pPr>
              <w:adjustRightInd w:val="0"/>
              <w:snapToGrid w:val="0"/>
              <w:spacing w:line="400" w:lineRule="exact"/>
              <w:textAlignment w:val="baseline"/>
              <w:rPr>
                <w:rFonts w:cs="宋体" w:asciiTheme="minorEastAsia" w:hAnsiTheme="minorEastAsia" w:eastAsiaTheme="minorEastAsia"/>
                <w:kern w:val="0"/>
                <w:szCs w:val="21"/>
              </w:rPr>
            </w:pPr>
            <w:r>
              <w:rPr>
                <w:rFonts w:hint="eastAsia" w:ascii="宋体" w:hAnsi="宋体" w:cs="宋体"/>
                <w:kern w:val="0"/>
                <w:szCs w:val="21"/>
              </w:rPr>
              <w:t>评标价得分四舍五入至小数点后四位。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860" w:type="dxa"/>
            <w:vMerge w:val="restart"/>
            <w:vAlign w:val="center"/>
          </w:tcPr>
          <w:p>
            <w:pPr>
              <w:adjustRightInd w:val="0"/>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2.2.4（3）</w:t>
            </w:r>
          </w:p>
        </w:tc>
        <w:tc>
          <w:tcPr>
            <w:tcW w:w="532" w:type="dxa"/>
            <w:vMerge w:val="restart"/>
            <w:vAlign w:val="center"/>
          </w:tcPr>
          <w:p>
            <w:pPr>
              <w:adjustRightInd w:val="0"/>
              <w:spacing w:line="360" w:lineRule="auto"/>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其他因素</w:t>
            </w:r>
          </w:p>
        </w:tc>
        <w:tc>
          <w:tcPr>
            <w:tcW w:w="572" w:type="dxa"/>
            <w:gridSpan w:val="2"/>
            <w:vAlign w:val="center"/>
          </w:tcPr>
          <w:p>
            <w:pPr>
              <w:adjustRightInd w:val="0"/>
              <w:spacing w:line="360" w:lineRule="auto"/>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技术能力</w:t>
            </w:r>
          </w:p>
        </w:tc>
        <w:tc>
          <w:tcPr>
            <w:tcW w:w="1132" w:type="dxa"/>
            <w:vAlign w:val="center"/>
          </w:tcPr>
          <w:p>
            <w:pPr>
              <w:adjustRightInd w:val="0"/>
              <w:spacing w:line="360" w:lineRule="auto"/>
              <w:jc w:val="center"/>
              <w:textAlignment w:val="baseline"/>
              <w:rPr>
                <w:rFonts w:asciiTheme="minorEastAsia" w:hAnsiTheme="minorEastAsia" w:eastAsiaTheme="minorEastAsia"/>
                <w:kern w:val="0"/>
                <w:szCs w:val="21"/>
                <w:u w:val="single"/>
              </w:rPr>
            </w:pPr>
            <w:r>
              <w:rPr>
                <w:rFonts w:asciiTheme="minorEastAsia" w:hAnsiTheme="minorEastAsia" w:eastAsiaTheme="minorEastAsia"/>
                <w:kern w:val="0"/>
                <w:szCs w:val="21"/>
                <w:u w:val="single"/>
              </w:rPr>
              <w:t>0分</w:t>
            </w:r>
          </w:p>
        </w:tc>
        <w:tc>
          <w:tcPr>
            <w:tcW w:w="5302" w:type="dxa"/>
            <w:gridSpan w:val="3"/>
            <w:shd w:val="clear" w:color="auto" w:fill="auto"/>
            <w:vAlign w:val="center"/>
          </w:tcPr>
          <w:p>
            <w:pPr>
              <w:spacing w:line="360" w:lineRule="auto"/>
              <w:textAlignment w:val="baseline"/>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tcBorders>
              <w:bottom w:val="single" w:color="auto" w:sz="4" w:space="0"/>
            </w:tcBorders>
            <w:vAlign w:val="center"/>
          </w:tcPr>
          <w:p>
            <w:pPr>
              <w:adjustRightInd w:val="0"/>
              <w:spacing w:line="360" w:lineRule="auto"/>
              <w:jc w:val="center"/>
              <w:textAlignment w:val="baseline"/>
              <w:rPr>
                <w:rFonts w:asciiTheme="minorEastAsia" w:hAnsiTheme="minorEastAsia" w:eastAsiaTheme="minorEastAsia"/>
                <w:kern w:val="0"/>
                <w:szCs w:val="21"/>
              </w:rPr>
            </w:pPr>
          </w:p>
        </w:tc>
        <w:tc>
          <w:tcPr>
            <w:tcW w:w="532" w:type="dxa"/>
            <w:vMerge w:val="continue"/>
            <w:tcBorders>
              <w:bottom w:val="single" w:color="auto" w:sz="4" w:space="0"/>
            </w:tcBorders>
            <w:vAlign w:val="center"/>
          </w:tcPr>
          <w:p>
            <w:pPr>
              <w:adjustRightInd w:val="0"/>
              <w:spacing w:line="360" w:lineRule="auto"/>
              <w:jc w:val="center"/>
              <w:textAlignment w:val="baseline"/>
              <w:rPr>
                <w:rFonts w:asciiTheme="minorEastAsia" w:hAnsiTheme="minorEastAsia" w:eastAsiaTheme="minorEastAsia"/>
                <w:kern w:val="0"/>
                <w:szCs w:val="21"/>
              </w:rPr>
            </w:pPr>
          </w:p>
        </w:tc>
        <w:tc>
          <w:tcPr>
            <w:tcW w:w="572" w:type="dxa"/>
            <w:gridSpan w:val="2"/>
            <w:vAlign w:val="center"/>
          </w:tcPr>
          <w:p>
            <w:pPr>
              <w:adjustRightInd w:val="0"/>
              <w:spacing w:line="360" w:lineRule="auto"/>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业绩</w:t>
            </w:r>
          </w:p>
        </w:tc>
        <w:tc>
          <w:tcPr>
            <w:tcW w:w="1132" w:type="dxa"/>
            <w:vAlign w:val="center"/>
          </w:tcPr>
          <w:p>
            <w:pPr>
              <w:adjustRightInd w:val="0"/>
              <w:spacing w:line="360" w:lineRule="auto"/>
              <w:jc w:val="center"/>
              <w:textAlignment w:val="baseline"/>
              <w:rPr>
                <w:rFonts w:asciiTheme="minorEastAsia" w:hAnsiTheme="minorEastAsia" w:eastAsiaTheme="minorEastAsia"/>
                <w:kern w:val="0"/>
                <w:szCs w:val="21"/>
                <w:u w:val="single"/>
              </w:rPr>
            </w:pPr>
            <w:r>
              <w:rPr>
                <w:rFonts w:asciiTheme="minorEastAsia" w:hAnsiTheme="minorEastAsia" w:eastAsiaTheme="minorEastAsia"/>
                <w:kern w:val="0"/>
                <w:szCs w:val="21"/>
                <w:u w:val="single"/>
              </w:rPr>
              <w:t>25</w:t>
            </w:r>
            <w:r>
              <w:rPr>
                <w:rFonts w:hint="eastAsia" w:asciiTheme="minorEastAsia" w:hAnsiTheme="minorEastAsia" w:eastAsiaTheme="minorEastAsia"/>
                <w:kern w:val="0"/>
                <w:szCs w:val="21"/>
              </w:rPr>
              <w:t>分</w:t>
            </w:r>
          </w:p>
        </w:tc>
        <w:tc>
          <w:tcPr>
            <w:tcW w:w="1152" w:type="dxa"/>
            <w:tcBorders>
              <w:bottom w:val="single" w:color="auto" w:sz="4" w:space="0"/>
            </w:tcBorders>
            <w:vAlign w:val="center"/>
          </w:tcPr>
          <w:p>
            <w:pPr>
              <w:adjustRightInd w:val="0"/>
              <w:snapToGrid w:val="0"/>
              <w:jc w:val="left"/>
              <w:textAlignment w:val="baseline"/>
              <w:rPr>
                <w:rFonts w:asciiTheme="minorEastAsia" w:hAnsiTheme="minorEastAsia" w:eastAsiaTheme="minorEastAsia"/>
                <w:kern w:val="0"/>
                <w:szCs w:val="21"/>
              </w:rPr>
            </w:pPr>
            <w:r>
              <w:rPr>
                <w:rFonts w:hint="eastAsia" w:ascii="宋体" w:hAnsi="宋体" w:cs="宋体"/>
                <w:kern w:val="0"/>
                <w:szCs w:val="21"/>
              </w:rPr>
              <w:t>土建工程</w:t>
            </w:r>
          </w:p>
        </w:tc>
        <w:tc>
          <w:tcPr>
            <w:tcW w:w="850" w:type="dxa"/>
            <w:tcBorders>
              <w:bottom w:val="single" w:color="auto" w:sz="4" w:space="0"/>
            </w:tcBorders>
            <w:shd w:val="clear" w:color="auto" w:fill="auto"/>
            <w:vAlign w:val="center"/>
          </w:tcPr>
          <w:p>
            <w:pPr>
              <w:adjustRightInd w:val="0"/>
              <w:snapToGrid w:val="0"/>
              <w:spacing w:line="400" w:lineRule="exact"/>
              <w:textAlignment w:val="baseline"/>
              <w:rPr>
                <w:rFonts w:asciiTheme="minorEastAsia" w:hAnsiTheme="minorEastAsia" w:eastAsiaTheme="minorEastAsia"/>
                <w:kern w:val="0"/>
                <w:szCs w:val="21"/>
              </w:rPr>
            </w:pPr>
            <w:r>
              <w:rPr>
                <w:rFonts w:hint="eastAsia" w:ascii="宋体" w:hAnsi="宋体" w:cs="宋体"/>
                <w:kern w:val="0"/>
                <w:szCs w:val="21"/>
                <w:u w:val="single"/>
              </w:rPr>
              <w:t>25</w:t>
            </w:r>
            <w:r>
              <w:rPr>
                <w:rFonts w:hint="eastAsia" w:ascii="宋体" w:hAnsi="宋体" w:cs="宋体"/>
                <w:kern w:val="0"/>
                <w:szCs w:val="21"/>
              </w:rPr>
              <w:t>分</w:t>
            </w:r>
          </w:p>
        </w:tc>
        <w:tc>
          <w:tcPr>
            <w:tcW w:w="3300" w:type="dxa"/>
            <w:tcBorders>
              <w:bottom w:val="single" w:color="auto" w:sz="4" w:space="0"/>
            </w:tcBorders>
            <w:shd w:val="clear" w:color="auto" w:fill="auto"/>
            <w:vAlign w:val="center"/>
          </w:tcPr>
          <w:p>
            <w:pPr>
              <w:adjustRightInd w:val="0"/>
              <w:spacing w:line="400" w:lineRule="exact"/>
              <w:jc w:val="left"/>
              <w:textAlignment w:val="baseline"/>
              <w:rPr>
                <w:rFonts w:asciiTheme="minorEastAsia" w:hAnsiTheme="minorEastAsia" w:eastAsiaTheme="minorEastAsia"/>
                <w:kern w:val="20"/>
                <w:sz w:val="24"/>
              </w:rPr>
            </w:pPr>
            <w:r>
              <w:rPr>
                <w:rFonts w:ascii="宋体" w:hAnsi="宋体"/>
                <w:kern w:val="0"/>
                <w:szCs w:val="21"/>
              </w:rPr>
              <w:t>满足资格审查条件得基本分15分；在此基础上，近五年内：每累计增加完成15km（尾数不计）类似工程土建工程勘察设计，加2.5分，最多加10分。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vAlign w:val="center"/>
          </w:tcPr>
          <w:p>
            <w:pPr>
              <w:adjustRightInd w:val="0"/>
              <w:spacing w:line="360" w:lineRule="auto"/>
              <w:jc w:val="center"/>
              <w:textAlignment w:val="baseline"/>
              <w:rPr>
                <w:rFonts w:asciiTheme="minorEastAsia" w:hAnsiTheme="minorEastAsia" w:eastAsiaTheme="minorEastAsia"/>
                <w:kern w:val="0"/>
                <w:szCs w:val="21"/>
              </w:rPr>
            </w:pPr>
          </w:p>
        </w:tc>
        <w:tc>
          <w:tcPr>
            <w:tcW w:w="532" w:type="dxa"/>
            <w:vMerge w:val="continue"/>
            <w:vAlign w:val="center"/>
          </w:tcPr>
          <w:p>
            <w:pPr>
              <w:adjustRightInd w:val="0"/>
              <w:spacing w:line="360" w:lineRule="auto"/>
              <w:jc w:val="center"/>
              <w:textAlignment w:val="baseline"/>
              <w:rPr>
                <w:rFonts w:asciiTheme="minorEastAsia" w:hAnsiTheme="minorEastAsia" w:eastAsiaTheme="minorEastAsia"/>
                <w:kern w:val="0"/>
                <w:szCs w:val="21"/>
              </w:rPr>
            </w:pPr>
          </w:p>
        </w:tc>
        <w:tc>
          <w:tcPr>
            <w:tcW w:w="572" w:type="dxa"/>
            <w:gridSpan w:val="2"/>
            <w:vMerge w:val="restart"/>
            <w:vAlign w:val="center"/>
          </w:tcPr>
          <w:p>
            <w:pPr>
              <w:adjustRightInd w:val="0"/>
              <w:spacing w:line="360" w:lineRule="auto"/>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履约信誉</w:t>
            </w:r>
          </w:p>
        </w:tc>
        <w:tc>
          <w:tcPr>
            <w:tcW w:w="1132" w:type="dxa"/>
            <w:vMerge w:val="restart"/>
            <w:vAlign w:val="center"/>
          </w:tcPr>
          <w:p>
            <w:pPr>
              <w:adjustRightInd w:val="0"/>
              <w:spacing w:line="360" w:lineRule="auto"/>
              <w:jc w:val="center"/>
              <w:textAlignment w:val="baseline"/>
              <w:rPr>
                <w:rFonts w:asciiTheme="minorEastAsia" w:hAnsiTheme="minorEastAsia" w:eastAsiaTheme="minorEastAsia"/>
                <w:kern w:val="0"/>
                <w:szCs w:val="21"/>
                <w:u w:val="single"/>
              </w:rPr>
            </w:pPr>
            <w:r>
              <w:rPr>
                <w:rFonts w:asciiTheme="minorEastAsia" w:hAnsiTheme="minorEastAsia" w:eastAsiaTheme="minorEastAsia"/>
                <w:kern w:val="0"/>
                <w:szCs w:val="21"/>
                <w:u w:val="single"/>
              </w:rPr>
              <w:t>10</w:t>
            </w:r>
            <w:r>
              <w:rPr>
                <w:rFonts w:hint="eastAsia" w:asciiTheme="minorEastAsia" w:hAnsiTheme="minorEastAsia" w:eastAsiaTheme="minorEastAsia"/>
                <w:kern w:val="0"/>
                <w:szCs w:val="21"/>
                <w:u w:val="single"/>
              </w:rPr>
              <w:t>分</w:t>
            </w:r>
          </w:p>
        </w:tc>
        <w:tc>
          <w:tcPr>
            <w:tcW w:w="1152" w:type="dxa"/>
            <w:vAlign w:val="center"/>
          </w:tcPr>
          <w:p>
            <w:pPr>
              <w:adjustRightInd w:val="0"/>
              <w:spacing w:line="360" w:lineRule="auto"/>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履约情况</w:t>
            </w:r>
          </w:p>
        </w:tc>
        <w:tc>
          <w:tcPr>
            <w:tcW w:w="850" w:type="dxa"/>
            <w:vAlign w:val="center"/>
          </w:tcPr>
          <w:p>
            <w:pPr>
              <w:adjustRightInd w:val="0"/>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5分</w:t>
            </w:r>
          </w:p>
        </w:tc>
        <w:tc>
          <w:tcPr>
            <w:tcW w:w="3300" w:type="dxa"/>
            <w:vAlign w:val="center"/>
          </w:tcPr>
          <w:p>
            <w:pPr>
              <w:adjustRightInd w:val="0"/>
              <w:spacing w:line="360" w:lineRule="atLeast"/>
              <w:jc w:val="left"/>
              <w:textAlignment w:val="baseline"/>
              <w:rPr>
                <w:rFonts w:hAnsi="宋体" w:cs="宋体"/>
                <w:kern w:val="0"/>
                <w:szCs w:val="21"/>
              </w:rPr>
            </w:pPr>
            <w:r>
              <w:rPr>
                <w:rFonts w:hint="eastAsia" w:ascii="宋体" w:hAnsi="宋体" w:cs="宋体"/>
                <w:kern w:val="0"/>
                <w:szCs w:val="21"/>
              </w:rPr>
              <w:t>若没出现下述情形得满分5分；</w:t>
            </w:r>
          </w:p>
          <w:p>
            <w:pPr>
              <w:adjustRightInd w:val="0"/>
              <w:spacing w:line="360" w:lineRule="atLeast"/>
              <w:jc w:val="left"/>
              <w:textAlignment w:val="baseline"/>
              <w:rPr>
                <w:rFonts w:hAnsi="宋体" w:cs="宋体"/>
                <w:kern w:val="0"/>
                <w:szCs w:val="21"/>
              </w:rPr>
            </w:pPr>
            <w:r>
              <w:rPr>
                <w:rFonts w:hint="eastAsia" w:ascii="宋体" w:hAnsi="宋体" w:cs="宋体"/>
                <w:kern w:val="0"/>
                <w:szCs w:val="21"/>
              </w:rPr>
              <w:t>投标文件递交截止日前1年内，因公路工程勘察设计原因、履约或招标投标问题等原因被：</w:t>
            </w:r>
          </w:p>
          <w:p>
            <w:pPr>
              <w:adjustRightInd w:val="0"/>
              <w:spacing w:line="360" w:lineRule="atLeast"/>
              <w:jc w:val="left"/>
              <w:textAlignment w:val="baseline"/>
              <w:rPr>
                <w:rFonts w:hAnsi="宋体" w:cs="宋体"/>
                <w:kern w:val="0"/>
                <w:szCs w:val="21"/>
              </w:rPr>
            </w:pPr>
            <w:r>
              <w:rPr>
                <w:rFonts w:hint="eastAsia" w:ascii="宋体" w:hAnsi="宋体" w:cs="宋体"/>
                <w:kern w:val="0"/>
                <w:szCs w:val="21"/>
              </w:rPr>
              <w:t>（1）交通运输部通报批评一次的，扣5分；</w:t>
            </w:r>
          </w:p>
          <w:p>
            <w:pPr>
              <w:adjustRightInd w:val="0"/>
              <w:spacing w:line="360" w:lineRule="atLeast"/>
              <w:jc w:val="left"/>
              <w:textAlignment w:val="baseline"/>
              <w:rPr>
                <w:rFonts w:hAnsi="宋体" w:cs="宋体"/>
                <w:kern w:val="0"/>
                <w:szCs w:val="21"/>
              </w:rPr>
            </w:pPr>
            <w:r>
              <w:rPr>
                <w:rFonts w:hint="eastAsia" w:ascii="宋体" w:hAnsi="宋体" w:cs="宋体"/>
                <w:kern w:val="0"/>
                <w:szCs w:val="21"/>
              </w:rPr>
              <w:t>（2）广东省交通运输厅通报批评一次的，扣4分；</w:t>
            </w:r>
          </w:p>
          <w:p>
            <w:pPr>
              <w:adjustRightInd w:val="0"/>
              <w:spacing w:line="360" w:lineRule="atLeast"/>
              <w:jc w:val="left"/>
              <w:textAlignment w:val="baseline"/>
              <w:rPr>
                <w:rFonts w:hAnsi="宋体" w:cs="宋体"/>
                <w:kern w:val="0"/>
                <w:szCs w:val="21"/>
              </w:rPr>
            </w:pPr>
            <w:r>
              <w:rPr>
                <w:rFonts w:hint="eastAsia" w:hAnsi="宋体" w:cs="宋体"/>
                <w:kern w:val="0"/>
                <w:szCs w:val="21"/>
              </w:rPr>
              <w:t>（3）广州市交通运输局、广州市增城区交通运输局或广州市增城区地方公路管理总站通报批评的，扣1分。</w:t>
            </w:r>
          </w:p>
          <w:p>
            <w:pPr>
              <w:adjustRightInd w:val="0"/>
              <w:snapToGrid w:val="0"/>
              <w:spacing w:line="400" w:lineRule="exact"/>
              <w:textAlignment w:val="baseline"/>
              <w:rPr>
                <w:rFonts w:cs="宋体" w:asciiTheme="minorEastAsia" w:hAnsiTheme="minorEastAsia" w:eastAsiaTheme="minorEastAsia"/>
                <w:kern w:val="0"/>
                <w:szCs w:val="21"/>
              </w:rPr>
            </w:pPr>
            <w:r>
              <w:rPr>
                <w:rFonts w:hint="eastAsia" w:ascii="宋体" w:hAnsi="宋体" w:cs="宋体"/>
                <w:kern w:val="0"/>
                <w:szCs w:val="21"/>
              </w:rPr>
              <w:t>注：1.同一事项同时被多个部门通报批评只按最高的扣分计算1次。如果扣完本项分值，可以从总分中扣。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0" w:type="dxa"/>
            <w:vMerge w:val="continue"/>
            <w:vAlign w:val="center"/>
          </w:tcPr>
          <w:p>
            <w:pPr>
              <w:adjustRightInd w:val="0"/>
              <w:spacing w:line="360" w:lineRule="auto"/>
              <w:jc w:val="center"/>
              <w:textAlignment w:val="baseline"/>
              <w:rPr>
                <w:rFonts w:asciiTheme="minorEastAsia" w:hAnsiTheme="minorEastAsia" w:eastAsiaTheme="minorEastAsia"/>
                <w:kern w:val="0"/>
                <w:szCs w:val="21"/>
              </w:rPr>
            </w:pPr>
          </w:p>
        </w:tc>
        <w:tc>
          <w:tcPr>
            <w:tcW w:w="532" w:type="dxa"/>
            <w:vMerge w:val="continue"/>
            <w:vAlign w:val="center"/>
          </w:tcPr>
          <w:p>
            <w:pPr>
              <w:adjustRightInd w:val="0"/>
              <w:spacing w:line="360" w:lineRule="auto"/>
              <w:jc w:val="center"/>
              <w:textAlignment w:val="baseline"/>
              <w:rPr>
                <w:rFonts w:asciiTheme="minorEastAsia" w:hAnsiTheme="minorEastAsia" w:eastAsiaTheme="minorEastAsia"/>
                <w:kern w:val="0"/>
                <w:szCs w:val="21"/>
              </w:rPr>
            </w:pPr>
          </w:p>
        </w:tc>
        <w:tc>
          <w:tcPr>
            <w:tcW w:w="572" w:type="dxa"/>
            <w:gridSpan w:val="2"/>
            <w:vMerge w:val="continue"/>
            <w:vAlign w:val="center"/>
          </w:tcPr>
          <w:p>
            <w:pPr>
              <w:adjustRightInd w:val="0"/>
              <w:spacing w:line="360" w:lineRule="auto"/>
              <w:jc w:val="center"/>
              <w:textAlignment w:val="baseline"/>
              <w:rPr>
                <w:rFonts w:asciiTheme="minorEastAsia" w:hAnsiTheme="minorEastAsia" w:eastAsiaTheme="minorEastAsia"/>
                <w:kern w:val="0"/>
                <w:szCs w:val="21"/>
              </w:rPr>
            </w:pPr>
          </w:p>
        </w:tc>
        <w:tc>
          <w:tcPr>
            <w:tcW w:w="1132" w:type="dxa"/>
            <w:vMerge w:val="continue"/>
            <w:vAlign w:val="center"/>
          </w:tcPr>
          <w:p>
            <w:pPr>
              <w:adjustRightInd w:val="0"/>
              <w:spacing w:line="360" w:lineRule="auto"/>
              <w:jc w:val="center"/>
              <w:textAlignment w:val="baseline"/>
              <w:rPr>
                <w:rFonts w:asciiTheme="minorEastAsia" w:hAnsiTheme="minorEastAsia" w:eastAsiaTheme="minorEastAsia"/>
                <w:kern w:val="0"/>
                <w:szCs w:val="21"/>
                <w:u w:val="single"/>
              </w:rPr>
            </w:pPr>
          </w:p>
        </w:tc>
        <w:tc>
          <w:tcPr>
            <w:tcW w:w="1152" w:type="dxa"/>
            <w:vAlign w:val="center"/>
          </w:tcPr>
          <w:p>
            <w:pPr>
              <w:adjustRightInd w:val="0"/>
              <w:spacing w:line="360" w:lineRule="auto"/>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信用评价</w:t>
            </w:r>
          </w:p>
        </w:tc>
        <w:tc>
          <w:tcPr>
            <w:tcW w:w="850" w:type="dxa"/>
            <w:vAlign w:val="center"/>
          </w:tcPr>
          <w:p>
            <w:pPr>
              <w:adjustRightInd w:val="0"/>
              <w:spacing w:line="360" w:lineRule="auto"/>
              <w:jc w:val="center"/>
              <w:textAlignment w:val="baseline"/>
              <w:rPr>
                <w:rFonts w:asciiTheme="minorEastAsia" w:hAnsiTheme="minorEastAsia" w:eastAsiaTheme="minorEastAsia"/>
                <w:kern w:val="0"/>
                <w:szCs w:val="21"/>
              </w:rPr>
            </w:pPr>
            <w:r>
              <w:rPr>
                <w:rFonts w:asciiTheme="minorEastAsia" w:hAnsiTheme="minorEastAsia" w:eastAsiaTheme="minorEastAsia"/>
                <w:kern w:val="0"/>
                <w:szCs w:val="21"/>
              </w:rPr>
              <w:t>5分</w:t>
            </w:r>
          </w:p>
        </w:tc>
        <w:tc>
          <w:tcPr>
            <w:tcW w:w="3300" w:type="dxa"/>
            <w:vAlign w:val="center"/>
          </w:tcPr>
          <w:p>
            <w:pPr>
              <w:adjustRightInd w:val="0"/>
              <w:spacing w:line="360" w:lineRule="atLeast"/>
              <w:jc w:val="left"/>
              <w:textAlignment w:val="baseline"/>
              <w:rPr>
                <w:rFonts w:hAnsi="宋体" w:cs="宋体"/>
                <w:kern w:val="0"/>
                <w:szCs w:val="21"/>
              </w:rPr>
            </w:pPr>
            <w:r>
              <w:rPr>
                <w:rFonts w:hint="eastAsia" w:ascii="宋体" w:hAnsi="宋体" w:cs="宋体"/>
                <w:kern w:val="0"/>
                <w:szCs w:val="21"/>
              </w:rPr>
              <w:t>守信典型企业（2.5 分）</w:t>
            </w:r>
          </w:p>
          <w:p>
            <w:pPr>
              <w:adjustRightInd w:val="0"/>
              <w:spacing w:line="360" w:lineRule="atLeast"/>
              <w:jc w:val="left"/>
              <w:textAlignment w:val="baseline"/>
              <w:rPr>
                <w:rFonts w:hAnsi="宋体" w:cs="宋体"/>
                <w:kern w:val="0"/>
                <w:szCs w:val="21"/>
              </w:rPr>
            </w:pPr>
            <w:r>
              <w:rPr>
                <w:rFonts w:hint="eastAsia" w:ascii="宋体" w:hAnsi="宋体" w:cs="宋体"/>
                <w:kern w:val="0"/>
                <w:szCs w:val="21"/>
              </w:rPr>
              <w:t>投标人列入最新年度交通运输部公路工程建设领域守信典型企业目录设计企业的，得2.5分。</w:t>
            </w:r>
          </w:p>
          <w:p>
            <w:pPr>
              <w:adjustRightInd w:val="0"/>
              <w:spacing w:line="360" w:lineRule="atLeast"/>
              <w:jc w:val="left"/>
              <w:textAlignment w:val="baseline"/>
              <w:rPr>
                <w:rFonts w:hAnsi="宋体" w:cs="宋体"/>
                <w:kern w:val="0"/>
                <w:szCs w:val="21"/>
              </w:rPr>
            </w:pPr>
            <w:r>
              <w:rPr>
                <w:rFonts w:hint="eastAsia" w:ascii="宋体" w:hAnsi="宋体" w:cs="宋体"/>
                <w:kern w:val="0"/>
                <w:szCs w:val="21"/>
              </w:rPr>
              <w:t>（需提供交通运输部网站的最新年度公告相关截图，否则不予计分）。</w:t>
            </w:r>
          </w:p>
          <w:p>
            <w:pPr>
              <w:adjustRightInd w:val="0"/>
              <w:spacing w:line="360" w:lineRule="atLeast"/>
              <w:jc w:val="left"/>
              <w:textAlignment w:val="baseline"/>
              <w:rPr>
                <w:rFonts w:hAnsi="宋体" w:cs="宋体"/>
                <w:kern w:val="0"/>
                <w:szCs w:val="21"/>
              </w:rPr>
            </w:pPr>
            <w:r>
              <w:rPr>
                <w:rFonts w:hint="eastAsia" w:ascii="宋体" w:hAnsi="宋体" w:cs="宋体"/>
                <w:kern w:val="0"/>
                <w:szCs w:val="21"/>
              </w:rPr>
              <w:t>信用等级分值（2.5 分）</w:t>
            </w:r>
          </w:p>
          <w:p>
            <w:pPr>
              <w:adjustRightInd w:val="0"/>
              <w:spacing w:line="360" w:lineRule="atLeast"/>
              <w:jc w:val="left"/>
              <w:textAlignment w:val="baseline"/>
              <w:rPr>
                <w:rFonts w:hAnsi="宋体" w:cs="宋体"/>
                <w:kern w:val="0"/>
                <w:szCs w:val="21"/>
              </w:rPr>
            </w:pPr>
            <w:r>
              <w:rPr>
                <w:rFonts w:hint="eastAsia" w:ascii="宋体" w:hAnsi="宋体" w:cs="宋体"/>
                <w:kern w:val="0"/>
                <w:szCs w:val="21"/>
              </w:rPr>
              <w:t>按投标人须知前附表10.2款的规定，各投标人信用等级AA级为2.5分，A级为2.4分、B级为</w:t>
            </w:r>
          </w:p>
          <w:p>
            <w:pPr>
              <w:adjustRightInd w:val="0"/>
              <w:snapToGrid w:val="0"/>
              <w:spacing w:line="400" w:lineRule="exact"/>
              <w:jc w:val="left"/>
              <w:textAlignment w:val="baseline"/>
              <w:rPr>
                <w:rFonts w:asciiTheme="minorEastAsia" w:hAnsiTheme="minorEastAsia" w:eastAsiaTheme="minorEastAsia"/>
                <w:kern w:val="0"/>
                <w:sz w:val="24"/>
                <w:szCs w:val="18"/>
                <w:lang w:val="zh-CN"/>
              </w:rPr>
            </w:pPr>
            <w:r>
              <w:rPr>
                <w:rFonts w:hint="eastAsia" w:ascii="宋体" w:hAnsi="宋体" w:cs="宋体"/>
                <w:kern w:val="0"/>
                <w:szCs w:val="21"/>
              </w:rPr>
              <w:t>2.25分、C 级为1.75 分（级差：0.1、0.15、0.5）。</w:t>
            </w:r>
          </w:p>
        </w:tc>
      </w:tr>
    </w:tbl>
    <w:p>
      <w:pPr>
        <w:wordWrap w:val="0"/>
        <w:topLinePunct/>
        <w:spacing w:line="360" w:lineRule="auto"/>
        <w:jc w:val="both"/>
        <w:textAlignment w:val="baseline"/>
        <w:rPr>
          <w:rFonts w:hint="eastAsia" w:asciiTheme="minorEastAsia" w:hAnsiTheme="minorEastAsia" w:eastAsiaTheme="minorEastAsia"/>
          <w:kern w:val="0"/>
          <w:sz w:val="42"/>
          <w:szCs w:val="42"/>
        </w:rPr>
      </w:pPr>
    </w:p>
    <w:sectPr>
      <w:footnotePr>
        <w:numFmt w:val="decimalEnclosedCircleChinese"/>
        <w:numRestart w:val="eachPage"/>
      </w:footnotePr>
      <w:pgSz w:w="11900" w:h="16840"/>
      <w:pgMar w:top="1417" w:right="1417" w:bottom="1417" w:left="1417" w:header="851" w:footer="850" w:gutter="0"/>
      <w:pgNumType w:fmt="decimal"/>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标宋">
    <w:altName w:val="宋体"/>
    <w:panose1 w:val="00000000000000000000"/>
    <w:charset w:val="00"/>
    <w:family w:val="auto"/>
    <w:pitch w:val="default"/>
    <w:sig w:usb0="00000000" w:usb1="00000000" w:usb2="00000000" w:usb3="00000000" w:csb0="00000000" w:csb1="00000000"/>
  </w:font>
  <w:font w:name="CIDFont+F1">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4YWFlMmQzNTAxYzY3ZDU1NGJmZTMxZDgyNzkyYTQifQ=="/>
  </w:docVars>
  <w:rsids>
    <w:rsidRoot w:val="00FB4EB6"/>
    <w:rsid w:val="00014C12"/>
    <w:rsid w:val="00025617"/>
    <w:rsid w:val="00042A47"/>
    <w:rsid w:val="000F0DDC"/>
    <w:rsid w:val="001A6F13"/>
    <w:rsid w:val="001C6EE4"/>
    <w:rsid w:val="001D3119"/>
    <w:rsid w:val="00220E97"/>
    <w:rsid w:val="00263040"/>
    <w:rsid w:val="002749ED"/>
    <w:rsid w:val="00302909"/>
    <w:rsid w:val="003B5F21"/>
    <w:rsid w:val="003D2A2C"/>
    <w:rsid w:val="004B258B"/>
    <w:rsid w:val="004E4AE8"/>
    <w:rsid w:val="00563D4F"/>
    <w:rsid w:val="00581C89"/>
    <w:rsid w:val="005930CA"/>
    <w:rsid w:val="005B2868"/>
    <w:rsid w:val="005C56C9"/>
    <w:rsid w:val="005E0DA2"/>
    <w:rsid w:val="00657103"/>
    <w:rsid w:val="006A6C77"/>
    <w:rsid w:val="00704D04"/>
    <w:rsid w:val="007C632E"/>
    <w:rsid w:val="007D1547"/>
    <w:rsid w:val="007D4361"/>
    <w:rsid w:val="00876AB2"/>
    <w:rsid w:val="008B57B6"/>
    <w:rsid w:val="008E041F"/>
    <w:rsid w:val="00922B72"/>
    <w:rsid w:val="009A2F52"/>
    <w:rsid w:val="009A37CC"/>
    <w:rsid w:val="009C3200"/>
    <w:rsid w:val="009D1018"/>
    <w:rsid w:val="00A37CC3"/>
    <w:rsid w:val="00BE5625"/>
    <w:rsid w:val="00C11C56"/>
    <w:rsid w:val="00C40FCF"/>
    <w:rsid w:val="00CF2728"/>
    <w:rsid w:val="00D317F6"/>
    <w:rsid w:val="00E145A1"/>
    <w:rsid w:val="00F6648A"/>
    <w:rsid w:val="00FB4EB6"/>
    <w:rsid w:val="00FB5A87"/>
    <w:rsid w:val="00FC7769"/>
    <w:rsid w:val="15CE592F"/>
    <w:rsid w:val="1B304996"/>
    <w:rsid w:val="1D2F56E6"/>
    <w:rsid w:val="1D9E652E"/>
    <w:rsid w:val="1F341FD7"/>
    <w:rsid w:val="1F5275D0"/>
    <w:rsid w:val="22E174C7"/>
    <w:rsid w:val="249E3CDD"/>
    <w:rsid w:val="25F35CC8"/>
    <w:rsid w:val="26CA2142"/>
    <w:rsid w:val="29971097"/>
    <w:rsid w:val="2B4E6907"/>
    <w:rsid w:val="2DF53F49"/>
    <w:rsid w:val="353A0807"/>
    <w:rsid w:val="380F1889"/>
    <w:rsid w:val="3BAF37EC"/>
    <w:rsid w:val="4B8A1D1C"/>
    <w:rsid w:val="4ED432AF"/>
    <w:rsid w:val="4F6841D5"/>
    <w:rsid w:val="61C45474"/>
    <w:rsid w:val="665E7BD6"/>
    <w:rsid w:val="6AA931CF"/>
    <w:rsid w:val="6B827EC3"/>
    <w:rsid w:val="700C6408"/>
    <w:rsid w:val="70BB79D3"/>
    <w:rsid w:val="77692433"/>
    <w:rsid w:val="7D2C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80" w:lineRule="exact"/>
      <w:jc w:val="center"/>
      <w:outlineLvl w:val="1"/>
    </w:pPr>
    <w:rPr>
      <w:rFonts w:ascii="宋体" w:hAnsi="宋体" w:eastAsia="黑体"/>
      <w:bCs/>
      <w:i/>
      <w:iCs/>
      <w:sz w:val="24"/>
      <w:szCs w:val="20"/>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正文缩进1"/>
    <w:basedOn w:val="3"/>
    <w:qFormat/>
    <w:uiPriority w:val="0"/>
    <w:pPr>
      <w:ind w:firstLine="624"/>
    </w:pPr>
    <w:rPr>
      <w:rFonts w:hint="eastAsia" w:ascii="Times New Roman" w:hAnsi="Times New Roman"/>
    </w:rPr>
  </w:style>
  <w:style w:type="paragraph" w:customStyle="1" w:styleId="3">
    <w:name w:val="正文1"/>
    <w:basedOn w:val="1"/>
    <w:next w:val="2"/>
    <w:qFormat/>
    <w:uiPriority w:val="0"/>
    <w:pPr>
      <w:spacing w:line="400" w:lineRule="exact"/>
      <w:ind w:firstLine="480" w:firstLineChars="200"/>
    </w:pPr>
    <w:rPr>
      <w:rFonts w:ascii="Calibri" w:hAnsi="Calibri"/>
      <w:kern w:val="20"/>
    </w:rPr>
  </w:style>
  <w:style w:type="paragraph" w:styleId="5">
    <w:name w:val="annotation text"/>
    <w:basedOn w:val="1"/>
    <w:qFormat/>
    <w:uiPriority w:val="0"/>
    <w:pPr>
      <w:jc w:val="left"/>
    </w:pPr>
  </w:style>
  <w:style w:type="paragraph" w:styleId="6">
    <w:name w:val="Body Text"/>
    <w:basedOn w:val="1"/>
    <w:next w:val="1"/>
    <w:qFormat/>
    <w:uiPriority w:val="99"/>
    <w:pPr>
      <w:pBdr>
        <w:top w:val="single" w:color="auto" w:sz="4" w:space="1"/>
      </w:pBdr>
    </w:pPr>
    <w:rPr>
      <w:b/>
      <w:bCs/>
    </w:rPr>
  </w:style>
  <w:style w:type="paragraph" w:styleId="7">
    <w:name w:val="Body Text Indent 2"/>
    <w:basedOn w:val="1"/>
    <w:link w:val="18"/>
    <w:qFormat/>
    <w:uiPriority w:val="0"/>
    <w:pPr>
      <w:spacing w:after="120" w:line="480" w:lineRule="auto"/>
      <w:ind w:left="420" w:leftChars="200"/>
    </w:p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19"/>
    <w:qFormat/>
    <w:uiPriority w:val="0"/>
    <w:pPr>
      <w:snapToGrid w:val="0"/>
      <w:jc w:val="left"/>
    </w:pPr>
    <w:rPr>
      <w:sz w:val="18"/>
      <w:szCs w:val="18"/>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4">
    <w:name w:val="页眉 字符"/>
    <w:basedOn w:val="13"/>
    <w:link w:val="9"/>
    <w:qFormat/>
    <w:uiPriority w:val="0"/>
    <w:rPr>
      <w:kern w:val="2"/>
      <w:sz w:val="18"/>
      <w:szCs w:val="18"/>
    </w:rPr>
  </w:style>
  <w:style w:type="character" w:customStyle="1" w:styleId="15">
    <w:name w:val="页脚 字符"/>
    <w:basedOn w:val="13"/>
    <w:link w:val="8"/>
    <w:qFormat/>
    <w:uiPriority w:val="0"/>
    <w:rPr>
      <w:kern w:val="2"/>
      <w:sz w:val="18"/>
      <w:szCs w:val="18"/>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发文落款"/>
    <w:basedOn w:val="16"/>
    <w:qFormat/>
    <w:uiPriority w:val="0"/>
    <w:pPr>
      <w:ind w:left="4094" w:right="607" w:firstLine="0"/>
      <w:jc w:val="center"/>
    </w:pPr>
  </w:style>
  <w:style w:type="character" w:customStyle="1" w:styleId="18">
    <w:name w:val="正文文本缩进 2 字符"/>
    <w:basedOn w:val="13"/>
    <w:link w:val="7"/>
    <w:qFormat/>
    <w:uiPriority w:val="0"/>
    <w:rPr>
      <w:kern w:val="2"/>
      <w:sz w:val="21"/>
      <w:szCs w:val="24"/>
    </w:rPr>
  </w:style>
  <w:style w:type="character" w:customStyle="1" w:styleId="19">
    <w:name w:val="脚注文本 字符"/>
    <w:basedOn w:val="13"/>
    <w:link w:val="10"/>
    <w:qFormat/>
    <w:uiPriority w:val="0"/>
    <w:rPr>
      <w:kern w:val="2"/>
      <w:sz w:val="18"/>
      <w:szCs w:val="18"/>
    </w:rPr>
  </w:style>
  <w:style w:type="paragraph" w:customStyle="1" w:styleId="2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wanghg</Company>
  <Pages>15</Pages>
  <Words>6896</Words>
  <Characters>7543</Characters>
  <Lines>10</Lines>
  <Paragraphs>16</Paragraphs>
  <TotalTime>4</TotalTime>
  <ScaleCrop>false</ScaleCrop>
  <LinksUpToDate>false</LinksUpToDate>
  <CharactersWithSpaces>7781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2023-06-20T02:09:00Z</dcterms:created>
  <dc:creator>wanghg</dc:creator>
  <cp:lastModifiedBy>AAAA</cp:lastModifiedBy>
  <dcterms:modified xsi:type="dcterms:W3CDTF">2023-06-20T03:45:17Z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4DA7D855C9D54E90A23FA0B47804205B</vt:lpwstr>
  </property>
</Properties>
</file>