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33" w:lineRule="exact"/>
        <w:jc w:val="center"/>
        <w:rPr>
          <w:sz w:val="22"/>
        </w:rPr>
        <w:sectPr>
          <w:pgSz w:w="23820" w:h="16840" w:orient="landscape"/>
          <w:pgMar w:top="1080" w:right="2240" w:bottom="280" w:left="860" w:header="720" w:footer="720" w:gutter="0"/>
          <w:cols w:space="720" w:num="1"/>
        </w:sectPr>
      </w:pPr>
    </w:p>
    <w:tbl>
      <w:tblPr>
        <w:tblStyle w:val="7"/>
        <w:tblW w:w="0" w:type="auto"/>
        <w:tblInd w:w="1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1205"/>
        <w:gridCol w:w="991"/>
        <w:gridCol w:w="1740"/>
        <w:gridCol w:w="2323"/>
        <w:gridCol w:w="1029"/>
        <w:gridCol w:w="825"/>
        <w:gridCol w:w="621"/>
        <w:gridCol w:w="686"/>
        <w:gridCol w:w="840"/>
        <w:gridCol w:w="710"/>
        <w:gridCol w:w="775"/>
        <w:gridCol w:w="825"/>
        <w:gridCol w:w="674"/>
        <w:gridCol w:w="813"/>
        <w:gridCol w:w="1053"/>
        <w:gridCol w:w="7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7430" w:type="dxa"/>
            <w:gridSpan w:val="17"/>
            <w:tcBorders>
              <w:top w:val="nil"/>
              <w:left w:val="nil"/>
              <w:right w:val="nil"/>
            </w:tcBorders>
            <w:shd w:val="clear" w:color="auto" w:fill="7F7F7F"/>
          </w:tcPr>
          <w:p>
            <w:pPr>
              <w:pStyle w:val="9"/>
              <w:spacing w:line="334" w:lineRule="exact"/>
              <w:ind w:left="7634" w:right="759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/>
                <w:b/>
                <w:sz w:val="24"/>
                <w:lang w:val="en-US" w:eastAsia="zh-CN"/>
              </w:rPr>
              <w:t>综合楼</w:t>
            </w:r>
            <w:bookmarkStart w:id="0" w:name="_GoBack"/>
            <w:bookmarkEnd w:id="0"/>
            <w:r>
              <w:rPr>
                <w:rFonts w:hint="eastAsia" w:ascii="Microsoft JhengHei" w:eastAsia="Microsoft JhengHei"/>
                <w:b/>
                <w:sz w:val="24"/>
              </w:rPr>
              <w:t>装配率统计表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496" w:type="dxa"/>
            <w:gridSpan w:val="4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2451" w:right="241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评价项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801"/>
              <w:rPr>
                <w:sz w:val="18"/>
              </w:rPr>
            </w:pPr>
            <w:r>
              <w:rPr>
                <w:w w:val="105"/>
                <w:sz w:val="18"/>
              </w:rPr>
              <w:t>评价要求</w:t>
            </w:r>
          </w:p>
        </w:tc>
        <w:tc>
          <w:tcPr>
            <w:tcW w:w="1029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338"/>
              <w:rPr>
                <w:sz w:val="18"/>
              </w:rPr>
            </w:pPr>
            <w:r>
              <w:rPr>
                <w:w w:val="105"/>
                <w:sz w:val="18"/>
              </w:rPr>
              <w:t>分值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53"/>
              <w:rPr>
                <w:sz w:val="18"/>
              </w:rPr>
            </w:pPr>
            <w:r>
              <w:rPr>
                <w:sz w:val="18"/>
              </w:rPr>
              <w:t>最低分值</w:t>
            </w:r>
          </w:p>
        </w:tc>
        <w:tc>
          <w:tcPr>
            <w:tcW w:w="4457" w:type="dxa"/>
            <w:gridSpan w:val="6"/>
          </w:tcPr>
          <w:p>
            <w:pPr>
              <w:pStyle w:val="9"/>
              <w:spacing w:before="49"/>
              <w:ind w:left="944"/>
              <w:rPr>
                <w:sz w:val="18"/>
              </w:rPr>
            </w:pPr>
            <w:r>
              <w:rPr>
                <w:w w:val="105"/>
                <w:sz w:val="18"/>
              </w:rPr>
              <w:t>应用比例（应用量</w:t>
            </w:r>
            <w:r>
              <w:rPr>
                <w:rFonts w:ascii="Times New Roman" w:eastAsia="Times New Roman"/>
                <w:w w:val="105"/>
                <w:sz w:val="18"/>
              </w:rPr>
              <w:t>/</w:t>
            </w:r>
            <w:r>
              <w:rPr>
                <w:w w:val="105"/>
                <w:sz w:val="18"/>
              </w:rPr>
              <w:t>总量）（</w:t>
            </w:r>
            <w:r>
              <w:rPr>
                <w:rFonts w:ascii="Times New Roman" w:eastAsia="Times New Roman"/>
                <w:w w:val="105"/>
                <w:sz w:val="18"/>
              </w:rPr>
              <w:t>%</w:t>
            </w:r>
            <w:r>
              <w:rPr>
                <w:w w:val="105"/>
                <w:sz w:val="18"/>
              </w:rPr>
              <w:t>）</w:t>
            </w:r>
          </w:p>
        </w:tc>
        <w:tc>
          <w:tcPr>
            <w:tcW w:w="674" w:type="dxa"/>
          </w:tcPr>
          <w:p>
            <w:pPr>
              <w:pStyle w:val="9"/>
              <w:spacing w:before="64"/>
              <w:ind w:left="137" w:right="9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本项</w:t>
            </w:r>
          </w:p>
        </w:tc>
        <w:tc>
          <w:tcPr>
            <w:tcW w:w="813" w:type="dxa"/>
            <w:vMerge w:val="restart"/>
          </w:tcPr>
          <w:p>
            <w:pPr>
              <w:pStyle w:val="9"/>
              <w:rPr>
                <w:rFonts w:ascii="Times New Roman"/>
                <w:sz w:val="19"/>
              </w:rPr>
            </w:pPr>
          </w:p>
          <w:p>
            <w:pPr>
              <w:pStyle w:val="9"/>
              <w:spacing w:before="1" w:line="237" w:lineRule="auto"/>
              <w:ind w:left="51" w:right="7"/>
              <w:rPr>
                <w:sz w:val="18"/>
              </w:rPr>
            </w:pPr>
            <w:r>
              <w:rPr>
                <w:sz w:val="18"/>
              </w:rPr>
              <w:t>缺少的评价项分值</w:t>
            </w: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19"/>
              </w:rPr>
            </w:pPr>
          </w:p>
          <w:p>
            <w:pPr>
              <w:pStyle w:val="9"/>
              <w:spacing w:before="1" w:line="237" w:lineRule="auto"/>
              <w:ind w:left="445" w:right="39" w:hanging="368"/>
              <w:rPr>
                <w:sz w:val="18"/>
              </w:rPr>
            </w:pPr>
            <w:r>
              <w:rPr>
                <w:sz w:val="18"/>
              </w:rPr>
              <w:t>本大项得分</w:t>
            </w:r>
            <w:r>
              <w:rPr>
                <w:w w:val="105"/>
                <w:sz w:val="18"/>
              </w:rPr>
              <w:t>值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208"/>
              <w:rPr>
                <w:sz w:val="18"/>
              </w:rPr>
            </w:pPr>
            <w:r>
              <w:rPr>
                <w:w w:val="105"/>
                <w:sz w:val="18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496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145"/>
              <w:ind w:left="452" w:right="41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子项</w:t>
            </w:r>
          </w:p>
        </w:tc>
        <w:tc>
          <w:tcPr>
            <w:tcW w:w="840" w:type="dxa"/>
          </w:tcPr>
          <w:p>
            <w:pPr>
              <w:pStyle w:val="9"/>
              <w:spacing w:before="145"/>
              <w:ind w:left="244"/>
              <w:rPr>
                <w:sz w:val="18"/>
              </w:rPr>
            </w:pPr>
            <w:r>
              <w:rPr>
                <w:w w:val="105"/>
                <w:sz w:val="18"/>
              </w:rPr>
              <w:t>单位</w:t>
            </w:r>
          </w:p>
        </w:tc>
        <w:tc>
          <w:tcPr>
            <w:tcW w:w="710" w:type="dxa"/>
          </w:tcPr>
          <w:p>
            <w:pPr>
              <w:pStyle w:val="9"/>
              <w:spacing w:before="145"/>
              <w:ind w:left="3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应用量</w:t>
            </w:r>
          </w:p>
        </w:tc>
        <w:tc>
          <w:tcPr>
            <w:tcW w:w="775" w:type="dxa"/>
          </w:tcPr>
          <w:p>
            <w:pPr>
              <w:pStyle w:val="9"/>
              <w:spacing w:before="145"/>
              <w:ind w:left="66" w:right="2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总量</w:t>
            </w:r>
          </w:p>
        </w:tc>
        <w:tc>
          <w:tcPr>
            <w:tcW w:w="825" w:type="dxa"/>
          </w:tcPr>
          <w:p>
            <w:pPr>
              <w:pStyle w:val="9"/>
              <w:spacing w:before="145"/>
              <w:ind w:left="44" w:right="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比例</w:t>
            </w:r>
          </w:p>
        </w:tc>
        <w:tc>
          <w:tcPr>
            <w:tcW w:w="674" w:type="dxa"/>
          </w:tcPr>
          <w:p>
            <w:pPr>
              <w:pStyle w:val="9"/>
              <w:spacing w:before="145"/>
              <w:ind w:left="137" w:right="9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得分</w:t>
            </w: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1560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9"/>
              <w:spacing w:line="229" w:lineRule="exact"/>
              <w:ind w:left="46" w:right="13"/>
              <w:jc w:val="center"/>
              <w:rPr>
                <w:sz w:val="18"/>
              </w:rPr>
            </w:pPr>
            <w:r>
              <w:rPr>
                <w:sz w:val="18"/>
              </w:rPr>
              <w:t>Q1：主体结构（50</w:t>
            </w:r>
          </w:p>
          <w:p>
            <w:pPr>
              <w:pStyle w:val="9"/>
              <w:spacing w:line="229" w:lineRule="exact"/>
              <w:ind w:left="46" w:right="1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分）</w:t>
            </w:r>
          </w:p>
        </w:tc>
        <w:tc>
          <w:tcPr>
            <w:tcW w:w="1205" w:type="dxa"/>
            <w:vMerge w:val="restart"/>
          </w:tcPr>
          <w:p>
            <w:pPr>
              <w:pStyle w:val="9"/>
              <w:spacing w:before="17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Q1a</w:t>
            </w:r>
          </w:p>
        </w:tc>
        <w:tc>
          <w:tcPr>
            <w:tcW w:w="2731" w:type="dxa"/>
            <w:gridSpan w:val="2"/>
            <w:vMerge w:val="restart"/>
          </w:tcPr>
          <w:p>
            <w:pPr>
              <w:pStyle w:val="9"/>
              <w:spacing w:before="65" w:line="235" w:lineRule="auto"/>
              <w:ind w:left="1004" w:right="57" w:hanging="917"/>
              <w:rPr>
                <w:sz w:val="18"/>
              </w:rPr>
            </w:pPr>
            <w:r>
              <w:rPr>
                <w:sz w:val="18"/>
              </w:rPr>
              <w:t>柱、支撑、承重墙、延性墙板等</w:t>
            </w:r>
            <w:r>
              <w:rPr>
                <w:w w:val="105"/>
                <w:sz w:val="18"/>
              </w:rPr>
              <w:t>竖向构件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spacing w:before="160"/>
              <w:ind w:left="462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35%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  <w:vMerge w:val="restart"/>
          </w:tcPr>
          <w:p>
            <w:pPr>
              <w:pStyle w:val="9"/>
              <w:spacing w:before="160"/>
              <w:ind w:left="198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20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30*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4"/>
              <w:ind w:left="44" w:right="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20</w:t>
            </w:r>
          </w:p>
        </w:tc>
        <w:tc>
          <w:tcPr>
            <w:tcW w:w="1307" w:type="dxa"/>
            <w:gridSpan w:val="2"/>
            <w:vMerge w:val="restart"/>
          </w:tcPr>
          <w:p>
            <w:pPr>
              <w:pStyle w:val="9"/>
              <w:spacing w:before="172"/>
              <w:ind w:left="435" w:right="417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w w:val="105"/>
                <w:sz w:val="18"/>
              </w:rPr>
              <w:t>q1a</w:t>
            </w:r>
          </w:p>
        </w:tc>
        <w:tc>
          <w:tcPr>
            <w:tcW w:w="840" w:type="dxa"/>
            <w:vMerge w:val="restart"/>
          </w:tcPr>
          <w:p>
            <w:pPr>
              <w:pStyle w:val="9"/>
              <w:spacing w:before="186"/>
              <w:ind w:left="14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(m</w:t>
            </w:r>
            <w:r>
              <w:rPr>
                <w:rFonts w:ascii="Times New Roman"/>
                <w:sz w:val="18"/>
                <w:vertAlign w:val="superscript"/>
              </w:rPr>
              <w:t>3</w:t>
            </w:r>
            <w:r>
              <w:rPr>
                <w:rFonts w:ascii="Times New Roman"/>
                <w:sz w:val="18"/>
                <w:vertAlign w:val="baseline"/>
              </w:rPr>
              <w:t>/m</w:t>
            </w:r>
            <w:r>
              <w:rPr>
                <w:rFonts w:ascii="Times New Roman"/>
                <w:sz w:val="18"/>
                <w:vertAlign w:val="superscript"/>
              </w:rPr>
              <w:t>3</w:t>
            </w:r>
            <w:r>
              <w:rPr>
                <w:rFonts w:ascii="Times New Roman"/>
                <w:sz w:val="18"/>
                <w:vertAlign w:val="baseline"/>
              </w:rPr>
              <w:t>)</w:t>
            </w:r>
          </w:p>
        </w:tc>
        <w:tc>
          <w:tcPr>
            <w:tcW w:w="710" w:type="dxa"/>
            <w:vMerge w:val="restart"/>
          </w:tcPr>
          <w:p>
            <w:pPr>
              <w:pStyle w:val="9"/>
              <w:spacing w:before="172"/>
              <w:ind w:left="93"/>
              <w:rPr>
                <w:rFonts w:hint="default" w:ascii="Times New Roman" w:eastAsia="宋体"/>
                <w:i/>
                <w:sz w:val="18"/>
                <w:lang w:val="en-US" w:eastAsia="zh-CN"/>
              </w:rPr>
            </w:pPr>
            <w:r>
              <w:rPr>
                <w:rFonts w:hint="eastAsia" w:ascii="Times New Roman"/>
                <w:i/>
                <w:w w:val="105"/>
                <w:sz w:val="18"/>
                <w:lang w:val="en-US" w:eastAsia="zh-CN"/>
              </w:rPr>
              <w:t>64.8</w:t>
            </w:r>
          </w:p>
        </w:tc>
        <w:tc>
          <w:tcPr>
            <w:tcW w:w="775" w:type="dxa"/>
            <w:vMerge w:val="restart"/>
          </w:tcPr>
          <w:p>
            <w:pPr>
              <w:pStyle w:val="9"/>
              <w:spacing w:before="172"/>
              <w:ind w:left="141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181.08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spacing w:before="172"/>
              <w:ind w:left="182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38.4</w:t>
            </w:r>
          </w:p>
        </w:tc>
        <w:tc>
          <w:tcPr>
            <w:tcW w:w="674" w:type="dxa"/>
            <w:vMerge w:val="restart"/>
          </w:tcPr>
          <w:p>
            <w:pPr>
              <w:pStyle w:val="9"/>
              <w:spacing w:before="172"/>
              <w:ind w:left="255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20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4"/>
              <w:ind w:left="424" w:right="379"/>
              <w:jc w:val="center"/>
              <w:rPr>
                <w:rFonts w:hint="eastAsia" w:ascii="Times New Roman" w:eastAsia="宋体"/>
                <w:sz w:val="18"/>
                <w:lang w:eastAsia="zh-CN"/>
              </w:rPr>
            </w:pPr>
            <w:r>
              <w:rPr>
                <w:rFonts w:ascii="Times New Roman"/>
                <w:w w:val="105"/>
                <w:sz w:val="18"/>
              </w:rPr>
              <w:t>3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10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Q1b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line="226" w:lineRule="exact"/>
              <w:ind w:left="91" w:right="60"/>
              <w:jc w:val="center"/>
              <w:rPr>
                <w:sz w:val="18"/>
              </w:rPr>
            </w:pPr>
            <w:r>
              <w:rPr>
                <w:sz w:val="18"/>
              </w:rPr>
              <w:t>梁、板、楼梯、阳台、空调板等</w:t>
            </w:r>
          </w:p>
          <w:p>
            <w:pPr>
              <w:pStyle w:val="9"/>
              <w:spacing w:line="199" w:lineRule="exact"/>
              <w:ind w:left="88" w:right="6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构件</w:t>
            </w:r>
          </w:p>
        </w:tc>
        <w:tc>
          <w:tcPr>
            <w:tcW w:w="2323" w:type="dxa"/>
          </w:tcPr>
          <w:p>
            <w:pPr>
              <w:pStyle w:val="9"/>
              <w:spacing w:before="95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70%≤</w:t>
            </w:r>
            <w:r>
              <w:rPr>
                <w:w w:val="105"/>
                <w:sz w:val="18"/>
              </w:rPr>
              <w:t>比例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≤80%</w:t>
            </w:r>
          </w:p>
        </w:tc>
        <w:tc>
          <w:tcPr>
            <w:tcW w:w="1029" w:type="dxa"/>
          </w:tcPr>
          <w:p>
            <w:pPr>
              <w:pStyle w:val="9"/>
              <w:spacing w:before="95"/>
              <w:ind w:left="198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10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20*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107"/>
              <w:ind w:left="420" w:right="417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w w:val="105"/>
                <w:sz w:val="18"/>
              </w:rPr>
              <w:t>q1b</w:t>
            </w:r>
          </w:p>
        </w:tc>
        <w:tc>
          <w:tcPr>
            <w:tcW w:w="84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15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(m2/m2)</w:t>
            </w:r>
          </w:p>
        </w:tc>
        <w:tc>
          <w:tcPr>
            <w:tcW w:w="710" w:type="dxa"/>
          </w:tcPr>
          <w:p>
            <w:pPr>
              <w:pStyle w:val="9"/>
              <w:spacing w:before="112"/>
              <w:ind w:left="38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w w:val="105"/>
                <w:sz w:val="18"/>
              </w:rPr>
              <w:t>2286.59</w:t>
            </w:r>
          </w:p>
        </w:tc>
        <w:tc>
          <w:tcPr>
            <w:tcW w:w="775" w:type="dxa"/>
          </w:tcPr>
          <w:p>
            <w:pPr>
              <w:pStyle w:val="9"/>
              <w:spacing w:before="112"/>
              <w:ind w:left="70" w:right="29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w w:val="105"/>
                <w:sz w:val="18"/>
              </w:rPr>
              <w:t>3191.48</w:t>
            </w:r>
          </w:p>
        </w:tc>
        <w:tc>
          <w:tcPr>
            <w:tcW w:w="825" w:type="dxa"/>
          </w:tcPr>
          <w:p>
            <w:pPr>
              <w:pStyle w:val="9"/>
              <w:spacing w:before="112"/>
              <w:ind w:left="44" w:right="1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w w:val="105"/>
                <w:sz w:val="18"/>
              </w:rPr>
              <w:t>0.71</w:t>
            </w:r>
          </w:p>
        </w:tc>
        <w:tc>
          <w:tcPr>
            <w:tcW w:w="674" w:type="dxa"/>
          </w:tcPr>
          <w:p>
            <w:pPr>
              <w:pStyle w:val="9"/>
              <w:spacing w:before="107"/>
              <w:ind w:left="137" w:right="94"/>
              <w:jc w:val="center"/>
              <w:rPr>
                <w:rFonts w:hint="eastAsia" w:ascii="Times New Roman" w:eastAsia="宋体"/>
                <w:sz w:val="18"/>
                <w:lang w:eastAsia="zh-CN"/>
              </w:rPr>
            </w:pPr>
            <w:r>
              <w:rPr>
                <w:rFonts w:ascii="Times New Roman"/>
                <w:w w:val="105"/>
                <w:sz w:val="18"/>
              </w:rPr>
              <w:t>1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9"/>
              <w:spacing w:before="1" w:line="235" w:lineRule="auto"/>
              <w:ind w:left="326" w:right="16" w:hanging="274"/>
              <w:rPr>
                <w:sz w:val="18"/>
              </w:rPr>
            </w:pPr>
            <w:r>
              <w:rPr>
                <w:sz w:val="18"/>
              </w:rPr>
              <w:t>Q2：围护墙和内隔</w:t>
            </w:r>
            <w:r>
              <w:rPr>
                <w:w w:val="105"/>
                <w:sz w:val="18"/>
              </w:rPr>
              <w:t>墙（20分）</w:t>
            </w: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Q2a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637"/>
              <w:rPr>
                <w:sz w:val="18"/>
              </w:rPr>
            </w:pPr>
            <w:r>
              <w:rPr>
                <w:w w:val="105"/>
                <w:sz w:val="18"/>
              </w:rPr>
              <w:t>非承重围护非砌筑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7" w:right="32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比例≥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5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9"/>
              <w:ind w:left="44" w:right="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10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2a</w:t>
            </w: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38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1427.34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70" w:right="2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1686.29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44" w:right="8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8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4</w:t>
            </w:r>
            <w:r>
              <w:rPr>
                <w:rFonts w:ascii="Times New Roman"/>
                <w:w w:val="105"/>
                <w:sz w:val="18"/>
              </w:rPr>
              <w:t>.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6</w:t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5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9"/>
              <w:ind w:left="424" w:right="37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10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Q2b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90" w:line="237" w:lineRule="auto"/>
              <w:ind w:left="1187" w:right="55" w:hanging="1100"/>
              <w:rPr>
                <w:sz w:val="18"/>
              </w:rPr>
            </w:pPr>
            <w:r>
              <w:rPr>
                <w:sz w:val="18"/>
              </w:rPr>
              <w:t>围护墙与保温（隔热）、装饰一</w:t>
            </w:r>
            <w:r>
              <w:rPr>
                <w:w w:val="105"/>
                <w:sz w:val="18"/>
              </w:rPr>
              <w:t>体化</w:t>
            </w:r>
          </w:p>
        </w:tc>
        <w:tc>
          <w:tcPr>
            <w:tcW w:w="2323" w:type="dxa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3"/>
              <w:rPr>
                <w:rFonts w:ascii="Times New Roman"/>
                <w:sz w:val="17"/>
              </w:rPr>
            </w:pPr>
          </w:p>
          <w:p>
            <w:pPr>
              <w:pStyle w:val="9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2b</w:t>
            </w: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36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—</w:t>
            </w:r>
          </w:p>
        </w:tc>
        <w:tc>
          <w:tcPr>
            <w:tcW w:w="77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3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—</w:t>
            </w:r>
          </w:p>
        </w:tc>
        <w:tc>
          <w:tcPr>
            <w:tcW w:w="82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37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—</w:t>
            </w:r>
          </w:p>
        </w:tc>
        <w:tc>
          <w:tcPr>
            <w:tcW w:w="674" w:type="dxa"/>
          </w:tcPr>
          <w:p>
            <w:pPr>
              <w:pStyle w:val="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9"/>
              <w:spacing w:before="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Q2c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822"/>
              <w:rPr>
                <w:sz w:val="18"/>
              </w:rPr>
            </w:pPr>
            <w:r>
              <w:rPr>
                <w:w w:val="105"/>
                <w:sz w:val="18"/>
              </w:rPr>
              <w:t>内隔墙非砌筑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7" w:right="32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比例≥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2c</w:t>
            </w: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3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847.04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66" w:right="2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1233.78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44" w:right="8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68.7</w:t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5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Q2d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88"/>
              <w:rPr>
                <w:sz w:val="18"/>
              </w:rPr>
            </w:pPr>
            <w:r>
              <w:rPr>
                <w:sz w:val="18"/>
              </w:rPr>
              <w:t>内隔墙与管线、装修集成一体化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2d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48" w:line="237" w:lineRule="auto"/>
              <w:ind w:left="326" w:right="61" w:hanging="228"/>
              <w:rPr>
                <w:sz w:val="18"/>
              </w:rPr>
            </w:pPr>
            <w:r>
              <w:rPr>
                <w:sz w:val="18"/>
              </w:rPr>
              <w:t>Q3:装修和设备管</w:t>
            </w:r>
            <w:r>
              <w:rPr>
                <w:w w:val="105"/>
                <w:sz w:val="18"/>
              </w:rPr>
              <w:t>线（30分）</w:t>
            </w: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Q3a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91" w:right="5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全装修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—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72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3a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2"/>
              </w:rPr>
            </w:pPr>
          </w:p>
          <w:p>
            <w:pPr>
              <w:pStyle w:val="9"/>
              <w:ind w:left="4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Q3b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455"/>
              <w:rPr>
                <w:sz w:val="18"/>
              </w:rPr>
            </w:pPr>
            <w:r>
              <w:rPr>
                <w:w w:val="105"/>
                <w:sz w:val="18"/>
              </w:rPr>
              <w:t>干式工法的楼面、地面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7" w:right="32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比例≥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</w:p>
        </w:tc>
        <w:tc>
          <w:tcPr>
            <w:tcW w:w="1029" w:type="dxa"/>
            <w:vMerge w:val="restart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3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6*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9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3b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16" w:line="220" w:lineRule="exact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Q3c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16" w:line="220" w:lineRule="exact"/>
              <w:ind w:left="91" w:right="6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集成厨房</w:t>
            </w:r>
          </w:p>
        </w:tc>
        <w:tc>
          <w:tcPr>
            <w:tcW w:w="2323" w:type="dxa"/>
          </w:tcPr>
          <w:p>
            <w:pPr>
              <w:pStyle w:val="9"/>
              <w:spacing w:before="1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90%</w:t>
            </w: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12" w:line="224" w:lineRule="exact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3c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13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13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13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13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13" w:type="dxa"/>
          </w:tcPr>
          <w:p>
            <w:pPr>
              <w:pStyle w:val="9"/>
              <w:spacing w:before="13"/>
              <w:ind w:left="370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23" w:line="230" w:lineRule="exact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Q3d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23" w:line="230" w:lineRule="exact"/>
              <w:ind w:left="913"/>
              <w:rPr>
                <w:sz w:val="18"/>
              </w:rPr>
            </w:pPr>
            <w:r>
              <w:rPr>
                <w:w w:val="105"/>
                <w:sz w:val="18"/>
              </w:rPr>
              <w:t>集成卫生间</w:t>
            </w:r>
          </w:p>
        </w:tc>
        <w:tc>
          <w:tcPr>
            <w:tcW w:w="2323" w:type="dxa"/>
          </w:tcPr>
          <w:p>
            <w:pPr>
              <w:pStyle w:val="9"/>
              <w:spacing w:before="8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90%</w:t>
            </w:r>
          </w:p>
        </w:tc>
        <w:tc>
          <w:tcPr>
            <w:tcW w:w="1029" w:type="dxa"/>
          </w:tcPr>
          <w:p>
            <w:pPr>
              <w:pStyle w:val="9"/>
              <w:spacing w:before="8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3～</w:t>
            </w:r>
            <w:r>
              <w:rPr>
                <w:rFonts w:ascii="Times New Roman" w:eastAsia="Times New Roman"/>
                <w:w w:val="105"/>
                <w:sz w:val="18"/>
              </w:rPr>
              <w:t>6*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21" w:line="231" w:lineRule="exact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3d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20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20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20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20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Q3e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91" w:right="5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管线分离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4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6*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1"/>
              <w:ind w:left="448" w:right="41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q3e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6" w:line="229" w:lineRule="exact"/>
              <w:ind w:left="371"/>
              <w:rPr>
                <w:sz w:val="18"/>
              </w:rPr>
            </w:pPr>
            <w:r>
              <w:rPr>
                <w:w w:val="105"/>
                <w:sz w:val="18"/>
              </w:rPr>
              <w:t>Q5:细化项</w:t>
            </w:r>
          </w:p>
          <w:p>
            <w:pPr>
              <w:pStyle w:val="9"/>
              <w:spacing w:line="229" w:lineRule="exact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（30分）</w:t>
            </w:r>
          </w:p>
        </w:tc>
        <w:tc>
          <w:tcPr>
            <w:tcW w:w="1205" w:type="dxa"/>
            <w:vMerge w:val="restart"/>
          </w:tcPr>
          <w:p>
            <w:pPr>
              <w:pStyle w:val="9"/>
              <w:spacing w:before="6"/>
              <w:rPr>
                <w:rFonts w:ascii="Times New Roman"/>
                <w:sz w:val="29"/>
              </w:rPr>
            </w:pPr>
          </w:p>
          <w:p>
            <w:pPr>
              <w:pStyle w:val="9"/>
              <w:ind w:left="241" w:right="21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Q51</w:t>
            </w:r>
          </w:p>
        </w:tc>
        <w:tc>
          <w:tcPr>
            <w:tcW w:w="991" w:type="dxa"/>
          </w:tcPr>
          <w:p>
            <w:pPr>
              <w:pStyle w:val="9"/>
              <w:spacing w:before="152"/>
              <w:ind w:left="36" w:righ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Q51a</w:t>
            </w:r>
          </w:p>
        </w:tc>
        <w:tc>
          <w:tcPr>
            <w:tcW w:w="1740" w:type="dxa"/>
          </w:tcPr>
          <w:p>
            <w:pPr>
              <w:pStyle w:val="9"/>
              <w:spacing w:before="41" w:line="237" w:lineRule="auto"/>
              <w:ind w:left="35" w:right="33"/>
              <w:rPr>
                <w:sz w:val="18"/>
              </w:rPr>
            </w:pPr>
            <w:r>
              <w:rPr>
                <w:sz w:val="18"/>
              </w:rPr>
              <w:t>主体结构竖向构件细</w:t>
            </w:r>
            <w:r>
              <w:rPr>
                <w:w w:val="105"/>
                <w:sz w:val="18"/>
              </w:rPr>
              <w:t>化项</w:t>
            </w:r>
          </w:p>
        </w:tc>
        <w:tc>
          <w:tcPr>
            <w:tcW w:w="2323" w:type="dxa"/>
          </w:tcPr>
          <w:p>
            <w:pPr>
              <w:pStyle w:val="9"/>
              <w:spacing w:before="155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5%≤比例＜35%</w:t>
            </w:r>
          </w:p>
        </w:tc>
        <w:tc>
          <w:tcPr>
            <w:tcW w:w="1029" w:type="dxa"/>
          </w:tcPr>
          <w:p>
            <w:pPr>
              <w:pStyle w:val="9"/>
              <w:spacing w:before="140"/>
              <w:ind w:left="244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7～</w:t>
            </w:r>
            <w:r>
              <w:rPr>
                <w:rFonts w:ascii="Times New Roman" w:eastAsia="Times New Roman"/>
                <w:w w:val="105"/>
                <w:sz w:val="18"/>
              </w:rPr>
              <w:t>10*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9"/>
              <w:ind w:left="3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307" w:type="dxa"/>
            <w:gridSpan w:val="2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3150" w:type="dxa"/>
            <w:gridSpan w:val="4"/>
          </w:tcPr>
          <w:p>
            <w:pPr>
              <w:pStyle w:val="9"/>
              <w:spacing w:before="155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9"/>
              <w:ind w:left="4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9"/>
              <w:spacing w:before="61"/>
              <w:ind w:left="32" w:righ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Q51b</w:t>
            </w:r>
          </w:p>
        </w:tc>
        <w:tc>
          <w:tcPr>
            <w:tcW w:w="1740" w:type="dxa"/>
          </w:tcPr>
          <w:p>
            <w:pPr>
              <w:pStyle w:val="9"/>
              <w:spacing w:before="64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预制外墙板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5%≤比例≤15%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44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7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10*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gridSpan w:val="4"/>
          </w:tcPr>
          <w:p>
            <w:pPr>
              <w:pStyle w:val="9"/>
              <w:spacing w:before="64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46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Q52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23"/>
              </w:rPr>
            </w:pPr>
          </w:p>
          <w:p>
            <w:pPr>
              <w:pStyle w:val="9"/>
              <w:spacing w:line="237" w:lineRule="auto"/>
              <w:ind w:left="42" w:right="9"/>
              <w:rPr>
                <w:sz w:val="18"/>
              </w:rPr>
            </w:pPr>
            <w:r>
              <w:rPr>
                <w:sz w:val="18"/>
              </w:rPr>
              <w:t>围护墙和内隔墙细化项</w:t>
            </w:r>
          </w:p>
        </w:tc>
        <w:tc>
          <w:tcPr>
            <w:tcW w:w="1740" w:type="dxa"/>
          </w:tcPr>
          <w:p>
            <w:pPr>
              <w:pStyle w:val="9"/>
              <w:spacing w:before="11" w:line="228" w:lineRule="exact"/>
              <w:ind w:left="35" w:right="33"/>
              <w:rPr>
                <w:sz w:val="18"/>
              </w:rPr>
            </w:pPr>
            <w:r>
              <w:rPr>
                <w:sz w:val="18"/>
              </w:rPr>
              <w:t>围护墙与保温、隔热</w:t>
            </w:r>
            <w:r>
              <w:rPr>
                <w:w w:val="105"/>
                <w:sz w:val="18"/>
              </w:rPr>
              <w:t>集成一体化</w:t>
            </w:r>
          </w:p>
        </w:tc>
        <w:tc>
          <w:tcPr>
            <w:tcW w:w="2323" w:type="dxa"/>
          </w:tcPr>
          <w:p>
            <w:pPr>
              <w:pStyle w:val="9"/>
              <w:spacing w:before="126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50%≤比例≤80%</w:t>
            </w:r>
          </w:p>
        </w:tc>
        <w:tc>
          <w:tcPr>
            <w:tcW w:w="1029" w:type="dxa"/>
          </w:tcPr>
          <w:p>
            <w:pPr>
              <w:pStyle w:val="9"/>
              <w:spacing w:before="112"/>
              <w:ind w:left="175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1～</w:t>
            </w:r>
            <w:r>
              <w:rPr>
                <w:rFonts w:ascii="Times New Roman" w:eastAsia="Times New Roman"/>
                <w:w w:val="105"/>
                <w:sz w:val="18"/>
              </w:rPr>
              <w:t>1.25*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gridSpan w:val="4"/>
          </w:tcPr>
          <w:p>
            <w:pPr>
              <w:pStyle w:val="9"/>
              <w:spacing w:before="126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13" w:line="226" w:lineRule="exact"/>
              <w:ind w:left="35" w:right="33"/>
              <w:rPr>
                <w:sz w:val="18"/>
              </w:rPr>
            </w:pPr>
            <w:r>
              <w:rPr>
                <w:sz w:val="18"/>
              </w:rPr>
              <w:t>内隔墙与管线集成一</w:t>
            </w:r>
            <w:r>
              <w:rPr>
                <w:w w:val="105"/>
                <w:sz w:val="18"/>
              </w:rPr>
              <w:t>体化</w:t>
            </w:r>
          </w:p>
        </w:tc>
        <w:tc>
          <w:tcPr>
            <w:tcW w:w="2323" w:type="dxa"/>
          </w:tcPr>
          <w:p>
            <w:pPr>
              <w:pStyle w:val="9"/>
              <w:spacing w:before="126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50%≤比例≤80%</w:t>
            </w:r>
          </w:p>
        </w:tc>
        <w:tc>
          <w:tcPr>
            <w:tcW w:w="1029" w:type="dxa"/>
          </w:tcPr>
          <w:p>
            <w:pPr>
              <w:pStyle w:val="9"/>
              <w:spacing w:before="112"/>
              <w:ind w:left="175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1.25*</w:t>
            </w:r>
          </w:p>
        </w:tc>
        <w:tc>
          <w:tcPr>
            <w:tcW w:w="825" w:type="dxa"/>
          </w:tcPr>
          <w:p>
            <w:pPr>
              <w:pStyle w:val="9"/>
              <w:spacing w:before="124"/>
              <w:ind w:left="35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124"/>
              <w:ind w:left="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02"/>
                <w:sz w:val="18"/>
              </w:rPr>
              <w:t>─</w:t>
            </w:r>
          </w:p>
        </w:tc>
        <w:tc>
          <w:tcPr>
            <w:tcW w:w="3150" w:type="dxa"/>
            <w:gridSpan w:val="4"/>
          </w:tcPr>
          <w:p>
            <w:pPr>
              <w:pStyle w:val="9"/>
              <w:spacing w:before="126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Q53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32" w:line="237" w:lineRule="auto"/>
              <w:ind w:left="42" w:right="9"/>
              <w:rPr>
                <w:sz w:val="18"/>
              </w:rPr>
            </w:pPr>
            <w:r>
              <w:rPr>
                <w:sz w:val="18"/>
              </w:rPr>
              <w:t>装修和设备管线细化项</w:t>
            </w:r>
          </w:p>
        </w:tc>
        <w:tc>
          <w:tcPr>
            <w:tcW w:w="1740" w:type="dxa"/>
          </w:tcPr>
          <w:p>
            <w:pPr>
              <w:pStyle w:val="9"/>
              <w:spacing w:before="100"/>
              <w:ind w:left="35"/>
              <w:rPr>
                <w:sz w:val="18"/>
              </w:rPr>
            </w:pPr>
            <w:r>
              <w:rPr>
                <w:sz w:val="18"/>
              </w:rPr>
              <w:t>干式工法楼面、地面</w:t>
            </w:r>
          </w:p>
        </w:tc>
        <w:tc>
          <w:tcPr>
            <w:tcW w:w="2323" w:type="dxa"/>
          </w:tcPr>
          <w:p>
            <w:pPr>
              <w:pStyle w:val="9"/>
              <w:spacing w:before="100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50%≤比例＜70%</w:t>
            </w:r>
          </w:p>
        </w:tc>
        <w:tc>
          <w:tcPr>
            <w:tcW w:w="1029" w:type="dxa"/>
          </w:tcPr>
          <w:p>
            <w:pPr>
              <w:pStyle w:val="9"/>
              <w:spacing w:before="85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2*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9"/>
              <w:ind w:left="3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97"/>
              <w:ind w:left="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02"/>
                <w:sz w:val="18"/>
              </w:rPr>
              <w:t>─</w:t>
            </w:r>
          </w:p>
        </w:tc>
        <w:tc>
          <w:tcPr>
            <w:tcW w:w="3150" w:type="dxa"/>
            <w:gridSpan w:val="4"/>
          </w:tcPr>
          <w:p>
            <w:pPr>
              <w:pStyle w:val="9"/>
              <w:spacing w:before="100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集成厨房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50%≤比例＜70%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23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1.5*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1"/>
              <w:ind w:left="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02"/>
                <w:sz w:val="18"/>
              </w:rPr>
              <w:t>─</w:t>
            </w:r>
          </w:p>
        </w:tc>
        <w:tc>
          <w:tcPr>
            <w:tcW w:w="3150" w:type="dxa"/>
            <w:gridSpan w:val="4"/>
          </w:tcPr>
          <w:p>
            <w:pPr>
              <w:pStyle w:val="9"/>
              <w:spacing w:before="64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集成卫生间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50%≤比例＜70%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23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1.5*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管线分离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30%≤比例＜50%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2*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3"/>
              <w:rPr>
                <w:rFonts w:ascii="Times New Roman"/>
                <w:sz w:val="27"/>
              </w:rPr>
            </w:pPr>
          </w:p>
          <w:p>
            <w:pPr>
              <w:pStyle w:val="9"/>
              <w:ind w:left="50"/>
              <w:rPr>
                <w:sz w:val="18"/>
              </w:rPr>
            </w:pPr>
            <w:r>
              <w:rPr>
                <w:sz w:val="18"/>
              </w:rPr>
              <w:t>Q6:鼓励项（8分）</w:t>
            </w: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Q61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16" w:line="228" w:lineRule="exact"/>
              <w:ind w:left="29" w:right="1"/>
              <w:jc w:val="center"/>
              <w:rPr>
                <w:sz w:val="18"/>
              </w:rPr>
            </w:pPr>
            <w:r>
              <w:rPr>
                <w:sz w:val="18"/>
              </w:rPr>
              <w:t>标准化鼓励</w:t>
            </w:r>
          </w:p>
          <w:p>
            <w:pPr>
              <w:pStyle w:val="9"/>
              <w:spacing w:line="228" w:lineRule="exact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项</w:t>
            </w: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平面布置标准化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9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—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9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line="219" w:lineRule="exact"/>
              <w:ind w:left="35"/>
              <w:rPr>
                <w:sz w:val="18"/>
              </w:rPr>
            </w:pPr>
            <w:r>
              <w:rPr>
                <w:sz w:val="18"/>
              </w:rPr>
              <w:t>预制构件与部品标准</w:t>
            </w:r>
          </w:p>
          <w:p>
            <w:pPr>
              <w:pStyle w:val="9"/>
              <w:spacing w:line="113" w:lineRule="exact"/>
              <w:ind w:left="35"/>
              <w:rPr>
                <w:sz w:val="18"/>
              </w:rPr>
            </w:pPr>
            <w:r>
              <w:rPr>
                <w:w w:val="102"/>
                <w:sz w:val="18"/>
              </w:rPr>
              <w:t>化</w:t>
            </w: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节点标准化</w:t>
            </w: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18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Q62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4"/>
              </w:rPr>
            </w:pPr>
          </w:p>
          <w:p>
            <w:pPr>
              <w:pStyle w:val="9"/>
              <w:spacing w:line="235" w:lineRule="auto"/>
              <w:ind w:left="42" w:right="13"/>
              <w:jc w:val="center"/>
              <w:rPr>
                <w:sz w:val="18"/>
              </w:rPr>
            </w:pPr>
            <w:r>
              <w:rPr>
                <w:sz w:val="18"/>
              </w:rPr>
              <w:t>绿色与信息化应用鼓励</w:t>
            </w:r>
            <w:r>
              <w:rPr>
                <w:w w:val="105"/>
                <w:sz w:val="18"/>
              </w:rPr>
              <w:t>项</w:t>
            </w:r>
          </w:p>
        </w:tc>
        <w:tc>
          <w:tcPr>
            <w:tcW w:w="174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9"/>
              <w:ind w:left="508"/>
              <w:rPr>
                <w:sz w:val="18"/>
              </w:rPr>
            </w:pPr>
            <w:r>
              <w:rPr>
                <w:w w:val="105"/>
                <w:sz w:val="18"/>
              </w:rPr>
              <w:t>绿色建筑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取得绿色建筑评价1星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0.5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9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取得绿色建筑评价2星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取得绿色建筑评价3星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1.5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554"/>
              <w:rPr>
                <w:sz w:val="18"/>
              </w:rPr>
            </w:pPr>
            <w:r>
              <w:rPr>
                <w:w w:val="105"/>
                <w:sz w:val="18"/>
              </w:rPr>
              <w:t>BIM应用</w:t>
            </w:r>
          </w:p>
        </w:tc>
        <w:tc>
          <w:tcPr>
            <w:tcW w:w="2323" w:type="dxa"/>
          </w:tcPr>
          <w:p>
            <w:pPr>
              <w:pStyle w:val="9"/>
              <w:spacing w:line="219" w:lineRule="exact"/>
              <w:ind w:left="67" w:right="36"/>
              <w:jc w:val="center"/>
              <w:rPr>
                <w:sz w:val="18"/>
              </w:rPr>
            </w:pPr>
            <w:r>
              <w:rPr>
                <w:sz w:val="18"/>
              </w:rPr>
              <w:t>满足运营、围护阶段应用要</w:t>
            </w:r>
          </w:p>
          <w:p>
            <w:pPr>
              <w:pStyle w:val="9"/>
              <w:spacing w:line="113" w:lineRule="exact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求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智能化应用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—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0.5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Q63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18" w:line="237" w:lineRule="auto"/>
              <w:ind w:left="227" w:right="13" w:hanging="185"/>
              <w:rPr>
                <w:sz w:val="18"/>
              </w:rPr>
            </w:pPr>
            <w:r>
              <w:rPr>
                <w:sz w:val="18"/>
              </w:rPr>
              <w:t>施工与管理</w:t>
            </w:r>
            <w:r>
              <w:rPr>
                <w:w w:val="105"/>
                <w:sz w:val="18"/>
              </w:rPr>
              <w:t>鼓励项</w:t>
            </w:r>
          </w:p>
        </w:tc>
        <w:tc>
          <w:tcPr>
            <w:tcW w:w="1740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9"/>
              <w:ind w:left="508"/>
              <w:rPr>
                <w:sz w:val="18"/>
              </w:rPr>
            </w:pPr>
            <w:r>
              <w:rPr>
                <w:w w:val="105"/>
                <w:sz w:val="18"/>
              </w:rPr>
              <w:t>绿色施工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绿色施工评价为合格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绿色施工评价为优良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1.5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工程总承包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一家单位/联合体单位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0.5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2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9"/>
              <w:ind w:left="237"/>
              <w:rPr>
                <w:sz w:val="18"/>
              </w:rPr>
            </w:pPr>
            <w:r>
              <w:rPr>
                <w:w w:val="105"/>
                <w:sz w:val="18"/>
              </w:rPr>
              <w:t>本项目装配率</w:t>
            </w:r>
          </w:p>
        </w:tc>
        <w:tc>
          <w:tcPr>
            <w:tcW w:w="3936" w:type="dxa"/>
            <w:gridSpan w:val="3"/>
            <w:vMerge w:val="restart"/>
          </w:tcPr>
          <w:p>
            <w:pPr>
              <w:pStyle w:val="9"/>
              <w:rPr>
                <w:rFonts w:ascii="Times New Roman"/>
                <w:sz w:val="22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5"/>
              </w:rPr>
            </w:pPr>
          </w:p>
          <w:p>
            <w:pPr>
              <w:pStyle w:val="9"/>
              <w:tabs>
                <w:tab w:val="left" w:pos="2663"/>
              </w:tabs>
              <w:spacing w:line="134" w:lineRule="auto"/>
              <w:ind w:left="803" w:right="460" w:hanging="660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w w:val="291"/>
                <w:sz w:val="16"/>
              </w:rPr>
              <w:t xml:space="preserve"> </w:t>
            </w:r>
            <w:r>
              <w:rPr>
                <w:rFonts w:ascii="Cambria Math" w:hAnsi="Cambria Math"/>
                <w:spacing w:val="10"/>
                <w:sz w:val="16"/>
              </w:rPr>
              <w:t xml:space="preserve"> </w:t>
            </w:r>
            <w:r>
              <w:rPr>
                <w:rFonts w:ascii="Cambria Math" w:hAnsi="Cambria Math"/>
                <w:w w:val="105"/>
                <w:sz w:val="16"/>
              </w:rPr>
              <w:t>=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 </w:t>
            </w:r>
            <w:r>
              <w:rPr>
                <w:rFonts w:ascii="Cambria Math" w:hAnsi="Cambria Math"/>
                <w:spacing w:val="37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+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 </w:t>
            </w:r>
            <w:r>
              <w:rPr>
                <w:rFonts w:ascii="Cambria Math" w:hAnsi="Cambria Math"/>
                <w:spacing w:val="37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+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 </w:t>
            </w:r>
            <w:r>
              <w:rPr>
                <w:rFonts w:ascii="Cambria Math" w:hAnsi="Cambria Math"/>
                <w:spacing w:val="36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+ 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9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 xml:space="preserve">× </w:t>
            </w:r>
            <w:r>
              <w:rPr>
                <w:rFonts w:ascii="Cambria Math" w:hAnsi="Cambria Math"/>
                <w:spacing w:val="6"/>
                <w:w w:val="105"/>
                <w:sz w:val="16"/>
              </w:rPr>
              <w:t xml:space="preserve">100%+ </w:t>
            </w:r>
            <w:r>
              <w:rPr>
                <w:rFonts w:ascii="Cambria Math" w:hAnsi="Cambria Math"/>
                <w:spacing w:val="6"/>
                <w:w w:val="105"/>
                <w:position w:val="12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spacing w:val="6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spacing w:val="6"/>
                <w:w w:val="105"/>
                <w:position w:val="9"/>
                <w:sz w:val="16"/>
              </w:rPr>
              <w:t xml:space="preserve">   </w:t>
            </w:r>
            <w:r>
              <w:rPr>
                <w:w w:val="105"/>
                <w:sz w:val="16"/>
              </w:rPr>
              <w:t xml:space="preserve">× </w:t>
            </w:r>
            <w:r>
              <w:rPr>
                <w:rFonts w:ascii="Cambria Math" w:hAnsi="Cambria Math"/>
                <w:w w:val="105"/>
                <w:sz w:val="16"/>
              </w:rPr>
              <w:t>100 100</w:t>
            </w:r>
            <w:r>
              <w:rPr>
                <w:rFonts w:ascii="Cambria Math" w:hAnsi="Cambria Math"/>
                <w:spacing w:val="-2"/>
                <w:w w:val="105"/>
                <w:sz w:val="16"/>
              </w:rPr>
              <w:t xml:space="preserve"> </w:t>
            </w:r>
            <w:r>
              <w:rPr>
                <w:rFonts w:ascii="Cambria Math" w:hAnsi="Cambria Math"/>
                <w:w w:val="105"/>
                <w:sz w:val="16"/>
              </w:rPr>
              <w:t>−</w:t>
            </w:r>
            <w:r>
              <w:rPr>
                <w:rFonts w:ascii="Cambria Math" w:hAnsi="Cambria Math"/>
                <w:w w:val="105"/>
                <w:sz w:val="16"/>
                <w:vertAlign w:val="baseline"/>
              </w:rPr>
              <w:tab/>
            </w:r>
            <w:r>
              <w:rPr>
                <w:rFonts w:ascii="Cambria Math" w:hAnsi="Cambria Math"/>
                <w:w w:val="105"/>
                <w:sz w:val="16"/>
                <w:vertAlign w:val="baseline"/>
              </w:rPr>
              <w:t>100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9"/>
              <w:tabs>
                <w:tab w:val="left" w:pos="1686"/>
              </w:tabs>
              <w:ind w:left="494"/>
              <w:rPr>
                <w:rFonts w:ascii="Times New Roman"/>
                <w:sz w:val="18"/>
              </w:rPr>
            </w:pPr>
            <w:r>
              <w:rPr>
                <w:rFonts w:ascii="Times New Roman"/>
                <w:i/>
                <w:w w:val="105"/>
                <w:sz w:val="18"/>
              </w:rPr>
              <w:t>P</w:t>
            </w:r>
            <w:r>
              <w:rPr>
                <w:rFonts w:ascii="Times New Roman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Times New Roman"/>
                <w:w w:val="105"/>
                <w:sz w:val="18"/>
              </w:rPr>
              <w:t>=</w:t>
            </w:r>
            <w:r>
              <w:rPr>
                <w:rFonts w:ascii="Times New Roman"/>
                <w:spacing w:val="-3"/>
                <w:w w:val="105"/>
                <w:sz w:val="18"/>
              </w:rPr>
              <w:t xml:space="preserve"> </w:t>
            </w:r>
            <w:r>
              <w:rPr>
                <w:rFonts w:hint="eastAsia" w:ascii="Times New Roman"/>
                <w:i/>
                <w:w w:val="105"/>
                <w:sz w:val="18"/>
                <w:lang w:val="en-US" w:eastAsia="zh-CN"/>
              </w:rPr>
              <w:t>50</w:t>
            </w:r>
            <w:r>
              <w:rPr>
                <w:rFonts w:ascii="Times New Roman"/>
                <w:i/>
                <w:w w:val="105"/>
                <w:sz w:val="18"/>
              </w:rPr>
              <w:tab/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1854" w:type="dxa"/>
            <w:gridSpan w:val="2"/>
          </w:tcPr>
          <w:p>
            <w:pPr>
              <w:pStyle w:val="9"/>
              <w:spacing w:before="61"/>
              <w:ind w:left="724" w:right="69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4.1.2</w:t>
            </w:r>
          </w:p>
        </w:tc>
        <w:tc>
          <w:tcPr>
            <w:tcW w:w="5131" w:type="dxa"/>
            <w:gridSpan w:val="7"/>
          </w:tcPr>
          <w:p>
            <w:pPr>
              <w:pStyle w:val="9"/>
              <w:spacing w:before="49"/>
              <w:ind w:left="167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得分合计：</w:t>
            </w:r>
            <w:r>
              <w:rPr>
                <w:rFonts w:ascii="Times New Roman" w:eastAsia="Times New Roman"/>
                <w:i/>
                <w:sz w:val="18"/>
              </w:rPr>
              <w:t xml:space="preserve">Q </w:t>
            </w:r>
            <w:r>
              <w:rPr>
                <w:rFonts w:ascii="Times New Roman" w:eastAsia="Times New Roman"/>
                <w:sz w:val="18"/>
                <w:vertAlign w:val="subscript"/>
              </w:rPr>
              <w:t>1</w:t>
            </w:r>
            <w:r>
              <w:rPr>
                <w:rFonts w:ascii="Times New Roman" w:eastAsia="Times New Roman"/>
                <w:i/>
                <w:sz w:val="18"/>
                <w:vertAlign w:val="baseline"/>
              </w:rPr>
              <w:t xml:space="preserve">+Q </w:t>
            </w:r>
            <w:r>
              <w:rPr>
                <w:rFonts w:ascii="Times New Roman" w:eastAsia="Times New Roman"/>
                <w:sz w:val="18"/>
                <w:vertAlign w:val="subscript"/>
              </w:rPr>
              <w:t>2</w:t>
            </w:r>
            <w:r>
              <w:rPr>
                <w:rFonts w:ascii="Times New Roman" w:eastAsia="Times New Roman"/>
                <w:i/>
                <w:sz w:val="18"/>
                <w:vertAlign w:val="baseline"/>
              </w:rPr>
              <w:t xml:space="preserve">+Q </w:t>
            </w:r>
            <w:r>
              <w:rPr>
                <w:rFonts w:ascii="Times New Roman" w:eastAsia="Times New Roman"/>
                <w:sz w:val="18"/>
                <w:vertAlign w:val="subscript"/>
              </w:rPr>
              <w:t>3</w:t>
            </w:r>
          </w:p>
        </w:tc>
        <w:tc>
          <w:tcPr>
            <w:tcW w:w="813" w:type="dxa"/>
          </w:tcPr>
          <w:p>
            <w:pPr>
              <w:pStyle w:val="9"/>
              <w:spacing w:before="66"/>
              <w:ind w:left="35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─</w:t>
            </w:r>
          </w:p>
        </w:tc>
        <w:tc>
          <w:tcPr>
            <w:tcW w:w="1053" w:type="dxa"/>
          </w:tcPr>
          <w:p>
            <w:pPr>
              <w:pStyle w:val="9"/>
              <w:spacing w:before="61"/>
              <w:ind w:left="445"/>
              <w:rPr>
                <w:rFonts w:hint="eastAsia" w:ascii="Times New Roman" w:eastAsia="宋体"/>
                <w:sz w:val="18"/>
                <w:lang w:eastAsia="zh-CN"/>
              </w:rPr>
            </w:pPr>
            <w:r>
              <w:rPr>
                <w:rFonts w:ascii="Times New Roman"/>
                <w:w w:val="105"/>
                <w:sz w:val="18"/>
              </w:rPr>
              <w:t>4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7</w:t>
            </w:r>
          </w:p>
        </w:tc>
        <w:tc>
          <w:tcPr>
            <w:tcW w:w="76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gridSpan w:val="2"/>
          </w:tcPr>
          <w:p>
            <w:pPr>
              <w:pStyle w:val="9"/>
              <w:spacing w:before="61"/>
              <w:ind w:left="724" w:right="69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4.1.2</w:t>
            </w:r>
          </w:p>
        </w:tc>
        <w:tc>
          <w:tcPr>
            <w:tcW w:w="5131" w:type="dxa"/>
            <w:gridSpan w:val="7"/>
          </w:tcPr>
          <w:p>
            <w:pPr>
              <w:pStyle w:val="9"/>
              <w:spacing w:before="49"/>
              <w:ind w:left="1455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缺少的评价项分值合计：</w:t>
            </w:r>
            <w:r>
              <w:rPr>
                <w:rFonts w:ascii="Times New Roman" w:eastAsia="Times New Roman"/>
                <w:i/>
                <w:sz w:val="18"/>
              </w:rPr>
              <w:t xml:space="preserve">Q </w:t>
            </w:r>
            <w:r>
              <w:rPr>
                <w:rFonts w:ascii="Times New Roman" w:eastAsia="Times New Roman"/>
                <w:sz w:val="18"/>
                <w:vertAlign w:val="subscript"/>
              </w:rPr>
              <w:t>4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</w:tcPr>
          <w:p>
            <w:pPr>
              <w:pStyle w:val="9"/>
              <w:spacing w:before="61"/>
              <w:ind w:left="491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76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gridSpan w:val="2"/>
          </w:tcPr>
          <w:p>
            <w:pPr>
              <w:pStyle w:val="9"/>
              <w:spacing w:before="107"/>
              <w:ind w:left="724" w:right="69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4.1.2</w:t>
            </w:r>
          </w:p>
        </w:tc>
        <w:tc>
          <w:tcPr>
            <w:tcW w:w="5131" w:type="dxa"/>
            <w:gridSpan w:val="7"/>
          </w:tcPr>
          <w:p>
            <w:pPr>
              <w:pStyle w:val="9"/>
              <w:spacing w:before="95"/>
              <w:ind w:left="1080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鼓励项得分合计：</w:t>
            </w:r>
            <w:r>
              <w:rPr>
                <w:rFonts w:ascii="Times New Roman" w:eastAsia="Times New Roman"/>
                <w:i/>
                <w:w w:val="105"/>
                <w:sz w:val="18"/>
              </w:rPr>
              <w:t xml:space="preserve">Q6 </w:t>
            </w:r>
            <w:r>
              <w:rPr>
                <w:rFonts w:ascii="Times New Roman" w:eastAsia="Times New Roman"/>
                <w:w w:val="105"/>
                <w:sz w:val="18"/>
              </w:rPr>
              <w:t>=Q61+Q62+Q63</w:t>
            </w:r>
          </w:p>
        </w:tc>
        <w:tc>
          <w:tcPr>
            <w:tcW w:w="813" w:type="dxa"/>
          </w:tcPr>
          <w:p>
            <w:pPr>
              <w:pStyle w:val="9"/>
              <w:spacing w:before="107"/>
              <w:ind w:left="3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053" w:type="dxa"/>
          </w:tcPr>
          <w:p>
            <w:pPr>
              <w:pStyle w:val="9"/>
              <w:spacing w:before="107"/>
              <w:ind w:left="491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76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23820" w:h="16840" w:orient="landscape"/>
          <w:pgMar w:top="1100" w:right="2240" w:bottom="280" w:left="860" w:header="720" w:footer="720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mY3M2YzMTQxODQ1ZDYwYTkzY2ZmNjljODkxYzkifQ=="/>
  </w:docVars>
  <w:rsids>
    <w:rsidRoot w:val="00B15594"/>
    <w:rsid w:val="00B15594"/>
    <w:rsid w:val="109F39AC"/>
    <w:rsid w:val="1D7B4096"/>
    <w:rsid w:val="1E592EBA"/>
    <w:rsid w:val="2D0B7011"/>
    <w:rsid w:val="2D9F0BEC"/>
    <w:rsid w:val="34995A7A"/>
    <w:rsid w:val="365C7F35"/>
    <w:rsid w:val="502E69EF"/>
    <w:rsid w:val="5A3A7AC6"/>
    <w:rsid w:val="6791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954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1235" w:hanging="282"/>
      <w:outlineLvl w:val="2"/>
    </w:pPr>
    <w:rPr>
      <w:rFonts w:ascii="Microsoft JhengHei" w:hAnsi="Microsoft JhengHei" w:eastAsia="Microsoft JhengHei" w:cs="Microsoft JhengHei"/>
      <w:b/>
      <w:bCs/>
      <w:sz w:val="28"/>
      <w:szCs w:val="28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ind w:left="954"/>
      <w:outlineLvl w:val="3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ind w:left="954"/>
      <w:outlineLvl w:val="4"/>
    </w:pPr>
    <w:rPr>
      <w:rFonts w:ascii="Microsoft JhengHei" w:hAnsi="Microsoft JhengHei" w:eastAsia="Microsoft JhengHei" w:cs="Microsoft JhengHei"/>
      <w:b/>
      <w:bCs/>
      <w:sz w:val="24"/>
      <w:szCs w:val="24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0">
    <w:name w:val="List Paragraph"/>
    <w:basedOn w:val="1"/>
    <w:qFormat/>
    <w:uiPriority w:val="1"/>
    <w:pPr>
      <w:ind w:left="1235" w:hanging="602"/>
    </w:pPr>
    <w:rPr>
      <w:rFonts w:ascii="Microsoft JhengHei" w:hAnsi="Microsoft JhengHei" w:eastAsia="Microsoft JhengHei" w:cs="Microsoft JhengHei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773</Words>
  <Characters>1064</Characters>
  <Lines>0</Lines>
  <Paragraphs>0</Paragraphs>
  <TotalTime>59</TotalTime>
  <ScaleCrop>false</ScaleCrop>
  <LinksUpToDate>false</LinksUpToDate>
  <CharactersWithSpaces>1238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2022-07-05T15:06:00Z</dcterms:created>
  <dc:creator>Martin1427162196</dc:creator>
  <cp:lastModifiedBy>Martin1427162196</cp:lastModifiedBy>
  <dcterms:modified xsi:type="dcterms:W3CDTF">2022-07-06T01:41:49Z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3C8D1A90E7314C99983C5D8CDD7721D1</vt:lpwstr>
  </property>
</Properties>
</file>