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1958" w:hanging="1958" w:hangingChars="650"/>
        <w:jc w:val="center"/>
        <w:rPr>
          <w:rFonts w:hint="eastAsia" w:ascii="黑体" w:hAnsi="黑体" w:eastAsia="黑体" w:cs="宋体"/>
          <w:b/>
          <w:kern w:val="0"/>
          <w:sz w:val="30"/>
          <w:szCs w:val="30"/>
          <w:lang w:eastAsia="zh-CN"/>
        </w:rPr>
      </w:pPr>
      <w:r>
        <w:rPr>
          <w:rFonts w:hint="eastAsia" w:ascii="黑体" w:hAnsi="黑体" w:eastAsia="黑体" w:cs="宋体"/>
          <w:b/>
          <w:kern w:val="0"/>
          <w:sz w:val="30"/>
          <w:szCs w:val="30"/>
          <w:lang w:eastAsia="zh-CN"/>
        </w:rPr>
        <w:t>从化经济开发区明珠工业园消防救援站工程勘察设计</w:t>
      </w:r>
    </w:p>
    <w:p>
      <w:pPr>
        <w:widowControl/>
        <w:ind w:left="1958" w:hanging="1958" w:hangingChars="650"/>
        <w:jc w:val="center"/>
        <w:rPr>
          <w:rFonts w:hint="eastAsia" w:ascii="黑体" w:hAnsi="黑体" w:eastAsia="黑体" w:cs="宋体"/>
          <w:b/>
          <w:kern w:val="0"/>
          <w:sz w:val="30"/>
          <w:szCs w:val="30"/>
          <w:lang w:val="en-US" w:eastAsia="zh-CN"/>
        </w:rPr>
      </w:pPr>
      <w:r>
        <w:rPr>
          <w:rFonts w:hint="eastAsia" w:ascii="黑体" w:hAnsi="黑体" w:eastAsia="黑体" w:cs="宋体"/>
          <w:b/>
          <w:kern w:val="0"/>
          <w:sz w:val="30"/>
          <w:szCs w:val="30"/>
          <w:lang w:eastAsia="zh-CN"/>
        </w:rPr>
        <w:t>补充公告</w:t>
      </w:r>
      <w:r>
        <w:rPr>
          <w:rFonts w:hint="eastAsia" w:ascii="黑体" w:hAnsi="黑体" w:eastAsia="黑体" w:cs="宋体"/>
          <w:b/>
          <w:kern w:val="0"/>
          <w:sz w:val="30"/>
          <w:szCs w:val="30"/>
        </w:rPr>
        <w:t>（第0</w:t>
      </w:r>
      <w:r>
        <w:rPr>
          <w:rFonts w:hint="eastAsia" w:ascii="黑体" w:hAnsi="黑体" w:eastAsia="黑体" w:cs="宋体"/>
          <w:b/>
          <w:kern w:val="0"/>
          <w:sz w:val="30"/>
          <w:szCs w:val="30"/>
          <w:lang w:val="en-US" w:eastAsia="zh-CN"/>
        </w:rPr>
        <w:t>2</w:t>
      </w:r>
      <w:r>
        <w:rPr>
          <w:rFonts w:hint="eastAsia" w:ascii="黑体" w:hAnsi="黑体" w:eastAsia="黑体" w:cs="宋体"/>
          <w:b/>
          <w:kern w:val="0"/>
          <w:sz w:val="30"/>
          <w:szCs w:val="30"/>
        </w:rPr>
        <w:t>号）</w:t>
      </w:r>
    </w:p>
    <w:p>
      <w:pPr>
        <w:widowControl/>
        <w:spacing w:line="360" w:lineRule="auto"/>
        <w:jc w:val="left"/>
        <w:rPr>
          <w:rFonts w:ascii="宋体" w:hAnsi="宋体" w:cs="宋体"/>
          <w:kern w:val="0"/>
          <w:sz w:val="24"/>
        </w:rPr>
      </w:pPr>
    </w:p>
    <w:p>
      <w:pPr>
        <w:widowControl/>
        <w:spacing w:line="360" w:lineRule="exact"/>
        <w:jc w:val="left"/>
        <w:rPr>
          <w:rFonts w:ascii="宋体" w:hAnsi="宋体" w:cs="宋体"/>
          <w:kern w:val="0"/>
          <w:szCs w:val="21"/>
        </w:rPr>
      </w:pPr>
      <w:r>
        <w:rPr>
          <w:rFonts w:hint="eastAsia" w:ascii="宋体" w:hAnsi="宋体" w:cs="宋体"/>
          <w:kern w:val="0"/>
          <w:szCs w:val="21"/>
        </w:rPr>
        <w:t>各投标单位：</w:t>
      </w:r>
    </w:p>
    <w:p>
      <w:pPr>
        <w:widowControl/>
        <w:spacing w:line="360" w:lineRule="exact"/>
        <w:ind w:firstLine="420" w:firstLineChars="200"/>
        <w:jc w:val="left"/>
        <w:rPr>
          <w:rFonts w:hint="eastAsia" w:ascii="宋体" w:hAnsi="宋体" w:cs="宋体"/>
          <w:kern w:val="0"/>
          <w:szCs w:val="21"/>
        </w:rPr>
      </w:pPr>
      <w:r>
        <w:rPr>
          <w:rFonts w:hint="eastAsia" w:ascii="宋体" w:hAnsi="宋体" w:cs="宋体"/>
          <w:kern w:val="0"/>
          <w:szCs w:val="21"/>
          <w:lang w:eastAsia="zh-CN"/>
        </w:rPr>
        <w:t>从化经济开发区明珠工业园消防救援站工程勘察设计</w:t>
      </w:r>
      <w:r>
        <w:rPr>
          <w:rFonts w:hint="eastAsia" w:ascii="宋体" w:hAnsi="宋体" w:cs="宋体"/>
          <w:kern w:val="0"/>
          <w:szCs w:val="21"/>
        </w:rPr>
        <w:t>（项目编号：</w:t>
      </w:r>
      <w:r>
        <w:rPr>
          <w:rFonts w:hint="eastAsia" w:ascii="宋体" w:hAnsi="宋体" w:cs="宋体"/>
          <w:kern w:val="0"/>
          <w:szCs w:val="21"/>
          <w:lang w:eastAsia="zh-CN"/>
        </w:rPr>
        <w:t>JG2023-2004</w:t>
      </w:r>
      <w:r>
        <w:rPr>
          <w:rFonts w:hint="eastAsia" w:ascii="宋体" w:hAnsi="宋体" w:cs="宋体"/>
          <w:kern w:val="0"/>
          <w:szCs w:val="21"/>
        </w:rPr>
        <w:t>）</w:t>
      </w:r>
      <w:r>
        <w:rPr>
          <w:rFonts w:hint="eastAsia" w:ascii="宋体" w:hAnsi="宋体" w:cs="宋体"/>
          <w:kern w:val="0"/>
          <w:szCs w:val="21"/>
          <w:lang w:eastAsia="zh-CN"/>
        </w:rPr>
        <w:t>，已于2023年0</w:t>
      </w:r>
      <w:r>
        <w:rPr>
          <w:rFonts w:hint="eastAsia" w:ascii="宋体" w:hAnsi="宋体" w:cs="宋体"/>
          <w:kern w:val="0"/>
          <w:szCs w:val="21"/>
          <w:lang w:val="en-US" w:eastAsia="zh-CN"/>
        </w:rPr>
        <w:t>6</w:t>
      </w:r>
      <w:r>
        <w:rPr>
          <w:rFonts w:hint="eastAsia" w:ascii="宋体" w:hAnsi="宋体" w:cs="宋体"/>
          <w:kern w:val="0"/>
          <w:szCs w:val="21"/>
          <w:lang w:eastAsia="zh-CN"/>
        </w:rPr>
        <w:t>月</w:t>
      </w:r>
      <w:r>
        <w:rPr>
          <w:rFonts w:hint="eastAsia" w:ascii="宋体" w:hAnsi="宋体" w:cs="宋体"/>
          <w:kern w:val="0"/>
          <w:szCs w:val="21"/>
          <w:lang w:val="en-US" w:eastAsia="zh-CN"/>
        </w:rPr>
        <w:t>14</w:t>
      </w:r>
      <w:r>
        <w:rPr>
          <w:rFonts w:hint="eastAsia" w:ascii="宋体" w:hAnsi="宋体" w:cs="宋体"/>
          <w:kern w:val="0"/>
          <w:szCs w:val="21"/>
          <w:lang w:eastAsia="zh-CN"/>
        </w:rPr>
        <w:t>日在广州公共资源交易网等网站发布招标文件答疑及补充公告（第01号），现就原补充公告、招标文件作出修改补充如下</w:t>
      </w:r>
      <w:r>
        <w:rPr>
          <w:rFonts w:hint="eastAsia" w:ascii="宋体" w:hAnsi="宋体" w:cs="宋体"/>
          <w:kern w:val="0"/>
          <w:szCs w:val="21"/>
        </w:rPr>
        <w:t>：</w:t>
      </w:r>
    </w:p>
    <w:p>
      <w:pPr>
        <w:widowControl/>
        <w:spacing w:line="360" w:lineRule="exact"/>
        <w:ind w:firstLine="422" w:firstLineChars="200"/>
        <w:jc w:val="left"/>
        <w:rPr>
          <w:rFonts w:hint="eastAsia" w:ascii="宋体" w:hAnsi="宋体" w:cs="宋体"/>
          <w:b/>
          <w:bCs w:val="0"/>
          <w:kern w:val="0"/>
          <w:szCs w:val="21"/>
          <w:lang w:eastAsia="zh-CN"/>
        </w:rPr>
      </w:pPr>
      <w:r>
        <w:rPr>
          <w:rFonts w:hint="eastAsia" w:ascii="宋体" w:hAnsi="宋体" w:cs="宋体"/>
          <w:b/>
          <w:bCs w:val="0"/>
          <w:kern w:val="0"/>
          <w:szCs w:val="21"/>
          <w:lang w:eastAsia="zh-CN"/>
        </w:rPr>
        <w:t>一、原</w:t>
      </w:r>
      <w:r>
        <w:rPr>
          <w:rFonts w:hint="eastAsia" w:ascii="宋体" w:hAnsi="宋体" w:eastAsia="宋体" w:cs="宋体"/>
          <w:b/>
          <w:bCs w:val="0"/>
          <w:kern w:val="0"/>
          <w:sz w:val="21"/>
          <w:szCs w:val="21"/>
          <w:vertAlign w:val="baseline"/>
          <w:lang w:val="en-US" w:eastAsia="zh-CN"/>
        </w:rPr>
        <w:t>招标文件答疑及补充公告（第01号）</w:t>
      </w:r>
      <w:r>
        <w:rPr>
          <w:rFonts w:hint="eastAsia" w:ascii="宋体" w:hAnsi="宋体" w:cs="宋体"/>
          <w:b/>
          <w:bCs w:val="0"/>
          <w:kern w:val="0"/>
          <w:sz w:val="21"/>
          <w:szCs w:val="21"/>
          <w:vertAlign w:val="baseline"/>
          <w:lang w:val="en-US" w:eastAsia="zh-CN"/>
        </w:rPr>
        <w:t>及原招标文件的修改</w:t>
      </w:r>
    </w:p>
    <w:tbl>
      <w:tblPr>
        <w:tblStyle w:val="1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725"/>
        <w:gridCol w:w="3525"/>
        <w:gridCol w:w="3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tcPr>
          <w:p>
            <w:pPr>
              <w:widowControl/>
              <w:spacing w:line="360" w:lineRule="exact"/>
              <w:jc w:val="center"/>
              <w:rPr>
                <w:rFonts w:hint="eastAsia" w:ascii="宋体" w:hAnsi="宋体" w:eastAsia="宋体" w:cs="宋体"/>
                <w:b/>
                <w:bCs w:val="0"/>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序号</w:t>
            </w:r>
          </w:p>
        </w:tc>
        <w:tc>
          <w:tcPr>
            <w:tcW w:w="1725" w:type="dxa"/>
          </w:tcPr>
          <w:p>
            <w:pPr>
              <w:widowControl/>
              <w:spacing w:line="360" w:lineRule="exact"/>
              <w:jc w:val="center"/>
              <w:rPr>
                <w:rFonts w:hint="eastAsia" w:ascii="宋体" w:hAnsi="宋体" w:eastAsia="宋体" w:cs="宋体"/>
                <w:b/>
                <w:bCs w:val="0"/>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条款号</w:t>
            </w:r>
          </w:p>
        </w:tc>
        <w:tc>
          <w:tcPr>
            <w:tcW w:w="3525" w:type="dxa"/>
          </w:tcPr>
          <w:p>
            <w:pPr>
              <w:widowControl/>
              <w:spacing w:line="360" w:lineRule="exact"/>
              <w:jc w:val="center"/>
              <w:rPr>
                <w:rFonts w:hint="eastAsia" w:ascii="宋体" w:hAnsi="宋体" w:eastAsia="宋体" w:cs="宋体"/>
                <w:b/>
                <w:bCs w:val="0"/>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原文</w:t>
            </w:r>
          </w:p>
        </w:tc>
        <w:tc>
          <w:tcPr>
            <w:tcW w:w="3551" w:type="dxa"/>
          </w:tcPr>
          <w:p>
            <w:pPr>
              <w:widowControl/>
              <w:spacing w:line="360" w:lineRule="exact"/>
              <w:jc w:val="center"/>
              <w:rPr>
                <w:rFonts w:hint="eastAsia" w:ascii="宋体" w:hAnsi="宋体" w:eastAsia="宋体" w:cs="宋体"/>
                <w:b/>
                <w:bCs w:val="0"/>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478" w:type="dxa"/>
            <w:gridSpan w:val="4"/>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招标文件答疑及补充公告（第01号）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1</w:t>
            </w:r>
          </w:p>
        </w:tc>
        <w:tc>
          <w:tcPr>
            <w:tcW w:w="1725" w:type="dxa"/>
            <w:vAlign w:val="center"/>
          </w:tcPr>
          <w:p>
            <w:pPr>
              <w:widowControl/>
              <w:spacing w:line="360" w:lineRule="exact"/>
              <w:jc w:val="center"/>
              <w:rPr>
                <w:rFonts w:hint="default"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rPr>
              <w:t>《</w:t>
            </w:r>
            <w:r>
              <w:rPr>
                <w:rFonts w:hint="eastAsia" w:ascii="宋体" w:hAnsi="宋体" w:cs="宋体"/>
                <w:b w:val="0"/>
                <w:bCs/>
                <w:color w:val="auto"/>
                <w:kern w:val="0"/>
                <w:sz w:val="21"/>
                <w:szCs w:val="21"/>
                <w:lang w:val="en-US" w:eastAsia="zh-CN"/>
              </w:rPr>
              <w:t>招标文件答疑及补充公告（第01号）</w:t>
            </w:r>
            <w:r>
              <w:rPr>
                <w:rFonts w:hint="eastAsia" w:ascii="宋体" w:hAnsi="宋体" w:eastAsia="宋体" w:cs="宋体"/>
                <w:b w:val="0"/>
                <w:bCs/>
                <w:color w:val="auto"/>
                <w:kern w:val="0"/>
                <w:sz w:val="21"/>
                <w:szCs w:val="21"/>
                <w:lang w:val="en-US" w:eastAsia="zh-CN"/>
              </w:rPr>
              <w:t>》</w:t>
            </w:r>
            <w:r>
              <w:rPr>
                <w:rFonts w:hint="eastAsia" w:ascii="宋体" w:hAnsi="宋体" w:cs="宋体"/>
                <w:b w:val="0"/>
                <w:bCs/>
                <w:color w:val="auto"/>
                <w:kern w:val="0"/>
                <w:sz w:val="21"/>
                <w:szCs w:val="21"/>
                <w:lang w:val="en-US" w:eastAsia="zh-CN"/>
              </w:rPr>
              <w:t>的第二点“招标文件修改”中的“《招标文件》第三章评标办法前附表的条款号2.2.4（1）商务部分的企业信誉”条款</w:t>
            </w:r>
          </w:p>
        </w:tc>
        <w:tc>
          <w:tcPr>
            <w:tcW w:w="3525" w:type="dxa"/>
            <w:vAlign w:val="center"/>
          </w:tcPr>
          <w:p>
            <w:pPr>
              <w:widowControl/>
              <w:spacing w:line="360" w:lineRule="exact"/>
              <w:jc w:val="both"/>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cs="宋体"/>
                <w:bCs/>
                <w:color w:val="auto"/>
                <w:kern w:val="0"/>
                <w:szCs w:val="21"/>
                <w:highlight w:val="none"/>
              </w:rPr>
              <w:t>企业业绩获奖</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6分）：</w:t>
            </w:r>
          </w:p>
          <w:p>
            <w:pPr>
              <w:adjustRightInd w:val="0"/>
              <w:snapToGrid w:val="0"/>
              <w:spacing w:line="3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自2020年1月1日至投标截止日止，投标人（联合体投标的，由联合体牵头方提供）承接的工程建设项目业绩，获得国家级奖项的每项得6分；获得行业级奖项的每项得3分；获得省级奖项的每项得2分；获得地市级（副省级）奖项的每项得1.5分。不满足或不提供的不得分，本小项最高得6分。</w:t>
            </w:r>
          </w:p>
          <w:p>
            <w:pPr>
              <w:widowControl/>
              <w:spacing w:line="360" w:lineRule="exact"/>
              <w:jc w:val="both"/>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color w:val="auto"/>
                <w:highlight w:val="none"/>
                <w:lang w:eastAsia="zh-CN"/>
              </w:rPr>
              <w:t>注：①工程建设项目业绩是指投标人承接并完成的工程建设项目的设计业绩（分包或参建的项目不予认可）；以EPC、PPP等联合体形式中标后由投标人承担设计任务的项目予以认可。②提供相关证书（或获奖文件）复印件及合同证明文件，加盖投标人公章，否则不得分。③获奖奖项为中华人民共和国国内的非港澳台地区时，颁奖单位须为各级人民政府或行业行政主管部门或经民政部门批准成立的相关行业协会，如由行业协会颁发的，则须同时提供该协会在中国社会组织公共服务平台（平台网址：http://www.chinanpo.gov.cn/）登记信息查询截图打印件并加盖投标人公章。④工程项目获奖处于公示阶段的不得分。⑤获奖时间以奖项证书（或获奖文件）的时间为准。⑥同一项目不同级别的获奖只按最高级别计分一次。</w:t>
            </w:r>
            <w:r>
              <w:rPr>
                <w:rFonts w:hint="eastAsia" w:ascii="宋体" w:hAnsi="宋体" w:cs="宋体"/>
                <w:color w:val="auto"/>
                <w:highlight w:val="none"/>
              </w:rPr>
              <w:t>⑦企业业绩获奖是指与本次招标专业内容相对应的由住建部颁发的全国优秀工程勘察设计奖、中国勘察设计协会颁发的全国优秀工程勘察设计行业奖、省级（含副省级）工程勘察设计行业协会颁发的省级（含副省级）优秀勘察设计奖。</w:t>
            </w:r>
          </w:p>
        </w:tc>
        <w:tc>
          <w:tcPr>
            <w:tcW w:w="3551" w:type="dxa"/>
            <w:vAlign w:val="center"/>
          </w:tcPr>
          <w:p>
            <w:pPr>
              <w:widowControl/>
              <w:spacing w:line="360" w:lineRule="exact"/>
              <w:jc w:val="both"/>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cs="宋体"/>
                <w:bCs/>
                <w:color w:val="auto"/>
                <w:kern w:val="0"/>
                <w:szCs w:val="21"/>
                <w:highlight w:val="none"/>
              </w:rPr>
              <w:t>企业业绩获奖</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6分）：</w:t>
            </w:r>
          </w:p>
          <w:p>
            <w:pPr>
              <w:adjustRightInd w:val="0"/>
              <w:snapToGrid w:val="0"/>
              <w:spacing w:line="3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自2020年1月1日至投标截止日止，投标人（联合体投标的，由联合体牵头方提供）承接的工程建设项目业绩，获得国家级奖项的每项得6分；获得行业级奖项的每项得3分；获得省级奖项的每项得2分；获得</w:t>
            </w:r>
            <w:r>
              <w:rPr>
                <w:rFonts w:hint="eastAsia" w:ascii="宋体" w:hAnsi="宋体" w:eastAsia="宋体" w:cs="宋体"/>
                <w:color w:val="0000FF"/>
                <w:highlight w:val="none"/>
                <w:lang w:eastAsia="zh-CN"/>
              </w:rPr>
              <w:t>市级（</w:t>
            </w:r>
            <w:r>
              <w:rPr>
                <w:rFonts w:hint="eastAsia" w:ascii="宋体" w:hAnsi="宋体" w:cs="宋体"/>
                <w:color w:val="0000FF"/>
                <w:highlight w:val="none"/>
                <w:lang w:eastAsia="zh-CN"/>
              </w:rPr>
              <w:t>含</w:t>
            </w:r>
            <w:r>
              <w:rPr>
                <w:rFonts w:hint="eastAsia" w:ascii="宋体" w:hAnsi="宋体" w:eastAsia="宋体" w:cs="宋体"/>
                <w:color w:val="0000FF"/>
                <w:highlight w:val="none"/>
                <w:lang w:eastAsia="zh-CN"/>
              </w:rPr>
              <w:t>副省级）</w:t>
            </w:r>
            <w:r>
              <w:rPr>
                <w:rFonts w:hint="eastAsia" w:ascii="宋体" w:hAnsi="宋体" w:eastAsia="宋体" w:cs="宋体"/>
                <w:color w:val="auto"/>
                <w:highlight w:val="none"/>
                <w:lang w:eastAsia="zh-CN"/>
              </w:rPr>
              <w:t>奖项的每项得1.5分。不满足或不提供的不得分，本小项最高得6分。</w:t>
            </w:r>
          </w:p>
          <w:p>
            <w:pPr>
              <w:widowControl/>
              <w:spacing w:line="360" w:lineRule="exact"/>
              <w:jc w:val="both"/>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color w:val="auto"/>
                <w:highlight w:val="none"/>
                <w:lang w:eastAsia="zh-CN"/>
              </w:rPr>
              <w:t>注：①工程建设项目业绩是指投标人承接并完成的工程建设项目的设计业绩（分包或参建的项目不予认可）；以EPC、PPP等联合体形式中标后由投标人承担设计任务的项目予以认可。②提供相关证书（或获奖文件）复印件及合同证明文件，加盖投标人公章，否则不得分。③获奖奖项为中华人民共和国国内的非港澳台地区时，颁奖单位须为各级人民政府或行业行政主管部门或经民政部门批准成立的相关行业协会，如由行业协会颁发的，则须同时提供该协会在中国社会组织公共服务平台（平台网址：http://www.chinanpo.gov.cn/）登记信息查询截图打印件并加盖投标人公章。④工程项目获奖处于公示阶段的不得分。⑤获奖时间以奖项证书（或获奖文件）的时间为准。⑥同一项目不同级别的获奖只按最高级别计分一次。</w:t>
            </w:r>
            <w:r>
              <w:rPr>
                <w:rFonts w:hint="eastAsia" w:ascii="宋体" w:hAnsi="宋体" w:cs="宋体"/>
                <w:color w:val="auto"/>
                <w:highlight w:val="none"/>
              </w:rPr>
              <w:t>⑦企业业绩获奖是指与本次招标专业内容相对应的由住建部颁发的全国优秀工程勘察设计奖、中国勘察设计协会颁发的全国优秀工程勘察设计行业奖、</w:t>
            </w:r>
            <w:r>
              <w:rPr>
                <w:rFonts w:hint="eastAsia" w:ascii="宋体" w:hAnsi="宋体" w:eastAsia="宋体" w:cs="宋体"/>
                <w:color w:val="0000FF"/>
                <w:highlight w:val="none"/>
                <w:lang w:eastAsia="zh-CN"/>
              </w:rPr>
              <w:t>省级工程勘察设计行业协会颁发的省级优秀勘察设计奖、市级（含副省级）工程勘察设计行业协会颁发的市级（含副省级）优秀勘察设计奖。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rPr>
            </w:pPr>
            <w:r>
              <w:rPr>
                <w:rFonts w:hint="eastAsia" w:ascii="宋体" w:hAnsi="宋体" w:cs="宋体"/>
                <w:b w:val="0"/>
                <w:bCs/>
                <w:kern w:val="0"/>
                <w:sz w:val="21"/>
                <w:szCs w:val="21"/>
                <w:vertAlign w:val="baseline"/>
                <w:lang w:val="en-US" w:eastAsia="zh-CN"/>
              </w:rPr>
              <w:t>2</w:t>
            </w:r>
          </w:p>
        </w:tc>
        <w:tc>
          <w:tcPr>
            <w:tcW w:w="1725" w:type="dxa"/>
            <w:vAlign w:val="center"/>
          </w:tcPr>
          <w:p>
            <w:pPr>
              <w:widowControl/>
              <w:spacing w:line="360" w:lineRule="exact"/>
              <w:jc w:val="center"/>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w:t>
            </w:r>
            <w:r>
              <w:rPr>
                <w:rFonts w:hint="eastAsia" w:ascii="宋体" w:hAnsi="宋体" w:cs="宋体"/>
                <w:b w:val="0"/>
                <w:bCs/>
                <w:color w:val="auto"/>
                <w:kern w:val="0"/>
                <w:sz w:val="21"/>
                <w:szCs w:val="21"/>
                <w:lang w:val="en-US" w:eastAsia="zh-CN"/>
              </w:rPr>
              <w:t>招标文件答疑及补充公告（第01号）</w:t>
            </w:r>
            <w:r>
              <w:rPr>
                <w:rFonts w:hint="eastAsia" w:ascii="宋体" w:hAnsi="宋体" w:eastAsia="宋体" w:cs="宋体"/>
                <w:b w:val="0"/>
                <w:bCs/>
                <w:color w:val="auto"/>
                <w:kern w:val="0"/>
                <w:sz w:val="21"/>
                <w:szCs w:val="21"/>
                <w:lang w:val="en-US" w:eastAsia="zh-CN"/>
              </w:rPr>
              <w:t>》</w:t>
            </w:r>
            <w:r>
              <w:rPr>
                <w:rFonts w:hint="eastAsia" w:ascii="宋体" w:hAnsi="宋体" w:cs="宋体"/>
                <w:b w:val="0"/>
                <w:bCs/>
                <w:color w:val="auto"/>
                <w:kern w:val="0"/>
                <w:sz w:val="21"/>
                <w:szCs w:val="21"/>
                <w:lang w:val="en-US" w:eastAsia="zh-CN"/>
              </w:rPr>
              <w:t>的第二条“招标文件”中的“《招标文件》第三章评标办法前附表的条款号2.2.4（1）商务部分的企业信誉”条款</w:t>
            </w:r>
          </w:p>
        </w:tc>
        <w:tc>
          <w:tcPr>
            <w:tcW w:w="3525"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vertAlign w:val="baseline"/>
                <w:lang w:val="en-US" w:eastAsia="zh-CN" w:bidi="ar-SA"/>
              </w:rPr>
              <w:t>投标人（联合体投标的，由联合体牵头方提供）同时具有有效的质量管理体系认证证书、环境管理体系认证证书、职业健康安全管理体系认证证书的，得1分；不满足不得分（证书须在有效期内）。本小项最多得1分。注：提供相关证书并加盖公章，否则不得分。</w:t>
            </w:r>
          </w:p>
        </w:tc>
        <w:tc>
          <w:tcPr>
            <w:tcW w:w="3551" w:type="dxa"/>
            <w:vAlign w:val="center"/>
          </w:tcPr>
          <w:p>
            <w:pPr>
              <w:widowControl/>
              <w:spacing w:line="360" w:lineRule="exact"/>
              <w:jc w:val="both"/>
              <w:rPr>
                <w:rFonts w:hint="eastAsia" w:ascii="宋体" w:hAnsi="宋体" w:eastAsia="宋体" w:cs="宋体"/>
                <w:b w:val="0"/>
                <w:bCs/>
                <w:color w:val="auto"/>
                <w:kern w:val="0"/>
                <w:sz w:val="21"/>
                <w:szCs w:val="21"/>
                <w:vertAlign w:val="baseline"/>
                <w:lang w:val="en-US" w:eastAsia="zh-CN" w:bidi="ar-SA"/>
              </w:rPr>
            </w:pPr>
            <w:r>
              <w:rPr>
                <w:rFonts w:hint="eastAsia" w:ascii="宋体" w:hAnsi="宋体" w:eastAsia="宋体" w:cs="宋体"/>
                <w:b w:val="0"/>
                <w:bCs/>
                <w:color w:val="auto"/>
                <w:kern w:val="0"/>
                <w:sz w:val="21"/>
                <w:szCs w:val="21"/>
                <w:vertAlign w:val="baseline"/>
                <w:lang w:val="en-US" w:eastAsia="zh-CN" w:bidi="ar-SA"/>
              </w:rPr>
              <w:t>投标人（联合体投标的，由联合体牵头方提供）同时具有有效的质量管理体系认证证书、环境管理体系认证证书、职业健康安全管理体系认证证书的，</w:t>
            </w:r>
            <w:r>
              <w:rPr>
                <w:rFonts w:hint="eastAsia" w:ascii="宋体" w:hAnsi="宋体" w:eastAsia="宋体" w:cs="宋体"/>
                <w:color w:val="0000FF"/>
                <w:highlight w:val="none"/>
                <w:lang w:val="en-US" w:eastAsia="zh-CN"/>
              </w:rPr>
              <w:t>得2分</w:t>
            </w:r>
            <w:r>
              <w:rPr>
                <w:rFonts w:hint="eastAsia" w:ascii="宋体" w:hAnsi="宋体" w:eastAsia="宋体" w:cs="宋体"/>
                <w:b w:val="0"/>
                <w:bCs/>
                <w:color w:val="auto"/>
                <w:kern w:val="0"/>
                <w:sz w:val="21"/>
                <w:szCs w:val="21"/>
                <w:vertAlign w:val="baseline"/>
                <w:lang w:val="en-US" w:eastAsia="zh-CN" w:bidi="ar-SA"/>
              </w:rPr>
              <w:t>；不满足不得分（证书须在有效期内）。本小项最多</w:t>
            </w:r>
            <w:r>
              <w:rPr>
                <w:rFonts w:hint="eastAsia" w:ascii="宋体" w:hAnsi="宋体" w:eastAsia="宋体" w:cs="宋体"/>
                <w:color w:val="0000FF"/>
                <w:highlight w:val="none"/>
                <w:lang w:val="en-US" w:eastAsia="zh-CN"/>
              </w:rPr>
              <w:t>得2分</w:t>
            </w:r>
            <w:r>
              <w:rPr>
                <w:rFonts w:hint="eastAsia" w:ascii="宋体" w:hAnsi="宋体" w:eastAsia="宋体" w:cs="宋体"/>
                <w:b w:val="0"/>
                <w:bCs/>
                <w:color w:val="auto"/>
                <w:kern w:val="0"/>
                <w:sz w:val="21"/>
                <w:szCs w:val="21"/>
                <w:vertAlign w:val="baseline"/>
                <w:lang w:val="en-US" w:eastAsia="zh-CN" w:bidi="ar-SA"/>
              </w:rPr>
              <w:t>。注：提供相关证书并加盖公章，否则不得分。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78" w:type="dxa"/>
            <w:gridSpan w:val="4"/>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bCs w:val="0"/>
                <w:kern w:val="0"/>
                <w:sz w:val="21"/>
                <w:szCs w:val="21"/>
                <w:vertAlign w:val="baseline"/>
                <w:lang w:val="en-US" w:eastAsia="zh-CN"/>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77" w:type="dxa"/>
            <w:vAlign w:val="center"/>
          </w:tcPr>
          <w:p>
            <w:pPr>
              <w:widowControl/>
              <w:spacing w:line="360" w:lineRule="exact"/>
              <w:jc w:val="center"/>
              <w:rPr>
                <w:rFonts w:hint="default" w:ascii="宋体" w:hAnsi="宋体" w:eastAsia="宋体" w:cs="宋体"/>
                <w:b w:val="0"/>
                <w:bCs/>
                <w:kern w:val="0"/>
                <w:sz w:val="21"/>
                <w:szCs w:val="21"/>
                <w:vertAlign w:val="baseline"/>
                <w:lang w:val="en-US" w:eastAsia="zh-CN" w:bidi="ar-SA"/>
              </w:rPr>
            </w:pPr>
            <w:r>
              <w:rPr>
                <w:rFonts w:hint="eastAsia" w:ascii="宋体" w:hAnsi="宋体" w:cs="宋体"/>
                <w:b w:val="0"/>
                <w:bCs/>
                <w:kern w:val="0"/>
                <w:sz w:val="21"/>
                <w:szCs w:val="21"/>
                <w:vertAlign w:val="baseline"/>
                <w:lang w:val="en-US" w:eastAsia="zh-CN" w:bidi="ar-SA"/>
              </w:rPr>
              <w:t>3</w:t>
            </w:r>
          </w:p>
        </w:tc>
        <w:tc>
          <w:tcPr>
            <w:tcW w:w="1725" w:type="dxa"/>
            <w:vAlign w:val="center"/>
          </w:tcPr>
          <w:p>
            <w:pPr>
              <w:widowControl/>
              <w:spacing w:line="360" w:lineRule="exact"/>
              <w:jc w:val="center"/>
              <w:rPr>
                <w:rFonts w:hint="eastAsia" w:ascii="宋体" w:hAnsi="宋体" w:eastAsia="宋体" w:cs="宋体"/>
                <w:b w:val="0"/>
                <w:bCs/>
                <w:kern w:val="0"/>
                <w:sz w:val="21"/>
                <w:szCs w:val="21"/>
                <w:vertAlign w:val="baseline"/>
                <w:lang w:val="en-US" w:eastAsia="zh-CN"/>
              </w:rPr>
            </w:pPr>
            <w:r>
              <w:rPr>
                <w:rFonts w:hint="eastAsia" w:ascii="宋体" w:hAnsi="宋体" w:eastAsia="宋体" w:cs="宋体"/>
                <w:b w:val="0"/>
                <w:bCs/>
                <w:kern w:val="0"/>
                <w:sz w:val="21"/>
                <w:szCs w:val="21"/>
                <w:vertAlign w:val="baseline"/>
                <w:lang w:val="en-US" w:eastAsia="zh-CN"/>
              </w:rPr>
              <w:t>《招标文件》第三章评标办法前附表的条款号2.</w:t>
            </w:r>
            <w:r>
              <w:rPr>
                <w:rFonts w:hint="eastAsia" w:ascii="宋体" w:hAnsi="宋体" w:cs="宋体"/>
                <w:b w:val="0"/>
                <w:bCs/>
                <w:kern w:val="0"/>
                <w:sz w:val="21"/>
                <w:szCs w:val="21"/>
                <w:vertAlign w:val="baseline"/>
                <w:lang w:val="en-US" w:eastAsia="zh-CN"/>
              </w:rPr>
              <w:t>2</w:t>
            </w:r>
            <w:r>
              <w:rPr>
                <w:rFonts w:hint="eastAsia" w:ascii="宋体" w:hAnsi="宋体" w:eastAsia="宋体" w:cs="宋体"/>
                <w:b w:val="0"/>
                <w:bCs/>
                <w:kern w:val="0"/>
                <w:sz w:val="21"/>
                <w:szCs w:val="21"/>
                <w:vertAlign w:val="baseline"/>
                <w:lang w:val="en-US" w:eastAsia="zh-CN"/>
              </w:rPr>
              <w:t>.4</w:t>
            </w:r>
            <w:r>
              <w:rPr>
                <w:rFonts w:hint="eastAsia" w:ascii="宋体" w:hAnsi="宋体" w:cs="宋体"/>
                <w:b w:val="0"/>
                <w:bCs/>
                <w:kern w:val="0"/>
                <w:sz w:val="21"/>
                <w:szCs w:val="21"/>
                <w:vertAlign w:val="baseline"/>
                <w:lang w:val="en-US" w:eastAsia="zh-CN"/>
              </w:rPr>
              <w:t>（1）商务部分</w:t>
            </w:r>
            <w:r>
              <w:rPr>
                <w:rFonts w:hint="eastAsia" w:ascii="宋体" w:hAnsi="宋体" w:eastAsia="宋体" w:cs="宋体"/>
                <w:b w:val="0"/>
                <w:bCs/>
                <w:kern w:val="0"/>
                <w:sz w:val="21"/>
                <w:szCs w:val="21"/>
                <w:vertAlign w:val="baseline"/>
                <w:lang w:val="en-US" w:eastAsia="zh-CN"/>
              </w:rPr>
              <w:t>的企业业绩获奖</w:t>
            </w:r>
          </w:p>
        </w:tc>
        <w:tc>
          <w:tcPr>
            <w:tcW w:w="3525" w:type="dxa"/>
            <w:vAlign w:val="center"/>
          </w:tcPr>
          <w:p>
            <w:pPr>
              <w:widowControl/>
              <w:spacing w:line="360" w:lineRule="exact"/>
              <w:jc w:val="both"/>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cs="宋体"/>
                <w:bCs/>
                <w:color w:val="auto"/>
                <w:kern w:val="0"/>
                <w:szCs w:val="21"/>
                <w:highlight w:val="none"/>
              </w:rPr>
              <w:t>企业业绩获奖</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6分）：</w:t>
            </w:r>
          </w:p>
          <w:p>
            <w:pPr>
              <w:adjustRightInd w:val="0"/>
              <w:snapToGrid w:val="0"/>
              <w:spacing w:line="3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自2020年1月1日至投标截止日止，投标人（联合体投标的，由联合体牵头方提供）承接的工程建设项目业绩，获得国家级奖项的每项得6分；获得行业级奖项的每项得3分；获得省级奖项的每项得2分；获得地市级（副省级）奖项的每项得1.5分。不满足或不提供的不得分，本小项最高得6分。</w:t>
            </w:r>
          </w:p>
          <w:p>
            <w:pPr>
              <w:widowControl/>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highlight w:val="none"/>
                <w:lang w:eastAsia="zh-CN"/>
              </w:rPr>
              <w:t>注：①工程建设项目业绩是指投标人承接并完成的工程建设项目的设计业绩（分包或参建的项目不予认可）；以EPC、PPP等联合体形式中标后由投标人承担设计</w:t>
            </w:r>
            <w:bookmarkStart w:id="0" w:name="_GoBack"/>
            <w:bookmarkEnd w:id="0"/>
            <w:r>
              <w:rPr>
                <w:rFonts w:hint="eastAsia" w:ascii="宋体" w:hAnsi="宋体" w:eastAsia="宋体" w:cs="宋体"/>
                <w:color w:val="auto"/>
                <w:highlight w:val="none"/>
                <w:lang w:eastAsia="zh-CN"/>
              </w:rPr>
              <w:t>任务的项目予以认可。②提供相关证书（或获奖文件）复印件及合同证明文件，加盖投标人公章，否则不得分。③获奖奖项为中华人民共和国国内的非港澳台地区时，颁奖单位须为各级人民政府或行业行政主管部门或经民政部门批准成立的相关行业协会，如由行业协会颁发的，则须同时提供该协会在中国社会组织公共服务平台（平台网址：http://www.chinanpo.gov.cn/）登记信息查询截图打印件并加盖投标人公章。④工程项目获奖处于公示阶段的不得分。⑤获奖时间以奖项证书（或获奖文件）的时间为准。⑥同一项目不同级别的获奖只按最高级别计分一次。</w:t>
            </w:r>
            <w:r>
              <w:rPr>
                <w:rFonts w:hint="eastAsia" w:ascii="宋体" w:hAnsi="宋体" w:cs="宋体"/>
                <w:color w:val="auto"/>
                <w:highlight w:val="none"/>
              </w:rPr>
              <w:t>⑦企业业绩获奖是指与本次招标专业内容相对应的由住建部颁发的全国优秀工程勘察设计奖、中国勘察设计协会颁发的全国优秀工程勘察设计行业奖、省级（含副省级）工程勘察设计行业协会颁发的省级（含副省级）优秀勘察设计奖。</w:t>
            </w:r>
          </w:p>
        </w:tc>
        <w:tc>
          <w:tcPr>
            <w:tcW w:w="3551" w:type="dxa"/>
            <w:vAlign w:val="center"/>
          </w:tcPr>
          <w:p>
            <w:pPr>
              <w:widowControl/>
              <w:spacing w:line="360" w:lineRule="exact"/>
              <w:jc w:val="both"/>
              <w:rPr>
                <w:rFonts w:hint="default" w:ascii="宋体" w:hAnsi="宋体" w:eastAsia="宋体" w:cs="宋体"/>
                <w:b w:val="0"/>
                <w:bCs/>
                <w:color w:val="auto"/>
                <w:kern w:val="0"/>
                <w:sz w:val="21"/>
                <w:szCs w:val="21"/>
                <w:highlight w:val="none"/>
                <w:vertAlign w:val="baseline"/>
                <w:lang w:val="en-US" w:eastAsia="zh-CN"/>
              </w:rPr>
            </w:pPr>
            <w:r>
              <w:rPr>
                <w:rFonts w:hint="eastAsia" w:ascii="宋体" w:hAnsi="宋体" w:cs="宋体"/>
                <w:bCs/>
                <w:color w:val="auto"/>
                <w:kern w:val="0"/>
                <w:szCs w:val="21"/>
                <w:highlight w:val="none"/>
              </w:rPr>
              <w:t>企业业绩获奖</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6分）：</w:t>
            </w:r>
          </w:p>
          <w:p>
            <w:pPr>
              <w:adjustRightInd w:val="0"/>
              <w:snapToGrid w:val="0"/>
              <w:spacing w:line="3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自2020年1月1日至投标截止日止，投标人（联合体投标的，由联合体牵头方提供）承接的工程建设项目业绩，获得国家级奖项的每项得6分；获得行业级奖项的每项得3分；获得省级奖项的每项得2分；获得</w:t>
            </w:r>
            <w:r>
              <w:rPr>
                <w:rFonts w:hint="eastAsia" w:ascii="宋体" w:hAnsi="宋体" w:eastAsia="宋体" w:cs="宋体"/>
                <w:color w:val="0000FF"/>
                <w:highlight w:val="none"/>
                <w:lang w:eastAsia="zh-CN"/>
              </w:rPr>
              <w:t>市级（</w:t>
            </w:r>
            <w:r>
              <w:rPr>
                <w:rFonts w:hint="eastAsia" w:ascii="宋体" w:hAnsi="宋体" w:cs="宋体"/>
                <w:color w:val="0000FF"/>
                <w:highlight w:val="none"/>
                <w:lang w:eastAsia="zh-CN"/>
              </w:rPr>
              <w:t>含</w:t>
            </w:r>
            <w:r>
              <w:rPr>
                <w:rFonts w:hint="eastAsia" w:ascii="宋体" w:hAnsi="宋体" w:eastAsia="宋体" w:cs="宋体"/>
                <w:color w:val="0000FF"/>
                <w:highlight w:val="none"/>
                <w:lang w:eastAsia="zh-CN"/>
              </w:rPr>
              <w:t>副省级）</w:t>
            </w:r>
            <w:r>
              <w:rPr>
                <w:rFonts w:hint="eastAsia" w:ascii="宋体" w:hAnsi="宋体" w:eastAsia="宋体" w:cs="宋体"/>
                <w:color w:val="auto"/>
                <w:highlight w:val="none"/>
                <w:lang w:eastAsia="zh-CN"/>
              </w:rPr>
              <w:t>奖项的每项得1.5分。不满足或不提供的不得分，本小项最高得6分。</w:t>
            </w:r>
          </w:p>
          <w:p>
            <w:pPr>
              <w:widowControl/>
              <w:spacing w:line="360" w:lineRule="exact"/>
              <w:jc w:val="both"/>
              <w:rPr>
                <w:rFonts w:hint="eastAsia"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color w:val="auto"/>
                <w:highlight w:val="none"/>
                <w:lang w:eastAsia="zh-CN"/>
              </w:rPr>
              <w:t>注：①工程建设项目业绩是指投标人承接并完成的工程建设项目的设计业绩（分包或参建的项目不予认可）；以EPC、PPP等联合体形式中标后由投标人承担设计任务的项目予以认可。②提供相关证书（或获奖文件）复印件及合同证明文件，加盖投标人公章，否则不得分。③获奖奖项为中华人民共和国国内的非港澳台地区时，颁奖单位须为各级人民政府或行业行政主管部门或经民政部门批准成立的相关行业协会，如由行业协会颁发的，则须同时提供该协会在中国社会组织公共服务平台（平台网址：http://www.chinanpo.gov.cn/）登记信息查询截图打印件并加盖投标人公章。④工程项目获奖处于公示阶段的不得分。⑤获奖时间以奖项证书（或获奖文件）的时间为准。⑥同一项目不同级别的获奖只按最高级别计分一次。</w:t>
            </w:r>
            <w:r>
              <w:rPr>
                <w:rFonts w:hint="eastAsia" w:ascii="宋体" w:hAnsi="宋体" w:cs="宋体"/>
                <w:color w:val="auto"/>
                <w:highlight w:val="none"/>
              </w:rPr>
              <w:t>⑦企业业绩获奖是指与本次招标专业内容相对应的由住建部颁发的全国优秀工程勘察设计奖、中国勘察设计协会颁发的全国优秀工程勘察设计行业奖、</w:t>
            </w:r>
            <w:r>
              <w:rPr>
                <w:rFonts w:hint="eastAsia" w:ascii="宋体" w:hAnsi="宋体" w:eastAsia="宋体" w:cs="宋体"/>
                <w:color w:val="0000FF"/>
                <w:highlight w:val="none"/>
                <w:lang w:eastAsia="zh-CN"/>
              </w:rPr>
              <w:t>省级工程勘察设计行业协会颁发的省级优秀勘察设计奖、市级（含副省级）工程勘察设计行业协会颁发的市级（含副省级）优秀勘察设计奖。</w:t>
            </w:r>
          </w:p>
        </w:tc>
      </w:tr>
    </w:tbl>
    <w:p>
      <w:pPr>
        <w:widowControl/>
        <w:spacing w:line="360" w:lineRule="exact"/>
        <w:ind w:firstLine="422" w:firstLineChars="200"/>
        <w:jc w:val="left"/>
        <w:rPr>
          <w:rFonts w:hint="eastAsia" w:ascii="宋体" w:hAnsi="宋体" w:cs="宋体"/>
          <w:b/>
          <w:bCs w:val="0"/>
          <w:kern w:val="0"/>
          <w:szCs w:val="21"/>
          <w:lang w:eastAsia="zh-CN"/>
        </w:rPr>
      </w:pPr>
      <w:r>
        <w:rPr>
          <w:rFonts w:hint="eastAsia" w:ascii="宋体" w:hAnsi="宋体" w:cs="宋体"/>
          <w:b/>
          <w:bCs w:val="0"/>
          <w:kern w:val="0"/>
          <w:szCs w:val="21"/>
          <w:lang w:eastAsia="zh-CN"/>
        </w:rPr>
        <w:t>二、具体时间和场地安排请各投标人密切留意广州公共资源交易中心公布的本项目的日程安排，投标人可登录广州公共资源交易中心网站首页，点击“交易业务-建设工程”专栏中的“项目查询（日程安排、答疑纪要）”，输入项目编号或项目名称查询最新信息。</w:t>
      </w:r>
    </w:p>
    <w:p>
      <w:pPr>
        <w:widowControl/>
        <w:spacing w:line="360" w:lineRule="exact"/>
        <w:ind w:firstLine="422" w:firstLineChars="200"/>
        <w:jc w:val="left"/>
        <w:rPr>
          <w:rFonts w:hint="eastAsia" w:ascii="宋体" w:hAnsi="宋体" w:cs="宋体"/>
          <w:b/>
          <w:bCs w:val="0"/>
          <w:kern w:val="0"/>
          <w:szCs w:val="21"/>
          <w:lang w:eastAsia="zh-CN"/>
        </w:rPr>
      </w:pPr>
      <w:r>
        <w:rPr>
          <w:rFonts w:hint="eastAsia" w:ascii="宋体" w:hAnsi="宋体" w:cs="宋体"/>
          <w:b/>
          <w:bCs w:val="0"/>
          <w:kern w:val="0"/>
          <w:szCs w:val="21"/>
          <w:lang w:eastAsia="zh-CN"/>
        </w:rPr>
        <w:t>三、其他</w:t>
      </w:r>
    </w:p>
    <w:p>
      <w:pPr>
        <w:widowControl/>
        <w:spacing w:line="360" w:lineRule="exact"/>
        <w:ind w:firstLine="420" w:firstLineChars="200"/>
        <w:jc w:val="left"/>
        <w:rPr>
          <w:rFonts w:hint="eastAsia" w:ascii="宋体" w:hAnsi="宋体" w:cs="宋体"/>
          <w:b w:val="0"/>
          <w:bCs/>
          <w:kern w:val="0"/>
          <w:szCs w:val="21"/>
          <w:lang w:eastAsia="zh-CN"/>
        </w:rPr>
      </w:pPr>
      <w:r>
        <w:rPr>
          <w:rFonts w:hint="eastAsia" w:ascii="宋体" w:hAnsi="宋体" w:cs="宋体"/>
          <w:b w:val="0"/>
          <w:bCs/>
          <w:kern w:val="0"/>
          <w:szCs w:val="21"/>
          <w:lang w:val="en-US" w:eastAsia="zh-CN"/>
        </w:rPr>
        <w:t>1、</w:t>
      </w:r>
      <w:r>
        <w:rPr>
          <w:rFonts w:hint="eastAsia" w:ascii="宋体" w:hAnsi="宋体" w:cs="宋体"/>
          <w:b w:val="0"/>
          <w:bCs/>
          <w:kern w:val="0"/>
          <w:szCs w:val="21"/>
        </w:rPr>
        <w:t>本项目补充发布</w:t>
      </w:r>
      <w:r>
        <w:rPr>
          <w:rFonts w:hint="eastAsia" w:ascii="宋体" w:hAnsi="宋体" w:cs="宋体"/>
          <w:b w:val="0"/>
          <w:bCs/>
          <w:kern w:val="0"/>
          <w:szCs w:val="21"/>
          <w:lang w:eastAsia="zh-CN"/>
        </w:rPr>
        <w:t>以下附件：</w:t>
      </w:r>
    </w:p>
    <w:p>
      <w:pPr>
        <w:widowControl/>
        <w:spacing w:line="360" w:lineRule="exact"/>
        <w:ind w:firstLine="422" w:firstLineChars="200"/>
        <w:jc w:val="left"/>
        <w:rPr>
          <w:rFonts w:hint="eastAsia" w:ascii="宋体" w:hAnsi="宋体" w:cs="宋体"/>
          <w:b w:val="0"/>
          <w:bCs/>
          <w:kern w:val="0"/>
          <w:szCs w:val="21"/>
        </w:rPr>
      </w:pPr>
      <w:r>
        <w:rPr>
          <w:rFonts w:hint="eastAsia" w:ascii="宋体" w:hAnsi="宋体" w:cs="宋体"/>
          <w:b/>
          <w:bCs w:val="0"/>
          <w:kern w:val="0"/>
          <w:szCs w:val="21"/>
          <w:lang w:eastAsia="zh-CN"/>
        </w:rPr>
        <w:t>（</w:t>
      </w:r>
      <w:r>
        <w:rPr>
          <w:rFonts w:hint="eastAsia" w:ascii="宋体" w:hAnsi="宋体" w:cs="宋体"/>
          <w:b/>
          <w:bCs w:val="0"/>
          <w:kern w:val="0"/>
          <w:szCs w:val="21"/>
          <w:lang w:val="en-US" w:eastAsia="zh-CN"/>
        </w:rPr>
        <w:t>1</w:t>
      </w:r>
      <w:r>
        <w:rPr>
          <w:rFonts w:hint="eastAsia" w:ascii="宋体" w:hAnsi="宋体" w:cs="宋体"/>
          <w:b/>
          <w:bCs w:val="0"/>
          <w:kern w:val="0"/>
          <w:szCs w:val="21"/>
          <w:lang w:eastAsia="zh-CN"/>
        </w:rPr>
        <w:t>）</w:t>
      </w:r>
      <w:r>
        <w:rPr>
          <w:rFonts w:hint="eastAsia" w:ascii="宋体" w:hAnsi="宋体" w:cs="宋体"/>
          <w:b/>
          <w:bCs w:val="0"/>
          <w:kern w:val="0"/>
          <w:szCs w:val="21"/>
          <w:lang w:val="en-US" w:eastAsia="zh-CN"/>
        </w:rPr>
        <w:t>重新发布招标文件（</w:t>
      </w:r>
      <w:r>
        <w:rPr>
          <w:rFonts w:hint="eastAsia" w:ascii="宋体" w:hAnsi="宋体" w:cs="宋体"/>
          <w:b/>
          <w:bCs w:val="0"/>
          <w:kern w:val="0"/>
          <w:szCs w:val="21"/>
        </w:rPr>
        <w:t>WORD</w:t>
      </w:r>
      <w:r>
        <w:rPr>
          <w:rFonts w:hint="eastAsia" w:ascii="宋体" w:hAnsi="宋体" w:cs="宋体"/>
          <w:b/>
          <w:bCs w:val="0"/>
          <w:kern w:val="0"/>
          <w:szCs w:val="21"/>
          <w:lang w:val="en-US" w:eastAsia="zh-CN"/>
        </w:rPr>
        <w:t>）和</w:t>
      </w:r>
      <w:r>
        <w:rPr>
          <w:rFonts w:hint="eastAsia" w:ascii="宋体" w:hAnsi="宋体" w:cs="宋体"/>
          <w:b/>
          <w:bCs w:val="0"/>
          <w:kern w:val="0"/>
          <w:szCs w:val="21"/>
        </w:rPr>
        <w:t>重新发布招标文件（</w:t>
      </w:r>
      <w:r>
        <w:rPr>
          <w:rFonts w:hint="eastAsia" w:ascii="宋体" w:hAnsi="宋体" w:cs="宋体"/>
          <w:b/>
          <w:bCs w:val="0"/>
          <w:kern w:val="0"/>
          <w:szCs w:val="21"/>
          <w:lang w:val="en-US" w:eastAsia="zh-CN"/>
        </w:rPr>
        <w:t>PDF</w:t>
      </w:r>
      <w:r>
        <w:rPr>
          <w:rFonts w:hint="eastAsia" w:ascii="宋体" w:hAnsi="宋体" w:cs="宋体"/>
          <w:b/>
          <w:bCs w:val="0"/>
          <w:kern w:val="0"/>
          <w:szCs w:val="21"/>
        </w:rPr>
        <w:t>）、电子招标文件（GZZB）</w:t>
      </w:r>
      <w:r>
        <w:rPr>
          <w:rFonts w:hint="eastAsia" w:ascii="宋体" w:hAnsi="宋体" w:cs="宋体"/>
          <w:b/>
          <w:bCs w:val="0"/>
          <w:kern w:val="0"/>
          <w:szCs w:val="21"/>
          <w:lang w:val="en-US" w:eastAsia="zh-CN"/>
        </w:rPr>
        <w:t>；</w:t>
      </w:r>
      <w:r>
        <w:rPr>
          <w:rFonts w:hint="eastAsia" w:ascii="宋体" w:hAnsi="宋体" w:cs="宋体"/>
          <w:b w:val="0"/>
          <w:bCs/>
          <w:kern w:val="0"/>
          <w:szCs w:val="21"/>
        </w:rPr>
        <w:t>请投标人自行在本补充公告附件处下载。</w:t>
      </w:r>
    </w:p>
    <w:p>
      <w:pPr>
        <w:widowControl/>
        <w:spacing w:line="360" w:lineRule="exact"/>
        <w:ind w:firstLine="420" w:firstLineChars="200"/>
        <w:jc w:val="left"/>
        <w:rPr>
          <w:rFonts w:hint="eastAsia" w:ascii="宋体" w:hAnsi="宋体" w:cs="宋体"/>
          <w:b w:val="0"/>
          <w:bCs/>
          <w:kern w:val="0"/>
          <w:szCs w:val="21"/>
        </w:rPr>
      </w:pPr>
      <w:r>
        <w:rPr>
          <w:rFonts w:hint="eastAsia" w:ascii="宋体" w:hAnsi="宋体" w:cs="宋体"/>
          <w:b w:val="0"/>
          <w:bCs/>
          <w:kern w:val="0"/>
          <w:szCs w:val="21"/>
          <w:lang w:val="en-US" w:eastAsia="zh-CN"/>
        </w:rPr>
        <w:t>2</w:t>
      </w:r>
      <w:r>
        <w:rPr>
          <w:rFonts w:hint="eastAsia" w:ascii="宋体" w:hAnsi="宋体" w:cs="宋体"/>
          <w:b w:val="0"/>
          <w:bCs/>
          <w:kern w:val="0"/>
          <w:szCs w:val="21"/>
        </w:rPr>
        <w:t>、本补充公告（第0</w:t>
      </w:r>
      <w:r>
        <w:rPr>
          <w:rFonts w:hint="eastAsia" w:ascii="宋体" w:hAnsi="宋体" w:cs="宋体"/>
          <w:b w:val="0"/>
          <w:bCs/>
          <w:kern w:val="0"/>
          <w:szCs w:val="21"/>
          <w:lang w:val="en-US" w:eastAsia="zh-CN"/>
        </w:rPr>
        <w:t>2</w:t>
      </w:r>
      <w:r>
        <w:rPr>
          <w:rFonts w:hint="eastAsia" w:ascii="宋体" w:hAnsi="宋体" w:cs="宋体"/>
          <w:b w:val="0"/>
          <w:bCs/>
          <w:kern w:val="0"/>
          <w:szCs w:val="21"/>
        </w:rPr>
        <w:t>号）为招标文件的组成部分，如对同一事项的表述与之前所发出的招标文件不符，则以本补充公告（第0</w:t>
      </w:r>
      <w:r>
        <w:rPr>
          <w:rFonts w:hint="eastAsia" w:ascii="宋体" w:hAnsi="宋体" w:cs="宋体"/>
          <w:b w:val="0"/>
          <w:bCs/>
          <w:kern w:val="0"/>
          <w:szCs w:val="21"/>
          <w:lang w:val="en-US" w:eastAsia="zh-CN"/>
        </w:rPr>
        <w:t>2</w:t>
      </w:r>
      <w:r>
        <w:rPr>
          <w:rFonts w:hint="eastAsia" w:ascii="宋体" w:hAnsi="宋体" w:cs="宋体"/>
          <w:b w:val="0"/>
          <w:bCs/>
          <w:kern w:val="0"/>
          <w:szCs w:val="21"/>
        </w:rPr>
        <w:t>号）为准。</w:t>
      </w:r>
    </w:p>
    <w:p>
      <w:pPr>
        <w:pStyle w:val="7"/>
      </w:pPr>
    </w:p>
    <w:p>
      <w:pPr>
        <w:pStyle w:val="14"/>
        <w:widowControl/>
        <w:spacing w:line="360" w:lineRule="exact"/>
        <w:jc w:val="right"/>
        <w:rPr>
          <w:rFonts w:hint="eastAsia" w:ascii="宋体" w:hAnsi="宋体" w:cs="宋体"/>
          <w:kern w:val="0"/>
          <w:szCs w:val="21"/>
        </w:rPr>
      </w:pPr>
    </w:p>
    <w:p>
      <w:pPr>
        <w:pStyle w:val="14"/>
        <w:widowControl/>
        <w:spacing w:line="360" w:lineRule="exact"/>
        <w:jc w:val="right"/>
        <w:rPr>
          <w:rFonts w:hint="eastAsia" w:ascii="宋体" w:hAnsi="宋体" w:cs="宋体"/>
          <w:kern w:val="0"/>
          <w:szCs w:val="21"/>
        </w:rPr>
      </w:pPr>
    </w:p>
    <w:p>
      <w:pPr>
        <w:pStyle w:val="14"/>
        <w:widowControl/>
        <w:spacing w:line="360" w:lineRule="exact"/>
        <w:jc w:val="right"/>
        <w:rPr>
          <w:rFonts w:hint="eastAsia" w:ascii="宋体" w:hAnsi="宋体" w:eastAsia="宋体" w:cs="宋体"/>
          <w:kern w:val="0"/>
          <w:szCs w:val="21"/>
          <w:lang w:eastAsia="zh-CN"/>
        </w:rPr>
      </w:pPr>
      <w:r>
        <w:rPr>
          <w:rFonts w:hint="eastAsia" w:ascii="宋体" w:hAnsi="宋体" w:cs="宋体"/>
          <w:kern w:val="0"/>
          <w:szCs w:val="21"/>
        </w:rPr>
        <w:t>招标人：</w:t>
      </w:r>
      <w:r>
        <w:rPr>
          <w:rFonts w:hint="eastAsia" w:ascii="宋体" w:hAnsi="宋体" w:cs="宋体"/>
          <w:kern w:val="0"/>
          <w:szCs w:val="21"/>
          <w:lang w:eastAsia="zh-CN"/>
        </w:rPr>
        <w:t>广东从化经济开发区管理委员会</w:t>
      </w:r>
    </w:p>
    <w:p>
      <w:pPr>
        <w:pStyle w:val="14"/>
        <w:widowControl/>
        <w:spacing w:line="360" w:lineRule="exact"/>
        <w:jc w:val="right"/>
        <w:rPr>
          <w:rFonts w:hint="default" w:eastAsia="宋体"/>
          <w:lang w:val="en-US" w:eastAsia="zh-CN"/>
        </w:rPr>
      </w:pPr>
      <w:r>
        <w:rPr>
          <w:rFonts w:hint="eastAsia" w:ascii="宋体" w:hAnsi="宋体" w:cs="宋体"/>
          <w:kern w:val="0"/>
          <w:szCs w:val="21"/>
        </w:rPr>
        <w:t xml:space="preserve">                                  日期：</w:t>
      </w:r>
      <w:r>
        <w:rPr>
          <w:rFonts w:hint="eastAsia" w:ascii="宋体" w:hAnsi="宋体" w:cs="宋体"/>
          <w:kern w:val="0"/>
          <w:szCs w:val="21"/>
          <w:lang w:val="en-US" w:eastAsia="zh-CN"/>
        </w:rPr>
        <w:t>2022年6月16日</w:t>
      </w:r>
    </w:p>
    <w:sectPr>
      <w:footerReference r:id="rId3" w:type="default"/>
      <w:footerReference r:id="rId4" w:type="even"/>
      <w:pgSz w:w="11906" w:h="16838"/>
      <w:pgMar w:top="1418" w:right="1558" w:bottom="1418" w:left="1560" w:header="851" w:footer="104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4ZDhiYjE1MzNmMjdhNGRkMWVmMmFlMmNiZGY5ODYifQ=="/>
  </w:docVars>
  <w:rsids>
    <w:rsidRoot w:val="4A0305CD"/>
    <w:rsid w:val="00017B21"/>
    <w:rsid w:val="0014095C"/>
    <w:rsid w:val="001F531B"/>
    <w:rsid w:val="001F673B"/>
    <w:rsid w:val="003A4B8A"/>
    <w:rsid w:val="004236E9"/>
    <w:rsid w:val="005120BB"/>
    <w:rsid w:val="00561A21"/>
    <w:rsid w:val="00600D32"/>
    <w:rsid w:val="006672E6"/>
    <w:rsid w:val="0068180D"/>
    <w:rsid w:val="006E236D"/>
    <w:rsid w:val="00970FF4"/>
    <w:rsid w:val="00A77F33"/>
    <w:rsid w:val="00B135E6"/>
    <w:rsid w:val="00BB5E72"/>
    <w:rsid w:val="00CC1E86"/>
    <w:rsid w:val="00CD3F52"/>
    <w:rsid w:val="00DE79C9"/>
    <w:rsid w:val="00EC44E5"/>
    <w:rsid w:val="00FA7499"/>
    <w:rsid w:val="00FF2C06"/>
    <w:rsid w:val="015340BA"/>
    <w:rsid w:val="06430140"/>
    <w:rsid w:val="074924D2"/>
    <w:rsid w:val="09FF239F"/>
    <w:rsid w:val="0A912F5C"/>
    <w:rsid w:val="0B8B2767"/>
    <w:rsid w:val="0E323572"/>
    <w:rsid w:val="0F6B2C96"/>
    <w:rsid w:val="10252E33"/>
    <w:rsid w:val="112151B5"/>
    <w:rsid w:val="1122342A"/>
    <w:rsid w:val="13B83727"/>
    <w:rsid w:val="15A14D00"/>
    <w:rsid w:val="16A828EF"/>
    <w:rsid w:val="16D73CD2"/>
    <w:rsid w:val="17B30D29"/>
    <w:rsid w:val="1A6F007A"/>
    <w:rsid w:val="1B0B3181"/>
    <w:rsid w:val="1B840535"/>
    <w:rsid w:val="1CFF47FD"/>
    <w:rsid w:val="222C26C2"/>
    <w:rsid w:val="22405E58"/>
    <w:rsid w:val="22456F79"/>
    <w:rsid w:val="232E1630"/>
    <w:rsid w:val="256622E7"/>
    <w:rsid w:val="2624159B"/>
    <w:rsid w:val="27BB0DA8"/>
    <w:rsid w:val="2A78584F"/>
    <w:rsid w:val="2A8A38B2"/>
    <w:rsid w:val="2BB361EC"/>
    <w:rsid w:val="2D62525A"/>
    <w:rsid w:val="2E141EF5"/>
    <w:rsid w:val="2E5C1D1D"/>
    <w:rsid w:val="2E904CDF"/>
    <w:rsid w:val="30090779"/>
    <w:rsid w:val="30FC0AD3"/>
    <w:rsid w:val="33EB12DA"/>
    <w:rsid w:val="347907B7"/>
    <w:rsid w:val="361C572D"/>
    <w:rsid w:val="36763D44"/>
    <w:rsid w:val="373722E0"/>
    <w:rsid w:val="3C04552A"/>
    <w:rsid w:val="3EB002D5"/>
    <w:rsid w:val="3F286F3F"/>
    <w:rsid w:val="42930B92"/>
    <w:rsid w:val="438A47FA"/>
    <w:rsid w:val="43BD5941"/>
    <w:rsid w:val="43E11B57"/>
    <w:rsid w:val="46492588"/>
    <w:rsid w:val="47D604EF"/>
    <w:rsid w:val="4A0305CD"/>
    <w:rsid w:val="4A9803CA"/>
    <w:rsid w:val="4B1A31BA"/>
    <w:rsid w:val="4C1753ED"/>
    <w:rsid w:val="4D5F2D35"/>
    <w:rsid w:val="4DFF1589"/>
    <w:rsid w:val="50BD055E"/>
    <w:rsid w:val="52E80365"/>
    <w:rsid w:val="543F5FD8"/>
    <w:rsid w:val="54D65AC9"/>
    <w:rsid w:val="552D60DD"/>
    <w:rsid w:val="55C45E2B"/>
    <w:rsid w:val="56555565"/>
    <w:rsid w:val="57676061"/>
    <w:rsid w:val="5A1808E9"/>
    <w:rsid w:val="5B3203DE"/>
    <w:rsid w:val="5E1755C0"/>
    <w:rsid w:val="5F0347BD"/>
    <w:rsid w:val="5F29300C"/>
    <w:rsid w:val="5FA26564"/>
    <w:rsid w:val="622B7232"/>
    <w:rsid w:val="62EE2739"/>
    <w:rsid w:val="6685159E"/>
    <w:rsid w:val="66C958AE"/>
    <w:rsid w:val="679338AF"/>
    <w:rsid w:val="682308F5"/>
    <w:rsid w:val="685832F4"/>
    <w:rsid w:val="686F3CDD"/>
    <w:rsid w:val="6ACA1341"/>
    <w:rsid w:val="6AE35DE8"/>
    <w:rsid w:val="6BBC5C2B"/>
    <w:rsid w:val="6C8B0874"/>
    <w:rsid w:val="6D9975FA"/>
    <w:rsid w:val="6EB96EBE"/>
    <w:rsid w:val="6F1D118F"/>
    <w:rsid w:val="70333CAB"/>
    <w:rsid w:val="706A7177"/>
    <w:rsid w:val="71363575"/>
    <w:rsid w:val="71B96D17"/>
    <w:rsid w:val="749C1EC9"/>
    <w:rsid w:val="74D379E1"/>
    <w:rsid w:val="74EC0EBF"/>
    <w:rsid w:val="782F6F2F"/>
    <w:rsid w:val="7B957906"/>
    <w:rsid w:val="7BD03591"/>
    <w:rsid w:val="7BD34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qFormat/>
    <w:uiPriority w:val="1"/>
    <w:pPr>
      <w:ind w:left="100"/>
      <w:outlineLvl w:val="2"/>
    </w:pPr>
    <w:rPr>
      <w:rFonts w:ascii="Microsoft JhengHei" w:hAnsi="Microsoft JhengHei" w:eastAsia="Microsoft JhengHe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567"/>
      </w:tabs>
      <w:ind w:firstLine="420" w:firstLineChars="200"/>
    </w:pPr>
    <w:rPr>
      <w:kern w:val="2"/>
      <w:sz w:val="21"/>
    </w:rPr>
  </w:style>
  <w:style w:type="paragraph" w:styleId="3">
    <w:name w:val="Body Text Indent"/>
    <w:basedOn w:val="1"/>
    <w:next w:val="4"/>
    <w:qFormat/>
    <w:uiPriority w:val="0"/>
    <w:pPr>
      <w:tabs>
        <w:tab w:val="left" w:pos="567"/>
      </w:tabs>
      <w:spacing w:line="360" w:lineRule="auto"/>
      <w:ind w:left="420" w:leftChars="200"/>
    </w:pPr>
    <w:rPr>
      <w:kern w:val="0"/>
      <w:sz w:val="20"/>
      <w:szCs w:val="21"/>
    </w:rPr>
  </w:style>
  <w:style w:type="paragraph" w:styleId="4">
    <w:name w:val="envelope return"/>
    <w:basedOn w:val="1"/>
    <w:qFormat/>
    <w:uiPriority w:val="0"/>
    <w:pPr>
      <w:snapToGrid w:val="0"/>
    </w:pPr>
    <w:rPr>
      <w:rFonts w:ascii="Arial" w:hAnsi="Arial" w:cs="Arial"/>
    </w:rPr>
  </w:style>
  <w:style w:type="paragraph" w:styleId="6">
    <w:name w:val="annotation text"/>
    <w:basedOn w:val="1"/>
    <w:qFormat/>
    <w:uiPriority w:val="0"/>
    <w:pPr>
      <w:jc w:val="left"/>
    </w:pPr>
  </w:style>
  <w:style w:type="paragraph" w:styleId="7">
    <w:name w:val="Plain Text"/>
    <w:basedOn w:val="1"/>
    <w:next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页眉 字符"/>
    <w:basedOn w:val="12"/>
    <w:link w:val="9"/>
    <w:qFormat/>
    <w:uiPriority w:val="0"/>
    <w:rPr>
      <w:rFonts w:ascii="Times New Roman" w:hAnsi="Times New Roman" w:eastAsia="宋体" w:cs="Times New Roman"/>
      <w:kern w:val="2"/>
      <w:sz w:val="18"/>
      <w:szCs w:val="18"/>
    </w:rPr>
  </w:style>
  <w:style w:type="paragraph" w:customStyle="1" w:styleId="16">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3112</Words>
  <Characters>3299</Characters>
  <Lines>6</Lines>
  <Paragraphs>1</Paragraphs>
  <TotalTime>0</TotalTime>
  <ScaleCrop>false</ScaleCrop>
  <LinksUpToDate>false</LinksUpToDate>
  <CharactersWithSpaces>3333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2022-05-01T02:57:00Z</dcterms:created>
  <dc:creator>诺</dc:creator>
  <cp:lastModifiedBy>gzgdgc</cp:lastModifiedBy>
  <cp:lastPrinted>2023-06-08T08:40:00Z</cp:lastPrinted>
  <dcterms:modified xsi:type="dcterms:W3CDTF">2023-06-16T03:14:07Z</dcterms:modified>
  <dc:title>从化经济开发区明珠工业园消防救援站工程勘察设计</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ADA52A5152AB4FAAAECD0D9BFE1EE382</vt:lpwstr>
  </property>
</Properties>
</file>