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adjustRightInd w:val="0"/>
        <w:snapToGrid w:val="0"/>
        <w:jc w:val="center"/>
        <w:outlineLvl w:val="0"/>
        <w:rPr>
          <w:rFonts w:hint="eastAsia" w:ascii="宋体" w:hAnsi="宋体" w:cs="宋体"/>
          <w:b/>
          <w:bCs/>
          <w:kern w:val="0"/>
          <w:sz w:val="28"/>
          <w:szCs w:val="28"/>
        </w:rPr>
      </w:pPr>
      <w:r>
        <w:rPr>
          <w:rFonts w:hint="eastAsia" w:ascii="宋体" w:hAnsi="宋体" w:cs="宋体"/>
          <w:b/>
          <w:bCs/>
          <w:kern w:val="0"/>
          <w:sz w:val="28"/>
          <w:szCs w:val="28"/>
        </w:rPr>
        <w:t>华南理工大学20年楼龄学生宿舍改造（研二学生宿舍维修）工程补充公告</w:t>
      </w:r>
    </w:p>
    <w:p>
      <w:pPr>
        <w:widowControl/>
        <w:shd w:val="clear"/>
        <w:adjustRightInd w:val="0"/>
        <w:snapToGrid w:val="0"/>
        <w:ind w:firstLine="540" w:firstLineChars="225"/>
        <w:jc w:val="left"/>
        <w:rPr>
          <w:rFonts w:hint="eastAsia" w:ascii="宋体" w:hAnsi="宋体"/>
          <w:kern w:val="0"/>
          <w:sz w:val="24"/>
          <w:szCs w:val="24"/>
        </w:rPr>
      </w:pPr>
    </w:p>
    <w:p>
      <w:pPr>
        <w:widowControl/>
        <w:shd w:val="clear"/>
        <w:adjustRightInd w:val="0"/>
        <w:snapToGrid w:val="0"/>
        <w:spacing w:line="360" w:lineRule="auto"/>
        <w:ind w:firstLine="405" w:firstLineChars="225"/>
        <w:jc w:val="left"/>
        <w:rPr>
          <w:rFonts w:hint="eastAsia" w:ascii="宋体" w:hAnsi="宋体"/>
          <w:kern w:val="0"/>
          <w:sz w:val="18"/>
          <w:szCs w:val="18"/>
          <w:highlight w:val="none"/>
        </w:rPr>
      </w:pPr>
      <w:r>
        <w:rPr>
          <w:rFonts w:hint="eastAsia" w:ascii="宋体" w:hAnsi="宋体"/>
          <w:kern w:val="0"/>
          <w:sz w:val="18"/>
          <w:szCs w:val="18"/>
          <w:highlight w:val="none"/>
        </w:rPr>
        <w:t>华南理工大学20年楼龄学生宿舍改造（研二学生宿舍维修）工程（项目编号：JG202</w:t>
      </w:r>
      <w:r>
        <w:rPr>
          <w:rFonts w:hint="eastAsia" w:ascii="宋体" w:hAnsi="宋体"/>
          <w:kern w:val="0"/>
          <w:sz w:val="18"/>
          <w:szCs w:val="18"/>
          <w:highlight w:val="none"/>
          <w:lang w:val="en-US" w:eastAsia="zh-CN"/>
        </w:rPr>
        <w:t>3-3076</w:t>
      </w:r>
      <w:r>
        <w:rPr>
          <w:rFonts w:hint="eastAsia" w:ascii="宋体" w:hAnsi="宋体"/>
          <w:kern w:val="0"/>
          <w:sz w:val="18"/>
          <w:szCs w:val="18"/>
          <w:highlight w:val="none"/>
        </w:rPr>
        <w:t>），于202</w:t>
      </w:r>
      <w:r>
        <w:rPr>
          <w:rFonts w:hint="eastAsia" w:ascii="宋体" w:hAnsi="宋体"/>
          <w:kern w:val="0"/>
          <w:sz w:val="18"/>
          <w:szCs w:val="18"/>
          <w:highlight w:val="none"/>
          <w:lang w:val="en-US" w:eastAsia="zh-CN"/>
        </w:rPr>
        <w:t>3</w:t>
      </w:r>
      <w:r>
        <w:rPr>
          <w:rFonts w:hint="eastAsia" w:ascii="宋体" w:hAnsi="宋体"/>
          <w:kern w:val="0"/>
          <w:sz w:val="18"/>
          <w:szCs w:val="18"/>
          <w:highlight w:val="none"/>
        </w:rPr>
        <w:t>年</w:t>
      </w:r>
      <w:r>
        <w:rPr>
          <w:rFonts w:hint="eastAsia" w:ascii="宋体" w:hAnsi="宋体"/>
          <w:kern w:val="0"/>
          <w:sz w:val="18"/>
          <w:szCs w:val="18"/>
          <w:highlight w:val="none"/>
          <w:lang w:val="en-US" w:eastAsia="zh-CN"/>
        </w:rPr>
        <w:t>6</w:t>
      </w:r>
      <w:r>
        <w:rPr>
          <w:rFonts w:hint="eastAsia" w:ascii="宋体" w:hAnsi="宋体"/>
          <w:kern w:val="0"/>
          <w:sz w:val="18"/>
          <w:szCs w:val="18"/>
          <w:highlight w:val="none"/>
        </w:rPr>
        <w:t>月</w:t>
      </w:r>
      <w:r>
        <w:rPr>
          <w:rFonts w:hint="eastAsia" w:ascii="宋体" w:hAnsi="宋体"/>
          <w:kern w:val="0"/>
          <w:sz w:val="18"/>
          <w:szCs w:val="18"/>
          <w:highlight w:val="none"/>
          <w:lang w:val="en-US" w:eastAsia="zh-CN"/>
        </w:rPr>
        <w:t>9</w:t>
      </w:r>
      <w:r>
        <w:rPr>
          <w:rFonts w:hint="eastAsia" w:ascii="宋体" w:hAnsi="宋体"/>
          <w:kern w:val="0"/>
          <w:sz w:val="18"/>
          <w:szCs w:val="18"/>
          <w:highlight w:val="none"/>
        </w:rPr>
        <w:t>日在广州公共资源交易中心网站发布招标公告，现对原招标文件的相关内容调整如下：</w:t>
      </w:r>
    </w:p>
    <w:p>
      <w:pPr>
        <w:widowControl/>
        <w:shd w:val="clear"/>
        <w:adjustRightInd w:val="0"/>
        <w:snapToGrid w:val="0"/>
        <w:spacing w:line="360" w:lineRule="auto"/>
        <w:ind w:right="480" w:firstLine="405" w:firstLineChars="225"/>
        <w:jc w:val="left"/>
        <w:rPr>
          <w:rFonts w:hint="eastAsia" w:ascii="宋体" w:hAnsi="宋体"/>
          <w:sz w:val="24"/>
        </w:rPr>
      </w:pPr>
      <w:r>
        <w:rPr>
          <w:rFonts w:hint="eastAsia" w:ascii="宋体" w:hAnsi="宋体"/>
          <w:kern w:val="0"/>
          <w:sz w:val="18"/>
          <w:szCs w:val="18"/>
        </w:rPr>
        <w:t>一、</w:t>
      </w:r>
      <w:r>
        <w:rPr>
          <w:rFonts w:hint="eastAsia" w:ascii="宋体" w:hAnsi="宋体"/>
          <w:sz w:val="18"/>
          <w:szCs w:val="18"/>
        </w:rPr>
        <w:t>对招标文件相关内容进行修改：</w:t>
      </w:r>
    </w:p>
    <w:tbl>
      <w:tblPr>
        <w:tblStyle w:val="10"/>
        <w:tblW w:w="14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6374"/>
        <w:gridCol w:w="6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6" w:type="dxa"/>
            <w:noWrap w:val="0"/>
            <w:vAlign w:val="center"/>
          </w:tcPr>
          <w:p>
            <w:pPr>
              <w:shd w:val="clear"/>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条款号</w:t>
            </w:r>
          </w:p>
        </w:tc>
        <w:tc>
          <w:tcPr>
            <w:tcW w:w="6374" w:type="dxa"/>
            <w:noWrap w:val="0"/>
            <w:vAlign w:val="center"/>
          </w:tcPr>
          <w:p>
            <w:pPr>
              <w:shd w:val="clear"/>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原文</w:t>
            </w:r>
          </w:p>
        </w:tc>
        <w:tc>
          <w:tcPr>
            <w:tcW w:w="6445" w:type="dxa"/>
            <w:noWrap w:val="0"/>
            <w:vAlign w:val="center"/>
          </w:tcPr>
          <w:p>
            <w:pPr>
              <w:shd w:val="clear"/>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现文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6" w:type="dxa"/>
            <w:noWrap w:val="0"/>
            <w:vAlign w:val="center"/>
          </w:tcPr>
          <w:p>
            <w:pPr>
              <w:shd w:val="clear"/>
              <w:spacing w:line="276" w:lineRule="auto"/>
              <w:jc w:val="center"/>
              <w:rPr>
                <w:rFonts w:hint="eastAsia"/>
                <w:sz w:val="18"/>
                <w:szCs w:val="18"/>
                <w:lang w:eastAsia="zh-CN"/>
              </w:rPr>
            </w:pPr>
            <w:r>
              <w:rPr>
                <w:rFonts w:hint="eastAsia"/>
                <w:sz w:val="18"/>
                <w:szCs w:val="18"/>
                <w:lang w:eastAsia="zh-CN"/>
              </w:rPr>
              <w:t>招标文件第一章投标须知“二、投标须知修改表</w:t>
            </w:r>
            <w:r>
              <w:rPr>
                <w:rFonts w:hint="eastAsia"/>
                <w:sz w:val="18"/>
                <w:szCs w:val="18"/>
                <w:lang w:val="en-US" w:eastAsia="zh-CN"/>
              </w:rPr>
              <w:t xml:space="preserve"> </w:t>
            </w:r>
            <w:r>
              <w:rPr>
                <w:rFonts w:hint="eastAsia"/>
                <w:sz w:val="18"/>
                <w:szCs w:val="18"/>
                <w:lang w:eastAsia="zh-CN"/>
              </w:rPr>
              <w:t>”</w:t>
            </w:r>
          </w:p>
          <w:p>
            <w:pPr>
              <w:pStyle w:val="2"/>
              <w:shd w:val="clear"/>
              <w:jc w:val="center"/>
              <w:rPr>
                <w:rFonts w:hint="eastAsia"/>
                <w:lang w:eastAsia="zh-CN"/>
              </w:rPr>
            </w:pPr>
            <w:r>
              <w:rPr>
                <w:rFonts w:hint="eastAsia" w:ascii="宋体" w:hAnsi="宋体" w:cs="宋体"/>
                <w:b/>
                <w:bCs w:val="0"/>
                <w:sz w:val="18"/>
                <w:szCs w:val="18"/>
                <w:highlight w:val="none"/>
              </w:rPr>
              <w:t>条款号：</w:t>
            </w:r>
            <w:r>
              <w:rPr>
                <w:rFonts w:hint="eastAsia" w:ascii="宋体" w:hAnsi="宋体" w:eastAsia="宋体" w:cs="宋体"/>
                <w:b/>
                <w:bCs w:val="0"/>
                <w:sz w:val="18"/>
                <w:szCs w:val="18"/>
                <w:highlight w:val="none"/>
              </w:rPr>
              <w:t>16．投标保证金</w:t>
            </w:r>
          </w:p>
        </w:tc>
        <w:tc>
          <w:tcPr>
            <w:tcW w:w="6374" w:type="dxa"/>
            <w:noWrap w:val="0"/>
            <w:vAlign w:val="center"/>
          </w:tcPr>
          <w:p>
            <w:pPr>
              <w:shd w:val="clear"/>
              <w:spacing w:line="276" w:lineRule="auto"/>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详见原招标文件</w:t>
            </w:r>
          </w:p>
        </w:tc>
        <w:tc>
          <w:tcPr>
            <w:tcW w:w="6445" w:type="dxa"/>
            <w:noWrap w:val="0"/>
            <w:vAlign w:val="center"/>
          </w:tcPr>
          <w:p>
            <w:pPr>
              <w:shd w:val="clear"/>
              <w:spacing w:line="360" w:lineRule="auto"/>
              <w:ind w:firstLine="361" w:firstLineChars="200"/>
              <w:rPr>
                <w:rFonts w:hint="eastAsia" w:ascii="宋体" w:hAnsi="宋体" w:eastAsia="宋体" w:cs="宋体"/>
                <w:b/>
                <w:sz w:val="18"/>
                <w:szCs w:val="18"/>
              </w:rPr>
            </w:pPr>
            <w:r>
              <w:rPr>
                <w:rFonts w:hint="eastAsia" w:ascii="宋体" w:hAnsi="宋体" w:eastAsia="宋体" w:cs="宋体"/>
                <w:b/>
                <w:sz w:val="18"/>
                <w:szCs w:val="18"/>
              </w:rPr>
              <w:t>条款号：16               修改类型：修改</w:t>
            </w:r>
          </w:p>
          <w:p>
            <w:pPr>
              <w:shd w:val="clear"/>
              <w:spacing w:line="440" w:lineRule="exact"/>
              <w:ind w:firstLine="354" w:firstLineChars="196"/>
              <w:rPr>
                <w:rFonts w:hint="eastAsia" w:ascii="宋体" w:hAnsi="宋体" w:eastAsia="宋体" w:cs="宋体"/>
                <w:sz w:val="18"/>
                <w:szCs w:val="18"/>
              </w:rPr>
            </w:pPr>
            <w:r>
              <w:rPr>
                <w:rFonts w:hint="eastAsia" w:ascii="宋体" w:hAnsi="宋体" w:eastAsia="宋体" w:cs="宋体"/>
                <w:b/>
                <w:sz w:val="18"/>
                <w:szCs w:val="18"/>
              </w:rPr>
              <w:t>原文：</w:t>
            </w:r>
            <w:r>
              <w:rPr>
                <w:rFonts w:hint="eastAsia" w:ascii="宋体" w:hAnsi="宋体" w:eastAsia="宋体" w:cs="宋体"/>
                <w:sz w:val="18"/>
                <w:szCs w:val="18"/>
              </w:rPr>
              <w:t>16．投标保证金</w:t>
            </w:r>
          </w:p>
          <w:p>
            <w:pPr>
              <w:shd w:val="clear"/>
              <w:spacing w:line="440" w:lineRule="exact"/>
              <w:ind w:firstLine="352" w:firstLineChars="196"/>
              <w:rPr>
                <w:rFonts w:hint="eastAsia" w:ascii="宋体" w:hAnsi="宋体" w:eastAsia="宋体" w:cs="宋体"/>
                <w:sz w:val="18"/>
                <w:szCs w:val="18"/>
              </w:rPr>
            </w:pPr>
            <w:r>
              <w:rPr>
                <w:rFonts w:hint="eastAsia" w:ascii="宋体" w:hAnsi="宋体" w:eastAsia="宋体" w:cs="宋体"/>
                <w:sz w:val="18"/>
                <w:szCs w:val="18"/>
              </w:rPr>
              <w:t>16.1投标人应按投标须知前附表第14项所述金额和时间递交投标保证金。招标人应当允许投标人自主选择现金、银行保函、保证保险、专业工程担保公司担保等方式缴纳投标保证金。</w:t>
            </w:r>
          </w:p>
          <w:p>
            <w:pPr>
              <w:shd w:val="clear"/>
              <w:spacing w:line="440" w:lineRule="exact"/>
              <w:ind w:firstLine="352" w:firstLineChars="196"/>
              <w:rPr>
                <w:rFonts w:hint="eastAsia" w:ascii="宋体" w:hAnsi="宋体" w:eastAsia="宋体" w:cs="宋体"/>
                <w:sz w:val="18"/>
                <w:szCs w:val="18"/>
              </w:rPr>
            </w:pPr>
            <w:r>
              <w:rPr>
                <w:rFonts w:hint="eastAsia" w:ascii="宋体" w:hAnsi="宋体" w:eastAsia="宋体" w:cs="宋体"/>
                <w:sz w:val="18"/>
                <w:szCs w:val="18"/>
              </w:rPr>
              <w:t>16.1.1 采用现金或者支票形式提交的，投标保证金须从投标人的银行基本账户转出。</w:t>
            </w:r>
          </w:p>
          <w:p>
            <w:pPr>
              <w:shd w:val="clear"/>
              <w:spacing w:line="440" w:lineRule="exact"/>
              <w:ind w:firstLine="352" w:firstLineChars="196"/>
              <w:rPr>
                <w:rFonts w:hint="eastAsia" w:ascii="宋体" w:hAnsi="宋体" w:eastAsia="宋体" w:cs="宋体"/>
                <w:sz w:val="18"/>
                <w:szCs w:val="18"/>
              </w:rPr>
            </w:pPr>
            <w:r>
              <w:rPr>
                <w:rFonts w:hint="eastAsia" w:ascii="宋体" w:hAnsi="宋体" w:eastAsia="宋体" w:cs="宋体"/>
                <w:sz w:val="18"/>
                <w:szCs w:val="18"/>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hd w:val="clear"/>
              <w:spacing w:line="440" w:lineRule="exact"/>
              <w:ind w:firstLine="352" w:firstLineChars="196"/>
              <w:rPr>
                <w:rFonts w:hint="eastAsia" w:ascii="宋体" w:hAnsi="宋体" w:eastAsia="宋体" w:cs="宋体"/>
                <w:sz w:val="18"/>
                <w:szCs w:val="18"/>
              </w:rPr>
            </w:pPr>
            <w:r>
              <w:rPr>
                <w:rFonts w:hint="eastAsia" w:ascii="宋体" w:hAnsi="宋体" w:eastAsia="宋体" w:cs="宋体"/>
                <w:sz w:val="18"/>
                <w:szCs w:val="18"/>
              </w:rPr>
              <w:t>16.1.3 采用电子形式的保函、担保或保证保险提交投标保证金的，应在招标文件中明确电子递交途径。</w:t>
            </w:r>
          </w:p>
          <w:p>
            <w:pPr>
              <w:shd w:val="clear"/>
              <w:spacing w:line="440" w:lineRule="exact"/>
              <w:ind w:firstLine="352" w:firstLineChars="196"/>
              <w:rPr>
                <w:rFonts w:hint="eastAsia" w:ascii="宋体" w:hAnsi="宋体" w:eastAsia="宋体" w:cs="宋体"/>
                <w:sz w:val="18"/>
                <w:szCs w:val="18"/>
              </w:rPr>
            </w:pPr>
            <w:r>
              <w:rPr>
                <w:rFonts w:hint="eastAsia" w:ascii="宋体" w:hAnsi="宋体" w:eastAsia="宋体" w:cs="宋体"/>
                <w:sz w:val="18"/>
                <w:szCs w:val="18"/>
              </w:rPr>
              <w:t>16.2开标时投标人没有按要求提供投标保证金的，其投标文件将被否决；未按招标文件要求提交符合免予提供投标保证金相关证明材料，且未提交投标保证金的投标人，视为未按要求提供投标保证金。</w:t>
            </w:r>
          </w:p>
          <w:p>
            <w:pPr>
              <w:shd w:val="clear"/>
              <w:spacing w:line="440" w:lineRule="exact"/>
              <w:ind w:firstLine="352" w:firstLineChars="196"/>
              <w:rPr>
                <w:rFonts w:hint="eastAsia" w:ascii="宋体" w:hAnsi="宋体" w:eastAsia="宋体" w:cs="宋体"/>
                <w:sz w:val="18"/>
                <w:szCs w:val="18"/>
              </w:rPr>
            </w:pPr>
            <w:r>
              <w:rPr>
                <w:rFonts w:hint="eastAsia" w:ascii="宋体" w:hAnsi="宋体" w:eastAsia="宋体" w:cs="宋体"/>
                <w:sz w:val="18"/>
                <w:szCs w:val="18"/>
              </w:rPr>
              <w:t>16.3投标保证金应依据法律法规的相关规定退还。</w:t>
            </w:r>
          </w:p>
          <w:p>
            <w:pPr>
              <w:shd w:val="clear"/>
              <w:spacing w:line="440" w:lineRule="exact"/>
              <w:ind w:firstLine="352" w:firstLineChars="196"/>
              <w:rPr>
                <w:rFonts w:hint="eastAsia" w:ascii="宋体" w:hAnsi="宋体" w:eastAsia="宋体" w:cs="宋体"/>
                <w:sz w:val="18"/>
                <w:szCs w:val="18"/>
              </w:rPr>
            </w:pPr>
            <w:r>
              <w:rPr>
                <w:rFonts w:hint="eastAsia" w:ascii="宋体" w:hAnsi="宋体" w:eastAsia="宋体" w:cs="宋体"/>
                <w:sz w:val="18"/>
                <w:szCs w:val="18"/>
              </w:rPr>
              <w:t>16.4如有下列情况之一的，招标人可以不予退还投标保证金（是否退还投标保证金由招标人在招标文件中规定）：</w:t>
            </w:r>
          </w:p>
          <w:p>
            <w:pPr>
              <w:shd w:val="clear"/>
              <w:spacing w:line="440" w:lineRule="exact"/>
              <w:ind w:firstLine="352" w:firstLineChars="196"/>
              <w:rPr>
                <w:rFonts w:hint="eastAsia" w:ascii="宋体" w:hAnsi="宋体" w:eastAsia="宋体" w:cs="宋体"/>
                <w:sz w:val="18"/>
                <w:szCs w:val="18"/>
              </w:rPr>
            </w:pPr>
            <w:r>
              <w:rPr>
                <w:rFonts w:hint="eastAsia" w:ascii="宋体" w:hAnsi="宋体" w:eastAsia="宋体" w:cs="宋体"/>
                <w:sz w:val="18"/>
                <w:szCs w:val="18"/>
              </w:rPr>
              <w:t>16.4.1因投标人原因造成投标文件未解密的；</w:t>
            </w:r>
          </w:p>
          <w:p>
            <w:pPr>
              <w:shd w:val="clear"/>
              <w:spacing w:line="440" w:lineRule="exact"/>
              <w:ind w:firstLine="352" w:firstLineChars="196"/>
              <w:rPr>
                <w:rFonts w:hint="eastAsia" w:ascii="宋体" w:hAnsi="宋体" w:eastAsia="宋体" w:cs="宋体"/>
                <w:sz w:val="18"/>
                <w:szCs w:val="18"/>
              </w:rPr>
            </w:pPr>
            <w:r>
              <w:rPr>
                <w:rFonts w:hint="eastAsia" w:ascii="宋体" w:hAnsi="宋体" w:eastAsia="宋体" w:cs="宋体"/>
                <w:sz w:val="18"/>
                <w:szCs w:val="18"/>
              </w:rPr>
              <w:t>16.4.2投标人在投标有效期内撤销投标文件；</w:t>
            </w:r>
          </w:p>
          <w:p>
            <w:pPr>
              <w:shd w:val="clear"/>
              <w:spacing w:line="440" w:lineRule="exact"/>
              <w:ind w:firstLine="352" w:firstLineChars="196"/>
              <w:rPr>
                <w:rFonts w:hint="eastAsia" w:ascii="宋体" w:hAnsi="宋体" w:eastAsia="宋体" w:cs="宋体"/>
                <w:sz w:val="18"/>
                <w:szCs w:val="18"/>
              </w:rPr>
            </w:pPr>
            <w:r>
              <w:rPr>
                <w:rFonts w:hint="eastAsia" w:ascii="宋体" w:hAnsi="宋体" w:eastAsia="宋体" w:cs="宋体"/>
                <w:sz w:val="18"/>
                <w:szCs w:val="18"/>
              </w:rPr>
              <w:t>16.4.3中标人未能在规定期限内按要求提交履约担保；</w:t>
            </w:r>
          </w:p>
          <w:p>
            <w:pPr>
              <w:shd w:val="clear"/>
              <w:spacing w:line="440" w:lineRule="exact"/>
              <w:ind w:firstLine="352" w:firstLineChars="196"/>
              <w:rPr>
                <w:rFonts w:hint="eastAsia" w:ascii="宋体" w:hAnsi="宋体" w:eastAsia="宋体" w:cs="宋体"/>
                <w:sz w:val="18"/>
                <w:szCs w:val="18"/>
              </w:rPr>
            </w:pPr>
            <w:r>
              <w:rPr>
                <w:rFonts w:hint="eastAsia" w:ascii="宋体" w:hAnsi="宋体" w:eastAsia="宋体" w:cs="宋体"/>
                <w:sz w:val="18"/>
                <w:szCs w:val="18"/>
              </w:rPr>
              <w:t>16.4.4中标人未能在规定期限内签署合同协议。</w:t>
            </w:r>
          </w:p>
          <w:p>
            <w:pPr>
              <w:shd w:val="clear"/>
              <w:spacing w:line="440" w:lineRule="exact"/>
              <w:ind w:firstLine="352" w:firstLineChars="196"/>
              <w:rPr>
                <w:rFonts w:hint="eastAsia" w:ascii="宋体" w:hAnsi="宋体" w:eastAsia="宋体" w:cs="宋体"/>
                <w:sz w:val="18"/>
                <w:szCs w:val="18"/>
              </w:rPr>
            </w:pPr>
            <w:r>
              <w:rPr>
                <w:rFonts w:hint="eastAsia" w:ascii="宋体" w:hAnsi="宋体" w:eastAsia="宋体" w:cs="宋体"/>
                <w:sz w:val="18"/>
                <w:szCs w:val="18"/>
              </w:rPr>
              <w:t>16.5投标人如存在下列情况之一的，将被拒绝在一定时期内参与招标人后续工程投标（拒绝时限需在招标文件中明确）：</w:t>
            </w:r>
          </w:p>
          <w:p>
            <w:pPr>
              <w:shd w:val="clear"/>
              <w:spacing w:line="440" w:lineRule="exact"/>
              <w:ind w:firstLine="352" w:firstLineChars="196"/>
              <w:rPr>
                <w:rFonts w:hint="eastAsia" w:ascii="宋体" w:hAnsi="宋体" w:eastAsia="宋体" w:cs="宋体"/>
                <w:sz w:val="18"/>
                <w:szCs w:val="18"/>
              </w:rPr>
            </w:pPr>
            <w:r>
              <w:rPr>
                <w:rFonts w:hint="eastAsia" w:ascii="宋体" w:hAnsi="宋体" w:eastAsia="宋体" w:cs="宋体"/>
                <w:sz w:val="18"/>
                <w:szCs w:val="18"/>
              </w:rPr>
              <w:t>16.5.1投标人存在16.4条款所列情形且投标人提交的保函、担保或保证保险无法兑付的；</w:t>
            </w:r>
          </w:p>
          <w:p>
            <w:pPr>
              <w:shd w:val="clear"/>
              <w:spacing w:line="440" w:lineRule="exact"/>
              <w:ind w:firstLine="352" w:firstLineChars="196"/>
              <w:rPr>
                <w:rFonts w:hint="eastAsia" w:ascii="宋体" w:hAnsi="宋体" w:eastAsia="宋体" w:cs="宋体"/>
                <w:sz w:val="18"/>
                <w:szCs w:val="18"/>
              </w:rPr>
            </w:pPr>
            <w:r>
              <w:rPr>
                <w:rFonts w:hint="eastAsia" w:ascii="宋体" w:hAnsi="宋体" w:eastAsia="宋体" w:cs="宋体"/>
                <w:sz w:val="18"/>
                <w:szCs w:val="18"/>
              </w:rPr>
              <w:t>16.5.2采用非电子形式提交投标保证金的投标人存在16.4条款所列情形，且未按招标人要求补交银行保函、专业工程担保公司担保或保证保险原件的；</w:t>
            </w:r>
          </w:p>
          <w:p>
            <w:pPr>
              <w:shd w:val="clear"/>
              <w:spacing w:line="440" w:lineRule="exact"/>
              <w:ind w:firstLine="352" w:firstLineChars="196"/>
              <w:rPr>
                <w:rFonts w:hint="eastAsia" w:ascii="宋体" w:hAnsi="宋体" w:eastAsia="宋体" w:cs="宋体"/>
                <w:sz w:val="18"/>
                <w:szCs w:val="18"/>
              </w:rPr>
            </w:pPr>
            <w:r>
              <w:rPr>
                <w:rFonts w:hint="eastAsia" w:ascii="宋体" w:hAnsi="宋体" w:eastAsia="宋体" w:cs="宋体"/>
                <w:sz w:val="18"/>
                <w:szCs w:val="18"/>
              </w:rPr>
              <w:t>16.5.3按招标文件要求免于提供投标保证金的投标人存在16.4条款所列情形，且未按招标人要求补交投标保证金的；</w:t>
            </w:r>
          </w:p>
          <w:p>
            <w:pPr>
              <w:shd w:val="clear"/>
              <w:spacing w:line="440" w:lineRule="exact"/>
              <w:ind w:firstLine="352" w:firstLineChars="196"/>
              <w:rPr>
                <w:rFonts w:hint="eastAsia" w:ascii="宋体" w:hAnsi="宋体" w:eastAsia="宋体" w:cs="宋体"/>
                <w:sz w:val="18"/>
                <w:szCs w:val="18"/>
              </w:rPr>
            </w:pPr>
            <w:r>
              <w:rPr>
                <w:rFonts w:hint="eastAsia" w:ascii="宋体" w:hAnsi="宋体" w:eastAsia="宋体" w:cs="宋体"/>
                <w:sz w:val="18"/>
                <w:szCs w:val="18"/>
              </w:rPr>
              <w:t>16.5.3按招标文件要求免于提供投标保证金的投标人存在16.4条款所列情形的。</w:t>
            </w:r>
          </w:p>
          <w:p>
            <w:pPr>
              <w:shd w:val="clear"/>
              <w:spacing w:line="440" w:lineRule="exact"/>
              <w:ind w:firstLine="352" w:firstLineChars="196"/>
              <w:rPr>
                <w:rFonts w:hint="eastAsia" w:ascii="宋体" w:hAnsi="宋体" w:eastAsia="宋体" w:cs="宋体"/>
                <w:sz w:val="18"/>
                <w:szCs w:val="18"/>
              </w:rPr>
            </w:pPr>
            <w:r>
              <w:rPr>
                <w:rFonts w:hint="eastAsia" w:ascii="宋体" w:hAnsi="宋体" w:eastAsia="宋体" w:cs="宋体"/>
                <w:sz w:val="18"/>
                <w:szCs w:val="18"/>
              </w:rPr>
              <w:t>注：16.5.3款由招标人二选一，需在招标文件中明确。</w:t>
            </w:r>
          </w:p>
          <w:p>
            <w:pPr>
              <w:shd w:val="clear"/>
              <w:spacing w:line="440" w:lineRule="exact"/>
              <w:ind w:firstLine="354" w:firstLineChars="196"/>
              <w:rPr>
                <w:rFonts w:hint="eastAsia" w:ascii="宋体" w:hAnsi="宋体" w:eastAsia="宋体" w:cs="宋体"/>
                <w:sz w:val="18"/>
                <w:szCs w:val="18"/>
                <w:u w:val="single"/>
              </w:rPr>
            </w:pPr>
            <w:r>
              <w:rPr>
                <w:rFonts w:hint="eastAsia" w:ascii="宋体" w:hAnsi="宋体" w:eastAsia="宋体" w:cs="宋体"/>
                <w:b/>
                <w:sz w:val="18"/>
                <w:szCs w:val="18"/>
              </w:rPr>
              <w:t>现文</w:t>
            </w:r>
            <w:r>
              <w:rPr>
                <w:rFonts w:hint="eastAsia" w:ascii="宋体" w:hAnsi="宋体" w:eastAsia="宋体" w:cs="宋体"/>
                <w:sz w:val="18"/>
                <w:szCs w:val="18"/>
              </w:rPr>
              <w:t>：</w:t>
            </w:r>
            <w:r>
              <w:rPr>
                <w:rFonts w:hint="eastAsia" w:ascii="宋体" w:hAnsi="宋体" w:eastAsia="宋体" w:cs="宋体"/>
                <w:sz w:val="18"/>
                <w:szCs w:val="18"/>
                <w:u w:val="single"/>
              </w:rPr>
              <w:t>16.1投标人应按投标须知前附表第14项所述金额和时间递交投标保证金。招标人应当允许投标人自主选择现金、银行保函、保证保险、专业工程担保公司担保等方式缴纳投标保证金。</w:t>
            </w:r>
          </w:p>
          <w:p>
            <w:pPr>
              <w:shd w:val="clear"/>
              <w:spacing w:line="440" w:lineRule="exact"/>
              <w:ind w:firstLine="352" w:firstLineChars="196"/>
              <w:rPr>
                <w:rFonts w:hint="eastAsia" w:ascii="宋体" w:hAnsi="宋体" w:eastAsia="宋体" w:cs="宋体"/>
                <w:sz w:val="18"/>
                <w:szCs w:val="18"/>
                <w:u w:val="single"/>
              </w:rPr>
            </w:pPr>
            <w:r>
              <w:rPr>
                <w:rFonts w:hint="eastAsia" w:ascii="宋体" w:hAnsi="宋体" w:eastAsia="宋体" w:cs="宋体"/>
                <w:sz w:val="18"/>
                <w:szCs w:val="18"/>
                <w:u w:val="single"/>
              </w:rPr>
              <w:t>16.1.1 采用现金或者支票形式提交的，投标保证金须从投标人的银行基本账户转出。</w:t>
            </w:r>
          </w:p>
          <w:p>
            <w:pPr>
              <w:shd w:val="clear"/>
              <w:spacing w:line="440" w:lineRule="exact"/>
              <w:ind w:firstLine="352" w:firstLineChars="196"/>
              <w:rPr>
                <w:rFonts w:hint="eastAsia" w:ascii="宋体" w:hAnsi="宋体" w:eastAsia="宋体" w:cs="宋体"/>
                <w:sz w:val="18"/>
                <w:szCs w:val="18"/>
                <w:u w:val="single"/>
              </w:rPr>
            </w:pPr>
            <w:r>
              <w:rPr>
                <w:rFonts w:hint="eastAsia" w:ascii="宋体" w:hAnsi="宋体" w:eastAsia="宋体" w:cs="宋体"/>
                <w:sz w:val="18"/>
                <w:szCs w:val="18"/>
                <w:u w:val="singl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hd w:val="clear"/>
              <w:spacing w:line="440" w:lineRule="exact"/>
              <w:ind w:firstLine="352" w:firstLineChars="196"/>
              <w:rPr>
                <w:rFonts w:hint="eastAsia" w:ascii="宋体" w:hAnsi="宋体" w:eastAsia="宋体" w:cs="宋体"/>
                <w:sz w:val="18"/>
                <w:szCs w:val="18"/>
                <w:u w:val="single"/>
              </w:rPr>
            </w:pPr>
            <w:r>
              <w:rPr>
                <w:rFonts w:hint="eastAsia" w:ascii="宋体" w:hAnsi="宋体" w:eastAsia="宋体" w:cs="宋体"/>
                <w:sz w:val="18"/>
                <w:szCs w:val="18"/>
                <w:u w:val="single"/>
              </w:rPr>
              <w:t>16.1.3 采用电子形式的保函、担保或保证保险提交投标保证金的，具体操作要求详见广州公共资源交易中心有关指引，递交事宜请自行咨询交易中心。</w:t>
            </w:r>
          </w:p>
          <w:p>
            <w:pPr>
              <w:shd w:val="clear"/>
              <w:spacing w:line="440" w:lineRule="exact"/>
              <w:ind w:firstLine="352" w:firstLineChars="196"/>
              <w:rPr>
                <w:rFonts w:hint="eastAsia" w:ascii="宋体" w:hAnsi="宋体" w:eastAsia="宋体" w:cs="宋体"/>
                <w:sz w:val="18"/>
                <w:szCs w:val="18"/>
                <w:u w:val="single"/>
              </w:rPr>
            </w:pPr>
            <w:r>
              <w:rPr>
                <w:rFonts w:hint="eastAsia" w:ascii="宋体" w:hAnsi="宋体" w:eastAsia="宋体" w:cs="宋体"/>
                <w:sz w:val="18"/>
                <w:szCs w:val="18"/>
                <w:u w:val="single"/>
              </w:rPr>
              <w:t>16.2开标时投标人没有按要求提供投标保证金的，其投标文件将被否决；未按招标文件要求提交符合免予提供投标保证金相关证明材料，且未提交投标保证金的投标人，视为未按要求提供投标保证金。</w:t>
            </w:r>
          </w:p>
          <w:p>
            <w:pPr>
              <w:shd w:val="clear"/>
              <w:spacing w:line="440" w:lineRule="exact"/>
              <w:ind w:firstLine="352" w:firstLineChars="196"/>
              <w:rPr>
                <w:rFonts w:hint="eastAsia" w:ascii="宋体" w:hAnsi="宋体" w:eastAsia="宋体" w:cs="宋体"/>
                <w:sz w:val="18"/>
                <w:szCs w:val="18"/>
                <w:u w:val="single"/>
              </w:rPr>
            </w:pPr>
            <w:r>
              <w:rPr>
                <w:rFonts w:hint="eastAsia" w:ascii="宋体" w:hAnsi="宋体" w:eastAsia="宋体" w:cs="宋体"/>
                <w:sz w:val="18"/>
                <w:szCs w:val="18"/>
                <w:u w:val="single"/>
              </w:rPr>
              <w:t>16.3投标保证金应依据法律法规的相关规定退还。</w:t>
            </w:r>
          </w:p>
          <w:p>
            <w:pPr>
              <w:shd w:val="clear"/>
              <w:spacing w:line="440" w:lineRule="exact"/>
              <w:ind w:firstLine="352" w:firstLineChars="196"/>
              <w:rPr>
                <w:rFonts w:ascii="宋体" w:hAnsi="宋体" w:eastAsia="宋体" w:cs="宋体"/>
                <w:sz w:val="18"/>
                <w:szCs w:val="18"/>
                <w:u w:val="single"/>
              </w:rPr>
            </w:pPr>
            <w:r>
              <w:rPr>
                <w:rFonts w:hint="eastAsia" w:ascii="宋体" w:hAnsi="宋体" w:eastAsia="宋体" w:cs="宋体"/>
                <w:sz w:val="18"/>
                <w:szCs w:val="18"/>
                <w:u w:val="single"/>
              </w:rPr>
              <w:t>16.4如有下列情况之一的，招标人不予退还投标保证金：</w:t>
            </w:r>
          </w:p>
          <w:p>
            <w:pPr>
              <w:shd w:val="clear"/>
              <w:spacing w:line="440" w:lineRule="exact"/>
              <w:ind w:firstLine="352" w:firstLineChars="196"/>
              <w:rPr>
                <w:rFonts w:hint="eastAsia" w:ascii="宋体" w:hAnsi="宋体" w:eastAsia="宋体" w:cs="宋体"/>
                <w:sz w:val="18"/>
                <w:szCs w:val="18"/>
              </w:rPr>
            </w:pPr>
            <w:r>
              <w:rPr>
                <w:rFonts w:hint="eastAsia" w:ascii="宋体" w:hAnsi="宋体" w:eastAsia="宋体" w:cs="宋体"/>
                <w:sz w:val="18"/>
                <w:szCs w:val="18"/>
              </w:rPr>
              <w:t>16.4.1因投标人原因造成投标文件未解密的；</w:t>
            </w:r>
          </w:p>
          <w:p>
            <w:pPr>
              <w:shd w:val="clear"/>
              <w:spacing w:line="440" w:lineRule="exact"/>
              <w:ind w:firstLine="352" w:firstLineChars="196"/>
              <w:rPr>
                <w:rFonts w:hint="eastAsia" w:ascii="宋体" w:hAnsi="宋体" w:eastAsia="宋体" w:cs="宋体"/>
                <w:sz w:val="18"/>
                <w:szCs w:val="18"/>
                <w:u w:val="single"/>
              </w:rPr>
            </w:pPr>
            <w:r>
              <w:rPr>
                <w:rFonts w:hint="eastAsia" w:ascii="宋体" w:hAnsi="宋体" w:eastAsia="宋体" w:cs="宋体"/>
                <w:sz w:val="18"/>
                <w:szCs w:val="18"/>
                <w:u w:val="single"/>
              </w:rPr>
              <w:t>16.4.2投标人在投标有效期内撤销投标文件；</w:t>
            </w:r>
          </w:p>
          <w:p>
            <w:pPr>
              <w:shd w:val="clear"/>
              <w:spacing w:line="440" w:lineRule="exact"/>
              <w:ind w:firstLine="352" w:firstLineChars="196"/>
              <w:rPr>
                <w:rFonts w:hint="eastAsia" w:ascii="宋体" w:hAnsi="宋体" w:eastAsia="宋体" w:cs="宋体"/>
                <w:sz w:val="18"/>
                <w:szCs w:val="18"/>
                <w:u w:val="single"/>
              </w:rPr>
            </w:pPr>
            <w:r>
              <w:rPr>
                <w:rFonts w:hint="eastAsia" w:ascii="宋体" w:hAnsi="宋体" w:eastAsia="宋体" w:cs="宋体"/>
                <w:sz w:val="18"/>
                <w:szCs w:val="18"/>
                <w:u w:val="single"/>
              </w:rPr>
              <w:t>16.4.3中标人未能在规定期限内按要求提交履约担保；</w:t>
            </w:r>
          </w:p>
          <w:p>
            <w:pPr>
              <w:shd w:val="clear"/>
              <w:spacing w:line="440" w:lineRule="exact"/>
              <w:ind w:firstLine="352" w:firstLineChars="196"/>
              <w:rPr>
                <w:rFonts w:hint="eastAsia" w:ascii="宋体" w:hAnsi="宋体" w:eastAsia="宋体" w:cs="宋体"/>
                <w:sz w:val="18"/>
                <w:szCs w:val="18"/>
                <w:u w:val="single"/>
              </w:rPr>
            </w:pPr>
            <w:r>
              <w:rPr>
                <w:rFonts w:hint="eastAsia" w:ascii="宋体" w:hAnsi="宋体" w:eastAsia="宋体" w:cs="宋体"/>
                <w:sz w:val="18"/>
                <w:szCs w:val="18"/>
                <w:u w:val="single"/>
              </w:rPr>
              <w:t>16.4.4中标人未能在规定期限内签署合同协议。</w:t>
            </w:r>
          </w:p>
          <w:p>
            <w:pPr>
              <w:shd w:val="clear"/>
              <w:spacing w:line="440" w:lineRule="exact"/>
              <w:ind w:firstLine="352" w:firstLineChars="196"/>
              <w:rPr>
                <w:rFonts w:hint="eastAsia" w:ascii="宋体" w:hAnsi="宋体" w:eastAsia="宋体" w:cs="宋体"/>
                <w:sz w:val="18"/>
                <w:szCs w:val="18"/>
                <w:u w:val="single"/>
              </w:rPr>
            </w:pPr>
            <w:r>
              <w:rPr>
                <w:rFonts w:hint="eastAsia" w:ascii="宋体" w:hAnsi="宋体" w:eastAsia="宋体" w:cs="宋体"/>
                <w:sz w:val="18"/>
                <w:szCs w:val="18"/>
                <w:u w:val="single"/>
              </w:rPr>
              <w:t>16.4.5投标人在招投标过程中存在弄虚作假行为的，招标人有权不予退还投标人已缴纳的投标保证金或者按照投标保函向投标人进行索赔，招标人有权将其弄虚作假行为上报行政监督部门，并由行政监督部门报送相关信用信息平台公示。</w:t>
            </w:r>
          </w:p>
          <w:p>
            <w:pPr>
              <w:shd w:val="clear"/>
              <w:spacing w:line="440" w:lineRule="exact"/>
              <w:ind w:firstLine="352" w:firstLineChars="196"/>
              <w:rPr>
                <w:rFonts w:hint="eastAsia" w:ascii="宋体" w:hAnsi="宋体" w:eastAsia="宋体" w:cs="宋体"/>
                <w:sz w:val="18"/>
                <w:szCs w:val="18"/>
                <w:u w:val="single"/>
              </w:rPr>
            </w:pPr>
            <w:r>
              <w:rPr>
                <w:rFonts w:hint="eastAsia" w:ascii="宋体" w:hAnsi="宋体" w:eastAsia="宋体" w:cs="宋体"/>
                <w:sz w:val="18"/>
                <w:szCs w:val="18"/>
                <w:u w:val="single"/>
              </w:rPr>
              <w:t>16.5投标人如存在下列情况之一的，将被拒绝1年内参与招标人后续工程投标：</w:t>
            </w:r>
          </w:p>
          <w:p>
            <w:pPr>
              <w:shd w:val="clear"/>
              <w:spacing w:line="440" w:lineRule="exact"/>
              <w:ind w:firstLine="352" w:firstLineChars="196"/>
              <w:rPr>
                <w:rFonts w:hint="eastAsia" w:ascii="宋体" w:hAnsi="宋体" w:eastAsia="宋体" w:cs="宋体"/>
                <w:sz w:val="18"/>
                <w:szCs w:val="18"/>
                <w:u w:val="single"/>
              </w:rPr>
            </w:pPr>
            <w:r>
              <w:rPr>
                <w:rFonts w:hint="eastAsia" w:ascii="宋体" w:hAnsi="宋体" w:eastAsia="宋体" w:cs="宋体"/>
                <w:sz w:val="18"/>
                <w:szCs w:val="18"/>
                <w:u w:val="single"/>
              </w:rPr>
              <w:t>16.5.1投标人存在16.4条款所列情形且投标人提交的保函、担保或保证保险无法兑付的；</w:t>
            </w:r>
          </w:p>
          <w:p>
            <w:pPr>
              <w:shd w:val="clear"/>
              <w:spacing w:line="440" w:lineRule="exact"/>
              <w:ind w:firstLine="352" w:firstLineChars="196"/>
              <w:rPr>
                <w:rFonts w:hint="eastAsia" w:ascii="宋体" w:hAnsi="宋体" w:eastAsia="宋体" w:cs="宋体"/>
                <w:sz w:val="18"/>
                <w:szCs w:val="18"/>
                <w:u w:val="single"/>
              </w:rPr>
            </w:pPr>
            <w:r>
              <w:rPr>
                <w:rFonts w:hint="eastAsia" w:ascii="宋体" w:hAnsi="宋体" w:eastAsia="宋体" w:cs="宋体"/>
                <w:sz w:val="18"/>
                <w:szCs w:val="18"/>
                <w:u w:val="single"/>
              </w:rPr>
              <w:t>16.5.2采用非电子形式提交投标保证金的投标人存在16.4条款所列情形，且未按招标人要求补交银行保函、专业工程担保公司担保或保证保险原件的；</w:t>
            </w:r>
          </w:p>
          <w:p>
            <w:pPr>
              <w:shd w:val="clear"/>
              <w:adjustRightInd w:val="0"/>
              <w:snapToGrid w:val="0"/>
              <w:spacing w:line="360" w:lineRule="auto"/>
              <w:rPr>
                <w:rFonts w:hint="default" w:ascii="宋体" w:hAnsi="宋体" w:eastAsia="宋体" w:cs="宋体"/>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6" w:type="dxa"/>
            <w:noWrap w:val="0"/>
            <w:vAlign w:val="center"/>
          </w:tcPr>
          <w:p>
            <w:pPr>
              <w:shd w:val="clear"/>
              <w:spacing w:line="276" w:lineRule="auto"/>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招标文件第二章  开标、评标及定标办法</w:t>
            </w:r>
            <w:r>
              <w:rPr>
                <w:rFonts w:hint="eastAsia" w:ascii="宋体" w:hAnsi="宋体" w:cs="宋体"/>
                <w:sz w:val="18"/>
                <w:szCs w:val="18"/>
                <w:highlight w:val="none"/>
                <w:lang w:eastAsia="zh-CN"/>
              </w:rPr>
              <w:t>“</w:t>
            </w:r>
            <w:r>
              <w:rPr>
                <w:rFonts w:hint="eastAsia" w:ascii="宋体" w:hAnsi="宋体" w:eastAsia="宋体" w:cs="宋体"/>
                <w:sz w:val="18"/>
                <w:szCs w:val="18"/>
                <w:highlight w:val="none"/>
              </w:rPr>
              <w:t>一、开标、评标及定标办法修改表</w:t>
            </w:r>
            <w:r>
              <w:rPr>
                <w:rFonts w:hint="eastAsia" w:ascii="宋体" w:hAnsi="宋体" w:cs="宋体"/>
                <w:sz w:val="18"/>
                <w:szCs w:val="18"/>
                <w:highlight w:val="none"/>
                <w:lang w:eastAsia="zh-CN"/>
              </w:rPr>
              <w:t>”</w:t>
            </w:r>
          </w:p>
          <w:p>
            <w:pPr>
              <w:shd w:val="clear"/>
              <w:spacing w:line="276" w:lineRule="auto"/>
              <w:jc w:val="center"/>
              <w:rPr>
                <w:rFonts w:hint="eastAsia" w:ascii="宋体" w:hAnsi="宋体" w:eastAsia="宋体" w:cs="宋体"/>
                <w:sz w:val="18"/>
                <w:szCs w:val="18"/>
                <w:highlight w:val="none"/>
              </w:rPr>
            </w:pPr>
            <w:r>
              <w:rPr>
                <w:rFonts w:hint="eastAsia" w:ascii="宋体" w:hAnsi="宋体" w:cs="宋体"/>
                <w:b/>
                <w:sz w:val="18"/>
                <w:szCs w:val="18"/>
                <w:highlight w:val="none"/>
              </w:rPr>
              <w:t>条款号：</w:t>
            </w:r>
            <w:r>
              <w:rPr>
                <w:rFonts w:hint="eastAsia" w:ascii="宋体" w:hAnsi="宋体" w:eastAsia="宋体" w:cs="宋体"/>
                <w:b/>
                <w:bCs/>
                <w:sz w:val="18"/>
                <w:szCs w:val="18"/>
                <w:highlight w:val="none"/>
              </w:rPr>
              <w:t>42.2</w:t>
            </w:r>
            <w:r>
              <w:rPr>
                <w:rFonts w:hint="eastAsia" w:ascii="宋体" w:hAnsi="宋体" w:cs="宋体"/>
                <w:b/>
                <w:sz w:val="18"/>
                <w:szCs w:val="18"/>
                <w:highlight w:val="none"/>
              </w:rPr>
              <w:t xml:space="preserve">  </w:t>
            </w:r>
          </w:p>
        </w:tc>
        <w:tc>
          <w:tcPr>
            <w:tcW w:w="6374" w:type="dxa"/>
            <w:noWrap w:val="0"/>
            <w:vAlign w:val="center"/>
          </w:tcPr>
          <w:p>
            <w:pPr>
              <w:shd w:val="clear"/>
              <w:adjustRightInd w:val="0"/>
              <w:snapToGrid w:val="0"/>
              <w:spacing w:line="360" w:lineRule="auto"/>
              <w:ind w:firstLine="361" w:firstLineChars="200"/>
              <w:rPr>
                <w:rFonts w:hint="eastAsia" w:ascii="宋体" w:hAnsi="宋体" w:cs="宋体"/>
                <w:b/>
                <w:sz w:val="18"/>
                <w:szCs w:val="18"/>
                <w:highlight w:val="none"/>
              </w:rPr>
            </w:pPr>
            <w:r>
              <w:rPr>
                <w:rFonts w:hint="eastAsia" w:ascii="宋体" w:hAnsi="宋体" w:cs="宋体"/>
                <w:b/>
                <w:sz w:val="18"/>
                <w:szCs w:val="18"/>
                <w:highlight w:val="none"/>
              </w:rPr>
              <w:t>条款号：</w:t>
            </w:r>
            <w:r>
              <w:rPr>
                <w:rFonts w:hint="eastAsia" w:ascii="宋体" w:hAnsi="宋体" w:eastAsia="宋体" w:cs="宋体"/>
                <w:b/>
                <w:bCs/>
                <w:sz w:val="18"/>
                <w:szCs w:val="18"/>
                <w:highlight w:val="none"/>
              </w:rPr>
              <w:t>42.2</w:t>
            </w:r>
            <w:r>
              <w:rPr>
                <w:rFonts w:hint="eastAsia" w:ascii="宋体" w:hAnsi="宋体" w:cs="宋体"/>
                <w:b/>
                <w:sz w:val="18"/>
                <w:szCs w:val="18"/>
                <w:highlight w:val="none"/>
              </w:rPr>
              <w:t xml:space="preserve">                  修改类型：修改        </w:t>
            </w:r>
          </w:p>
          <w:p>
            <w:pPr>
              <w:shd w:val="clear"/>
              <w:adjustRightInd w:val="0"/>
              <w:snapToGrid w:val="0"/>
              <w:spacing w:line="360" w:lineRule="auto"/>
              <w:ind w:firstLine="361"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rPr>
              <w:t>原文：42.2</w:t>
            </w:r>
            <w:r>
              <w:rPr>
                <w:rFonts w:hint="eastAsia" w:ascii="宋体" w:hAnsi="宋体" w:eastAsia="宋体" w:cs="宋体"/>
                <w:sz w:val="18"/>
                <w:szCs w:val="18"/>
                <w:highlight w:val="none"/>
              </w:rPr>
              <w:t>评标委员会的组成：方式</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w:t>
            </w:r>
          </w:p>
          <w:p>
            <w:pPr>
              <w:shd w:val="clear"/>
              <w:adjustRightInd w:val="0"/>
              <w:snapToGrid w:val="0"/>
              <w:spacing w:line="360" w:lineRule="auto"/>
              <w:ind w:firstLine="36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方式一：评标委员会为综合评标委员会，负责评标工作。</w:t>
            </w:r>
          </w:p>
          <w:p>
            <w:pPr>
              <w:shd w:val="clear"/>
              <w:adjustRightInd w:val="0"/>
              <w:snapToGrid w:val="0"/>
              <w:spacing w:line="360" w:lineRule="auto"/>
              <w:ind w:firstLine="36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方式二：评标委员会由技术评审组和经济评审组组成。其中：资格审查、技术评审由技术评标组负责，经济评审由经济评审组负责。 </w:t>
            </w:r>
          </w:p>
          <w:p>
            <w:pPr>
              <w:shd w:val="clear"/>
              <w:adjustRightInd w:val="0"/>
              <w:snapToGrid w:val="0"/>
              <w:spacing w:line="360" w:lineRule="auto"/>
              <w:ind w:firstLine="361"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rPr>
              <w:t>现文：42.2</w:t>
            </w:r>
            <w:r>
              <w:rPr>
                <w:rFonts w:hint="eastAsia" w:ascii="宋体" w:hAnsi="宋体" w:eastAsia="宋体" w:cs="宋体"/>
                <w:sz w:val="18"/>
                <w:szCs w:val="18"/>
                <w:highlight w:val="none"/>
              </w:rPr>
              <w:t xml:space="preserve">评标委员会的组成：方式 </w:t>
            </w:r>
            <w:r>
              <w:rPr>
                <w:rFonts w:hint="eastAsia" w:ascii="宋体" w:hAnsi="宋体" w:eastAsia="宋体" w:cs="宋体"/>
                <w:sz w:val="18"/>
                <w:szCs w:val="18"/>
                <w:highlight w:val="none"/>
                <w:u w:val="single"/>
              </w:rPr>
              <w:t>一</w:t>
            </w:r>
            <w:r>
              <w:rPr>
                <w:rFonts w:hint="eastAsia" w:ascii="宋体" w:hAnsi="宋体" w:eastAsia="宋体" w:cs="宋体"/>
                <w:sz w:val="18"/>
                <w:szCs w:val="18"/>
                <w:highlight w:val="none"/>
              </w:rPr>
              <w:t xml:space="preserve"> 。</w:t>
            </w:r>
          </w:p>
          <w:p>
            <w:pPr>
              <w:shd w:val="clear"/>
              <w:adjustRightInd w:val="0"/>
              <w:snapToGrid w:val="0"/>
              <w:spacing w:line="360" w:lineRule="auto"/>
              <w:rPr>
                <w:rFonts w:hint="eastAsia" w:ascii="宋体" w:hAnsi="宋体" w:eastAsia="宋体" w:cs="宋体"/>
                <w:sz w:val="18"/>
                <w:szCs w:val="18"/>
                <w:highlight w:val="none"/>
              </w:rPr>
            </w:pPr>
            <w:r>
              <w:rPr>
                <w:rFonts w:hint="eastAsia" w:ascii="宋体" w:hAnsi="宋体" w:eastAsia="宋体" w:cs="宋体"/>
                <w:sz w:val="18"/>
                <w:szCs w:val="18"/>
                <w:highlight w:val="none"/>
              </w:rPr>
              <w:t>方式一：评标委员会为综合评标委员会，负责资格审查及评标工作。</w:t>
            </w:r>
          </w:p>
        </w:tc>
        <w:tc>
          <w:tcPr>
            <w:tcW w:w="6445" w:type="dxa"/>
            <w:noWrap w:val="0"/>
            <w:vAlign w:val="center"/>
          </w:tcPr>
          <w:p>
            <w:pPr>
              <w:pStyle w:val="2"/>
              <w:shd w:val="clear"/>
              <w:ind w:firstLine="361" w:firstLineChars="200"/>
              <w:rPr>
                <w:rFonts w:hint="eastAsia" w:ascii="宋体" w:hAnsi="宋体" w:eastAsia="宋体" w:cs="宋体"/>
                <w:b/>
                <w:bCs/>
                <w:sz w:val="18"/>
                <w:szCs w:val="18"/>
                <w:highlight w:val="none"/>
                <w:lang w:eastAsia="zh-CN"/>
              </w:rPr>
            </w:pPr>
            <w:r>
              <w:rPr>
                <w:rFonts w:hint="eastAsia" w:ascii="宋体" w:hAnsi="宋体" w:cs="宋体"/>
                <w:b/>
                <w:sz w:val="18"/>
                <w:szCs w:val="18"/>
                <w:highlight w:val="none"/>
              </w:rPr>
              <w:t>条款号：</w:t>
            </w:r>
            <w:r>
              <w:rPr>
                <w:rFonts w:hint="eastAsia" w:ascii="宋体" w:hAnsi="宋体" w:eastAsia="宋体" w:cs="宋体"/>
                <w:b/>
                <w:bCs/>
                <w:sz w:val="18"/>
                <w:szCs w:val="18"/>
                <w:highlight w:val="none"/>
              </w:rPr>
              <w:t>42.2</w:t>
            </w:r>
            <w:r>
              <w:rPr>
                <w:rFonts w:hint="eastAsia" w:ascii="宋体" w:hAnsi="宋体" w:cs="宋体"/>
                <w:b/>
                <w:sz w:val="18"/>
                <w:szCs w:val="18"/>
                <w:highlight w:val="none"/>
              </w:rPr>
              <w:t xml:space="preserve">                  修改类型：修改  </w:t>
            </w:r>
          </w:p>
          <w:p>
            <w:pPr>
              <w:pStyle w:val="2"/>
              <w:shd w:val="clear"/>
              <w:ind w:firstLine="361" w:firstLineChars="200"/>
              <w:rPr>
                <w:rFonts w:hint="eastAsia" w:ascii="宋体" w:hAnsi="宋体" w:eastAsia="宋体" w:cs="宋体"/>
                <w:sz w:val="18"/>
                <w:szCs w:val="18"/>
                <w:highlight w:val="none"/>
                <w:lang w:eastAsia="zh-CN"/>
              </w:rPr>
            </w:pPr>
            <w:r>
              <w:rPr>
                <w:rFonts w:hint="eastAsia" w:ascii="宋体" w:hAnsi="宋体" w:eastAsia="宋体" w:cs="宋体"/>
                <w:b/>
                <w:bCs/>
                <w:sz w:val="18"/>
                <w:szCs w:val="18"/>
                <w:highlight w:val="none"/>
                <w:lang w:eastAsia="zh-CN"/>
              </w:rPr>
              <w:t>原文：42.2</w:t>
            </w:r>
            <w:r>
              <w:rPr>
                <w:rFonts w:hint="eastAsia" w:ascii="宋体" w:hAnsi="宋体" w:eastAsia="宋体" w:cs="宋体"/>
                <w:sz w:val="18"/>
                <w:szCs w:val="18"/>
                <w:highlight w:val="none"/>
                <w:lang w:eastAsia="zh-CN"/>
              </w:rPr>
              <w:t xml:space="preserve">评标委员会的组成：方式 </w:t>
            </w:r>
            <w:r>
              <w:rPr>
                <w:rFonts w:hint="eastAsia" w:ascii="宋体" w:hAnsi="宋体" w:eastAsia="宋体" w:cs="宋体"/>
                <w:sz w:val="18"/>
                <w:szCs w:val="18"/>
                <w:highlight w:val="none"/>
                <w:u w:val="single"/>
                <w:lang w:eastAsia="zh-CN"/>
              </w:rPr>
              <w:t xml:space="preserve">     </w:t>
            </w:r>
            <w:r>
              <w:rPr>
                <w:rFonts w:hint="eastAsia" w:ascii="宋体" w:hAnsi="宋体" w:eastAsia="宋体" w:cs="宋体"/>
                <w:sz w:val="18"/>
                <w:szCs w:val="18"/>
                <w:highlight w:val="none"/>
                <w:lang w:eastAsia="zh-CN"/>
              </w:rPr>
              <w:t>。</w:t>
            </w:r>
          </w:p>
          <w:p>
            <w:pPr>
              <w:pStyle w:val="2"/>
              <w:shd w:val="clear"/>
              <w:ind w:firstLine="360" w:firstLineChars="200"/>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方式一：评标委员会为综合评标委员会，负责资格审查及评标工作。</w:t>
            </w:r>
          </w:p>
          <w:p>
            <w:pPr>
              <w:pStyle w:val="2"/>
              <w:shd w:val="clear"/>
              <w:ind w:firstLine="360" w:firstLineChars="200"/>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 xml:space="preserve">方式二：评标委员会由技术评审组和经济评审组组成。其中：资格审查、技术评审由技术评标组负责，经济评审由经济评审组负责。 </w:t>
            </w:r>
          </w:p>
          <w:p>
            <w:pPr>
              <w:pStyle w:val="2"/>
              <w:shd w:val="clear"/>
              <w:ind w:firstLine="361" w:firstLineChars="200"/>
              <w:rPr>
                <w:rFonts w:hint="eastAsia" w:ascii="宋体" w:hAnsi="宋体" w:eastAsia="宋体" w:cs="宋体"/>
                <w:sz w:val="18"/>
                <w:szCs w:val="18"/>
                <w:highlight w:val="none"/>
                <w:lang w:eastAsia="zh-CN"/>
              </w:rPr>
            </w:pPr>
            <w:r>
              <w:rPr>
                <w:rFonts w:hint="eastAsia" w:ascii="宋体" w:hAnsi="宋体" w:eastAsia="宋体" w:cs="宋体"/>
                <w:b/>
                <w:bCs/>
                <w:sz w:val="18"/>
                <w:szCs w:val="18"/>
                <w:highlight w:val="none"/>
                <w:lang w:eastAsia="zh-CN"/>
              </w:rPr>
              <w:t>现文：42.2</w:t>
            </w:r>
            <w:r>
              <w:rPr>
                <w:rFonts w:hint="eastAsia" w:ascii="宋体" w:hAnsi="宋体" w:eastAsia="宋体" w:cs="宋体"/>
                <w:sz w:val="18"/>
                <w:szCs w:val="18"/>
                <w:highlight w:val="none"/>
                <w:lang w:eastAsia="zh-CN"/>
              </w:rPr>
              <w:t>评标委员会的组成：方式</w:t>
            </w:r>
            <w:r>
              <w:rPr>
                <w:rFonts w:hint="eastAsia" w:ascii="宋体" w:hAnsi="宋体" w:eastAsia="宋体" w:cs="宋体"/>
                <w:sz w:val="18"/>
                <w:szCs w:val="18"/>
                <w:highlight w:val="none"/>
                <w:u w:val="single"/>
                <w:lang w:eastAsia="zh-CN"/>
              </w:rPr>
              <w:t xml:space="preserve"> 一</w:t>
            </w:r>
            <w:r>
              <w:rPr>
                <w:rFonts w:hint="eastAsia" w:ascii="宋体" w:hAnsi="宋体" w:eastAsia="宋体" w:cs="宋体"/>
                <w:sz w:val="18"/>
                <w:szCs w:val="18"/>
                <w:highlight w:val="none"/>
                <w:lang w:eastAsia="zh-CN"/>
              </w:rPr>
              <w:t xml:space="preserve"> 。</w:t>
            </w:r>
          </w:p>
          <w:p>
            <w:pPr>
              <w:pStyle w:val="2"/>
              <w:shd w:val="clear"/>
              <w:ind w:firstLine="360" w:firstLineChars="200"/>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方式一：评标委员会为综合评标委员会，负责资格审查及评标工作。</w:t>
            </w:r>
          </w:p>
          <w:p>
            <w:pPr>
              <w:pStyle w:val="2"/>
              <w:shd w:val="clear"/>
              <w:ind w:firstLine="360" w:firstLineChars="200"/>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 xml:space="preserve">方式二：评标委员会由技术评审组和经济评审组组成。其中：资格审查、技术评审由技术评标组负责，经济评审由经济评审组负责。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6" w:type="dxa"/>
            <w:noWrap w:val="0"/>
            <w:vAlign w:val="center"/>
          </w:tcPr>
          <w:p>
            <w:pPr>
              <w:shd w:val="clear"/>
              <w:spacing w:line="276" w:lineRule="auto"/>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招标文件第二章  开标、评标及定标办法</w:t>
            </w:r>
            <w:r>
              <w:rPr>
                <w:rFonts w:hint="eastAsia" w:ascii="宋体" w:hAnsi="宋体" w:cs="宋体"/>
                <w:sz w:val="18"/>
                <w:szCs w:val="18"/>
                <w:highlight w:val="none"/>
                <w:lang w:eastAsia="zh-CN"/>
              </w:rPr>
              <w:t>“</w:t>
            </w:r>
            <w:r>
              <w:rPr>
                <w:rFonts w:hint="eastAsia" w:ascii="宋体" w:hAnsi="宋体" w:eastAsia="宋体" w:cs="宋体"/>
                <w:sz w:val="18"/>
                <w:szCs w:val="18"/>
                <w:highlight w:val="none"/>
              </w:rPr>
              <w:t>一、开标、评标及定标办法修改表</w:t>
            </w:r>
            <w:r>
              <w:rPr>
                <w:rFonts w:hint="eastAsia" w:ascii="宋体" w:hAnsi="宋体" w:cs="宋体"/>
                <w:sz w:val="18"/>
                <w:szCs w:val="18"/>
                <w:highlight w:val="none"/>
                <w:lang w:eastAsia="zh-CN"/>
              </w:rPr>
              <w:t>”</w:t>
            </w:r>
          </w:p>
          <w:p>
            <w:pPr>
              <w:shd w:val="clear"/>
              <w:spacing w:line="276" w:lineRule="auto"/>
              <w:jc w:val="center"/>
              <w:rPr>
                <w:rFonts w:hint="eastAsia" w:ascii="宋体" w:hAnsi="宋体" w:eastAsia="宋体" w:cs="宋体"/>
                <w:sz w:val="18"/>
                <w:szCs w:val="18"/>
                <w:highlight w:val="none"/>
              </w:rPr>
            </w:pPr>
            <w:r>
              <w:rPr>
                <w:rFonts w:hint="eastAsia" w:ascii="宋体" w:hAnsi="宋体" w:cs="宋体"/>
                <w:b/>
                <w:sz w:val="18"/>
                <w:szCs w:val="18"/>
                <w:highlight w:val="none"/>
              </w:rPr>
              <w:t>条款号：45.1</w:t>
            </w:r>
          </w:p>
        </w:tc>
        <w:tc>
          <w:tcPr>
            <w:tcW w:w="6374" w:type="dxa"/>
            <w:noWrap w:val="0"/>
            <w:vAlign w:val="center"/>
          </w:tcPr>
          <w:p>
            <w:pPr>
              <w:shd w:val="clear"/>
              <w:spacing w:line="360" w:lineRule="auto"/>
              <w:ind w:firstLine="361" w:firstLineChars="200"/>
              <w:jc w:val="left"/>
              <w:rPr>
                <w:rFonts w:hint="eastAsia" w:ascii="宋体" w:hAnsi="宋体" w:cs="宋体"/>
                <w:b/>
                <w:sz w:val="18"/>
                <w:szCs w:val="18"/>
                <w:highlight w:val="none"/>
              </w:rPr>
            </w:pPr>
            <w:r>
              <w:rPr>
                <w:rFonts w:hint="eastAsia" w:ascii="宋体" w:hAnsi="宋体" w:cs="宋体"/>
                <w:b/>
                <w:sz w:val="18"/>
                <w:szCs w:val="18"/>
                <w:highlight w:val="none"/>
              </w:rPr>
              <w:t xml:space="preserve">条款号：45.1                  修改类型：修改                               </w:t>
            </w:r>
          </w:p>
          <w:p>
            <w:pPr>
              <w:pStyle w:val="9"/>
              <w:shd w:val="clear"/>
              <w:tabs>
                <w:tab w:val="left" w:pos="7380"/>
              </w:tabs>
              <w:spacing w:after="0" w:line="360" w:lineRule="auto"/>
              <w:ind w:firstLine="361" w:firstLineChars="200"/>
              <w:jc w:val="left"/>
              <w:rPr>
                <w:rFonts w:hint="eastAsia" w:ascii="宋体" w:hAnsi="宋体" w:cs="宋体"/>
                <w:sz w:val="18"/>
                <w:szCs w:val="18"/>
                <w:highlight w:val="none"/>
              </w:rPr>
            </w:pPr>
            <w:r>
              <w:rPr>
                <w:rFonts w:hint="eastAsia" w:ascii="宋体" w:hAnsi="宋体" w:cs="宋体"/>
                <w:b/>
                <w:sz w:val="18"/>
                <w:szCs w:val="18"/>
                <w:highlight w:val="none"/>
              </w:rPr>
              <w:t>原文：45.1</w:t>
            </w:r>
            <w:r>
              <w:rPr>
                <w:rFonts w:hint="eastAsia" w:ascii="宋体" w:hAnsi="宋体" w:cs="宋体"/>
                <w:bCs/>
                <w:sz w:val="18"/>
                <w:szCs w:val="18"/>
                <w:highlight w:val="none"/>
              </w:rPr>
              <w:t>若通过技术标有效性审查的投标人中有投标报价均大于等于最高投标限价*D%（D的取值范围为[94,100],由招标人自主确定）的（具体金额为：</w:t>
            </w:r>
            <w:r>
              <w:rPr>
                <w:rFonts w:hint="eastAsia" w:ascii="宋体" w:hAnsi="宋体" w:cs="宋体"/>
                <w:bCs/>
                <w:sz w:val="18"/>
                <w:szCs w:val="18"/>
                <w:highlight w:val="none"/>
                <w:u w:val="single"/>
              </w:rPr>
              <w:t xml:space="preserve">      </w:t>
            </w:r>
            <w:r>
              <w:rPr>
                <w:rFonts w:hint="eastAsia" w:ascii="宋体" w:hAnsi="宋体" w:cs="宋体"/>
                <w:bCs/>
                <w:sz w:val="18"/>
                <w:szCs w:val="18"/>
                <w:highlight w:val="none"/>
              </w:rPr>
              <w:t>元），则本项目招标失败，由招标人依法重新招标。</w:t>
            </w:r>
          </w:p>
          <w:p>
            <w:pPr>
              <w:pBdr>
                <w:bottom w:val="single" w:color="auto" w:sz="6" w:space="1"/>
              </w:pBdr>
              <w:shd w:val="clear"/>
              <w:spacing w:line="360" w:lineRule="auto"/>
              <w:ind w:firstLine="361" w:firstLineChars="200"/>
              <w:jc w:val="left"/>
              <w:rPr>
                <w:rFonts w:hint="eastAsia" w:ascii="宋体" w:hAnsi="宋体" w:cs="宋体"/>
                <w:sz w:val="18"/>
                <w:szCs w:val="18"/>
                <w:highlight w:val="none"/>
              </w:rPr>
            </w:pPr>
            <w:r>
              <w:rPr>
                <w:rFonts w:hint="eastAsia" w:ascii="宋体" w:hAnsi="宋体" w:cs="宋体"/>
                <w:b/>
                <w:sz w:val="18"/>
                <w:szCs w:val="18"/>
                <w:highlight w:val="none"/>
              </w:rPr>
              <w:t>现文：</w:t>
            </w:r>
            <w:r>
              <w:rPr>
                <w:rFonts w:hint="eastAsia" w:ascii="宋体" w:hAnsi="宋体" w:cs="宋体"/>
                <w:b/>
                <w:bCs/>
                <w:sz w:val="18"/>
                <w:szCs w:val="18"/>
                <w:highlight w:val="none"/>
              </w:rPr>
              <w:t>45.1</w:t>
            </w:r>
            <w:r>
              <w:rPr>
                <w:rFonts w:hint="eastAsia" w:ascii="宋体" w:hAnsi="宋体" w:cs="宋体"/>
                <w:sz w:val="18"/>
                <w:szCs w:val="18"/>
                <w:highlight w:val="none"/>
                <w:u w:val="single"/>
              </w:rPr>
              <w:t>若所有通过技术标有效性审查的投标人中所有的投标价均大于等于最高投标限价*</w:t>
            </w:r>
            <w:r>
              <w:rPr>
                <w:rFonts w:hint="eastAsia" w:ascii="宋体" w:hAnsi="宋体" w:cs="宋体"/>
                <w:bCs/>
                <w:sz w:val="18"/>
                <w:szCs w:val="18"/>
                <w:highlight w:val="none"/>
                <w:u w:val="single"/>
              </w:rPr>
              <w:t>D%</w:t>
            </w:r>
            <w:r>
              <w:rPr>
                <w:rFonts w:hint="eastAsia" w:ascii="宋体" w:hAnsi="宋体" w:cs="宋体"/>
                <w:sz w:val="18"/>
                <w:szCs w:val="18"/>
                <w:highlight w:val="none"/>
                <w:u w:val="single"/>
              </w:rPr>
              <w:t>（D的取值范围为</w:t>
            </w:r>
            <w:r>
              <w:rPr>
                <w:rFonts w:hint="eastAsia" w:ascii="宋体" w:hAnsi="宋体" w:cs="宋体"/>
                <w:sz w:val="18"/>
                <w:szCs w:val="18"/>
                <w:highlight w:val="none"/>
                <w:u w:val="single"/>
                <w:lang w:val="en-US" w:eastAsia="zh-CN"/>
              </w:rPr>
              <w:t>94</w:t>
            </w:r>
            <w:r>
              <w:rPr>
                <w:rFonts w:hint="eastAsia" w:ascii="宋体" w:hAnsi="宋体" w:cs="宋体"/>
                <w:sz w:val="18"/>
                <w:szCs w:val="18"/>
                <w:highlight w:val="none"/>
                <w:u w:val="single"/>
              </w:rPr>
              <w:t>）的（具体金额为：12958042.96元），则本项目招标失败，由招标人依法重新招标。</w:t>
            </w:r>
          </w:p>
          <w:p>
            <w:pPr>
              <w:shd w:val="clear"/>
              <w:spacing w:line="276" w:lineRule="auto"/>
              <w:jc w:val="left"/>
              <w:rPr>
                <w:rFonts w:hint="eastAsia" w:ascii="宋体" w:hAnsi="宋体" w:eastAsia="宋体" w:cs="宋体"/>
                <w:sz w:val="18"/>
                <w:szCs w:val="18"/>
                <w:highlight w:val="none"/>
              </w:rPr>
            </w:pPr>
          </w:p>
        </w:tc>
        <w:tc>
          <w:tcPr>
            <w:tcW w:w="6445" w:type="dxa"/>
            <w:noWrap w:val="0"/>
            <w:vAlign w:val="center"/>
          </w:tcPr>
          <w:p>
            <w:pPr>
              <w:shd w:val="clear"/>
              <w:spacing w:line="360" w:lineRule="auto"/>
              <w:ind w:firstLine="361" w:firstLineChars="200"/>
              <w:jc w:val="left"/>
              <w:rPr>
                <w:rFonts w:hint="eastAsia" w:ascii="宋体" w:hAnsi="宋体" w:cs="宋体"/>
                <w:b/>
                <w:sz w:val="18"/>
                <w:szCs w:val="18"/>
                <w:highlight w:val="none"/>
              </w:rPr>
            </w:pPr>
            <w:r>
              <w:rPr>
                <w:rFonts w:hint="eastAsia" w:ascii="宋体" w:hAnsi="宋体" w:cs="宋体"/>
                <w:b/>
                <w:sz w:val="18"/>
                <w:szCs w:val="18"/>
                <w:highlight w:val="none"/>
              </w:rPr>
              <w:t xml:space="preserve">条款号：45.1                  修改类型：修改                               </w:t>
            </w:r>
          </w:p>
          <w:p>
            <w:pPr>
              <w:pStyle w:val="9"/>
              <w:shd w:val="clear"/>
              <w:tabs>
                <w:tab w:val="left" w:pos="7380"/>
              </w:tabs>
              <w:spacing w:after="0" w:line="360" w:lineRule="auto"/>
              <w:ind w:firstLine="361" w:firstLineChars="200"/>
              <w:jc w:val="left"/>
              <w:rPr>
                <w:rFonts w:hint="eastAsia" w:ascii="宋体" w:hAnsi="宋体" w:cs="宋体"/>
                <w:sz w:val="18"/>
                <w:szCs w:val="18"/>
                <w:highlight w:val="none"/>
              </w:rPr>
            </w:pPr>
            <w:r>
              <w:rPr>
                <w:rFonts w:hint="eastAsia" w:ascii="宋体" w:hAnsi="宋体" w:cs="宋体"/>
                <w:b/>
                <w:sz w:val="18"/>
                <w:szCs w:val="18"/>
                <w:highlight w:val="none"/>
              </w:rPr>
              <w:t>原文：45.1</w:t>
            </w:r>
            <w:r>
              <w:rPr>
                <w:rFonts w:hint="eastAsia" w:ascii="宋体" w:hAnsi="宋体" w:cs="宋体"/>
                <w:bCs/>
                <w:sz w:val="18"/>
                <w:szCs w:val="18"/>
                <w:highlight w:val="none"/>
              </w:rPr>
              <w:t>若通过技术标有效性审查的投标人中有投标报价均大于等于最高投标限价*D%（D的取值范围为[94,100],由招标人自主确定）的（具体金额为：</w:t>
            </w:r>
            <w:r>
              <w:rPr>
                <w:rFonts w:hint="eastAsia" w:ascii="宋体" w:hAnsi="宋体" w:cs="宋体"/>
                <w:bCs/>
                <w:sz w:val="18"/>
                <w:szCs w:val="18"/>
                <w:highlight w:val="none"/>
                <w:u w:val="single"/>
              </w:rPr>
              <w:t xml:space="preserve">      </w:t>
            </w:r>
            <w:r>
              <w:rPr>
                <w:rFonts w:hint="eastAsia" w:ascii="宋体" w:hAnsi="宋体" w:cs="宋体"/>
                <w:bCs/>
                <w:sz w:val="18"/>
                <w:szCs w:val="18"/>
                <w:highlight w:val="none"/>
              </w:rPr>
              <w:t>元），则本项目招标失败，由招标人依法重新招标。</w:t>
            </w:r>
          </w:p>
          <w:p>
            <w:pPr>
              <w:pBdr>
                <w:bottom w:val="single" w:color="auto" w:sz="6" w:space="1"/>
              </w:pBdr>
              <w:shd w:val="clear"/>
              <w:spacing w:line="360" w:lineRule="auto"/>
              <w:ind w:firstLine="361" w:firstLineChars="200"/>
              <w:jc w:val="left"/>
              <w:rPr>
                <w:rFonts w:hint="eastAsia" w:ascii="宋体" w:hAnsi="宋体" w:cs="宋体"/>
                <w:sz w:val="18"/>
                <w:szCs w:val="18"/>
                <w:highlight w:val="none"/>
              </w:rPr>
            </w:pPr>
            <w:r>
              <w:rPr>
                <w:rFonts w:hint="eastAsia" w:ascii="宋体" w:hAnsi="宋体" w:cs="宋体"/>
                <w:b/>
                <w:sz w:val="18"/>
                <w:szCs w:val="18"/>
                <w:highlight w:val="none"/>
              </w:rPr>
              <w:t>现文：</w:t>
            </w:r>
            <w:r>
              <w:rPr>
                <w:rFonts w:hint="eastAsia" w:ascii="宋体" w:hAnsi="宋体" w:cs="宋体"/>
                <w:b/>
                <w:bCs/>
                <w:sz w:val="18"/>
                <w:szCs w:val="18"/>
                <w:highlight w:val="none"/>
              </w:rPr>
              <w:t>45.1</w:t>
            </w:r>
            <w:r>
              <w:rPr>
                <w:rFonts w:hint="eastAsia" w:ascii="宋体" w:hAnsi="宋体" w:cs="宋体"/>
                <w:sz w:val="18"/>
                <w:szCs w:val="18"/>
                <w:highlight w:val="none"/>
                <w:u w:val="single"/>
              </w:rPr>
              <w:t>若所有通过技术标有效性审查的投标人中所有的投标价均大于等于最高投标限价*</w:t>
            </w:r>
            <w:r>
              <w:rPr>
                <w:rFonts w:hint="eastAsia" w:ascii="宋体" w:hAnsi="宋体" w:cs="宋体"/>
                <w:bCs/>
                <w:sz w:val="18"/>
                <w:szCs w:val="18"/>
                <w:highlight w:val="none"/>
                <w:u w:val="single"/>
              </w:rPr>
              <w:t>D%</w:t>
            </w:r>
            <w:r>
              <w:rPr>
                <w:rFonts w:hint="eastAsia" w:ascii="宋体" w:hAnsi="宋体" w:cs="宋体"/>
                <w:sz w:val="18"/>
                <w:szCs w:val="18"/>
                <w:highlight w:val="none"/>
                <w:u w:val="single"/>
              </w:rPr>
              <w:t>（D的取值范围为</w:t>
            </w:r>
            <w:r>
              <w:rPr>
                <w:rFonts w:hint="eastAsia" w:ascii="宋体" w:hAnsi="宋体" w:cs="宋体"/>
                <w:b/>
                <w:bCs/>
                <w:sz w:val="18"/>
                <w:szCs w:val="18"/>
                <w:highlight w:val="none"/>
                <w:u w:val="single"/>
                <w:lang w:val="en-US" w:eastAsia="zh-CN"/>
              </w:rPr>
              <w:t>96</w:t>
            </w:r>
            <w:r>
              <w:rPr>
                <w:rFonts w:hint="eastAsia" w:ascii="宋体" w:hAnsi="宋体" w:cs="宋体"/>
                <w:sz w:val="18"/>
                <w:szCs w:val="18"/>
                <w:highlight w:val="none"/>
                <w:u w:val="single"/>
              </w:rPr>
              <w:t>）的（具体金额为：</w:t>
            </w:r>
            <w:r>
              <w:rPr>
                <w:rFonts w:hint="eastAsia" w:ascii="宋体" w:hAnsi="宋体" w:cs="宋体"/>
                <w:b/>
                <w:bCs/>
                <w:sz w:val="18"/>
                <w:szCs w:val="18"/>
                <w:highlight w:val="none"/>
                <w:u w:val="single"/>
              </w:rPr>
              <w:t>13233746.01</w:t>
            </w:r>
            <w:r>
              <w:rPr>
                <w:rFonts w:hint="eastAsia" w:ascii="宋体" w:hAnsi="宋体" w:cs="宋体"/>
                <w:sz w:val="18"/>
                <w:szCs w:val="18"/>
                <w:highlight w:val="none"/>
                <w:u w:val="single"/>
              </w:rPr>
              <w:t>元），则本项目招标失败，由招标人依法重新招标。</w:t>
            </w:r>
          </w:p>
          <w:p>
            <w:pPr>
              <w:shd w:val="clear"/>
              <w:adjustRightInd w:val="0"/>
              <w:snapToGrid w:val="0"/>
              <w:spacing w:line="360" w:lineRule="auto"/>
              <w:rPr>
                <w:rFonts w:hint="eastAsia" w:ascii="宋体" w:hAnsi="宋体" w:eastAsia="宋体" w:cs="宋体"/>
                <w:bCs/>
                <w:sz w:val="18"/>
                <w:szCs w:val="18"/>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6" w:type="dxa"/>
            <w:noWrap w:val="0"/>
            <w:vAlign w:val="center"/>
          </w:tcPr>
          <w:p>
            <w:pPr>
              <w:shd w:val="clear"/>
              <w:spacing w:line="276"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招标文件第二章</w:t>
            </w:r>
          </w:p>
          <w:p>
            <w:pPr>
              <w:shd w:val="clear"/>
              <w:spacing w:line="276"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开标、评标及定标办法</w:t>
            </w:r>
          </w:p>
          <w:p>
            <w:pPr>
              <w:shd w:val="clear"/>
              <w:spacing w:line="276" w:lineRule="auto"/>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附表二《技术标有效性审查表》序号</w:t>
            </w:r>
            <w:r>
              <w:rPr>
                <w:rFonts w:hint="eastAsia" w:ascii="宋体" w:hAnsi="宋体" w:cs="宋体"/>
                <w:sz w:val="18"/>
                <w:szCs w:val="18"/>
                <w:highlight w:val="none"/>
                <w:lang w:val="en-US" w:eastAsia="zh-CN"/>
              </w:rPr>
              <w:t>4</w:t>
            </w:r>
          </w:p>
        </w:tc>
        <w:tc>
          <w:tcPr>
            <w:tcW w:w="6374" w:type="dxa"/>
            <w:noWrap w:val="0"/>
            <w:vAlign w:val="center"/>
          </w:tcPr>
          <w:p>
            <w:pPr>
              <w:shd w:val="clear"/>
              <w:adjustRightInd w:val="0"/>
              <w:snapToGrid w:val="0"/>
              <w:spacing w:line="360" w:lineRule="auto"/>
              <w:rPr>
                <w:rFonts w:hint="eastAsia" w:ascii="宋体" w:hAnsi="宋体" w:eastAsia="宋体" w:cs="宋体"/>
                <w:sz w:val="18"/>
                <w:szCs w:val="18"/>
                <w:highlight w:val="none"/>
              </w:rPr>
            </w:pPr>
            <w:r>
              <w:rPr>
                <w:rFonts w:hint="eastAsia" w:ascii="宋体" w:hAnsi="宋体" w:eastAsia="宋体" w:cs="宋体"/>
                <w:sz w:val="18"/>
                <w:szCs w:val="18"/>
                <w:highlight w:val="none"/>
              </w:rPr>
              <w:t>投标文件未按规定的格式填写，或主要内容不全，或关键字迹模糊、无法辨认的；</w:t>
            </w:r>
          </w:p>
        </w:tc>
        <w:tc>
          <w:tcPr>
            <w:tcW w:w="6445" w:type="dxa"/>
            <w:noWrap w:val="0"/>
            <w:vAlign w:val="center"/>
          </w:tcPr>
          <w:p>
            <w:pPr>
              <w:pStyle w:val="2"/>
              <w:shd w:val="clear"/>
              <w:rPr>
                <w:rFonts w:hint="eastAsia" w:ascii="宋体" w:hAnsi="宋体" w:eastAsia="宋体" w:cs="宋体"/>
                <w:sz w:val="18"/>
                <w:szCs w:val="18"/>
                <w:highlight w:val="none"/>
              </w:rPr>
            </w:pPr>
          </w:p>
          <w:p>
            <w:pPr>
              <w:pStyle w:val="2"/>
              <w:shd w:val="clear"/>
              <w:rPr>
                <w:rFonts w:hint="eastAsia" w:ascii="宋体" w:hAnsi="宋体" w:eastAsia="宋体" w:cs="宋体"/>
                <w:sz w:val="18"/>
                <w:szCs w:val="18"/>
                <w:highlight w:val="none"/>
              </w:rPr>
            </w:pPr>
            <w:r>
              <w:rPr>
                <w:rFonts w:hint="eastAsia" w:ascii="宋体" w:hAnsi="宋体" w:eastAsia="宋体" w:cs="宋体"/>
                <w:sz w:val="18"/>
                <w:szCs w:val="18"/>
                <w:highlight w:val="none"/>
              </w:rPr>
              <w:t>投标文件未按规定的格式填写</w:t>
            </w:r>
            <w:r>
              <w:rPr>
                <w:rFonts w:hint="eastAsia" w:ascii="宋体" w:hAnsi="宋体" w:eastAsia="宋体" w:cs="宋体"/>
                <w:b/>
                <w:bCs/>
                <w:sz w:val="18"/>
                <w:szCs w:val="18"/>
                <w:highlight w:val="none"/>
                <w:u w:val="single"/>
              </w:rPr>
              <w:t>（投标文件规定格式为技术标投标文件格式部分带★号的格式（即</w:t>
            </w:r>
            <w:r>
              <w:rPr>
                <w:rFonts w:hint="eastAsia" w:hAnsi="宋体" w:cs="宋体"/>
                <w:b/>
                <w:bCs/>
                <w:sz w:val="18"/>
                <w:szCs w:val="18"/>
                <w:highlight w:val="none"/>
                <w:u w:val="single"/>
                <w:lang w:val="en-US" w:eastAsia="zh-CN"/>
              </w:rPr>
              <w:t>投标文件格式附件二</w:t>
            </w:r>
            <w:r>
              <w:rPr>
                <w:rFonts w:hint="eastAsia" w:ascii="宋体" w:hAnsi="宋体" w:eastAsia="宋体" w:cs="宋体"/>
                <w:b/>
                <w:bCs/>
                <w:sz w:val="18"/>
                <w:szCs w:val="18"/>
                <w:highlight w:val="none"/>
                <w:u w:val="single"/>
              </w:rPr>
              <w:t>、附件九、附件</w:t>
            </w:r>
            <w:r>
              <w:rPr>
                <w:rFonts w:hint="eastAsia" w:hAnsi="宋体" w:cs="宋体"/>
                <w:b/>
                <w:bCs/>
                <w:sz w:val="18"/>
                <w:szCs w:val="18"/>
                <w:highlight w:val="none"/>
                <w:u w:val="single"/>
                <w:lang w:val="en-US" w:eastAsia="zh-CN"/>
              </w:rPr>
              <w:t>十</w:t>
            </w:r>
            <w:r>
              <w:rPr>
                <w:rFonts w:hint="eastAsia" w:ascii="宋体" w:hAnsi="宋体" w:eastAsia="宋体" w:cs="宋体"/>
                <w:b/>
                <w:bCs/>
                <w:sz w:val="18"/>
                <w:szCs w:val="18"/>
                <w:highlight w:val="none"/>
                <w:u w:val="single"/>
              </w:rPr>
              <w:t>）</w:t>
            </w:r>
            <w:r>
              <w:rPr>
                <w:rFonts w:hint="eastAsia" w:ascii="宋体" w:hAnsi="宋体" w:eastAsia="宋体" w:cs="宋体"/>
                <w:sz w:val="18"/>
                <w:szCs w:val="18"/>
                <w:highlight w:val="none"/>
              </w:rPr>
              <w:t>，或主要内容不全，或关键字迹模糊、无法辨认的；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6" w:type="dxa"/>
            <w:noWrap w:val="0"/>
            <w:vAlign w:val="center"/>
          </w:tcPr>
          <w:p>
            <w:pPr>
              <w:shd w:val="clear"/>
              <w:spacing w:line="276"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招标文件第二章</w:t>
            </w:r>
          </w:p>
          <w:p>
            <w:pPr>
              <w:shd w:val="clear"/>
              <w:spacing w:line="276"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开标、评标及定标办法</w:t>
            </w:r>
          </w:p>
          <w:p>
            <w:pPr>
              <w:shd w:val="clear"/>
              <w:spacing w:line="276"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附表二《技术标有效性审查表》序号</w:t>
            </w:r>
            <w:r>
              <w:rPr>
                <w:rFonts w:hint="eastAsia" w:ascii="宋体" w:hAnsi="宋体" w:cs="宋体"/>
                <w:sz w:val="18"/>
                <w:szCs w:val="18"/>
                <w:highlight w:val="none"/>
                <w:lang w:val="en-US" w:eastAsia="zh-CN"/>
              </w:rPr>
              <w:t>8</w:t>
            </w:r>
          </w:p>
        </w:tc>
        <w:tc>
          <w:tcPr>
            <w:tcW w:w="6374" w:type="dxa"/>
            <w:noWrap w:val="0"/>
            <w:vAlign w:val="center"/>
          </w:tcPr>
          <w:p>
            <w:pPr>
              <w:shd w:val="clear"/>
              <w:adjustRightInd w:val="0"/>
              <w:snapToGrid w:val="0"/>
              <w:spacing w:line="360" w:lineRule="auto"/>
              <w:rPr>
                <w:rFonts w:hint="eastAsia" w:ascii="宋体" w:hAnsi="宋体" w:eastAsia="宋体" w:cs="宋体"/>
                <w:sz w:val="18"/>
                <w:szCs w:val="18"/>
                <w:highlight w:val="none"/>
              </w:rPr>
            </w:pPr>
            <w:r>
              <w:rPr>
                <w:rFonts w:hint="eastAsia" w:ascii="宋体" w:hAnsi="宋体" w:eastAsia="宋体" w:cs="宋体"/>
                <w:sz w:val="18"/>
                <w:szCs w:val="18"/>
                <w:highlight w:val="none"/>
              </w:rPr>
              <w:t>投标人与其他投标人加密打包投标文件电脑机器特征码一致的(以</w:t>
            </w:r>
            <w:r>
              <w:rPr>
                <w:rFonts w:hint="eastAsia" w:ascii="宋体" w:hAnsi="宋体" w:eastAsia="宋体" w:cs="宋体"/>
                <w:sz w:val="18"/>
                <w:szCs w:val="18"/>
                <w:highlight w:val="none"/>
                <w:u w:val="single"/>
              </w:rPr>
              <w:t>广州公共资源交易中心</w:t>
            </w:r>
            <w:r>
              <w:rPr>
                <w:rFonts w:hint="eastAsia" w:ascii="宋体" w:hAnsi="宋体" w:eastAsia="宋体" w:cs="宋体"/>
                <w:sz w:val="18"/>
                <w:szCs w:val="18"/>
                <w:highlight w:val="none"/>
              </w:rPr>
              <w:t>交易平台评标系统的检索信息为准)</w:t>
            </w:r>
          </w:p>
        </w:tc>
        <w:tc>
          <w:tcPr>
            <w:tcW w:w="6445" w:type="dxa"/>
            <w:noWrap w:val="0"/>
            <w:vAlign w:val="center"/>
          </w:tcPr>
          <w:p>
            <w:pPr>
              <w:pStyle w:val="2"/>
              <w:shd w:val="clear"/>
              <w:rPr>
                <w:rFonts w:hint="eastAsia" w:ascii="宋体" w:hAnsi="宋体" w:eastAsia="宋体" w:cs="宋体"/>
                <w:sz w:val="18"/>
                <w:szCs w:val="18"/>
                <w:highlight w:val="none"/>
              </w:rPr>
            </w:pPr>
            <w:r>
              <w:rPr>
                <w:rFonts w:hint="eastAsia" w:ascii="宋体" w:hAnsi="宋体" w:eastAsia="宋体" w:cs="宋体"/>
                <w:sz w:val="18"/>
                <w:szCs w:val="18"/>
                <w:highlight w:val="none"/>
              </w:rPr>
              <w:t>投标人与</w:t>
            </w:r>
            <w:r>
              <w:rPr>
                <w:rFonts w:hint="eastAsia" w:ascii="宋体" w:hAnsi="宋体" w:eastAsia="宋体" w:cs="宋体"/>
                <w:b/>
                <w:bCs/>
                <w:sz w:val="18"/>
                <w:szCs w:val="18"/>
                <w:highlight w:val="none"/>
                <w:u w:val="single"/>
              </w:rPr>
              <w:t>本项目</w:t>
            </w:r>
            <w:r>
              <w:rPr>
                <w:rFonts w:hint="eastAsia" w:ascii="宋体" w:hAnsi="宋体" w:eastAsia="宋体" w:cs="宋体"/>
                <w:sz w:val="18"/>
                <w:szCs w:val="18"/>
                <w:highlight w:val="none"/>
              </w:rPr>
              <w:t>其他投标人加密打包投标文件电脑机器特征码一致的(以</w:t>
            </w:r>
            <w:r>
              <w:rPr>
                <w:rFonts w:hint="eastAsia" w:ascii="宋体" w:hAnsi="宋体" w:eastAsia="宋体" w:cs="宋体"/>
                <w:sz w:val="18"/>
                <w:szCs w:val="18"/>
                <w:highlight w:val="none"/>
                <w:u w:val="single"/>
              </w:rPr>
              <w:t>广州公共资源交易中心</w:t>
            </w:r>
            <w:r>
              <w:rPr>
                <w:rFonts w:hint="eastAsia" w:ascii="宋体" w:hAnsi="宋体" w:eastAsia="宋体" w:cs="宋体"/>
                <w:sz w:val="18"/>
                <w:szCs w:val="18"/>
                <w:highlight w:val="none"/>
              </w:rPr>
              <w:t>交易平台评标系统的检索信息为准)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6" w:type="dxa"/>
            <w:noWrap w:val="0"/>
            <w:vAlign w:val="center"/>
          </w:tcPr>
          <w:p>
            <w:pPr>
              <w:shd w:val="clear"/>
              <w:spacing w:line="276"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招标文件第二章</w:t>
            </w:r>
          </w:p>
          <w:p>
            <w:pPr>
              <w:shd w:val="clear"/>
              <w:spacing w:line="276"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开标、评标及定标办法</w:t>
            </w:r>
          </w:p>
          <w:p>
            <w:pPr>
              <w:shd w:val="clear"/>
              <w:spacing w:line="276"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附表二《经济标有效性审查表》序号5</w:t>
            </w:r>
          </w:p>
        </w:tc>
        <w:tc>
          <w:tcPr>
            <w:tcW w:w="6374" w:type="dxa"/>
            <w:noWrap w:val="0"/>
            <w:vAlign w:val="center"/>
          </w:tcPr>
          <w:p>
            <w:pPr>
              <w:shd w:val="clear"/>
              <w:adjustRightInd w:val="0"/>
              <w:snapToGrid w:val="0"/>
              <w:spacing w:line="360" w:lineRule="auto"/>
              <w:rPr>
                <w:rFonts w:hint="eastAsia" w:ascii="宋体" w:hAnsi="宋体" w:eastAsia="宋体" w:cs="宋体"/>
                <w:sz w:val="18"/>
                <w:szCs w:val="18"/>
                <w:highlight w:val="none"/>
              </w:rPr>
            </w:pPr>
            <w:r>
              <w:rPr>
                <w:rFonts w:hint="eastAsia" w:ascii="宋体" w:hAnsi="宋体" w:eastAsia="宋体" w:cs="宋体"/>
                <w:sz w:val="18"/>
                <w:szCs w:val="18"/>
                <w:highlight w:val="none"/>
              </w:rPr>
              <w:t>投标文件未按规定的格式填写，或主要内容不全，或关键字迹模糊、无法辨认的；</w:t>
            </w:r>
          </w:p>
        </w:tc>
        <w:tc>
          <w:tcPr>
            <w:tcW w:w="6445" w:type="dxa"/>
            <w:noWrap w:val="0"/>
            <w:vAlign w:val="center"/>
          </w:tcPr>
          <w:p>
            <w:pPr>
              <w:pStyle w:val="2"/>
              <w:shd w:val="clear"/>
              <w:rPr>
                <w:rFonts w:hint="eastAsia" w:ascii="宋体" w:hAnsi="宋体" w:eastAsia="宋体" w:cs="宋体"/>
                <w:sz w:val="18"/>
                <w:szCs w:val="18"/>
                <w:highlight w:val="none"/>
              </w:rPr>
            </w:pPr>
            <w:r>
              <w:rPr>
                <w:rFonts w:hint="eastAsia" w:ascii="宋体" w:hAnsi="宋体" w:eastAsia="宋体" w:cs="宋体"/>
                <w:sz w:val="18"/>
                <w:szCs w:val="18"/>
                <w:highlight w:val="none"/>
              </w:rPr>
              <w:t>投标文件未按规定的格式填写</w:t>
            </w:r>
            <w:r>
              <w:rPr>
                <w:rFonts w:hint="eastAsia" w:ascii="宋体" w:hAnsi="宋体" w:eastAsia="宋体" w:cs="宋体"/>
                <w:b/>
                <w:bCs/>
                <w:sz w:val="18"/>
                <w:szCs w:val="18"/>
                <w:highlight w:val="none"/>
                <w:u w:val="single"/>
              </w:rPr>
              <w:t>（投标文件规定格式为</w:t>
            </w:r>
            <w:r>
              <w:rPr>
                <w:rFonts w:hint="eastAsia" w:ascii="宋体" w:hAnsi="宋体" w:eastAsia="宋体" w:cs="宋体"/>
                <w:b/>
                <w:bCs/>
                <w:sz w:val="18"/>
                <w:szCs w:val="18"/>
                <w:highlight w:val="none"/>
                <w:u w:val="single"/>
                <w:lang w:val="en-US" w:eastAsia="zh-CN"/>
              </w:rPr>
              <w:t>经济标</w:t>
            </w:r>
            <w:r>
              <w:rPr>
                <w:rFonts w:hint="eastAsia" w:ascii="宋体" w:hAnsi="宋体" w:eastAsia="宋体" w:cs="宋体"/>
                <w:b/>
                <w:bCs/>
                <w:sz w:val="18"/>
                <w:szCs w:val="18"/>
                <w:highlight w:val="none"/>
                <w:u w:val="single"/>
              </w:rPr>
              <w:t>投标文件格式部分带★号的格式（即</w:t>
            </w:r>
            <w:r>
              <w:rPr>
                <w:rFonts w:hint="eastAsia" w:hAnsi="宋体" w:cs="宋体"/>
                <w:b/>
                <w:bCs/>
                <w:sz w:val="18"/>
                <w:szCs w:val="18"/>
                <w:highlight w:val="none"/>
                <w:u w:val="single"/>
                <w:lang w:val="en-US" w:eastAsia="zh-CN"/>
              </w:rPr>
              <w:t>投标文件格式附件一、附件三</w:t>
            </w:r>
            <w:r>
              <w:rPr>
                <w:rFonts w:hint="eastAsia" w:ascii="宋体" w:hAnsi="宋体" w:eastAsia="宋体" w:cs="宋体"/>
                <w:b/>
                <w:bCs/>
                <w:sz w:val="18"/>
                <w:szCs w:val="18"/>
                <w:highlight w:val="none"/>
                <w:u w:val="single"/>
              </w:rPr>
              <w:t>、</w:t>
            </w:r>
            <w:r>
              <w:rPr>
                <w:rFonts w:hint="eastAsia" w:hAnsi="宋体" w:cs="宋体"/>
                <w:b/>
                <w:bCs/>
                <w:sz w:val="18"/>
                <w:szCs w:val="18"/>
                <w:highlight w:val="none"/>
                <w:u w:val="single"/>
                <w:lang w:val="en-US" w:eastAsia="zh-CN"/>
              </w:rPr>
              <w:t>附件四</w:t>
            </w:r>
            <w:r>
              <w:rPr>
                <w:rFonts w:hint="eastAsia" w:ascii="宋体" w:hAnsi="宋体" w:eastAsia="宋体" w:cs="宋体"/>
                <w:b/>
                <w:bCs/>
                <w:sz w:val="18"/>
                <w:szCs w:val="18"/>
                <w:highlight w:val="none"/>
                <w:u w:val="single"/>
              </w:rPr>
              <w:t>）</w:t>
            </w:r>
            <w:r>
              <w:rPr>
                <w:rFonts w:hint="eastAsia" w:ascii="宋体" w:hAnsi="宋体" w:eastAsia="宋体" w:cs="宋体"/>
                <w:sz w:val="18"/>
                <w:szCs w:val="18"/>
                <w:highlight w:val="none"/>
              </w:rPr>
              <w:t>，或主要内容不全，或关键字迹模糊、无法辨认的；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6" w:type="dxa"/>
            <w:noWrap w:val="0"/>
            <w:vAlign w:val="center"/>
          </w:tcPr>
          <w:p>
            <w:pPr>
              <w:shd w:val="clear"/>
              <w:spacing w:line="276"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招标文件第二章</w:t>
            </w:r>
          </w:p>
          <w:p>
            <w:pPr>
              <w:shd w:val="clear"/>
              <w:spacing w:line="276"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开标、评标及定标办法</w:t>
            </w:r>
          </w:p>
          <w:p>
            <w:pPr>
              <w:shd w:val="clear"/>
              <w:spacing w:line="276" w:lineRule="auto"/>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rPr>
              <w:t>附表二《经济标有效性审查表》序号</w:t>
            </w:r>
            <w:r>
              <w:rPr>
                <w:rFonts w:hint="eastAsia" w:ascii="宋体" w:hAnsi="宋体" w:cs="宋体"/>
                <w:sz w:val="18"/>
                <w:szCs w:val="18"/>
                <w:highlight w:val="none"/>
                <w:lang w:val="en-US" w:eastAsia="zh-CN"/>
              </w:rPr>
              <w:t>10</w:t>
            </w:r>
          </w:p>
        </w:tc>
        <w:tc>
          <w:tcPr>
            <w:tcW w:w="6374" w:type="dxa"/>
            <w:noWrap w:val="0"/>
            <w:vAlign w:val="center"/>
          </w:tcPr>
          <w:p>
            <w:pPr>
              <w:shd w:val="clear"/>
              <w:adjustRightInd w:val="0"/>
              <w:snapToGrid w:val="0"/>
              <w:spacing w:line="360" w:lineRule="auto"/>
              <w:rPr>
                <w:rFonts w:hint="eastAsia" w:ascii="宋体" w:hAnsi="宋体" w:eastAsia="宋体" w:cs="宋体"/>
                <w:sz w:val="18"/>
                <w:szCs w:val="18"/>
                <w:highlight w:val="none"/>
              </w:rPr>
            </w:pPr>
            <w:r>
              <w:rPr>
                <w:rFonts w:hint="eastAsia" w:ascii="宋体" w:hAnsi="宋体" w:eastAsia="宋体" w:cs="宋体"/>
                <w:sz w:val="18"/>
                <w:szCs w:val="18"/>
                <w:highlight w:val="none"/>
              </w:rPr>
              <w:t>新增</w:t>
            </w:r>
          </w:p>
        </w:tc>
        <w:tc>
          <w:tcPr>
            <w:tcW w:w="6445" w:type="dxa"/>
            <w:noWrap w:val="0"/>
            <w:vAlign w:val="center"/>
          </w:tcPr>
          <w:p>
            <w:pPr>
              <w:pStyle w:val="2"/>
              <w:shd w:val="clear"/>
              <w:rPr>
                <w:rFonts w:hint="eastAsia" w:ascii="宋体" w:hAnsi="宋体" w:eastAsia="宋体" w:cs="宋体"/>
                <w:sz w:val="18"/>
                <w:szCs w:val="18"/>
                <w:highlight w:val="none"/>
              </w:rPr>
            </w:pPr>
            <w:r>
              <w:rPr>
                <w:rFonts w:hint="eastAsia" w:ascii="宋体" w:hAnsi="宋体" w:eastAsia="宋体" w:cs="宋体"/>
                <w:sz w:val="18"/>
                <w:szCs w:val="18"/>
                <w:highlight w:val="none"/>
              </w:rPr>
              <w:t>投标人与本项目其他投标人的投标文件工程量清单编制机器硬件信息一致的（以广州公共资源交易中心交易平台评标系统的检索信息为准）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6" w:type="dxa"/>
            <w:noWrap w:val="0"/>
            <w:vAlign w:val="center"/>
          </w:tcPr>
          <w:p>
            <w:pPr>
              <w:shd w:val="clear"/>
              <w:spacing w:line="276"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招标文件附表四《技术标详细审查评分表》</w:t>
            </w:r>
          </w:p>
          <w:p>
            <w:pPr>
              <w:shd w:val="clear"/>
              <w:spacing w:line="276"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“造价负责人”</w:t>
            </w:r>
          </w:p>
        </w:tc>
        <w:tc>
          <w:tcPr>
            <w:tcW w:w="6374" w:type="dxa"/>
            <w:noWrap w:val="0"/>
            <w:vAlign w:val="center"/>
          </w:tcPr>
          <w:p>
            <w:pPr>
              <w:pStyle w:val="2"/>
              <w:shd w:val="clear"/>
              <w:rPr>
                <w:rFonts w:hint="eastAsia" w:ascii="宋体" w:hAnsi="宋体" w:eastAsia="宋体" w:cs="宋体"/>
                <w:sz w:val="18"/>
                <w:szCs w:val="18"/>
                <w:highlight w:val="none"/>
              </w:rPr>
            </w:pPr>
            <w:r>
              <w:rPr>
                <w:rFonts w:hint="eastAsia" w:ascii="宋体" w:hAnsi="宋体" w:eastAsia="宋体" w:cs="宋体"/>
                <w:sz w:val="18"/>
                <w:szCs w:val="18"/>
                <w:highlight w:val="none"/>
              </w:rPr>
              <w:t>拟委派得造价负责人</w:t>
            </w:r>
          </w:p>
          <w:p>
            <w:pPr>
              <w:pStyle w:val="2"/>
              <w:shd w:val="clear"/>
              <w:rPr>
                <w:rFonts w:hint="eastAsia" w:ascii="宋体" w:hAnsi="宋体" w:eastAsia="宋体" w:cs="宋体"/>
                <w:sz w:val="18"/>
                <w:szCs w:val="18"/>
                <w:highlight w:val="none"/>
              </w:rPr>
            </w:pPr>
            <w:r>
              <w:rPr>
                <w:rFonts w:hint="eastAsia" w:ascii="宋体" w:hAnsi="宋体" w:eastAsia="宋体" w:cs="宋体"/>
                <w:sz w:val="18"/>
                <w:szCs w:val="18"/>
                <w:highlight w:val="none"/>
              </w:rPr>
              <w:t>1、具有工程造价高级（或以上）技术职称的得5分，具有工程造价中级技术职称的得2.5分；</w:t>
            </w:r>
          </w:p>
          <w:p>
            <w:pPr>
              <w:pStyle w:val="2"/>
              <w:shd w:val="clear"/>
              <w:rPr>
                <w:rFonts w:hint="eastAsia" w:ascii="宋体" w:hAnsi="宋体" w:eastAsia="宋体" w:cs="宋体"/>
                <w:sz w:val="18"/>
                <w:szCs w:val="18"/>
                <w:highlight w:val="none"/>
              </w:rPr>
            </w:pPr>
            <w:r>
              <w:rPr>
                <w:rFonts w:hint="eastAsia" w:ascii="宋体" w:hAnsi="宋体" w:eastAsia="宋体" w:cs="宋体"/>
                <w:sz w:val="18"/>
                <w:szCs w:val="18"/>
                <w:highlight w:val="none"/>
              </w:rPr>
              <w:t>2、具备一级注册造价工程师资格（含按照《造价工程师职业资格制度规定》的规定，根据原人事部、原建设部发布的《造价工程师执业资格制度暂行规定》（人发〔1996〕77号）取得的造价工程师执业资格，并经注册且在有效期内的，等同于一级注册造价工程师。）的得5分；具备二级注册造价工程师资格的，得2.5分；</w:t>
            </w:r>
          </w:p>
          <w:p>
            <w:pPr>
              <w:pStyle w:val="2"/>
              <w:shd w:val="clear"/>
              <w:rPr>
                <w:rFonts w:hint="eastAsia" w:ascii="宋体" w:hAnsi="宋体" w:eastAsia="宋体" w:cs="宋体"/>
                <w:sz w:val="18"/>
                <w:szCs w:val="18"/>
                <w:highlight w:val="none"/>
              </w:rPr>
            </w:pPr>
            <w:r>
              <w:rPr>
                <w:rFonts w:hint="eastAsia" w:ascii="宋体" w:hAnsi="宋体" w:eastAsia="宋体" w:cs="宋体"/>
                <w:sz w:val="18"/>
                <w:szCs w:val="18"/>
                <w:highlight w:val="none"/>
              </w:rPr>
              <w:t>最多得10分。</w:t>
            </w:r>
          </w:p>
          <w:p>
            <w:pPr>
              <w:pStyle w:val="2"/>
              <w:shd w:val="clear"/>
              <w:rPr>
                <w:rFonts w:hint="eastAsia" w:ascii="宋体" w:hAnsi="宋体" w:eastAsia="宋体" w:cs="宋体"/>
                <w:sz w:val="18"/>
                <w:szCs w:val="18"/>
                <w:highlight w:val="none"/>
              </w:rPr>
            </w:pPr>
            <w:r>
              <w:rPr>
                <w:rFonts w:hint="eastAsia" w:ascii="宋体" w:hAnsi="宋体" w:eastAsia="宋体" w:cs="宋体"/>
                <w:sz w:val="18"/>
                <w:szCs w:val="18"/>
                <w:highlight w:val="none"/>
              </w:rPr>
              <w:t>注：①提供职称证书扫描件作为证明材料，否则第1项不得分；职称证书以地市级以上人社部门核发为准，若不是人社部门核发的职称证书，投标人应同时提供地市级以上人社部门委托核发机构开展职称评审工作的证明文件或其他可由该机构核发的政策文件依据，或在人社部门专业技术人才职称管理系统登记的信息记录网页及截图，否则，对该职称证书不予认可；</w:t>
            </w:r>
          </w:p>
          <w:p>
            <w:pPr>
              <w:pStyle w:val="2"/>
              <w:shd w:val="clear"/>
              <w:rPr>
                <w:rFonts w:hint="eastAsia" w:ascii="宋体" w:hAnsi="宋体" w:eastAsia="宋体" w:cs="宋体"/>
                <w:sz w:val="18"/>
                <w:szCs w:val="18"/>
                <w:highlight w:val="none"/>
              </w:rPr>
            </w:pPr>
            <w:r>
              <w:rPr>
                <w:rFonts w:hint="eastAsia" w:ascii="宋体" w:hAnsi="宋体" w:eastAsia="宋体" w:cs="宋体"/>
                <w:sz w:val="18"/>
                <w:szCs w:val="18"/>
                <w:highlight w:val="none"/>
              </w:rPr>
              <w:t>②提供注册证书扫描件，否则第2项不得分；</w:t>
            </w:r>
          </w:p>
          <w:p>
            <w:pPr>
              <w:pStyle w:val="2"/>
              <w:shd w:val="clear"/>
              <w:rPr>
                <w:rFonts w:hint="eastAsia" w:ascii="宋体" w:hAnsi="宋体" w:eastAsia="宋体" w:cs="宋体"/>
                <w:sz w:val="18"/>
                <w:szCs w:val="18"/>
                <w:highlight w:val="none"/>
              </w:rPr>
            </w:pPr>
            <w:r>
              <w:rPr>
                <w:rFonts w:hint="eastAsia" w:ascii="宋体" w:hAnsi="宋体" w:eastAsia="宋体" w:cs="宋体"/>
                <w:sz w:val="18"/>
                <w:szCs w:val="18"/>
                <w:highlight w:val="none"/>
              </w:rPr>
              <w:t>③本项最高得10分。</w:t>
            </w:r>
          </w:p>
        </w:tc>
        <w:tc>
          <w:tcPr>
            <w:tcW w:w="6445" w:type="dxa"/>
            <w:noWrap w:val="0"/>
            <w:vAlign w:val="center"/>
          </w:tcPr>
          <w:p>
            <w:pPr>
              <w:pStyle w:val="2"/>
              <w:shd w:val="clear"/>
              <w:rPr>
                <w:rFonts w:hint="eastAsia" w:ascii="宋体" w:hAnsi="宋体" w:eastAsia="宋体" w:cs="宋体"/>
                <w:sz w:val="18"/>
                <w:szCs w:val="18"/>
                <w:highlight w:val="none"/>
              </w:rPr>
            </w:pPr>
            <w:r>
              <w:rPr>
                <w:rFonts w:hint="eastAsia" w:ascii="宋体" w:hAnsi="宋体" w:eastAsia="宋体" w:cs="宋体"/>
                <w:sz w:val="18"/>
                <w:szCs w:val="18"/>
                <w:highlight w:val="none"/>
              </w:rPr>
              <w:t>拟委派</w:t>
            </w:r>
            <w:r>
              <w:rPr>
                <w:rFonts w:hint="eastAsia" w:hAnsi="宋体" w:cs="宋体"/>
                <w:sz w:val="18"/>
                <w:szCs w:val="18"/>
                <w:highlight w:val="none"/>
                <w:lang w:val="en-US" w:eastAsia="zh-CN"/>
              </w:rPr>
              <w:t>的</w:t>
            </w:r>
            <w:r>
              <w:rPr>
                <w:rFonts w:hint="eastAsia" w:ascii="宋体" w:hAnsi="宋体" w:eastAsia="宋体" w:cs="宋体"/>
                <w:sz w:val="18"/>
                <w:szCs w:val="18"/>
                <w:highlight w:val="none"/>
              </w:rPr>
              <w:t>造价负责人</w:t>
            </w:r>
          </w:p>
          <w:p>
            <w:pPr>
              <w:pStyle w:val="2"/>
              <w:shd w:val="clear"/>
              <w:rPr>
                <w:rFonts w:hint="eastAsia" w:ascii="宋体" w:hAnsi="宋体" w:eastAsia="宋体" w:cs="宋体"/>
                <w:sz w:val="18"/>
                <w:szCs w:val="18"/>
                <w:highlight w:val="none"/>
              </w:rPr>
            </w:pPr>
            <w:r>
              <w:rPr>
                <w:rFonts w:hint="eastAsia" w:ascii="宋体" w:hAnsi="宋体" w:eastAsia="宋体" w:cs="宋体"/>
                <w:sz w:val="18"/>
                <w:szCs w:val="18"/>
                <w:highlight w:val="none"/>
              </w:rPr>
              <w:t>1、具有工程造价</w:t>
            </w:r>
            <w:r>
              <w:rPr>
                <w:rFonts w:hint="eastAsia" w:ascii="宋体" w:hAnsi="宋体" w:eastAsia="宋体" w:cs="宋体"/>
                <w:b/>
                <w:bCs/>
                <w:sz w:val="18"/>
                <w:szCs w:val="18"/>
                <w:highlight w:val="none"/>
                <w:u w:val="single"/>
              </w:rPr>
              <w:t>类</w:t>
            </w:r>
            <w:r>
              <w:rPr>
                <w:rFonts w:hint="eastAsia" w:ascii="宋体" w:hAnsi="宋体" w:eastAsia="宋体" w:cs="宋体"/>
                <w:sz w:val="18"/>
                <w:szCs w:val="18"/>
                <w:highlight w:val="none"/>
              </w:rPr>
              <w:t>高级（或以上）技术职称的得5分，具有工程造价</w:t>
            </w:r>
            <w:r>
              <w:rPr>
                <w:rFonts w:hint="eastAsia" w:ascii="宋体" w:hAnsi="宋体" w:eastAsia="宋体" w:cs="宋体"/>
                <w:b/>
                <w:bCs/>
                <w:sz w:val="18"/>
                <w:szCs w:val="18"/>
                <w:highlight w:val="none"/>
                <w:u w:val="single"/>
              </w:rPr>
              <w:t>类</w:t>
            </w:r>
            <w:r>
              <w:rPr>
                <w:rFonts w:hint="eastAsia" w:ascii="宋体" w:hAnsi="宋体" w:eastAsia="宋体" w:cs="宋体"/>
                <w:sz w:val="18"/>
                <w:szCs w:val="18"/>
                <w:highlight w:val="none"/>
              </w:rPr>
              <w:t>中级技术职称的得2.5分；</w:t>
            </w:r>
          </w:p>
          <w:p>
            <w:pPr>
              <w:pStyle w:val="2"/>
              <w:shd w:val="clear"/>
              <w:rPr>
                <w:rFonts w:hint="eastAsia" w:ascii="宋体" w:hAnsi="宋体" w:eastAsia="宋体" w:cs="宋体"/>
                <w:sz w:val="18"/>
                <w:szCs w:val="18"/>
                <w:highlight w:val="none"/>
              </w:rPr>
            </w:pPr>
            <w:r>
              <w:rPr>
                <w:rFonts w:hint="eastAsia" w:ascii="宋体" w:hAnsi="宋体" w:eastAsia="宋体" w:cs="宋体"/>
                <w:sz w:val="18"/>
                <w:szCs w:val="18"/>
                <w:highlight w:val="none"/>
              </w:rPr>
              <w:t>2、具备一级注册造价工程师资格（含按照《造价工程师职业资格制度规定》的规定，根据原人事部、原建设部发布的《造价工程师执业资格制度暂行规定》（人发〔1996〕77号）取得的造价工程师执业资格，并经注册且在有效期内的，等同于一级注册造价工程师。）的得5分；具备二级注册造价工程师资格的，得2.5分；</w:t>
            </w:r>
          </w:p>
          <w:p>
            <w:pPr>
              <w:pStyle w:val="2"/>
              <w:shd w:val="clear"/>
              <w:rPr>
                <w:rFonts w:hint="eastAsia" w:ascii="宋体" w:hAnsi="宋体" w:eastAsia="宋体" w:cs="宋体"/>
                <w:sz w:val="18"/>
                <w:szCs w:val="18"/>
                <w:highlight w:val="none"/>
              </w:rPr>
            </w:pPr>
            <w:r>
              <w:rPr>
                <w:rFonts w:hint="eastAsia" w:ascii="宋体" w:hAnsi="宋体" w:eastAsia="宋体" w:cs="宋体"/>
                <w:sz w:val="18"/>
                <w:szCs w:val="18"/>
                <w:highlight w:val="none"/>
              </w:rPr>
              <w:t>最多得10分。</w:t>
            </w:r>
          </w:p>
          <w:p>
            <w:pPr>
              <w:pStyle w:val="2"/>
              <w:shd w:val="clear"/>
              <w:rPr>
                <w:rFonts w:hint="eastAsia" w:ascii="宋体" w:hAnsi="宋体" w:eastAsia="宋体" w:cs="宋体"/>
                <w:sz w:val="18"/>
                <w:szCs w:val="18"/>
                <w:highlight w:val="none"/>
              </w:rPr>
            </w:pPr>
            <w:r>
              <w:rPr>
                <w:rFonts w:hint="eastAsia" w:ascii="宋体" w:hAnsi="宋体" w:eastAsia="宋体" w:cs="宋体"/>
                <w:sz w:val="18"/>
                <w:szCs w:val="18"/>
                <w:highlight w:val="none"/>
              </w:rPr>
              <w:t>注：①提供职称证书扫描件作为证明材料，否则第1项不得分；职称证书以地市级以上人社部门核发为准，若不是人社部门核发的职称证书，投标人应同时提供地市级以上人社部门委托核发机构开展职称评审工作的证明文件或其他可由该机构核发的政策文件依据，或在人社部门专业技术人才职称管理系统登记的信息记录网页及截图，否则，对该职称证书不予认可；</w:t>
            </w:r>
          </w:p>
          <w:p>
            <w:pPr>
              <w:pStyle w:val="2"/>
              <w:shd w:val="clear"/>
              <w:rPr>
                <w:rFonts w:hint="eastAsia" w:ascii="宋体" w:hAnsi="宋体" w:eastAsia="宋体" w:cs="宋体"/>
                <w:sz w:val="18"/>
                <w:szCs w:val="18"/>
                <w:highlight w:val="none"/>
              </w:rPr>
            </w:pPr>
            <w:r>
              <w:rPr>
                <w:rFonts w:hint="eastAsia" w:ascii="宋体" w:hAnsi="宋体" w:eastAsia="宋体" w:cs="宋体"/>
                <w:sz w:val="18"/>
                <w:szCs w:val="18"/>
                <w:highlight w:val="none"/>
              </w:rPr>
              <w:t>②提供注册证书扫描件，否则第2项不得分；</w:t>
            </w:r>
          </w:p>
          <w:p>
            <w:pPr>
              <w:pStyle w:val="2"/>
              <w:shd w:val="clear"/>
              <w:rPr>
                <w:rFonts w:hint="eastAsia" w:ascii="宋体" w:hAnsi="宋体" w:eastAsia="宋体" w:cs="宋体"/>
                <w:sz w:val="18"/>
                <w:szCs w:val="18"/>
                <w:highlight w:val="none"/>
              </w:rPr>
            </w:pPr>
            <w:r>
              <w:rPr>
                <w:rFonts w:hint="eastAsia" w:ascii="宋体" w:hAnsi="宋体" w:eastAsia="宋体" w:cs="宋体"/>
                <w:sz w:val="18"/>
                <w:szCs w:val="18"/>
                <w:highlight w:val="none"/>
              </w:rPr>
              <w:t>③本项最高得10分。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6" w:type="dxa"/>
            <w:noWrap w:val="0"/>
            <w:vAlign w:val="center"/>
          </w:tcPr>
          <w:p>
            <w:pPr>
              <w:shd w:val="clear"/>
              <w:spacing w:line="276"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招标文件附表四《技术标详细审查评分表》</w:t>
            </w:r>
          </w:p>
          <w:p>
            <w:pPr>
              <w:shd w:val="clear"/>
              <w:spacing w:line="276"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“工程获奖”</w:t>
            </w:r>
          </w:p>
        </w:tc>
        <w:tc>
          <w:tcPr>
            <w:tcW w:w="6374" w:type="dxa"/>
            <w:noWrap w:val="0"/>
            <w:vAlign w:val="center"/>
          </w:tcPr>
          <w:p>
            <w:pPr>
              <w:pStyle w:val="2"/>
              <w:shd w:val="clear"/>
              <w:rPr>
                <w:rFonts w:hint="eastAsia" w:ascii="宋体" w:hAnsi="宋体" w:eastAsia="宋体" w:cs="宋体"/>
                <w:sz w:val="18"/>
                <w:szCs w:val="18"/>
                <w:highlight w:val="none"/>
              </w:rPr>
            </w:pPr>
            <w:r>
              <w:rPr>
                <w:rFonts w:hint="eastAsia" w:ascii="宋体" w:hAnsi="宋体" w:eastAsia="宋体" w:cs="宋体"/>
                <w:sz w:val="18"/>
                <w:szCs w:val="18"/>
                <w:highlight w:val="none"/>
              </w:rPr>
              <w:t>投标人2019年1月1日至投标截止时间止，承接的房屋建筑工程施工总承包或工程总承包项目：</w:t>
            </w:r>
          </w:p>
          <w:p>
            <w:pPr>
              <w:pStyle w:val="2"/>
              <w:shd w:val="clear"/>
              <w:rPr>
                <w:rFonts w:hint="eastAsia" w:ascii="宋体" w:hAnsi="宋体" w:eastAsia="宋体" w:cs="宋体"/>
                <w:sz w:val="18"/>
                <w:szCs w:val="18"/>
                <w:highlight w:val="none"/>
              </w:rPr>
            </w:pPr>
            <w:r>
              <w:rPr>
                <w:rFonts w:hint="eastAsia" w:ascii="宋体" w:hAnsi="宋体" w:eastAsia="宋体" w:cs="宋体"/>
                <w:sz w:val="18"/>
                <w:szCs w:val="18"/>
                <w:highlight w:val="none"/>
              </w:rPr>
              <w:t>获得过市级或以上质量奖或安全奖项的，1项得0.5分。</w:t>
            </w:r>
          </w:p>
          <w:p>
            <w:pPr>
              <w:pStyle w:val="2"/>
              <w:shd w:val="clear"/>
              <w:rPr>
                <w:rFonts w:hint="eastAsia" w:ascii="宋体" w:hAnsi="宋体" w:eastAsia="宋体" w:cs="宋体"/>
                <w:sz w:val="18"/>
                <w:szCs w:val="18"/>
                <w:highlight w:val="none"/>
              </w:rPr>
            </w:pPr>
            <w:r>
              <w:rPr>
                <w:rFonts w:hint="eastAsia" w:ascii="宋体" w:hAnsi="宋体" w:eastAsia="宋体" w:cs="宋体"/>
                <w:sz w:val="18"/>
                <w:szCs w:val="18"/>
                <w:highlight w:val="none"/>
              </w:rPr>
              <w:t>本项最多得8分。</w:t>
            </w:r>
          </w:p>
        </w:tc>
        <w:tc>
          <w:tcPr>
            <w:tcW w:w="6445" w:type="dxa"/>
            <w:noWrap w:val="0"/>
            <w:vAlign w:val="center"/>
          </w:tcPr>
          <w:p>
            <w:pPr>
              <w:pStyle w:val="2"/>
              <w:shd w:val="clear"/>
              <w:rPr>
                <w:rFonts w:hint="eastAsia" w:ascii="宋体" w:hAnsi="宋体" w:eastAsia="宋体" w:cs="宋体"/>
                <w:sz w:val="18"/>
                <w:szCs w:val="18"/>
                <w:highlight w:val="none"/>
              </w:rPr>
            </w:pPr>
            <w:r>
              <w:rPr>
                <w:rFonts w:hint="eastAsia" w:ascii="宋体" w:hAnsi="宋体" w:eastAsia="宋体" w:cs="宋体"/>
                <w:sz w:val="18"/>
                <w:szCs w:val="18"/>
                <w:highlight w:val="none"/>
              </w:rPr>
              <w:t>投标人2019年1月1日至投标截止时间止，承接的</w:t>
            </w:r>
            <w:r>
              <w:rPr>
                <w:rFonts w:hint="eastAsia" w:ascii="宋体" w:hAnsi="宋体" w:eastAsia="宋体" w:cs="宋体"/>
                <w:b/>
                <w:bCs/>
                <w:sz w:val="18"/>
                <w:szCs w:val="18"/>
                <w:highlight w:val="none"/>
              </w:rPr>
              <w:t>房屋建筑工程施工总承包项目</w:t>
            </w:r>
            <w:r>
              <w:rPr>
                <w:rFonts w:hint="eastAsia" w:ascii="宋体" w:hAnsi="宋体" w:eastAsia="宋体" w:cs="宋体"/>
                <w:sz w:val="18"/>
                <w:szCs w:val="18"/>
                <w:highlight w:val="none"/>
              </w:rPr>
              <w:t>：</w:t>
            </w:r>
          </w:p>
          <w:p>
            <w:pPr>
              <w:pStyle w:val="2"/>
              <w:shd w:val="clear"/>
              <w:rPr>
                <w:rFonts w:hint="eastAsia" w:ascii="宋体" w:hAnsi="宋体" w:eastAsia="宋体" w:cs="宋体"/>
                <w:sz w:val="18"/>
                <w:szCs w:val="18"/>
                <w:highlight w:val="none"/>
              </w:rPr>
            </w:pPr>
            <w:r>
              <w:rPr>
                <w:rFonts w:hint="eastAsia" w:ascii="宋体" w:hAnsi="宋体" w:eastAsia="宋体" w:cs="宋体"/>
                <w:sz w:val="18"/>
                <w:szCs w:val="18"/>
                <w:highlight w:val="none"/>
              </w:rPr>
              <w:t>获得过市级或以上质量奖或安全奖项的，1项得0.5分。</w:t>
            </w:r>
          </w:p>
          <w:p>
            <w:pPr>
              <w:pStyle w:val="2"/>
              <w:shd w:val="clear"/>
              <w:rPr>
                <w:rFonts w:hint="eastAsia" w:ascii="宋体" w:hAnsi="宋体" w:eastAsia="宋体" w:cs="宋体"/>
                <w:sz w:val="18"/>
                <w:szCs w:val="18"/>
                <w:highlight w:val="none"/>
              </w:rPr>
            </w:pPr>
            <w:r>
              <w:rPr>
                <w:rFonts w:hint="eastAsia" w:ascii="宋体" w:hAnsi="宋体" w:eastAsia="宋体" w:cs="宋体"/>
                <w:sz w:val="18"/>
                <w:szCs w:val="18"/>
                <w:highlight w:val="none"/>
              </w:rPr>
              <w:t>本项最多得8分。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5" w:hRule="atLeast"/>
        </w:trPr>
        <w:tc>
          <w:tcPr>
            <w:tcW w:w="1606" w:type="dxa"/>
            <w:noWrap w:val="0"/>
            <w:vAlign w:val="center"/>
          </w:tcPr>
          <w:p>
            <w:pPr>
              <w:shd w:val="clear"/>
              <w:spacing w:line="276"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招标文件附表四《技术标详细审查评分表》</w:t>
            </w:r>
          </w:p>
          <w:p>
            <w:pPr>
              <w:shd w:val="clear"/>
              <w:spacing w:line="276"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w:t>
            </w:r>
            <w:r>
              <w:rPr>
                <w:rFonts w:hint="eastAsia" w:ascii="宋体" w:hAnsi="宋体" w:eastAsia="宋体" w:cs="宋体"/>
                <w:sz w:val="18"/>
                <w:szCs w:val="18"/>
                <w:highlight w:val="none"/>
                <w:lang w:val="en-US" w:eastAsia="zh-CN"/>
              </w:rPr>
              <w:t>注</w:t>
            </w:r>
            <w:r>
              <w:rPr>
                <w:rFonts w:hint="eastAsia" w:ascii="宋体" w:hAnsi="宋体" w:cs="宋体"/>
                <w:sz w:val="18"/>
                <w:szCs w:val="18"/>
                <w:highlight w:val="none"/>
                <w:lang w:val="en-US" w:eastAsia="zh-CN"/>
              </w:rPr>
              <w:t>2</w:t>
            </w:r>
            <w:r>
              <w:rPr>
                <w:rFonts w:hint="eastAsia" w:ascii="宋体" w:hAnsi="宋体" w:eastAsia="宋体" w:cs="宋体"/>
                <w:sz w:val="18"/>
                <w:szCs w:val="18"/>
                <w:highlight w:val="none"/>
              </w:rPr>
              <w:t>”</w:t>
            </w:r>
          </w:p>
        </w:tc>
        <w:tc>
          <w:tcPr>
            <w:tcW w:w="6374" w:type="dxa"/>
            <w:noWrap w:val="0"/>
            <w:vAlign w:val="center"/>
          </w:tcPr>
          <w:p>
            <w:pPr>
              <w:shd w:val="clear"/>
              <w:rPr>
                <w:rFonts w:hint="eastAsia"/>
                <w:color w:val="000000"/>
                <w:sz w:val="18"/>
                <w:szCs w:val="18"/>
                <w:highlight w:val="none"/>
                <w:lang w:val="en-US" w:eastAsia="zh-CN"/>
              </w:rPr>
            </w:pPr>
            <w:r>
              <w:rPr>
                <w:rFonts w:hint="eastAsia"/>
                <w:color w:val="000000"/>
                <w:sz w:val="18"/>
                <w:szCs w:val="18"/>
                <w:highlight w:val="none"/>
                <w:lang w:val="en-US" w:eastAsia="zh-CN"/>
              </w:rPr>
              <w:t>2、【</w:t>
            </w:r>
            <w:r>
              <w:rPr>
                <w:rFonts w:hint="eastAsia" w:eastAsia="宋体"/>
                <w:sz w:val="18"/>
                <w:szCs w:val="18"/>
                <w:highlight w:val="none"/>
              </w:rPr>
              <w:t>企业类似工程业绩</w:t>
            </w:r>
            <w:r>
              <w:rPr>
                <w:rFonts w:hint="eastAsia"/>
                <w:color w:val="000000"/>
                <w:sz w:val="18"/>
                <w:szCs w:val="18"/>
                <w:highlight w:val="none"/>
                <w:lang w:val="en-US" w:eastAsia="zh-CN"/>
              </w:rPr>
              <w:t>】：类似工程业绩指单项工程造价为900万元或以上的建筑工程施工总承包项目。</w:t>
            </w:r>
          </w:p>
          <w:p>
            <w:pPr>
              <w:shd w:val="clear"/>
              <w:rPr>
                <w:rFonts w:hint="eastAsia" w:ascii="宋体" w:hAnsi="宋体" w:eastAsia="宋体" w:cs="宋体"/>
                <w:sz w:val="18"/>
                <w:szCs w:val="18"/>
                <w:highlight w:val="none"/>
                <w:lang w:val="en-US" w:eastAsia="zh-CN" w:bidi="zh-TW"/>
              </w:rPr>
            </w:pPr>
            <w:r>
              <w:rPr>
                <w:rFonts w:hint="eastAsia" w:ascii="宋体" w:hAnsi="宋体" w:eastAsia="宋体" w:cs="宋体"/>
                <w:sz w:val="18"/>
                <w:szCs w:val="18"/>
                <w:highlight w:val="none"/>
                <w:lang w:val="en-US" w:eastAsia="zh-CN" w:bidi="zh-TW"/>
              </w:rPr>
              <w:t>业绩取自广州市住建行业信用管理平台。投标人须提供类似</w:t>
            </w:r>
            <w:r>
              <w:rPr>
                <w:rFonts w:hint="eastAsia" w:ascii="宋体" w:hAnsi="宋体" w:cs="宋体"/>
                <w:sz w:val="18"/>
                <w:szCs w:val="18"/>
                <w:highlight w:val="none"/>
                <w:lang w:val="en-US" w:eastAsia="zh-CN" w:bidi="zh-TW"/>
              </w:rPr>
              <w:t>工程</w:t>
            </w:r>
            <w:r>
              <w:rPr>
                <w:rFonts w:hint="eastAsia" w:ascii="宋体" w:hAnsi="宋体" w:eastAsia="宋体" w:cs="宋体"/>
                <w:sz w:val="18"/>
                <w:szCs w:val="18"/>
                <w:highlight w:val="none"/>
                <w:lang w:val="en-US" w:eastAsia="zh-CN" w:bidi="zh-TW"/>
              </w:rPr>
              <w:t>业绩的项目名称及业绩在广州市住建行业信用管理平台中项目编号、相应业绩在广州市住建行业信用管理平台的网页信息截图（网页信息截图须为能清晰显示该业绩在广州市住建行业信用管理平台内的页面，即需同时包含“项目基本信息”、“工程规模”、“工程对应的企业资质”、“电子材料”等信息的页面）。不提供项目名称及项目编号、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w:t>
            </w:r>
            <w:r>
              <w:rPr>
                <w:rFonts w:hint="eastAsia" w:ascii="宋体" w:hAnsi="宋体" w:cs="宋体"/>
                <w:sz w:val="18"/>
                <w:szCs w:val="18"/>
                <w:highlight w:val="none"/>
                <w:lang w:val="en-US" w:eastAsia="zh-CN" w:bidi="zh-TW"/>
              </w:rPr>
              <w:t>投标人</w:t>
            </w:r>
            <w:r>
              <w:rPr>
                <w:rFonts w:hint="eastAsia" w:ascii="宋体" w:hAnsi="宋体" w:eastAsia="宋体" w:cs="宋体"/>
                <w:sz w:val="18"/>
                <w:szCs w:val="18"/>
                <w:highlight w:val="none"/>
                <w:lang w:val="en-US" w:eastAsia="zh-CN" w:bidi="zh-TW"/>
              </w:rPr>
              <w:t>在平台内业绩上传件为依据（投标文件中可不需重复提交相关业绩上传件）。</w:t>
            </w:r>
          </w:p>
          <w:p>
            <w:pPr>
              <w:shd w:val="clear"/>
              <w:rPr>
                <w:rFonts w:hint="eastAsia"/>
                <w:color w:val="000000"/>
                <w:sz w:val="18"/>
                <w:szCs w:val="18"/>
                <w:highlight w:val="none"/>
                <w:lang w:val="en-US" w:eastAsia="zh-CN"/>
              </w:rPr>
            </w:pPr>
            <w:r>
              <w:rPr>
                <w:rFonts w:hint="eastAsia"/>
                <w:color w:val="000000"/>
                <w:sz w:val="18"/>
                <w:szCs w:val="18"/>
                <w:highlight w:val="none"/>
                <w:lang w:val="en-US" w:eastAsia="zh-CN"/>
              </w:rPr>
              <w:t>（1）金额以中标通知书为准，中标通知书上没有金额或免招标的，以施工合同（不含补充合同）为准。</w:t>
            </w:r>
          </w:p>
          <w:p>
            <w:pPr>
              <w:shd w:val="clear"/>
              <w:rPr>
                <w:rFonts w:hint="eastAsia"/>
                <w:color w:val="000000"/>
                <w:sz w:val="18"/>
                <w:szCs w:val="18"/>
                <w:highlight w:val="none"/>
                <w:lang w:val="en-US" w:eastAsia="zh-CN"/>
              </w:rPr>
            </w:pPr>
            <w:r>
              <w:rPr>
                <w:rFonts w:hint="eastAsia"/>
                <w:color w:val="000000"/>
                <w:sz w:val="18"/>
                <w:szCs w:val="18"/>
                <w:highlight w:val="none"/>
                <w:lang w:val="en-US" w:eastAsia="zh-CN"/>
              </w:rPr>
              <w:t>（2）完成时间以竣工验收文件为准。验收文件至少具有建设单位、设计、施工和监理单位盖章。</w:t>
            </w:r>
          </w:p>
          <w:p>
            <w:pPr>
              <w:shd w:val="clear"/>
              <w:rPr>
                <w:rFonts w:hint="eastAsia"/>
                <w:color w:val="000000"/>
                <w:sz w:val="18"/>
                <w:szCs w:val="18"/>
                <w:highlight w:val="none"/>
                <w:lang w:val="en-US" w:eastAsia="zh-CN"/>
              </w:rPr>
            </w:pPr>
            <w:r>
              <w:rPr>
                <w:rFonts w:hint="eastAsia"/>
                <w:color w:val="000000"/>
                <w:sz w:val="18"/>
                <w:szCs w:val="18"/>
                <w:highlight w:val="none"/>
                <w:lang w:val="en-US" w:eastAsia="zh-CN"/>
              </w:rPr>
              <w:t>（3）平台内业绩上传件不符合上述要求的或登记的工程资质内容与施工合同等业绩证明资料不相符的，该项业绩不予认定。</w:t>
            </w:r>
          </w:p>
          <w:p>
            <w:pPr>
              <w:pStyle w:val="2"/>
              <w:shd w:val="clear"/>
              <w:rPr>
                <w:rFonts w:hint="eastAsia" w:asciiTheme="minorEastAsia" w:hAnsiTheme="minorEastAsia" w:eastAsiaTheme="minorEastAsia" w:cstheme="minorEastAsia"/>
                <w:sz w:val="18"/>
                <w:szCs w:val="18"/>
                <w:highlight w:val="none"/>
              </w:rPr>
            </w:pPr>
          </w:p>
        </w:tc>
        <w:tc>
          <w:tcPr>
            <w:tcW w:w="6445" w:type="dxa"/>
            <w:noWrap w:val="0"/>
            <w:vAlign w:val="center"/>
          </w:tcPr>
          <w:p>
            <w:pPr>
              <w:shd w:val="clear"/>
              <w:rPr>
                <w:rFonts w:hint="eastAsia"/>
                <w:color w:val="000000"/>
                <w:sz w:val="18"/>
                <w:szCs w:val="18"/>
                <w:highlight w:val="none"/>
                <w:lang w:val="en-US" w:eastAsia="zh-CN"/>
              </w:rPr>
            </w:pPr>
            <w:r>
              <w:rPr>
                <w:rFonts w:hint="eastAsia"/>
                <w:color w:val="000000"/>
                <w:sz w:val="18"/>
                <w:szCs w:val="18"/>
                <w:highlight w:val="none"/>
                <w:lang w:val="en-US" w:eastAsia="zh-CN"/>
              </w:rPr>
              <w:t>2、【</w:t>
            </w:r>
            <w:r>
              <w:rPr>
                <w:rFonts w:hint="eastAsia" w:eastAsia="宋体"/>
                <w:sz w:val="18"/>
                <w:szCs w:val="18"/>
                <w:highlight w:val="none"/>
              </w:rPr>
              <w:t>企业类似工程业绩</w:t>
            </w:r>
            <w:r>
              <w:rPr>
                <w:rFonts w:hint="eastAsia"/>
                <w:color w:val="000000"/>
                <w:sz w:val="18"/>
                <w:szCs w:val="18"/>
                <w:highlight w:val="none"/>
                <w:lang w:val="en-US" w:eastAsia="zh-CN"/>
              </w:rPr>
              <w:t>】：类似工程业绩指单项工程造价为900万元或以上的</w:t>
            </w:r>
            <w:r>
              <w:rPr>
                <w:rFonts w:hint="eastAsia"/>
                <w:b/>
                <w:bCs/>
                <w:color w:val="000000"/>
                <w:sz w:val="18"/>
                <w:szCs w:val="18"/>
                <w:highlight w:val="none"/>
                <w:lang w:val="en-US" w:eastAsia="zh-CN"/>
              </w:rPr>
              <w:t>房屋</w:t>
            </w:r>
            <w:r>
              <w:rPr>
                <w:rFonts w:hint="eastAsia"/>
                <w:color w:val="000000"/>
                <w:sz w:val="18"/>
                <w:szCs w:val="18"/>
                <w:highlight w:val="none"/>
                <w:lang w:val="en-US" w:eastAsia="zh-CN"/>
              </w:rPr>
              <w:t>建筑工程施工总承包项目。</w:t>
            </w:r>
          </w:p>
          <w:p>
            <w:pPr>
              <w:shd w:val="clear"/>
              <w:rPr>
                <w:rFonts w:hint="eastAsia" w:ascii="宋体" w:hAnsi="宋体" w:eastAsia="宋体" w:cs="宋体"/>
                <w:sz w:val="18"/>
                <w:szCs w:val="18"/>
                <w:highlight w:val="none"/>
                <w:lang w:val="en-US" w:eastAsia="zh-CN" w:bidi="zh-TW"/>
              </w:rPr>
            </w:pPr>
            <w:r>
              <w:rPr>
                <w:rFonts w:hint="eastAsia" w:ascii="宋体" w:hAnsi="宋体" w:eastAsia="宋体" w:cs="宋体"/>
                <w:sz w:val="18"/>
                <w:szCs w:val="18"/>
                <w:highlight w:val="none"/>
                <w:lang w:val="en-US" w:eastAsia="zh-CN" w:bidi="zh-TW"/>
              </w:rPr>
              <w:t>业绩取自广州市住建行业信用管理平台。投标人须提供类似</w:t>
            </w:r>
            <w:r>
              <w:rPr>
                <w:rFonts w:hint="eastAsia" w:ascii="宋体" w:hAnsi="宋体" w:cs="宋体"/>
                <w:sz w:val="18"/>
                <w:szCs w:val="18"/>
                <w:highlight w:val="none"/>
                <w:lang w:val="en-US" w:eastAsia="zh-CN" w:bidi="zh-TW"/>
              </w:rPr>
              <w:t>工程</w:t>
            </w:r>
            <w:r>
              <w:rPr>
                <w:rFonts w:hint="eastAsia" w:ascii="宋体" w:hAnsi="宋体" w:eastAsia="宋体" w:cs="宋体"/>
                <w:sz w:val="18"/>
                <w:szCs w:val="18"/>
                <w:highlight w:val="none"/>
                <w:lang w:val="en-US" w:eastAsia="zh-CN" w:bidi="zh-TW"/>
              </w:rPr>
              <w:t>业绩的项目名称及业绩在广州市住建行业信用管理平台中项目编号、相应业绩在广州市住建行业信用管理平台的网页信息截图（网页信息截图须为能清晰显示该业绩在广州市住建行业信用管理平台内的页面，即需同时包含“项目基本信息”、“工程规模”、“工程对应的企业资质”、“电子材料”等信息的页面）。不提供项目名称及项目编号、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w:t>
            </w:r>
            <w:r>
              <w:rPr>
                <w:rFonts w:hint="eastAsia" w:ascii="宋体" w:hAnsi="宋体" w:cs="宋体"/>
                <w:sz w:val="18"/>
                <w:szCs w:val="18"/>
                <w:highlight w:val="none"/>
                <w:lang w:val="en-US" w:eastAsia="zh-CN" w:bidi="zh-TW"/>
              </w:rPr>
              <w:t>投标人</w:t>
            </w:r>
            <w:r>
              <w:rPr>
                <w:rFonts w:hint="eastAsia" w:ascii="宋体" w:hAnsi="宋体" w:eastAsia="宋体" w:cs="宋体"/>
                <w:sz w:val="18"/>
                <w:szCs w:val="18"/>
                <w:highlight w:val="none"/>
                <w:lang w:val="en-US" w:eastAsia="zh-CN" w:bidi="zh-TW"/>
              </w:rPr>
              <w:t>在平台内业绩上传件为依据（投标文件中可不需重复提交相关业绩上传件）。</w:t>
            </w:r>
          </w:p>
          <w:p>
            <w:pPr>
              <w:shd w:val="clear"/>
              <w:rPr>
                <w:rFonts w:hint="eastAsia"/>
                <w:color w:val="000000"/>
                <w:sz w:val="18"/>
                <w:szCs w:val="18"/>
                <w:highlight w:val="none"/>
                <w:lang w:val="en-US" w:eastAsia="zh-CN"/>
              </w:rPr>
            </w:pPr>
            <w:r>
              <w:rPr>
                <w:rFonts w:hint="eastAsia"/>
                <w:color w:val="000000"/>
                <w:sz w:val="18"/>
                <w:szCs w:val="18"/>
                <w:highlight w:val="none"/>
                <w:lang w:val="en-US" w:eastAsia="zh-CN"/>
              </w:rPr>
              <w:t>（1）金额以中标通知书为准，中标通知书上没有金额或免招标的，以施工合同（不含补充合同）为准。</w:t>
            </w:r>
          </w:p>
          <w:p>
            <w:pPr>
              <w:shd w:val="clear"/>
              <w:rPr>
                <w:rFonts w:hint="eastAsia"/>
                <w:color w:val="000000"/>
                <w:sz w:val="18"/>
                <w:szCs w:val="18"/>
                <w:highlight w:val="none"/>
                <w:lang w:val="en-US" w:eastAsia="zh-CN"/>
              </w:rPr>
            </w:pPr>
            <w:r>
              <w:rPr>
                <w:rFonts w:hint="eastAsia"/>
                <w:color w:val="000000"/>
                <w:sz w:val="18"/>
                <w:szCs w:val="18"/>
                <w:highlight w:val="none"/>
                <w:lang w:val="en-US" w:eastAsia="zh-CN"/>
              </w:rPr>
              <w:t>（2）完成时间以竣工验收文件为准。验收文件至少具有建设单位、设计、施工和监理单位盖章。</w:t>
            </w:r>
          </w:p>
          <w:p>
            <w:pPr>
              <w:shd w:val="clear"/>
              <w:rPr>
                <w:rFonts w:hint="eastAsia"/>
                <w:color w:val="000000"/>
                <w:sz w:val="18"/>
                <w:szCs w:val="18"/>
                <w:highlight w:val="none"/>
                <w:lang w:val="en-US" w:eastAsia="zh-CN"/>
              </w:rPr>
            </w:pPr>
            <w:r>
              <w:rPr>
                <w:rFonts w:hint="eastAsia"/>
                <w:color w:val="000000"/>
                <w:sz w:val="18"/>
                <w:szCs w:val="18"/>
                <w:highlight w:val="none"/>
                <w:lang w:val="en-US" w:eastAsia="zh-CN"/>
              </w:rPr>
              <w:t>（3）平台内业绩上传件不符合上述要求的或登记的工程资质内容与施工合同等业绩证明资料不相符的，该项业绩不予认定。</w:t>
            </w:r>
          </w:p>
          <w:p>
            <w:pPr>
              <w:pStyle w:val="2"/>
              <w:shd w:val="clear"/>
              <w:rPr>
                <w:rFonts w:hint="eastAsia" w:asciiTheme="minorEastAsia" w:hAnsiTheme="minorEastAsia" w:eastAsiaTheme="minorEastAsia" w:cs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6" w:type="dxa"/>
            <w:noWrap w:val="0"/>
            <w:vAlign w:val="center"/>
          </w:tcPr>
          <w:p>
            <w:pPr>
              <w:shd w:val="clear"/>
              <w:spacing w:line="276"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招标文件附表四《技术标详细审查评分表》</w:t>
            </w:r>
          </w:p>
          <w:p>
            <w:pPr>
              <w:shd w:val="clear"/>
              <w:spacing w:line="276"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w:t>
            </w:r>
            <w:r>
              <w:rPr>
                <w:rFonts w:hint="eastAsia" w:ascii="宋体" w:hAnsi="宋体" w:eastAsia="宋体" w:cs="宋体"/>
                <w:sz w:val="18"/>
                <w:szCs w:val="18"/>
                <w:highlight w:val="none"/>
                <w:lang w:val="en-US" w:eastAsia="zh-CN"/>
              </w:rPr>
              <w:t>注3</w:t>
            </w:r>
            <w:r>
              <w:rPr>
                <w:rFonts w:hint="eastAsia" w:ascii="宋体" w:hAnsi="宋体" w:eastAsia="宋体" w:cs="宋体"/>
                <w:sz w:val="18"/>
                <w:szCs w:val="18"/>
                <w:highlight w:val="none"/>
              </w:rPr>
              <w:t>”</w:t>
            </w:r>
          </w:p>
        </w:tc>
        <w:tc>
          <w:tcPr>
            <w:tcW w:w="6374" w:type="dxa"/>
            <w:noWrap w:val="0"/>
            <w:vAlign w:val="center"/>
          </w:tcPr>
          <w:p>
            <w:pPr>
              <w:shd w:val="clear"/>
              <w:rPr>
                <w:rFonts w:hint="eastAsia"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eastAsiaTheme="minorEastAsia" w:cstheme="minorEastAsia"/>
                <w:color w:val="000000"/>
                <w:sz w:val="18"/>
                <w:szCs w:val="18"/>
                <w:highlight w:val="none"/>
                <w:lang w:val="en-US" w:eastAsia="zh-CN"/>
              </w:rPr>
              <w:t>3、【工程获奖】：①工程奖项取自广州市住建行业信用管理平台，投标人须提供相应奖项在广州市住建行业信用管理平台的网页信息截图(网页信息截图须为能清晰显示该业绩在广州市住建行业信用管理平台内的页面，即需同时包含“项目基本信息”、“奖项信息”等信息的页面)。不提供网页信息截图的奖项不予评审；评标委员会对奖项的评审以投标截止时间在平台内上传件为依据。不符合上述条件或上述资料相关信息不一致或提供的资料不齐全的获奖业绩不予评审。</w:t>
            </w:r>
          </w:p>
          <w:p>
            <w:pPr>
              <w:shd w:val="clear"/>
              <w:rPr>
                <w:rFonts w:hint="eastAsia"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eastAsiaTheme="minorEastAsia" w:cstheme="minorEastAsia"/>
                <w:color w:val="000000"/>
                <w:sz w:val="18"/>
                <w:szCs w:val="18"/>
                <w:highlight w:val="none"/>
                <w:lang w:val="en-US" w:eastAsia="zh-CN"/>
              </w:rPr>
              <w:t>②时间以获奖证书颁发时间为准；</w:t>
            </w:r>
          </w:p>
          <w:p>
            <w:pPr>
              <w:shd w:val="clear"/>
              <w:rPr>
                <w:rFonts w:hint="eastAsia"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eastAsiaTheme="minorEastAsia" w:cstheme="minorEastAsia"/>
                <w:color w:val="000000"/>
                <w:sz w:val="18"/>
                <w:szCs w:val="18"/>
                <w:highlight w:val="none"/>
                <w:lang w:val="en-US" w:eastAsia="zh-CN"/>
              </w:rPr>
              <w:t>③国家级工程质量奖项是指中国建设工程鲁班奖、中国土木工程詹天佑奖、国家优质工程金质奖、国家优质工程奖（原国家优质工程奖银质奖）。省级、市级工程质量奖项是指省级、市级行政主管部门或行业协会（行业协会须在民政管理部门登记备案，并提供其在民政管理部门登记备案查询网页信息截图）颁发的工程质量奖项，奖项不含科技类、技术类、钢结构类、装饰类、绿色施工类及“参建”类奖项。安全奖项是指建设工程项目施工安全生产标准化工地（原国家AAA级安全文明标准化诚信工地）、或省市建设行政主管部门或行业协会颁发的安全类工程奖项；</w:t>
            </w:r>
          </w:p>
          <w:p>
            <w:pPr>
              <w:shd w:val="clear"/>
              <w:rPr>
                <w:rFonts w:hint="eastAsia"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eastAsiaTheme="minorEastAsia" w:cstheme="minorEastAsia"/>
                <w:color w:val="000000"/>
                <w:sz w:val="18"/>
                <w:szCs w:val="18"/>
                <w:highlight w:val="none"/>
                <w:lang w:val="en-US" w:eastAsia="zh-CN"/>
              </w:rPr>
              <w:t>④同一工程项目获得多个奖项的，只计算其符合要求的最高奖项得分，不重复计分；</w:t>
            </w:r>
          </w:p>
          <w:p>
            <w:pPr>
              <w:shd w:val="clear"/>
              <w:rPr>
                <w:rFonts w:hint="eastAsia"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eastAsiaTheme="minorEastAsia" w:cstheme="minorEastAsia"/>
                <w:color w:val="000000"/>
                <w:sz w:val="18"/>
                <w:szCs w:val="18"/>
                <w:highlight w:val="none"/>
                <w:lang w:val="en-US" w:eastAsia="zh-CN"/>
              </w:rPr>
              <w:t>⑤只计算房屋建筑工程获奖得分，其他非房建项目，如：市政、路桥、铁路、水利、电力、化工、冶金等获奖不参与计分。</w:t>
            </w:r>
          </w:p>
          <w:p>
            <w:pPr>
              <w:pStyle w:val="2"/>
              <w:shd w:val="clear"/>
              <w:rPr>
                <w:rFonts w:hint="eastAsia" w:asciiTheme="minorEastAsia" w:hAnsiTheme="minorEastAsia" w:eastAsiaTheme="minorEastAsia" w:cstheme="minorEastAsia"/>
                <w:sz w:val="18"/>
                <w:szCs w:val="18"/>
                <w:highlight w:val="none"/>
              </w:rPr>
            </w:pPr>
          </w:p>
        </w:tc>
        <w:tc>
          <w:tcPr>
            <w:tcW w:w="6445" w:type="dxa"/>
            <w:noWrap w:val="0"/>
            <w:vAlign w:val="center"/>
          </w:tcPr>
          <w:p>
            <w:pPr>
              <w:shd w:val="clear"/>
              <w:rPr>
                <w:rFonts w:hint="eastAsia"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eastAsiaTheme="minorEastAsia" w:cstheme="minorEastAsia"/>
                <w:color w:val="000000"/>
                <w:sz w:val="18"/>
                <w:szCs w:val="18"/>
                <w:highlight w:val="none"/>
                <w:lang w:val="en-US" w:eastAsia="zh-CN"/>
              </w:rPr>
              <w:t>3、【工程获奖】：①工程奖项取自广州市住建行业信用管理平台，投标人须提供相应奖项在广州市住建行业信用管理平台的网页信息截图(网页信息截图须为能清晰显示该业绩在广州市住建行业信用管理平台内的页面，即需同时包含“项目基本信息”、“奖项信息”等信息的页面)。不提供网页信息截图的奖项不予评审；评标委员会对奖项的评审以投标截止时间在平台内上传件为依据。不符合上述条件或上述资料相关信息不一致或提供的资料不齐全的获奖业绩不予评审。</w:t>
            </w:r>
          </w:p>
          <w:p>
            <w:pPr>
              <w:shd w:val="clear"/>
              <w:rPr>
                <w:rFonts w:hint="eastAsia"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eastAsiaTheme="minorEastAsia" w:cstheme="minorEastAsia"/>
                <w:color w:val="000000"/>
                <w:sz w:val="18"/>
                <w:szCs w:val="18"/>
                <w:highlight w:val="none"/>
                <w:lang w:val="en-US" w:eastAsia="zh-CN"/>
              </w:rPr>
              <w:t>②时间以获奖证书颁发时间为准；</w:t>
            </w:r>
          </w:p>
          <w:p>
            <w:pPr>
              <w:shd w:val="clear"/>
              <w:rPr>
                <w:rFonts w:hint="eastAsia"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eastAsiaTheme="minorEastAsia" w:cstheme="minorEastAsia"/>
                <w:color w:val="000000"/>
                <w:sz w:val="18"/>
                <w:szCs w:val="18"/>
                <w:highlight w:val="none"/>
                <w:lang w:val="en-US" w:eastAsia="zh-CN"/>
              </w:rPr>
              <w:t>③国家级工程质量奖项是指中国建设工程鲁班奖、中国土木工程詹天佑奖、国家优质工程金质奖、国家优质工程奖（原国家优质工程奖银质奖）。省级、市级工程质量奖项是指省级、市级行政主管部门或行业协会（行业协会须在民政管理部门登记备案，并提供其在民政管理部门登记备案查询网页信息截图）颁发的工程质量奖项，奖项不含科技类、技术类、钢结构类、装饰类、及绿色施工类奖项。安全奖项是指建设工程项目施工安全生产标准化工地（原国家AAA级安全文明标准化诚信工地）、或省市建设行政主管部门或行业协会颁发的安全类工程奖项；</w:t>
            </w:r>
          </w:p>
          <w:p>
            <w:pPr>
              <w:shd w:val="clear"/>
              <w:rPr>
                <w:rFonts w:hint="eastAsia"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eastAsiaTheme="minorEastAsia" w:cstheme="minorEastAsia"/>
                <w:color w:val="000000"/>
                <w:sz w:val="18"/>
                <w:szCs w:val="18"/>
                <w:highlight w:val="none"/>
                <w:lang w:val="en-US" w:eastAsia="zh-CN"/>
              </w:rPr>
              <w:t>④同一工程项目获得多个奖项的，只计算其符合要求的最高奖项得分，不重复计分；</w:t>
            </w:r>
          </w:p>
          <w:p>
            <w:pPr>
              <w:shd w:val="clear"/>
              <w:rPr>
                <w:rFonts w:hint="eastAsia"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eastAsiaTheme="minorEastAsia" w:cstheme="minorEastAsia"/>
                <w:color w:val="000000"/>
                <w:sz w:val="18"/>
                <w:szCs w:val="18"/>
                <w:highlight w:val="none"/>
                <w:lang w:val="en-US" w:eastAsia="zh-CN"/>
              </w:rPr>
              <w:t>⑤只计算房屋建筑工程获奖得分，其他非房建项目，如：市政、路桥、铁路、水利、电力、化工、冶金等获奖不参与计分。</w:t>
            </w:r>
          </w:p>
          <w:p>
            <w:pPr>
              <w:pStyle w:val="2"/>
              <w:shd w:val="clear"/>
              <w:rPr>
                <w:rFonts w:hint="eastAsia" w:asciiTheme="minorEastAsia" w:hAnsiTheme="minorEastAsia" w:eastAsiaTheme="minorEastAsia" w:cstheme="minorEastAsia"/>
                <w:sz w:val="18"/>
                <w:szCs w:val="18"/>
                <w:highlight w:val="none"/>
              </w:rPr>
            </w:pPr>
          </w:p>
        </w:tc>
      </w:tr>
    </w:tbl>
    <w:p>
      <w:pPr>
        <w:widowControl/>
        <w:shd w:val="clear"/>
        <w:adjustRightInd w:val="0"/>
        <w:snapToGrid w:val="0"/>
        <w:spacing w:before="156" w:beforeLines="50" w:after="156" w:afterLines="50" w:line="360" w:lineRule="auto"/>
        <w:jc w:val="left"/>
        <w:rPr>
          <w:rFonts w:hint="eastAsia" w:ascii="宋体" w:hAnsi="宋体"/>
          <w:kern w:val="0"/>
          <w:sz w:val="24"/>
          <w:szCs w:val="24"/>
          <w:lang w:val="en-US" w:eastAsia="zh-CN"/>
        </w:rPr>
      </w:pPr>
      <w:r>
        <w:rPr>
          <w:rFonts w:hint="eastAsia" w:ascii="宋体" w:hAnsi="宋体"/>
          <w:kern w:val="0"/>
          <w:sz w:val="24"/>
          <w:szCs w:val="24"/>
        </w:rPr>
        <w:t xml:space="preserve"> </w:t>
      </w:r>
      <w:r>
        <w:rPr>
          <w:rFonts w:hint="eastAsia" w:ascii="宋体" w:hAnsi="宋体"/>
          <w:kern w:val="0"/>
          <w:sz w:val="24"/>
          <w:szCs w:val="24"/>
          <w:lang w:val="en-US" w:eastAsia="zh-CN"/>
        </w:rPr>
        <w:t xml:space="preserve"> </w:t>
      </w:r>
      <w:r>
        <w:rPr>
          <w:rFonts w:hint="eastAsia" w:ascii="宋体" w:hAnsi="宋体"/>
          <w:kern w:val="0"/>
          <w:sz w:val="18"/>
          <w:szCs w:val="18"/>
        </w:rPr>
        <w:t xml:space="preserve"> 修改后的</w:t>
      </w:r>
      <w:r>
        <w:rPr>
          <w:rFonts w:hint="eastAsia" w:ascii="宋体" w:hAnsi="宋体"/>
          <w:kern w:val="0"/>
          <w:sz w:val="18"/>
          <w:szCs w:val="18"/>
          <w:lang w:eastAsia="zh-CN"/>
        </w:rPr>
        <w:t>《技术标有效性审查表》、《经济标有效性审查表》</w:t>
      </w:r>
      <w:r>
        <w:rPr>
          <w:rFonts w:hint="eastAsia" w:ascii="宋体" w:hAnsi="宋体"/>
          <w:kern w:val="0"/>
          <w:sz w:val="18"/>
          <w:szCs w:val="18"/>
        </w:rPr>
        <w:t>《技术标详细审查评分表》详见附件。</w:t>
      </w:r>
      <w:r>
        <w:rPr>
          <w:rFonts w:hint="eastAsia" w:ascii="宋体" w:hAnsi="宋体"/>
          <w:kern w:val="0"/>
          <w:sz w:val="24"/>
          <w:szCs w:val="24"/>
          <w:lang w:val="en-US" w:eastAsia="zh-CN"/>
        </w:rPr>
        <w:t xml:space="preserve"> </w:t>
      </w:r>
    </w:p>
    <w:p>
      <w:pPr>
        <w:widowControl/>
        <w:shd w:val="clear"/>
        <w:adjustRightInd w:val="0"/>
        <w:snapToGrid w:val="0"/>
        <w:spacing w:before="156" w:beforeLines="50" w:after="156" w:afterLines="50" w:line="360" w:lineRule="auto"/>
        <w:jc w:val="left"/>
        <w:rPr>
          <w:rFonts w:hint="eastAsia" w:ascii="宋体" w:hAnsi="宋体"/>
          <w:kern w:val="0"/>
          <w:sz w:val="18"/>
          <w:szCs w:val="18"/>
        </w:rPr>
      </w:pPr>
      <w:r>
        <w:rPr>
          <w:rFonts w:hint="eastAsia" w:ascii="宋体" w:hAnsi="宋体"/>
          <w:kern w:val="0"/>
          <w:sz w:val="18"/>
          <w:szCs w:val="18"/>
        </w:rPr>
        <w:t>具体时间及场地安排请各投标人密切留意广州公共资源交易中心公布本项目的日程安排，投标人可登录广州公共资源交易中心网站首页，点击“交易业务”专栏中的“建设工程”的“项目查询”，输入项目编号或项目名称查询最新信息。</w:t>
      </w:r>
    </w:p>
    <w:p>
      <w:pPr>
        <w:widowControl/>
        <w:numPr>
          <w:ilvl w:val="0"/>
          <w:numId w:val="1"/>
        </w:numPr>
        <w:shd w:val="clear"/>
        <w:adjustRightInd w:val="0"/>
        <w:snapToGrid w:val="0"/>
        <w:spacing w:before="156" w:beforeLines="50" w:after="156" w:afterLines="50" w:line="360" w:lineRule="auto"/>
        <w:ind w:firstLine="360" w:firstLineChars="200"/>
        <w:jc w:val="left"/>
        <w:rPr>
          <w:rFonts w:hint="eastAsia" w:ascii="宋体" w:hAnsi="宋体"/>
          <w:sz w:val="24"/>
          <w:szCs w:val="24"/>
        </w:rPr>
      </w:pPr>
      <w:r>
        <w:rPr>
          <w:rFonts w:ascii="宋体" w:hAnsi="宋体"/>
          <w:kern w:val="0"/>
          <w:sz w:val="18"/>
          <w:szCs w:val="18"/>
        </w:rPr>
        <w:t>原招标公告</w:t>
      </w:r>
      <w:r>
        <w:rPr>
          <w:rFonts w:hint="eastAsia" w:ascii="宋体" w:hAnsi="宋体"/>
          <w:kern w:val="0"/>
          <w:sz w:val="18"/>
          <w:szCs w:val="18"/>
        </w:rPr>
        <w:t>、招标文件</w:t>
      </w:r>
      <w:r>
        <w:rPr>
          <w:rFonts w:ascii="宋体" w:hAnsi="宋体"/>
          <w:kern w:val="0"/>
          <w:sz w:val="18"/>
          <w:szCs w:val="18"/>
        </w:rPr>
        <w:t>内容与本补充公告内容不一致之处，以本补充公告为准，其他内容不变</w:t>
      </w:r>
      <w:r>
        <w:rPr>
          <w:rFonts w:hint="eastAsia" w:ascii="宋体" w:hAnsi="宋体"/>
          <w:kern w:val="0"/>
          <w:sz w:val="18"/>
          <w:szCs w:val="18"/>
        </w:rPr>
        <w:t>。</w:t>
      </w:r>
    </w:p>
    <w:p>
      <w:pPr>
        <w:widowControl/>
        <w:numPr>
          <w:ilvl w:val="0"/>
          <w:numId w:val="0"/>
        </w:numPr>
        <w:shd w:val="clear"/>
        <w:adjustRightInd w:val="0"/>
        <w:snapToGrid w:val="0"/>
        <w:spacing w:before="156" w:beforeLines="50" w:after="156" w:afterLines="50" w:line="360" w:lineRule="auto"/>
        <w:jc w:val="right"/>
        <w:rPr>
          <w:rFonts w:hint="eastAsia" w:ascii="宋体" w:hAnsi="宋体"/>
          <w:sz w:val="18"/>
          <w:szCs w:val="18"/>
        </w:rPr>
      </w:pPr>
      <w:r>
        <w:rPr>
          <w:rFonts w:hint="eastAsia" w:ascii="宋体" w:hAnsi="宋体"/>
          <w:sz w:val="18"/>
          <w:szCs w:val="18"/>
        </w:rPr>
        <w:t>华南理工大学</w:t>
      </w:r>
    </w:p>
    <w:p>
      <w:pPr>
        <w:widowControl/>
        <w:numPr>
          <w:ilvl w:val="0"/>
          <w:numId w:val="0"/>
        </w:numPr>
        <w:shd w:val="clear"/>
        <w:adjustRightInd w:val="0"/>
        <w:snapToGrid w:val="0"/>
        <w:spacing w:before="156" w:beforeLines="50" w:after="156" w:afterLines="50" w:line="360" w:lineRule="auto"/>
        <w:jc w:val="right"/>
        <w:rPr>
          <w:rFonts w:hint="eastAsia" w:ascii="宋体" w:hAnsi="宋体"/>
          <w:sz w:val="18"/>
          <w:szCs w:val="18"/>
        </w:rPr>
      </w:pPr>
      <w:r>
        <w:rPr>
          <w:rFonts w:hint="eastAsia" w:ascii="宋体" w:hAnsi="宋体"/>
          <w:sz w:val="18"/>
          <w:szCs w:val="18"/>
        </w:rPr>
        <w:t>202</w:t>
      </w:r>
      <w:r>
        <w:rPr>
          <w:rFonts w:hint="eastAsia" w:ascii="宋体" w:hAnsi="宋体"/>
          <w:sz w:val="18"/>
          <w:szCs w:val="18"/>
          <w:lang w:val="en-US" w:eastAsia="zh-CN"/>
        </w:rPr>
        <w:t>3</w:t>
      </w:r>
      <w:r>
        <w:rPr>
          <w:rFonts w:hint="eastAsia" w:ascii="宋体" w:hAnsi="宋体"/>
          <w:sz w:val="18"/>
          <w:szCs w:val="18"/>
        </w:rPr>
        <w:t>年</w:t>
      </w:r>
      <w:r>
        <w:rPr>
          <w:rFonts w:hint="eastAsia" w:ascii="宋体" w:hAnsi="宋体"/>
          <w:sz w:val="18"/>
          <w:szCs w:val="18"/>
          <w:lang w:val="en-US" w:eastAsia="zh-CN"/>
        </w:rPr>
        <w:t>6</w:t>
      </w:r>
      <w:r>
        <w:rPr>
          <w:rFonts w:hint="eastAsia" w:ascii="宋体" w:hAnsi="宋体"/>
          <w:sz w:val="18"/>
          <w:szCs w:val="18"/>
        </w:rPr>
        <w:t>月</w:t>
      </w:r>
      <w:r>
        <w:rPr>
          <w:rFonts w:hint="eastAsia" w:ascii="宋体" w:hAnsi="宋体"/>
          <w:sz w:val="18"/>
          <w:szCs w:val="18"/>
          <w:lang w:val="en-US" w:eastAsia="zh-CN"/>
        </w:rPr>
        <w:t>16</w:t>
      </w:r>
      <w:r>
        <w:rPr>
          <w:rFonts w:hint="eastAsia" w:ascii="宋体" w:hAnsi="宋体"/>
          <w:sz w:val="18"/>
          <w:szCs w:val="18"/>
        </w:rPr>
        <w:t>日</w:t>
      </w:r>
    </w:p>
    <w:p>
      <w:pPr>
        <w:shd w:val="clear"/>
        <w:rPr>
          <w:rFonts w:hint="eastAsia" w:ascii="宋体" w:hAnsi="宋体"/>
          <w:sz w:val="18"/>
          <w:szCs w:val="18"/>
        </w:rPr>
      </w:pPr>
      <w:r>
        <w:rPr>
          <w:rFonts w:hint="eastAsia" w:ascii="宋体" w:hAnsi="宋体"/>
          <w:sz w:val="18"/>
          <w:szCs w:val="18"/>
        </w:rPr>
        <w:br w:type="page"/>
      </w:r>
    </w:p>
    <w:p>
      <w:pPr>
        <w:shd w:val="clear"/>
        <w:rPr>
          <w:color w:val="000000"/>
          <w:szCs w:val="21"/>
          <w:highlight w:val="none"/>
        </w:rPr>
      </w:pPr>
      <w:r>
        <w:rPr>
          <w:rFonts w:hint="eastAsia"/>
          <w:color w:val="000000"/>
          <w:szCs w:val="21"/>
          <w:highlight w:val="none"/>
        </w:rPr>
        <w:t>附表二</w:t>
      </w:r>
    </w:p>
    <w:p>
      <w:pPr>
        <w:shd w:val="clear"/>
        <w:jc w:val="center"/>
        <w:rPr>
          <w:rFonts w:hint="eastAsia" w:ascii="Times New Roman" w:hAnsi="Times New Roman" w:cs="Times New Roman"/>
          <w:b/>
          <w:color w:val="000000"/>
          <w:sz w:val="36"/>
          <w:szCs w:val="36"/>
          <w:highlight w:val="none"/>
        </w:rPr>
      </w:pPr>
      <w:r>
        <w:rPr>
          <w:rFonts w:hint="eastAsia" w:ascii="Times New Roman" w:hAnsi="Times New Roman" w:cs="Times New Roman"/>
          <w:b/>
          <w:color w:val="000000"/>
          <w:sz w:val="36"/>
          <w:szCs w:val="36"/>
          <w:highlight w:val="none"/>
        </w:rPr>
        <w:t>技术标有效性审查表</w:t>
      </w:r>
    </w:p>
    <w:p>
      <w:pPr>
        <w:shd w:val="clear"/>
        <w:rPr>
          <w:color w:val="000000"/>
          <w:szCs w:val="21"/>
          <w:highlight w:val="none"/>
        </w:rPr>
      </w:pPr>
      <w:r>
        <w:rPr>
          <w:rFonts w:hint="eastAsia"/>
          <w:color w:val="000000"/>
          <w:szCs w:val="21"/>
          <w:highlight w:val="none"/>
        </w:rPr>
        <w:t>工程名称：</w:t>
      </w:r>
    </w:p>
    <w:tbl>
      <w:tblPr>
        <w:tblStyle w:val="10"/>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7175"/>
        <w:gridCol w:w="1025"/>
        <w:gridCol w:w="912"/>
        <w:gridCol w:w="1113"/>
        <w:gridCol w:w="912"/>
        <w:gridCol w:w="1176"/>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rPr>
                <w:rFonts w:ascii="宋体" w:hAnsi="宋体"/>
                <w:color w:val="000000"/>
                <w:sz w:val="18"/>
                <w:szCs w:val="18"/>
                <w:highlight w:val="none"/>
              </w:rPr>
            </w:pPr>
            <w:r>
              <w:rPr>
                <w:rFonts w:hint="eastAsia" w:ascii="宋体" w:hAnsi="宋体"/>
                <w:color w:val="000000"/>
                <w:sz w:val="18"/>
                <w:szCs w:val="18"/>
                <w:highlight w:val="none"/>
              </w:rPr>
              <w:t>序号</w:t>
            </w:r>
          </w:p>
        </w:tc>
        <w:tc>
          <w:tcPr>
            <w:tcW w:w="7175"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shd w:val="clear"/>
              <w:adjustRightInd w:val="0"/>
              <w:rPr>
                <w:rFonts w:ascii="宋体" w:hAnsi="宋体"/>
                <w:color w:val="000000"/>
                <w:sz w:val="18"/>
                <w:szCs w:val="18"/>
                <w:highlight w:val="none"/>
              </w:rPr>
            </w:pPr>
            <w:r>
              <w:rPr>
                <w:rFonts w:ascii="宋体" w:hAnsi="宋体"/>
                <w:color w:val="000000"/>
                <w:sz w:val="18"/>
                <w:szCs w:val="18"/>
                <w:highlight w:val="none"/>
              </w:rPr>
              <w:t xml:space="preserve">               </w:t>
            </w:r>
            <w:r>
              <w:rPr>
                <w:rFonts w:hint="eastAsia" w:ascii="宋体" w:hAnsi="宋体"/>
                <w:color w:val="000000"/>
                <w:sz w:val="18"/>
                <w:szCs w:val="18"/>
                <w:highlight w:val="none"/>
                <w:lang w:val="en-US" w:eastAsia="zh-CN"/>
              </w:rPr>
              <w:t xml:space="preserve">                   </w:t>
            </w:r>
            <w:r>
              <w:rPr>
                <w:rFonts w:hint="eastAsia" w:ascii="宋体" w:hAnsi="宋体"/>
                <w:color w:val="000000"/>
                <w:sz w:val="18"/>
                <w:szCs w:val="18"/>
                <w:highlight w:val="none"/>
              </w:rPr>
              <w:t>投标人</w:t>
            </w:r>
          </w:p>
          <w:p>
            <w:pPr>
              <w:shd w:val="clear"/>
              <w:adjustRightInd w:val="0"/>
              <w:rPr>
                <w:rFonts w:ascii="宋体" w:hAnsi="宋体"/>
                <w:color w:val="000000"/>
                <w:sz w:val="18"/>
                <w:szCs w:val="18"/>
                <w:highlight w:val="none"/>
              </w:rPr>
            </w:pPr>
          </w:p>
          <w:p>
            <w:pPr>
              <w:shd w:val="clear"/>
              <w:adjustRightInd w:val="0"/>
              <w:rPr>
                <w:rFonts w:ascii="宋体" w:hAnsi="宋体"/>
                <w:color w:val="000000"/>
                <w:sz w:val="18"/>
                <w:szCs w:val="18"/>
                <w:highlight w:val="none"/>
              </w:rPr>
            </w:pPr>
            <w:r>
              <w:rPr>
                <w:rFonts w:hint="eastAsia" w:ascii="宋体" w:hAnsi="宋体"/>
                <w:color w:val="000000"/>
                <w:sz w:val="18"/>
                <w:szCs w:val="18"/>
                <w:highlight w:val="none"/>
              </w:rPr>
              <w:t>评审内容</w:t>
            </w:r>
          </w:p>
        </w:tc>
        <w:tc>
          <w:tcPr>
            <w:tcW w:w="1025"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1113"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1176"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rPr>
                <w:rFonts w:ascii="宋体" w:hAnsi="宋体"/>
                <w:color w:val="000000"/>
                <w:sz w:val="18"/>
                <w:szCs w:val="18"/>
                <w:highlight w:val="none"/>
              </w:rPr>
            </w:pPr>
            <w:r>
              <w:rPr>
                <w:rFonts w:hint="eastAsia" w:ascii="宋体" w:hAnsi="宋体"/>
                <w:color w:val="000000"/>
                <w:sz w:val="18"/>
                <w:szCs w:val="18"/>
                <w:highlight w:val="none"/>
              </w:rPr>
              <w:t>1</w:t>
            </w:r>
          </w:p>
        </w:tc>
        <w:tc>
          <w:tcPr>
            <w:tcW w:w="717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rPr>
                <w:rFonts w:ascii="宋体" w:hAnsi="宋体"/>
                <w:color w:val="000000"/>
                <w:sz w:val="18"/>
                <w:szCs w:val="18"/>
                <w:highlight w:val="none"/>
              </w:rPr>
            </w:pPr>
            <w:r>
              <w:rPr>
                <w:rFonts w:hint="eastAsia" w:ascii="宋体" w:hAnsi="宋体" w:cs="宋体"/>
                <w:sz w:val="18"/>
                <w:szCs w:val="18"/>
                <w:highlight w:val="none"/>
                <w:u w:val="single"/>
              </w:rPr>
              <w:t>《广州建设工程施工招标投标书》中的总工期不符合招标文件要求的；</w:t>
            </w:r>
          </w:p>
        </w:tc>
        <w:tc>
          <w:tcPr>
            <w:tcW w:w="1025"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1113"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1176"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rPr>
                <w:rFonts w:ascii="宋体" w:hAnsi="宋体"/>
                <w:color w:val="000000"/>
                <w:sz w:val="18"/>
                <w:szCs w:val="18"/>
                <w:highlight w:val="none"/>
              </w:rPr>
            </w:pPr>
            <w:r>
              <w:rPr>
                <w:rFonts w:hint="eastAsia" w:ascii="宋体" w:hAnsi="宋体"/>
                <w:color w:val="000000"/>
                <w:sz w:val="18"/>
                <w:szCs w:val="18"/>
                <w:highlight w:val="none"/>
              </w:rPr>
              <w:t>2</w:t>
            </w:r>
          </w:p>
        </w:tc>
        <w:tc>
          <w:tcPr>
            <w:tcW w:w="717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rPr>
                <w:rFonts w:ascii="宋体" w:hAnsi="宋体"/>
                <w:color w:val="000000"/>
                <w:sz w:val="18"/>
                <w:szCs w:val="18"/>
                <w:highlight w:val="none"/>
              </w:rPr>
            </w:pPr>
            <w:r>
              <w:rPr>
                <w:rFonts w:hint="eastAsia" w:ascii="宋体" w:hAnsi="宋体" w:cs="宋体"/>
                <w:sz w:val="18"/>
                <w:szCs w:val="18"/>
                <w:highlight w:val="none"/>
                <w:u w:val="single"/>
              </w:rPr>
              <w:t>《广州建设工程施工招标投标书》中的质量标准不符合招标文件要求的；</w:t>
            </w:r>
          </w:p>
        </w:tc>
        <w:tc>
          <w:tcPr>
            <w:tcW w:w="1025"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1113"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1176"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rPr>
                <w:rFonts w:hint="eastAsia" w:ascii="宋体" w:hAnsi="宋体" w:eastAsia="宋体"/>
                <w:color w:val="000000"/>
                <w:sz w:val="18"/>
                <w:szCs w:val="18"/>
                <w:highlight w:val="none"/>
                <w:lang w:eastAsia="zh-CN"/>
              </w:rPr>
            </w:pPr>
            <w:r>
              <w:rPr>
                <w:rFonts w:hint="eastAsia" w:ascii="宋体" w:hAnsi="宋体"/>
                <w:color w:val="000000"/>
                <w:sz w:val="18"/>
                <w:szCs w:val="18"/>
                <w:highlight w:val="none"/>
                <w:lang w:val="en-US" w:eastAsia="zh-CN"/>
              </w:rPr>
              <w:t>3</w:t>
            </w:r>
          </w:p>
        </w:tc>
        <w:tc>
          <w:tcPr>
            <w:tcW w:w="717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rPr>
                <w:rFonts w:ascii="宋体" w:hAnsi="宋体"/>
                <w:color w:val="000000"/>
                <w:sz w:val="18"/>
                <w:szCs w:val="18"/>
                <w:highlight w:val="none"/>
              </w:rPr>
            </w:pPr>
            <w:r>
              <w:rPr>
                <w:rFonts w:hint="eastAsia" w:ascii="宋体" w:hAnsi="宋体"/>
                <w:color w:val="000000"/>
                <w:sz w:val="18"/>
                <w:szCs w:val="18"/>
                <w:highlight w:val="none"/>
              </w:rPr>
              <w:t>投标文件中没有有效的法定代表人证明书，或由委托代理人签署</w:t>
            </w:r>
            <w:r>
              <w:rPr>
                <w:rFonts w:hint="eastAsia" w:ascii="宋体" w:hAnsi="宋体" w:cs="宋体"/>
                <w:sz w:val="18"/>
                <w:szCs w:val="18"/>
                <w:highlight w:val="none"/>
                <w:u w:val="single"/>
              </w:rPr>
              <w:t>或盖章</w:t>
            </w:r>
            <w:r>
              <w:rPr>
                <w:rFonts w:hint="eastAsia" w:ascii="宋体" w:hAnsi="宋体"/>
                <w:color w:val="000000"/>
                <w:sz w:val="18"/>
                <w:szCs w:val="18"/>
                <w:highlight w:val="none"/>
              </w:rPr>
              <w:t>的投标文件中没有法定代表人授权书；</w:t>
            </w:r>
          </w:p>
        </w:tc>
        <w:tc>
          <w:tcPr>
            <w:tcW w:w="1025"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1113"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1176"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rPr>
                <w:rFonts w:hint="eastAsia" w:ascii="宋体" w:hAnsi="宋体" w:eastAsia="宋体"/>
                <w:color w:val="000000"/>
                <w:sz w:val="18"/>
                <w:szCs w:val="18"/>
                <w:highlight w:val="none"/>
                <w:lang w:eastAsia="zh-CN"/>
              </w:rPr>
            </w:pPr>
            <w:r>
              <w:rPr>
                <w:rFonts w:hint="eastAsia" w:ascii="宋体" w:hAnsi="宋体"/>
                <w:color w:val="000000"/>
                <w:sz w:val="18"/>
                <w:szCs w:val="18"/>
                <w:highlight w:val="none"/>
                <w:lang w:val="en-US" w:eastAsia="zh-CN"/>
              </w:rPr>
              <w:t>4</w:t>
            </w:r>
          </w:p>
        </w:tc>
        <w:tc>
          <w:tcPr>
            <w:tcW w:w="717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rPr>
                <w:rFonts w:ascii="宋体" w:hAnsi="宋体"/>
                <w:color w:val="000000"/>
                <w:sz w:val="18"/>
                <w:szCs w:val="18"/>
                <w:highlight w:val="none"/>
              </w:rPr>
            </w:pPr>
            <w:r>
              <w:rPr>
                <w:rFonts w:hint="eastAsia" w:ascii="宋体" w:hAnsi="宋体"/>
                <w:color w:val="000000"/>
                <w:sz w:val="18"/>
                <w:szCs w:val="18"/>
                <w:highlight w:val="none"/>
              </w:rPr>
              <w:t>投标文件未按规定的格式填写</w:t>
            </w:r>
            <w:r>
              <w:rPr>
                <w:rFonts w:hint="eastAsia" w:ascii="宋体" w:hAnsi="宋体"/>
                <w:b/>
                <w:bCs/>
                <w:color w:val="000000"/>
                <w:sz w:val="18"/>
                <w:szCs w:val="18"/>
                <w:highlight w:val="none"/>
              </w:rPr>
              <w:t>（投标文件规定格式为技术标投标文件格式部分带★号的格式（即投标文件格式附件二、附件九、附件十）</w:t>
            </w:r>
            <w:r>
              <w:rPr>
                <w:rFonts w:hint="eastAsia" w:ascii="宋体" w:hAnsi="宋体"/>
                <w:color w:val="000000"/>
                <w:sz w:val="18"/>
                <w:szCs w:val="18"/>
                <w:highlight w:val="none"/>
              </w:rPr>
              <w:t>，或主要内容不全，或关键字迹模糊、无法辨认的；</w:t>
            </w:r>
          </w:p>
        </w:tc>
        <w:tc>
          <w:tcPr>
            <w:tcW w:w="1025"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1113"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1176"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rPr>
                <w:rFonts w:hint="eastAsia" w:ascii="宋体" w:hAnsi="宋体" w:eastAsia="宋体"/>
                <w:color w:val="000000"/>
                <w:sz w:val="18"/>
                <w:szCs w:val="18"/>
                <w:highlight w:val="none"/>
                <w:lang w:eastAsia="zh-CN"/>
              </w:rPr>
            </w:pPr>
            <w:r>
              <w:rPr>
                <w:rFonts w:hint="eastAsia" w:ascii="宋体" w:hAnsi="宋体"/>
                <w:color w:val="000000"/>
                <w:sz w:val="18"/>
                <w:szCs w:val="18"/>
                <w:highlight w:val="none"/>
                <w:lang w:val="en-US" w:eastAsia="zh-CN"/>
              </w:rPr>
              <w:t>5</w:t>
            </w:r>
          </w:p>
        </w:tc>
        <w:tc>
          <w:tcPr>
            <w:tcW w:w="717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rPr>
                <w:rFonts w:ascii="宋体" w:hAnsi="宋体"/>
                <w:color w:val="000000"/>
                <w:sz w:val="18"/>
                <w:szCs w:val="18"/>
                <w:highlight w:val="none"/>
              </w:rPr>
            </w:pPr>
            <w:r>
              <w:rPr>
                <w:rFonts w:hint="eastAsia" w:ascii="宋体" w:hAnsi="宋体"/>
                <w:color w:val="000000"/>
                <w:sz w:val="18"/>
                <w:szCs w:val="18"/>
                <w:highlight w:val="none"/>
              </w:rPr>
              <w:t>投标人之间存在《广东省实施&lt;中华人民共和国招标投标法&gt;》第十六条所禁止的情形的；</w:t>
            </w:r>
          </w:p>
        </w:tc>
        <w:tc>
          <w:tcPr>
            <w:tcW w:w="1025"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shd w:val="pct10" w:color="auto" w:fill="FFFFFF"/>
              </w:rPr>
            </w:pPr>
          </w:p>
        </w:tc>
        <w:tc>
          <w:tcPr>
            <w:tcW w:w="912"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shd w:val="pct10" w:color="auto" w:fill="FFFFFF"/>
              </w:rPr>
            </w:pPr>
          </w:p>
        </w:tc>
        <w:tc>
          <w:tcPr>
            <w:tcW w:w="1113"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shd w:val="pct10" w:color="auto" w:fill="FFFFFF"/>
              </w:rPr>
            </w:pPr>
          </w:p>
        </w:tc>
        <w:tc>
          <w:tcPr>
            <w:tcW w:w="912"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shd w:val="pct10" w:color="auto" w:fill="FFFFFF"/>
              </w:rPr>
            </w:pPr>
          </w:p>
        </w:tc>
        <w:tc>
          <w:tcPr>
            <w:tcW w:w="1176"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rPr>
                <w:rFonts w:hint="eastAsia" w:ascii="宋体" w:hAnsi="宋体" w:eastAsia="宋体"/>
                <w:color w:val="000000"/>
                <w:sz w:val="18"/>
                <w:szCs w:val="18"/>
                <w:highlight w:val="none"/>
                <w:lang w:eastAsia="zh-CN"/>
              </w:rPr>
            </w:pPr>
            <w:r>
              <w:rPr>
                <w:rFonts w:hint="eastAsia" w:ascii="宋体" w:hAnsi="宋体"/>
                <w:color w:val="000000"/>
                <w:sz w:val="18"/>
                <w:szCs w:val="18"/>
                <w:highlight w:val="none"/>
                <w:lang w:val="en-US" w:eastAsia="zh-CN"/>
              </w:rPr>
              <w:t>6</w:t>
            </w:r>
          </w:p>
        </w:tc>
        <w:tc>
          <w:tcPr>
            <w:tcW w:w="717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rPr>
                <w:rFonts w:ascii="宋体" w:hAnsi="宋体"/>
                <w:color w:val="000000"/>
                <w:sz w:val="18"/>
                <w:szCs w:val="18"/>
                <w:highlight w:val="none"/>
              </w:rPr>
            </w:pPr>
            <w:r>
              <w:rPr>
                <w:rFonts w:hint="eastAsia" w:ascii="宋体" w:hAnsi="宋体"/>
                <w:color w:val="000000"/>
                <w:sz w:val="18"/>
                <w:szCs w:val="18"/>
                <w:highlight w:val="none"/>
              </w:rPr>
              <w:t>无《参与编制技术标投标文件人员名单》的</w:t>
            </w:r>
          </w:p>
        </w:tc>
        <w:tc>
          <w:tcPr>
            <w:tcW w:w="1025"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1113"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1176"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rPr>
                <w:rFonts w:hint="eastAsia" w:ascii="宋体" w:hAnsi="宋体" w:eastAsia="宋体"/>
                <w:color w:val="000000"/>
                <w:sz w:val="18"/>
                <w:szCs w:val="18"/>
                <w:highlight w:val="none"/>
                <w:lang w:eastAsia="zh-CN"/>
              </w:rPr>
            </w:pPr>
            <w:r>
              <w:rPr>
                <w:rFonts w:hint="eastAsia" w:ascii="宋体" w:hAnsi="宋体"/>
                <w:color w:val="000000"/>
                <w:sz w:val="18"/>
                <w:szCs w:val="18"/>
                <w:highlight w:val="none"/>
                <w:lang w:val="en-US" w:eastAsia="zh-CN"/>
              </w:rPr>
              <w:t>7</w:t>
            </w:r>
          </w:p>
        </w:tc>
        <w:tc>
          <w:tcPr>
            <w:tcW w:w="717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rPr>
                <w:rFonts w:ascii="宋体" w:hAnsi="宋体"/>
                <w:color w:val="000000"/>
                <w:sz w:val="18"/>
                <w:szCs w:val="18"/>
                <w:highlight w:val="none"/>
              </w:rPr>
            </w:pPr>
            <w:r>
              <w:rPr>
                <w:rFonts w:hint="eastAsia" w:ascii="宋体" w:hAnsi="宋体"/>
                <w:color w:val="000000"/>
                <w:sz w:val="18"/>
                <w:szCs w:val="18"/>
                <w:highlight w:val="none"/>
              </w:rPr>
              <w:t>投标人未按要求提交投标保证金的</w:t>
            </w:r>
          </w:p>
        </w:tc>
        <w:tc>
          <w:tcPr>
            <w:tcW w:w="1025"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1113"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1176"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rPr>
                <w:rFonts w:hint="eastAsia" w:ascii="宋体" w:hAnsi="宋体" w:eastAsia="宋体"/>
                <w:color w:val="000000"/>
                <w:sz w:val="18"/>
                <w:szCs w:val="18"/>
                <w:highlight w:val="none"/>
                <w:lang w:eastAsia="zh-CN"/>
              </w:rPr>
            </w:pPr>
            <w:r>
              <w:rPr>
                <w:rFonts w:hint="eastAsia" w:ascii="宋体" w:hAnsi="宋体"/>
                <w:color w:val="000000"/>
                <w:sz w:val="18"/>
                <w:szCs w:val="18"/>
                <w:highlight w:val="none"/>
                <w:lang w:val="en-US" w:eastAsia="zh-CN"/>
              </w:rPr>
              <w:t>8</w:t>
            </w:r>
          </w:p>
        </w:tc>
        <w:tc>
          <w:tcPr>
            <w:tcW w:w="717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rPr>
                <w:rFonts w:ascii="宋体" w:hAnsi="宋体"/>
                <w:color w:val="000000"/>
                <w:sz w:val="18"/>
                <w:szCs w:val="18"/>
                <w:highlight w:val="none"/>
              </w:rPr>
            </w:pPr>
            <w:r>
              <w:rPr>
                <w:rFonts w:hint="eastAsia" w:ascii="宋体" w:hAnsi="宋体"/>
                <w:color w:val="000000"/>
                <w:sz w:val="18"/>
                <w:szCs w:val="18"/>
                <w:highlight w:val="none"/>
              </w:rPr>
              <w:t>投标人与</w:t>
            </w:r>
            <w:r>
              <w:rPr>
                <w:rFonts w:hint="eastAsia" w:ascii="宋体" w:hAnsi="宋体"/>
                <w:b/>
                <w:bCs/>
                <w:color w:val="000000"/>
                <w:sz w:val="18"/>
                <w:szCs w:val="18"/>
                <w:highlight w:val="none"/>
                <w:lang w:val="en-US" w:eastAsia="zh-CN"/>
              </w:rPr>
              <w:t>本项目</w:t>
            </w:r>
            <w:r>
              <w:rPr>
                <w:rFonts w:hint="eastAsia" w:ascii="宋体" w:hAnsi="宋体"/>
                <w:color w:val="000000"/>
                <w:sz w:val="18"/>
                <w:szCs w:val="18"/>
                <w:highlight w:val="none"/>
              </w:rPr>
              <w:t>其他投标人加密打包投标文件电脑机器特征码一致的(以</w:t>
            </w:r>
            <w:r>
              <w:rPr>
                <w:rFonts w:hint="eastAsia" w:ascii="宋体" w:hAnsi="宋体" w:cs="宋体"/>
                <w:sz w:val="18"/>
                <w:szCs w:val="18"/>
                <w:highlight w:val="none"/>
                <w:u w:val="single"/>
              </w:rPr>
              <w:t>广州公共资源交易中心</w:t>
            </w:r>
            <w:r>
              <w:rPr>
                <w:rFonts w:hint="eastAsia" w:ascii="宋体" w:hAnsi="宋体"/>
                <w:color w:val="000000"/>
                <w:sz w:val="18"/>
                <w:szCs w:val="18"/>
                <w:highlight w:val="none"/>
              </w:rPr>
              <w:t>交易平台评标系统的检索信息为准)</w:t>
            </w:r>
          </w:p>
        </w:tc>
        <w:tc>
          <w:tcPr>
            <w:tcW w:w="1025"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1113"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1176"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rPr>
                <w:rFonts w:hint="default" w:ascii="宋体" w:hAnsi="宋体"/>
                <w:color w:val="000000"/>
                <w:sz w:val="18"/>
                <w:szCs w:val="18"/>
                <w:highlight w:val="none"/>
                <w:lang w:val="en-US" w:eastAsia="zh-CN"/>
              </w:rPr>
            </w:pPr>
            <w:r>
              <w:rPr>
                <w:rFonts w:hint="eastAsia" w:ascii="宋体" w:hAnsi="宋体"/>
                <w:color w:val="000000"/>
                <w:sz w:val="18"/>
                <w:szCs w:val="18"/>
                <w:highlight w:val="none"/>
                <w:lang w:val="en-US" w:eastAsia="zh-CN"/>
              </w:rPr>
              <w:t>9</w:t>
            </w:r>
          </w:p>
        </w:tc>
        <w:tc>
          <w:tcPr>
            <w:tcW w:w="717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rPr>
                <w:rFonts w:hint="eastAsia" w:ascii="宋体" w:hAnsi="宋体" w:cs="宋体"/>
                <w:sz w:val="18"/>
                <w:szCs w:val="18"/>
                <w:highlight w:val="none"/>
              </w:rPr>
            </w:pPr>
            <w:r>
              <w:rPr>
                <w:rFonts w:hint="eastAsia" w:ascii="宋体" w:hAnsi="宋体" w:cs="宋体"/>
                <w:sz w:val="18"/>
                <w:szCs w:val="18"/>
                <w:highlight w:val="none"/>
              </w:rPr>
              <w:t>未按</w:t>
            </w:r>
            <w:r>
              <w:rPr>
                <w:rFonts w:hint="eastAsia" w:ascii="宋体" w:hAnsi="宋体" w:cs="宋体"/>
                <w:bCs/>
                <w:sz w:val="18"/>
                <w:szCs w:val="18"/>
                <w:highlight w:val="none"/>
              </w:rPr>
              <w:t>招标文件要求填写的《主要材料品牌选用表》</w:t>
            </w:r>
          </w:p>
        </w:tc>
        <w:tc>
          <w:tcPr>
            <w:tcW w:w="1025"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1113"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1176"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rPr>
                <w:rFonts w:hint="default" w:ascii="宋体" w:hAnsi="宋体"/>
                <w:color w:val="000000"/>
                <w:sz w:val="18"/>
                <w:szCs w:val="18"/>
                <w:highlight w:val="none"/>
                <w:lang w:val="en-US" w:eastAsia="zh-CN"/>
              </w:rPr>
            </w:pPr>
            <w:r>
              <w:rPr>
                <w:rFonts w:hint="eastAsia" w:ascii="宋体" w:hAnsi="宋体"/>
                <w:color w:val="000000"/>
                <w:sz w:val="18"/>
                <w:szCs w:val="18"/>
                <w:highlight w:val="none"/>
                <w:lang w:val="en-US" w:eastAsia="zh-CN"/>
              </w:rPr>
              <w:t>10</w:t>
            </w:r>
          </w:p>
        </w:tc>
        <w:tc>
          <w:tcPr>
            <w:tcW w:w="717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rPr>
                <w:rFonts w:hint="eastAsia" w:ascii="宋体" w:hAnsi="宋体"/>
                <w:color w:val="000000"/>
                <w:sz w:val="18"/>
                <w:szCs w:val="18"/>
                <w:highlight w:val="none"/>
              </w:rPr>
            </w:pPr>
            <w:r>
              <w:rPr>
                <w:rFonts w:hint="eastAsia" w:ascii="宋体" w:hAnsi="宋体" w:cs="宋体"/>
                <w:sz w:val="18"/>
                <w:szCs w:val="18"/>
                <w:highlight w:val="none"/>
              </w:rPr>
              <w:t>投标人未按要求补充完善</w:t>
            </w:r>
            <w:r>
              <w:rPr>
                <w:rFonts w:hint="eastAsia" w:ascii="宋体" w:hAnsi="宋体" w:cs="宋体"/>
                <w:sz w:val="18"/>
                <w:szCs w:val="18"/>
                <w:highlight w:val="none"/>
                <w:lang w:eastAsia="zh-CN"/>
              </w:rPr>
              <w:t>《危险性较大的分部分项工程清单及超过一定规模的危险性较大的分部分项工程清单》</w:t>
            </w:r>
            <w:r>
              <w:rPr>
                <w:rFonts w:hint="eastAsia" w:ascii="宋体" w:hAnsi="宋体" w:cs="宋体"/>
                <w:sz w:val="18"/>
                <w:szCs w:val="18"/>
                <w:highlight w:val="none"/>
                <w:lang w:val="en-US" w:eastAsia="zh-CN"/>
              </w:rPr>
              <w:t>或未提出</w:t>
            </w:r>
            <w:r>
              <w:rPr>
                <w:rFonts w:hint="eastAsia" w:ascii="宋体" w:hAnsi="宋体" w:cs="宋体"/>
                <w:sz w:val="18"/>
                <w:szCs w:val="18"/>
                <w:highlight w:val="none"/>
              </w:rPr>
              <w:t>相应的安全管理措施的</w:t>
            </w:r>
          </w:p>
        </w:tc>
        <w:tc>
          <w:tcPr>
            <w:tcW w:w="1025"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1113"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1176"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shd w:val="clear"/>
              <w:adjustRightInd w:val="0"/>
              <w:rPr>
                <w:rFonts w:ascii="宋体" w:hAnsi="宋体"/>
                <w:color w:val="000000"/>
                <w:sz w:val="18"/>
                <w:szCs w:val="18"/>
                <w:highlight w:val="none"/>
              </w:rPr>
            </w:pPr>
          </w:p>
        </w:tc>
      </w:tr>
    </w:tbl>
    <w:p>
      <w:pPr>
        <w:shd w:val="clear"/>
        <w:rPr>
          <w:rFonts w:ascii="宋体" w:hAnsi="宋体"/>
          <w:color w:val="000000"/>
          <w:sz w:val="18"/>
          <w:szCs w:val="18"/>
          <w:highlight w:val="none"/>
        </w:rPr>
      </w:pPr>
      <w:r>
        <w:rPr>
          <w:rFonts w:hint="eastAsia" w:ascii="宋体" w:hAnsi="宋体"/>
          <w:color w:val="000000"/>
          <w:sz w:val="18"/>
          <w:szCs w:val="18"/>
          <w:highlight w:val="none"/>
        </w:rPr>
        <w:t>注：</w:t>
      </w:r>
      <w:r>
        <w:rPr>
          <w:rFonts w:ascii="宋体" w:hAnsi="宋体"/>
          <w:color w:val="000000"/>
          <w:sz w:val="18"/>
          <w:szCs w:val="18"/>
          <w:highlight w:val="none"/>
        </w:rPr>
        <w:t>1.</w:t>
      </w:r>
      <w:r>
        <w:rPr>
          <w:rFonts w:hint="eastAsia" w:ascii="宋体" w:hAnsi="宋体"/>
          <w:color w:val="000000"/>
          <w:sz w:val="18"/>
          <w:szCs w:val="18"/>
          <w:highlight w:val="none"/>
        </w:rPr>
        <w:t>本表使用GZZB2018-3招标文件范本，与范本内容不同之处均以下划线标明。技术标评审中，响应性、承诺性内容不应作为评分因素，可在该表中对上述内容进行符合性审查。审查标准须具备可操作性。</w:t>
      </w:r>
    </w:p>
    <w:p>
      <w:pPr>
        <w:numPr>
          <w:ilvl w:val="0"/>
          <w:numId w:val="0"/>
        </w:numPr>
        <w:shd w:val="clear"/>
        <w:ind w:left="420" w:leftChars="0"/>
        <w:rPr>
          <w:rFonts w:hint="eastAsia"/>
          <w:color w:val="FF0000"/>
          <w:sz w:val="18"/>
          <w:szCs w:val="18"/>
          <w:highlight w:val="none"/>
          <w:u w:val="single"/>
        </w:rPr>
      </w:pPr>
      <w:r>
        <w:rPr>
          <w:rFonts w:hint="eastAsia"/>
          <w:b/>
          <w:color w:val="FF0000"/>
          <w:sz w:val="18"/>
          <w:szCs w:val="18"/>
          <w:highlight w:val="none"/>
          <w:u w:val="single"/>
          <w:lang w:val="en-US" w:eastAsia="zh-CN"/>
        </w:rPr>
        <w:t>2.</w:t>
      </w:r>
      <w:r>
        <w:rPr>
          <w:rFonts w:hint="eastAsia"/>
          <w:b/>
          <w:color w:val="FF0000"/>
          <w:sz w:val="18"/>
          <w:szCs w:val="18"/>
          <w:highlight w:val="none"/>
          <w:u w:val="single"/>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w:t>
      </w:r>
      <w:bookmarkStart w:id="0" w:name="_GoBack"/>
      <w:r>
        <w:rPr>
          <w:rFonts w:hint="eastAsia"/>
          <w:b/>
          <w:bCs w:val="0"/>
          <w:color w:val="FF0000"/>
          <w:sz w:val="18"/>
          <w:szCs w:val="18"/>
          <w:highlight w:val="none"/>
          <w:u w:val="single"/>
        </w:rPr>
        <w:t>，若出现评标委员会否决投标的，应在评标报告中载明否决投标的具体情形、原因；</w:t>
      </w:r>
      <w:bookmarkEnd w:id="0"/>
    </w:p>
    <w:p>
      <w:pPr>
        <w:numPr>
          <w:ilvl w:val="0"/>
          <w:numId w:val="0"/>
        </w:numPr>
        <w:shd w:val="clear"/>
        <w:ind w:left="420" w:leftChars="0"/>
        <w:rPr>
          <w:rFonts w:ascii="宋体" w:hAnsi="宋体"/>
          <w:color w:val="000000"/>
          <w:sz w:val="18"/>
          <w:szCs w:val="18"/>
          <w:highlight w:val="none"/>
        </w:rPr>
      </w:pPr>
      <w:r>
        <w:rPr>
          <w:rFonts w:hint="eastAsia" w:ascii="宋体" w:hAnsi="宋体"/>
          <w:color w:val="000000"/>
          <w:sz w:val="18"/>
          <w:szCs w:val="18"/>
          <w:highlight w:val="none"/>
          <w:lang w:val="en-US" w:eastAsia="zh-CN"/>
        </w:rPr>
        <w:t>3.</w:t>
      </w:r>
      <w:r>
        <w:rPr>
          <w:rFonts w:hint="eastAsia" w:ascii="宋体" w:hAnsi="宋体"/>
          <w:color w:val="000000"/>
          <w:sz w:val="18"/>
          <w:szCs w:val="18"/>
          <w:highlight w:val="none"/>
        </w:rPr>
        <w:t>凡出现以上任何一项情形，结论均为无效，否则就为有效。</w:t>
      </w:r>
    </w:p>
    <w:p>
      <w:pPr>
        <w:shd w:val="clear"/>
        <w:ind w:firstLine="360" w:firstLineChars="200"/>
        <w:rPr>
          <w:rFonts w:ascii="宋体" w:hAnsi="宋体"/>
          <w:color w:val="000000"/>
          <w:sz w:val="18"/>
          <w:szCs w:val="18"/>
          <w:highlight w:val="none"/>
        </w:rPr>
      </w:pPr>
      <w:r>
        <w:rPr>
          <w:rFonts w:hint="eastAsia" w:ascii="宋体" w:hAnsi="宋体"/>
          <w:color w:val="000000"/>
          <w:sz w:val="18"/>
          <w:szCs w:val="18"/>
          <w:highlight w:val="none"/>
        </w:rPr>
        <w:t>4</w:t>
      </w:r>
      <w:r>
        <w:rPr>
          <w:rFonts w:ascii="宋体" w:hAnsi="宋体"/>
          <w:color w:val="000000"/>
          <w:sz w:val="18"/>
          <w:szCs w:val="18"/>
          <w:highlight w:val="none"/>
        </w:rPr>
        <w:t>.</w:t>
      </w:r>
      <w:r>
        <w:rPr>
          <w:rFonts w:hint="eastAsia" w:ascii="宋体" w:hAnsi="宋体"/>
          <w:color w:val="000000"/>
          <w:sz w:val="18"/>
          <w:szCs w:val="18"/>
          <w:highlight w:val="none"/>
        </w:rPr>
        <w:t>如对本表中某种情形的评审意见不一致时，以评标委员会过半数成员的意见作为评标委员会对该情形的认定结论。</w:t>
      </w:r>
    </w:p>
    <w:p>
      <w:pPr>
        <w:shd w:val="clear"/>
        <w:rPr>
          <w:rFonts w:ascii="宋体" w:hAnsi="宋体"/>
          <w:color w:val="000000"/>
          <w:szCs w:val="21"/>
          <w:highlight w:val="none"/>
        </w:rPr>
      </w:pPr>
      <w:r>
        <w:rPr>
          <w:rFonts w:hint="eastAsia" w:ascii="宋体" w:hAnsi="宋体"/>
          <w:color w:val="000000"/>
          <w:sz w:val="18"/>
          <w:szCs w:val="18"/>
          <w:highlight w:val="none"/>
        </w:rPr>
        <w:t>评委签名：</w:t>
      </w:r>
    </w:p>
    <w:p>
      <w:pPr>
        <w:shd w:val="clear"/>
        <w:rPr>
          <w:szCs w:val="21"/>
          <w:highlight w:val="none"/>
        </w:rPr>
      </w:pPr>
      <w:r>
        <w:rPr>
          <w:highlight w:val="none"/>
        </w:rPr>
        <w:br w:type="page"/>
      </w:r>
      <w:r>
        <w:rPr>
          <w:rFonts w:hint="eastAsia"/>
          <w:szCs w:val="21"/>
          <w:highlight w:val="none"/>
        </w:rPr>
        <w:t>附表三</w:t>
      </w:r>
    </w:p>
    <w:p>
      <w:pPr>
        <w:shd w:val="clear"/>
        <w:jc w:val="center"/>
        <w:rPr>
          <w:b/>
          <w:color w:val="000000"/>
          <w:sz w:val="36"/>
          <w:szCs w:val="36"/>
          <w:highlight w:val="none"/>
        </w:rPr>
      </w:pPr>
      <w:r>
        <w:rPr>
          <w:rFonts w:hint="eastAsia"/>
          <w:b/>
          <w:color w:val="000000"/>
          <w:sz w:val="36"/>
          <w:szCs w:val="36"/>
          <w:highlight w:val="none"/>
        </w:rPr>
        <w:t>经济标有效性审查表</w:t>
      </w:r>
    </w:p>
    <w:p>
      <w:pPr>
        <w:shd w:val="clear"/>
        <w:rPr>
          <w:color w:val="000000"/>
          <w:sz w:val="18"/>
          <w:szCs w:val="18"/>
          <w:highlight w:val="none"/>
        </w:rPr>
      </w:pPr>
      <w:r>
        <w:rPr>
          <w:rFonts w:hint="eastAsia"/>
          <w:color w:val="000000"/>
          <w:sz w:val="18"/>
          <w:szCs w:val="18"/>
          <w:highlight w:val="none"/>
        </w:rPr>
        <w:t>工程名称：</w:t>
      </w:r>
    </w:p>
    <w:tbl>
      <w:tblPr>
        <w:tblStyle w:val="10"/>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shd w:val="clear"/>
              <w:rPr>
                <w:rFonts w:ascii="宋体" w:hAnsi="宋体"/>
                <w:color w:val="000000"/>
                <w:sz w:val="18"/>
                <w:szCs w:val="18"/>
                <w:highlight w:val="none"/>
              </w:rPr>
            </w:pPr>
            <w:r>
              <w:rPr>
                <w:rFonts w:hint="eastAsia" w:ascii="宋体" w:hAnsi="宋体"/>
                <w:color w:val="000000"/>
                <w:sz w:val="18"/>
                <w:szCs w:val="18"/>
                <w:highlight w:val="none"/>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shd w:val="clear"/>
              <w:rPr>
                <w:rFonts w:ascii="宋体" w:hAnsi="宋体"/>
                <w:color w:val="000000"/>
                <w:sz w:val="18"/>
                <w:szCs w:val="18"/>
                <w:highlight w:val="none"/>
              </w:rPr>
            </w:pPr>
            <w:r>
              <w:rPr>
                <w:rFonts w:ascii="宋体" w:hAnsi="宋体"/>
                <w:color w:val="000000"/>
                <w:sz w:val="18"/>
                <w:szCs w:val="18"/>
                <w:highlight w:val="none"/>
              </w:rPr>
              <w:t xml:space="preserve">               </w:t>
            </w:r>
            <w:r>
              <w:rPr>
                <w:rFonts w:hint="eastAsia" w:ascii="宋体" w:hAnsi="宋体"/>
                <w:color w:val="000000"/>
                <w:sz w:val="18"/>
                <w:szCs w:val="18"/>
                <w:highlight w:val="none"/>
              </w:rPr>
              <w:t>投标人</w:t>
            </w:r>
          </w:p>
          <w:p>
            <w:pPr>
              <w:shd w:val="clear"/>
              <w:rPr>
                <w:rFonts w:ascii="宋体" w:hAnsi="宋体"/>
                <w:color w:val="000000"/>
                <w:sz w:val="18"/>
                <w:szCs w:val="18"/>
                <w:highlight w:val="none"/>
              </w:rPr>
            </w:pPr>
          </w:p>
          <w:p>
            <w:pPr>
              <w:shd w:val="clear"/>
              <w:rPr>
                <w:rFonts w:ascii="宋体" w:hAnsi="宋体"/>
                <w:color w:val="000000"/>
                <w:sz w:val="18"/>
                <w:szCs w:val="18"/>
                <w:highlight w:val="none"/>
              </w:rPr>
            </w:pPr>
            <w:r>
              <w:rPr>
                <w:rFonts w:hint="eastAsia" w:ascii="宋体" w:hAnsi="宋体"/>
                <w:color w:val="000000"/>
                <w:sz w:val="18"/>
                <w:szCs w:val="18"/>
                <w:highlight w:val="none"/>
              </w:rPr>
              <w:t>评审内容</w:t>
            </w: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shd w:val="clear"/>
              <w:rPr>
                <w:rFonts w:ascii="宋体" w:hAnsi="宋体"/>
                <w:color w:val="000000"/>
                <w:sz w:val="18"/>
                <w:szCs w:val="18"/>
                <w:highlight w:val="none"/>
              </w:rPr>
            </w:pPr>
            <w:r>
              <w:rPr>
                <w:rFonts w:ascii="宋体" w:hAnsi="宋体"/>
                <w:color w:val="000000"/>
                <w:sz w:val="18"/>
                <w:szCs w:val="18"/>
                <w:highlight w:val="none"/>
              </w:rPr>
              <w:t>1</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shd w:val="clear"/>
              <w:rPr>
                <w:rFonts w:ascii="宋体" w:hAnsi="宋体"/>
                <w:color w:val="000000"/>
                <w:sz w:val="18"/>
                <w:szCs w:val="18"/>
                <w:highlight w:val="none"/>
              </w:rPr>
            </w:pPr>
            <w:r>
              <w:rPr>
                <w:rFonts w:hint="eastAsia" w:ascii="宋体" w:hAnsi="宋体"/>
                <w:color w:val="000000"/>
                <w:sz w:val="18"/>
                <w:szCs w:val="18"/>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shd w:val="clear"/>
              <w:rPr>
                <w:rFonts w:ascii="宋体" w:hAnsi="宋体"/>
                <w:color w:val="000000"/>
                <w:sz w:val="18"/>
                <w:szCs w:val="18"/>
                <w:highlight w:val="none"/>
              </w:rPr>
            </w:pPr>
            <w:r>
              <w:rPr>
                <w:rFonts w:ascii="宋体" w:hAnsi="宋体"/>
                <w:color w:val="000000"/>
                <w:sz w:val="18"/>
                <w:szCs w:val="18"/>
                <w:highlight w:val="none"/>
              </w:rPr>
              <w:t>2</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shd w:val="clear"/>
              <w:rPr>
                <w:rFonts w:ascii="宋体" w:hAnsi="宋体"/>
                <w:color w:val="000000"/>
                <w:sz w:val="18"/>
                <w:szCs w:val="18"/>
                <w:highlight w:val="none"/>
              </w:rPr>
            </w:pPr>
            <w:r>
              <w:rPr>
                <w:rFonts w:hint="eastAsia" w:ascii="宋体" w:hAnsi="宋体"/>
                <w:color w:val="000000"/>
                <w:sz w:val="18"/>
                <w:szCs w:val="18"/>
                <w:highlight w:val="none"/>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shd w:val="clear"/>
              <w:rPr>
                <w:rFonts w:ascii="宋体" w:hAnsi="宋体"/>
                <w:color w:val="000000"/>
                <w:sz w:val="18"/>
                <w:szCs w:val="18"/>
                <w:highlight w:val="none"/>
              </w:rPr>
            </w:pPr>
            <w:r>
              <w:rPr>
                <w:rFonts w:ascii="宋体" w:hAnsi="宋体"/>
                <w:color w:val="000000"/>
                <w:sz w:val="18"/>
                <w:szCs w:val="18"/>
                <w:highlight w:val="none"/>
              </w:rPr>
              <w:t>3</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shd w:val="clear"/>
              <w:autoSpaceDE w:val="0"/>
              <w:autoSpaceDN w:val="0"/>
              <w:adjustRightInd w:val="0"/>
              <w:ind w:left="-2" w:leftChars="-1"/>
              <w:jc w:val="left"/>
              <w:rPr>
                <w:rFonts w:ascii="宋体" w:hAnsi="宋体"/>
                <w:color w:val="000000"/>
                <w:sz w:val="18"/>
                <w:szCs w:val="18"/>
                <w:highlight w:val="none"/>
              </w:rPr>
            </w:pPr>
            <w:r>
              <w:rPr>
                <w:rFonts w:hint="eastAsia" w:ascii="宋体" w:hAnsi="宋体"/>
                <w:color w:val="000000"/>
                <w:sz w:val="18"/>
                <w:szCs w:val="18"/>
                <w:highlight w:val="none"/>
              </w:rPr>
              <w:t>投标报价低于成本的；</w:t>
            </w: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shd w:val="clear"/>
              <w:rPr>
                <w:rFonts w:ascii="宋体" w:hAnsi="宋体"/>
                <w:color w:val="000000"/>
                <w:sz w:val="18"/>
                <w:szCs w:val="18"/>
                <w:highlight w:val="none"/>
              </w:rPr>
            </w:pPr>
            <w:r>
              <w:rPr>
                <w:rFonts w:ascii="宋体" w:hAnsi="宋体"/>
                <w:color w:val="000000"/>
                <w:sz w:val="18"/>
                <w:szCs w:val="18"/>
                <w:highlight w:val="none"/>
              </w:rPr>
              <w:t>4</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shd w:val="clear"/>
              <w:rPr>
                <w:rFonts w:ascii="宋体" w:hAnsi="宋体"/>
                <w:color w:val="000000"/>
                <w:sz w:val="18"/>
                <w:szCs w:val="18"/>
                <w:highlight w:val="none"/>
              </w:rPr>
            </w:pPr>
            <w:r>
              <w:rPr>
                <w:rFonts w:hint="eastAsia" w:ascii="宋体" w:hAnsi="宋体"/>
                <w:color w:val="000000"/>
                <w:sz w:val="18"/>
                <w:szCs w:val="18"/>
                <w:highlight w:val="none"/>
              </w:rPr>
              <w:t>算术复核后的投标报价与原投标报价相比存在</w:t>
            </w:r>
            <w:r>
              <w:rPr>
                <w:rFonts w:ascii="宋体" w:hAnsi="宋体"/>
                <w:color w:val="000000"/>
                <w:sz w:val="18"/>
                <w:szCs w:val="18"/>
                <w:highlight w:val="none"/>
              </w:rPr>
              <w:t>1%</w:t>
            </w:r>
            <w:r>
              <w:rPr>
                <w:rFonts w:hint="eastAsia" w:ascii="宋体" w:hAnsi="宋体"/>
                <w:color w:val="000000"/>
                <w:sz w:val="18"/>
                <w:szCs w:val="18"/>
                <w:highlight w:val="none"/>
              </w:rPr>
              <w:t>或以上误差的；</w:t>
            </w: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shd w:val="clear"/>
              <w:rPr>
                <w:rFonts w:ascii="宋体" w:hAnsi="宋体"/>
                <w:color w:val="000000"/>
                <w:sz w:val="18"/>
                <w:szCs w:val="18"/>
                <w:highlight w:val="none"/>
              </w:rPr>
            </w:pPr>
            <w:r>
              <w:rPr>
                <w:rFonts w:ascii="宋体" w:hAnsi="宋体"/>
                <w:color w:val="000000"/>
                <w:sz w:val="18"/>
                <w:szCs w:val="18"/>
                <w:highlight w:val="none"/>
              </w:rPr>
              <w:t>5</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shd w:val="clear"/>
              <w:rPr>
                <w:rFonts w:ascii="宋体" w:hAnsi="宋体"/>
                <w:color w:val="000000"/>
                <w:sz w:val="18"/>
                <w:szCs w:val="18"/>
                <w:highlight w:val="none"/>
              </w:rPr>
            </w:pPr>
            <w:r>
              <w:rPr>
                <w:rFonts w:hint="eastAsia" w:ascii="宋体" w:hAnsi="宋体"/>
                <w:color w:val="000000"/>
                <w:sz w:val="18"/>
                <w:szCs w:val="18"/>
                <w:highlight w:val="none"/>
              </w:rPr>
              <w:t>投标文件未按规定的格式填写</w:t>
            </w:r>
            <w:r>
              <w:rPr>
                <w:rFonts w:hint="eastAsia" w:ascii="宋体" w:hAnsi="宋体"/>
                <w:b/>
                <w:bCs/>
                <w:color w:val="000000"/>
                <w:sz w:val="18"/>
                <w:szCs w:val="18"/>
                <w:highlight w:val="none"/>
              </w:rPr>
              <w:t>（投标文件规定格式为经济标投标文件格式部分带★号的格式（即投标文件格式附件一、附件三、附件四）</w:t>
            </w:r>
            <w:r>
              <w:rPr>
                <w:rFonts w:hint="eastAsia" w:ascii="宋体" w:hAnsi="宋体"/>
                <w:color w:val="000000"/>
                <w:sz w:val="18"/>
                <w:szCs w:val="18"/>
                <w:highlight w:val="none"/>
              </w:rPr>
              <w:t>，或主要内容不全，或关键字迹模糊、无法辨认的；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shd w:val="clear"/>
              <w:rPr>
                <w:rFonts w:ascii="宋体" w:hAnsi="宋体"/>
                <w:color w:val="000000"/>
                <w:sz w:val="18"/>
                <w:szCs w:val="18"/>
                <w:highlight w:val="none"/>
              </w:rPr>
            </w:pPr>
            <w:r>
              <w:rPr>
                <w:rFonts w:ascii="宋体" w:hAnsi="宋体"/>
                <w:color w:val="000000"/>
                <w:sz w:val="18"/>
                <w:szCs w:val="18"/>
                <w:highlight w:val="none"/>
              </w:rPr>
              <w:t>6</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shd w:val="clear"/>
              <w:rPr>
                <w:rFonts w:ascii="宋体" w:hAnsi="宋体"/>
                <w:color w:val="000000"/>
                <w:sz w:val="18"/>
                <w:szCs w:val="18"/>
                <w:highlight w:val="none"/>
              </w:rPr>
            </w:pPr>
            <w:r>
              <w:rPr>
                <w:rFonts w:hint="eastAsia" w:ascii="宋体" w:hAnsi="宋体"/>
                <w:color w:val="000000"/>
                <w:sz w:val="18"/>
                <w:szCs w:val="18"/>
                <w:highlight w:val="none"/>
              </w:rPr>
              <w:t>不同投标人的投标报价中分部分项工程量清单综合单价相似度达到80%及以上的(以</w:t>
            </w:r>
            <w:r>
              <w:rPr>
                <w:rFonts w:hint="eastAsia" w:ascii="宋体" w:hAnsi="宋体" w:cs="宋体"/>
                <w:sz w:val="18"/>
                <w:szCs w:val="18"/>
                <w:highlight w:val="none"/>
                <w:u w:val="single"/>
              </w:rPr>
              <w:t>广州公共资源交易中心</w:t>
            </w:r>
            <w:r>
              <w:rPr>
                <w:rFonts w:hint="eastAsia" w:ascii="宋体" w:hAnsi="宋体"/>
                <w:color w:val="000000"/>
                <w:sz w:val="18"/>
                <w:szCs w:val="18"/>
                <w:highlight w:val="none"/>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shd w:val="clear"/>
              <w:rPr>
                <w:rFonts w:ascii="宋体" w:hAnsi="宋体"/>
                <w:color w:val="000000"/>
                <w:sz w:val="18"/>
                <w:szCs w:val="18"/>
                <w:highlight w:val="none"/>
              </w:rPr>
            </w:pPr>
            <w:r>
              <w:rPr>
                <w:rFonts w:ascii="宋体" w:hAnsi="宋体"/>
                <w:color w:val="000000"/>
                <w:sz w:val="18"/>
                <w:szCs w:val="18"/>
                <w:highlight w:val="none"/>
              </w:rPr>
              <w:t>7</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shd w:val="clear"/>
              <w:rPr>
                <w:rFonts w:ascii="宋体" w:hAnsi="宋体"/>
                <w:color w:val="000000"/>
                <w:sz w:val="18"/>
                <w:szCs w:val="18"/>
                <w:highlight w:val="none"/>
              </w:rPr>
            </w:pPr>
            <w:r>
              <w:rPr>
                <w:rFonts w:hint="eastAsia" w:ascii="宋体" w:hAnsi="宋体"/>
                <w:color w:val="000000"/>
                <w:sz w:val="18"/>
                <w:szCs w:val="18"/>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shd w:val="clear"/>
              <w:rPr>
                <w:rFonts w:ascii="宋体" w:hAnsi="宋体"/>
                <w:color w:val="000000"/>
                <w:sz w:val="18"/>
                <w:szCs w:val="18"/>
                <w:highlight w:val="none"/>
              </w:rPr>
            </w:pPr>
            <w:r>
              <w:rPr>
                <w:rFonts w:ascii="宋体" w:hAnsi="宋体"/>
                <w:color w:val="000000"/>
                <w:sz w:val="18"/>
                <w:szCs w:val="18"/>
                <w:highlight w:val="none"/>
              </w:rPr>
              <w:t>8</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shd w:val="clear"/>
              <w:rPr>
                <w:rFonts w:ascii="宋体" w:hAnsi="宋体"/>
                <w:color w:val="000000"/>
                <w:sz w:val="18"/>
                <w:szCs w:val="18"/>
                <w:highlight w:val="none"/>
              </w:rPr>
            </w:pPr>
            <w:r>
              <w:rPr>
                <w:rFonts w:hint="eastAsia" w:ascii="宋体" w:hAnsi="宋体"/>
                <w:color w:val="000000"/>
                <w:sz w:val="18"/>
                <w:szCs w:val="18"/>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shd w:val="clear"/>
              <w:rPr>
                <w:rFonts w:ascii="宋体" w:hAnsi="宋体"/>
                <w:color w:val="000000"/>
                <w:sz w:val="18"/>
                <w:szCs w:val="18"/>
                <w:highlight w:val="none"/>
              </w:rPr>
            </w:pPr>
            <w:r>
              <w:rPr>
                <w:rFonts w:ascii="宋体" w:hAnsi="宋体"/>
                <w:color w:val="000000"/>
                <w:sz w:val="18"/>
                <w:szCs w:val="18"/>
                <w:highlight w:val="none"/>
              </w:rPr>
              <w:t>9</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shd w:val="clear"/>
              <w:rPr>
                <w:rFonts w:ascii="宋体" w:hAnsi="宋体"/>
                <w:color w:val="000000"/>
                <w:sz w:val="18"/>
                <w:szCs w:val="18"/>
                <w:highlight w:val="none"/>
              </w:rPr>
            </w:pPr>
            <w:r>
              <w:rPr>
                <w:rFonts w:hint="eastAsia" w:ascii="宋体" w:hAnsi="宋体"/>
                <w:color w:val="000000"/>
                <w:sz w:val="18"/>
                <w:szCs w:val="18"/>
                <w:highlight w:val="none"/>
              </w:rPr>
              <w:t>无《对投标文件编制的承诺》</w:t>
            </w: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shd w:val="clear"/>
              <w:rPr>
                <w:rFonts w:hint="default" w:ascii="宋体" w:hAnsi="宋体" w:eastAsia="宋体"/>
                <w:color w:val="000000"/>
                <w:sz w:val="18"/>
                <w:szCs w:val="18"/>
                <w:highlight w:val="none"/>
                <w:lang w:val="en-US" w:eastAsia="zh-CN"/>
              </w:rPr>
            </w:pPr>
            <w:r>
              <w:rPr>
                <w:rFonts w:hint="eastAsia" w:ascii="宋体" w:hAnsi="宋体"/>
                <w:color w:val="000000"/>
                <w:sz w:val="18"/>
                <w:szCs w:val="18"/>
                <w:highlight w:val="none"/>
                <w:lang w:val="en-US" w:eastAsia="zh-CN"/>
              </w:rPr>
              <w:t>10</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shd w:val="clear"/>
              <w:rPr>
                <w:rFonts w:hint="eastAsia" w:ascii="宋体" w:hAnsi="宋体"/>
                <w:color w:val="000000"/>
                <w:sz w:val="18"/>
                <w:szCs w:val="18"/>
                <w:highlight w:val="none"/>
              </w:rPr>
            </w:pPr>
            <w:r>
              <w:rPr>
                <w:rFonts w:hint="eastAsia" w:ascii="宋体" w:hAnsi="宋体"/>
                <w:color w:val="000000"/>
                <w:sz w:val="18"/>
                <w:szCs w:val="18"/>
                <w:highlight w:val="none"/>
              </w:rPr>
              <w:t>投标人与本项目其他投标人的投标文件工程量清单编制机器硬件信息一致的（以</w:t>
            </w:r>
            <w:r>
              <w:rPr>
                <w:rFonts w:hint="eastAsia" w:ascii="宋体" w:hAnsi="宋体" w:cs="宋体"/>
                <w:sz w:val="18"/>
                <w:szCs w:val="18"/>
                <w:highlight w:val="none"/>
                <w:u w:val="single"/>
              </w:rPr>
              <w:t>广州公共资源交易中心</w:t>
            </w:r>
            <w:r>
              <w:rPr>
                <w:rFonts w:hint="eastAsia" w:ascii="宋体" w:hAnsi="宋体"/>
                <w:color w:val="000000"/>
                <w:sz w:val="18"/>
                <w:szCs w:val="18"/>
                <w:highlight w:val="none"/>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shd w:val="clear"/>
              <w:rPr>
                <w:rFonts w:ascii="宋体" w:hAnsi="宋体"/>
                <w:color w:val="000000"/>
                <w:sz w:val="18"/>
                <w:szCs w:val="18"/>
                <w:highlight w:val="none"/>
              </w:rPr>
            </w:pPr>
          </w:p>
        </w:tc>
      </w:tr>
    </w:tbl>
    <w:p>
      <w:pPr>
        <w:shd w:val="clear"/>
        <w:ind w:firstLine="458"/>
        <w:rPr>
          <w:rFonts w:ascii="宋体" w:hAnsi="宋体"/>
          <w:sz w:val="18"/>
          <w:szCs w:val="18"/>
          <w:highlight w:val="none"/>
        </w:rPr>
      </w:pPr>
      <w:r>
        <w:rPr>
          <w:rFonts w:hint="eastAsia" w:ascii="宋体" w:hAnsi="宋体"/>
          <w:sz w:val="18"/>
          <w:szCs w:val="18"/>
          <w:highlight w:val="none"/>
        </w:rPr>
        <w:t>注：</w:t>
      </w:r>
      <w:r>
        <w:rPr>
          <w:rFonts w:ascii="宋体" w:hAnsi="宋体"/>
          <w:sz w:val="18"/>
          <w:szCs w:val="18"/>
          <w:highlight w:val="none"/>
        </w:rPr>
        <w:t>1.</w:t>
      </w:r>
      <w:r>
        <w:rPr>
          <w:rFonts w:hint="eastAsia" w:ascii="宋体" w:hAnsi="宋体"/>
          <w:sz w:val="18"/>
          <w:szCs w:val="18"/>
          <w:highlight w:val="none"/>
        </w:rPr>
        <w:t>本表使用GZZB2018-3招标文件范本，与范本内容不同之处均以下划线标明。</w:t>
      </w:r>
    </w:p>
    <w:p>
      <w:pPr>
        <w:shd w:val="clear"/>
        <w:ind w:firstLine="458"/>
        <w:rPr>
          <w:rFonts w:ascii="宋体" w:hAnsi="宋体"/>
          <w:sz w:val="18"/>
          <w:szCs w:val="18"/>
          <w:highlight w:val="none"/>
        </w:rPr>
      </w:pPr>
      <w:r>
        <w:rPr>
          <w:rFonts w:ascii="宋体" w:hAnsi="宋体"/>
          <w:sz w:val="18"/>
          <w:szCs w:val="18"/>
          <w:highlight w:val="none"/>
        </w:rPr>
        <w:t>2.</w:t>
      </w:r>
      <w:r>
        <w:rPr>
          <w:rFonts w:hint="eastAsia" w:ascii="宋体" w:hAnsi="宋体"/>
          <w:sz w:val="18"/>
          <w:szCs w:val="18"/>
          <w:highlight w:val="none"/>
        </w:rPr>
        <w:t>凡出现以上任何一项情形，结论均为无效，否则就为有效。</w:t>
      </w:r>
    </w:p>
    <w:p>
      <w:pPr>
        <w:shd w:val="clear"/>
        <w:ind w:firstLine="458"/>
        <w:rPr>
          <w:rFonts w:ascii="宋体" w:hAnsi="宋体"/>
          <w:sz w:val="18"/>
          <w:szCs w:val="18"/>
          <w:highlight w:val="none"/>
        </w:rPr>
      </w:pPr>
      <w:r>
        <w:rPr>
          <w:rFonts w:hint="eastAsia" w:ascii="宋体" w:hAnsi="宋体"/>
          <w:sz w:val="18"/>
          <w:szCs w:val="18"/>
          <w:highlight w:val="none"/>
        </w:rPr>
        <w:t>3</w:t>
      </w:r>
      <w:r>
        <w:rPr>
          <w:rFonts w:ascii="宋体" w:hAnsi="宋体"/>
          <w:sz w:val="18"/>
          <w:szCs w:val="18"/>
          <w:highlight w:val="none"/>
        </w:rPr>
        <w:t>.</w:t>
      </w:r>
      <w:r>
        <w:rPr>
          <w:rFonts w:hint="eastAsia" w:ascii="宋体" w:hAnsi="宋体"/>
          <w:sz w:val="18"/>
          <w:szCs w:val="18"/>
          <w:highlight w:val="none"/>
        </w:rPr>
        <w:t>如对本表中某种情形的评审意见不一致时，以评标委员会过半数成员的意见作为评标委员会对该情形的认定结论。</w:t>
      </w:r>
    </w:p>
    <w:p>
      <w:pPr>
        <w:shd w:val="clear"/>
        <w:ind w:firstLine="458"/>
        <w:rPr>
          <w:rFonts w:ascii="宋体" w:hAnsi="宋体" w:cs="宋体"/>
          <w:b/>
          <w:color w:val="auto"/>
          <w:sz w:val="18"/>
          <w:szCs w:val="18"/>
          <w:highlight w:val="none"/>
          <w:u w:val="single"/>
        </w:rPr>
      </w:pPr>
      <w:r>
        <w:rPr>
          <w:rFonts w:hint="eastAsia" w:ascii="宋体" w:hAnsi="宋体" w:cs="宋体"/>
          <w:b/>
          <w:color w:val="auto"/>
          <w:sz w:val="18"/>
          <w:szCs w:val="18"/>
          <w:highlight w:val="none"/>
          <w:u w:val="singl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9"/>
        <w:shd w:val="clear"/>
        <w:ind w:firstLine="458"/>
        <w:rPr>
          <w:rFonts w:ascii="宋体" w:hAnsi="宋体"/>
          <w:szCs w:val="21"/>
          <w:highlight w:val="none"/>
        </w:rPr>
        <w:sectPr>
          <w:endnotePr>
            <w:numFmt w:val="decimal"/>
          </w:endnotePr>
          <w:pgSz w:w="16838" w:h="11906" w:orient="landscape"/>
          <w:pgMar w:top="1247" w:right="1247" w:bottom="1247" w:left="1134" w:header="851" w:footer="907" w:gutter="0"/>
          <w:cols w:space="720" w:num="1"/>
          <w:titlePg/>
          <w:docGrid w:type="lines" w:linePitch="312" w:charSpace="0"/>
        </w:sectPr>
      </w:pPr>
      <w:r>
        <w:rPr>
          <w:rFonts w:hint="eastAsia" w:ascii="宋体" w:hAnsi="宋体"/>
          <w:szCs w:val="21"/>
          <w:highlight w:val="none"/>
        </w:rPr>
        <w:t>评委签名：</w:t>
      </w:r>
    </w:p>
    <w:p>
      <w:pPr>
        <w:shd w:val="clear"/>
        <w:rPr>
          <w:szCs w:val="21"/>
          <w:highlight w:val="none"/>
        </w:rPr>
      </w:pPr>
      <w:r>
        <w:rPr>
          <w:rFonts w:hint="eastAsia"/>
          <w:szCs w:val="21"/>
          <w:highlight w:val="none"/>
        </w:rPr>
        <w:t>附表四</w:t>
      </w:r>
    </w:p>
    <w:p>
      <w:pPr>
        <w:shd w:val="clear"/>
        <w:jc w:val="center"/>
        <w:rPr>
          <w:b/>
          <w:sz w:val="36"/>
          <w:szCs w:val="36"/>
          <w:highlight w:val="none"/>
        </w:rPr>
      </w:pPr>
      <w:r>
        <w:rPr>
          <w:rFonts w:hint="eastAsia"/>
          <w:b/>
          <w:sz w:val="36"/>
          <w:szCs w:val="36"/>
          <w:highlight w:val="none"/>
        </w:rPr>
        <w:t>技术标详细审查评分表</w:t>
      </w:r>
    </w:p>
    <w:tbl>
      <w:tblPr>
        <w:tblStyle w:val="10"/>
        <w:tblW w:w="13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901"/>
        <w:gridCol w:w="883"/>
        <w:gridCol w:w="10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 w:hRule="atLeast"/>
        </w:trPr>
        <w:tc>
          <w:tcPr>
            <w:tcW w:w="633" w:type="dxa"/>
            <w:tcBorders>
              <w:top w:val="single" w:color="auto" w:sz="4" w:space="0"/>
              <w:left w:val="single" w:color="auto" w:sz="4" w:space="0"/>
              <w:bottom w:val="single" w:color="auto" w:sz="4" w:space="0"/>
              <w:right w:val="single" w:color="auto" w:sz="4" w:space="0"/>
            </w:tcBorders>
            <w:noWrap w:val="0"/>
            <w:vAlign w:val="center"/>
          </w:tcPr>
          <w:p>
            <w:pPr>
              <w:shd w:val="clear"/>
              <w:snapToGrid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1901" w:type="dxa"/>
            <w:tcBorders>
              <w:top w:val="single" w:color="auto" w:sz="4" w:space="0"/>
              <w:left w:val="nil"/>
              <w:bottom w:val="single" w:color="auto" w:sz="4" w:space="0"/>
              <w:right w:val="single" w:color="auto" w:sz="4" w:space="0"/>
            </w:tcBorders>
            <w:noWrap w:val="0"/>
            <w:vAlign w:val="center"/>
          </w:tcPr>
          <w:p>
            <w:pPr>
              <w:shd w:val="clear"/>
              <w:snapToGrid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评审</w:t>
            </w:r>
          </w:p>
          <w:p>
            <w:pPr>
              <w:shd w:val="clear"/>
              <w:snapToGrid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项目</w:t>
            </w:r>
          </w:p>
        </w:tc>
        <w:tc>
          <w:tcPr>
            <w:tcW w:w="883" w:type="dxa"/>
            <w:tcBorders>
              <w:top w:val="single" w:color="auto" w:sz="4" w:space="0"/>
              <w:left w:val="nil"/>
              <w:bottom w:val="single" w:color="auto" w:sz="4" w:space="0"/>
              <w:right w:val="single" w:color="auto" w:sz="4" w:space="0"/>
            </w:tcBorders>
            <w:noWrap w:val="0"/>
            <w:vAlign w:val="center"/>
          </w:tcPr>
          <w:p>
            <w:pPr>
              <w:shd w:val="clear"/>
              <w:snapToGrid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分值</w:t>
            </w:r>
          </w:p>
        </w:tc>
        <w:tc>
          <w:tcPr>
            <w:tcW w:w="10578" w:type="dxa"/>
            <w:tcBorders>
              <w:top w:val="single" w:color="auto" w:sz="4" w:space="0"/>
              <w:left w:val="nil"/>
              <w:bottom w:val="single" w:color="auto" w:sz="4" w:space="0"/>
              <w:right w:val="single" w:color="auto" w:sz="4" w:space="0"/>
            </w:tcBorders>
            <w:noWrap w:val="0"/>
            <w:vAlign w:val="center"/>
          </w:tcPr>
          <w:p>
            <w:pPr>
              <w:shd w:val="clear"/>
              <w:snapToGrid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633" w:type="dxa"/>
            <w:tcBorders>
              <w:top w:val="single" w:color="auto" w:sz="4" w:space="0"/>
              <w:left w:val="single" w:color="auto" w:sz="4" w:space="0"/>
              <w:bottom w:val="single" w:color="auto" w:sz="4" w:space="0"/>
              <w:right w:val="single" w:color="auto" w:sz="4" w:space="0"/>
            </w:tcBorders>
            <w:noWrap w:val="0"/>
            <w:vAlign w:val="center"/>
          </w:tcPr>
          <w:p>
            <w:pPr>
              <w:pStyle w:val="13"/>
              <w:shd w:val="clear"/>
              <w:jc w:val="center"/>
              <w:rPr>
                <w:rFonts w:eastAsia="宋体"/>
                <w:color w:val="auto"/>
                <w:kern w:val="0"/>
                <w:sz w:val="18"/>
                <w:szCs w:val="18"/>
                <w:highlight w:val="none"/>
                <w:lang w:val="en-US" w:eastAsia="zh-CN"/>
              </w:rPr>
            </w:pPr>
            <w:r>
              <w:rPr>
                <w:rFonts w:hint="eastAsia" w:eastAsia="宋体"/>
                <w:color w:val="auto"/>
                <w:sz w:val="18"/>
                <w:szCs w:val="18"/>
                <w:highlight w:val="none"/>
                <w:lang w:val="en-US" w:eastAsia="zh-CN" w:bidi="zh-CN"/>
              </w:rPr>
              <w:t>1</w:t>
            </w:r>
          </w:p>
        </w:tc>
        <w:tc>
          <w:tcPr>
            <w:tcW w:w="1901" w:type="dxa"/>
            <w:tcBorders>
              <w:top w:val="single" w:color="auto" w:sz="4" w:space="0"/>
              <w:left w:val="nil"/>
              <w:bottom w:val="single" w:color="auto" w:sz="4" w:space="0"/>
              <w:right w:val="single" w:color="auto" w:sz="4" w:space="0"/>
            </w:tcBorders>
            <w:noWrap w:val="0"/>
            <w:vAlign w:val="center"/>
          </w:tcPr>
          <w:p>
            <w:pPr>
              <w:pStyle w:val="13"/>
              <w:shd w:val="clear"/>
              <w:rPr>
                <w:rFonts w:eastAsia="宋体"/>
                <w:color w:val="auto"/>
                <w:kern w:val="0"/>
                <w:sz w:val="18"/>
                <w:szCs w:val="18"/>
                <w:highlight w:val="none"/>
              </w:rPr>
            </w:pPr>
            <w:r>
              <w:rPr>
                <w:rFonts w:hint="eastAsia" w:eastAsia="宋体"/>
                <w:color w:val="auto"/>
                <w:sz w:val="18"/>
                <w:szCs w:val="18"/>
                <w:highlight w:val="none"/>
              </w:rPr>
              <w:t>项目管理机构</w:t>
            </w:r>
          </w:p>
        </w:tc>
        <w:tc>
          <w:tcPr>
            <w:tcW w:w="883" w:type="dxa"/>
            <w:tcBorders>
              <w:top w:val="single" w:color="auto" w:sz="4" w:space="0"/>
              <w:left w:val="nil"/>
              <w:bottom w:val="single" w:color="auto" w:sz="4" w:space="0"/>
              <w:right w:val="single" w:color="auto" w:sz="4" w:space="0"/>
            </w:tcBorders>
            <w:noWrap w:val="0"/>
            <w:vAlign w:val="center"/>
          </w:tcPr>
          <w:p>
            <w:pPr>
              <w:pStyle w:val="13"/>
              <w:shd w:val="clear"/>
              <w:ind w:firstLine="280"/>
              <w:rPr>
                <w:rFonts w:eastAsia="宋体"/>
                <w:color w:val="auto"/>
                <w:kern w:val="0"/>
                <w:sz w:val="18"/>
                <w:szCs w:val="18"/>
                <w:highlight w:val="none"/>
                <w:lang w:val="en-US" w:eastAsia="zh-CN"/>
              </w:rPr>
            </w:pPr>
            <w:r>
              <w:rPr>
                <w:rFonts w:eastAsia="宋体"/>
                <w:color w:val="auto"/>
                <w:sz w:val="18"/>
                <w:szCs w:val="18"/>
                <w:highlight w:val="none"/>
                <w:lang w:val="en-US" w:eastAsia="zh-CN"/>
              </w:rPr>
              <w:t>82</w:t>
            </w:r>
          </w:p>
        </w:tc>
        <w:tc>
          <w:tcPr>
            <w:tcW w:w="10578" w:type="dxa"/>
            <w:tcBorders>
              <w:top w:val="single" w:color="auto" w:sz="4" w:space="0"/>
              <w:left w:val="nil"/>
              <w:bottom w:val="single" w:color="auto" w:sz="4" w:space="0"/>
              <w:right w:val="single" w:color="auto" w:sz="4" w:space="0"/>
            </w:tcBorders>
            <w:noWrap w:val="0"/>
            <w:vAlign w:val="top"/>
          </w:tcPr>
          <w:p>
            <w:pPr>
              <w:pStyle w:val="13"/>
              <w:shd w:val="clear"/>
              <w:rPr>
                <w:rFonts w:eastAsia="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633" w:type="dxa"/>
            <w:tcBorders>
              <w:top w:val="single" w:color="auto" w:sz="4" w:space="0"/>
              <w:left w:val="single" w:color="auto" w:sz="4" w:space="0"/>
              <w:bottom w:val="single" w:color="auto" w:sz="4" w:space="0"/>
              <w:right w:val="single" w:color="auto" w:sz="4" w:space="0"/>
            </w:tcBorders>
            <w:noWrap w:val="0"/>
            <w:vAlign w:val="center"/>
          </w:tcPr>
          <w:p>
            <w:pPr>
              <w:pStyle w:val="13"/>
              <w:shd w:val="clear"/>
              <w:jc w:val="center"/>
              <w:rPr>
                <w:rFonts w:eastAsia="宋体"/>
                <w:color w:val="auto"/>
                <w:sz w:val="18"/>
                <w:szCs w:val="18"/>
                <w:highlight w:val="none"/>
                <w:lang w:eastAsia="zh-CN"/>
              </w:rPr>
            </w:pPr>
            <w:r>
              <w:rPr>
                <w:rFonts w:hint="eastAsia" w:eastAsia="宋体"/>
                <w:color w:val="auto"/>
                <w:sz w:val="18"/>
                <w:szCs w:val="18"/>
                <w:highlight w:val="none"/>
                <w:lang w:val="en-US" w:eastAsia="zh-CN" w:bidi="en-US"/>
              </w:rPr>
              <w:t>1</w:t>
            </w:r>
            <w:r>
              <w:rPr>
                <w:rFonts w:hint="eastAsia" w:eastAsia="宋体"/>
                <w:color w:val="auto"/>
                <w:sz w:val="18"/>
                <w:szCs w:val="18"/>
                <w:highlight w:val="none"/>
                <w:lang w:val="en-US" w:eastAsia="en-US" w:bidi="en-US"/>
              </w:rPr>
              <w:t>.</w:t>
            </w:r>
            <w:r>
              <w:rPr>
                <w:rFonts w:hint="eastAsia" w:eastAsia="宋体"/>
                <w:color w:val="auto"/>
                <w:sz w:val="18"/>
                <w:szCs w:val="18"/>
                <w:highlight w:val="none"/>
                <w:lang w:val="en-US" w:eastAsia="zh-CN" w:bidi="en-US"/>
              </w:rPr>
              <w:t>1</w:t>
            </w:r>
          </w:p>
        </w:tc>
        <w:tc>
          <w:tcPr>
            <w:tcW w:w="1901" w:type="dxa"/>
            <w:tcBorders>
              <w:top w:val="single" w:color="auto" w:sz="4" w:space="0"/>
              <w:left w:val="nil"/>
              <w:bottom w:val="single" w:color="auto" w:sz="4" w:space="0"/>
              <w:right w:val="single" w:color="auto" w:sz="4" w:space="0"/>
            </w:tcBorders>
            <w:noWrap w:val="0"/>
            <w:vAlign w:val="center"/>
          </w:tcPr>
          <w:p>
            <w:pPr>
              <w:pStyle w:val="13"/>
              <w:shd w:val="clear"/>
              <w:rPr>
                <w:rFonts w:eastAsia="宋体"/>
                <w:color w:val="auto"/>
                <w:sz w:val="18"/>
                <w:szCs w:val="18"/>
                <w:highlight w:val="none"/>
                <w:lang w:eastAsia="zh-CN"/>
              </w:rPr>
            </w:pPr>
            <w:r>
              <w:rPr>
                <w:rFonts w:hint="eastAsia" w:eastAsia="宋体"/>
                <w:color w:val="auto"/>
                <w:sz w:val="18"/>
                <w:szCs w:val="18"/>
                <w:highlight w:val="none"/>
              </w:rPr>
              <w:t>技术负责人</w:t>
            </w:r>
          </w:p>
        </w:tc>
        <w:tc>
          <w:tcPr>
            <w:tcW w:w="883" w:type="dxa"/>
            <w:tcBorders>
              <w:top w:val="single" w:color="auto" w:sz="4" w:space="0"/>
              <w:left w:val="nil"/>
              <w:bottom w:val="single" w:color="auto" w:sz="4" w:space="0"/>
              <w:right w:val="single" w:color="auto" w:sz="4" w:space="0"/>
            </w:tcBorders>
            <w:noWrap w:val="0"/>
            <w:vAlign w:val="center"/>
          </w:tcPr>
          <w:p>
            <w:pPr>
              <w:pStyle w:val="13"/>
              <w:shd w:val="clear"/>
              <w:ind w:firstLine="280"/>
              <w:rPr>
                <w:rFonts w:eastAsia="宋体"/>
                <w:color w:val="auto"/>
                <w:sz w:val="18"/>
                <w:szCs w:val="18"/>
                <w:highlight w:val="none"/>
                <w:lang w:val="en-US" w:eastAsia="zh-CN"/>
              </w:rPr>
            </w:pPr>
            <w:r>
              <w:rPr>
                <w:rFonts w:eastAsia="宋体"/>
                <w:color w:val="auto"/>
                <w:sz w:val="18"/>
                <w:szCs w:val="18"/>
                <w:highlight w:val="none"/>
                <w:lang w:val="en-US" w:eastAsia="zh-CN" w:bidi="en-US"/>
              </w:rPr>
              <w:t>15</w:t>
            </w:r>
          </w:p>
        </w:tc>
        <w:tc>
          <w:tcPr>
            <w:tcW w:w="10578" w:type="dxa"/>
            <w:tcBorders>
              <w:top w:val="single" w:color="auto" w:sz="4" w:space="0"/>
              <w:left w:val="nil"/>
              <w:bottom w:val="single" w:color="auto" w:sz="4" w:space="0"/>
              <w:right w:val="single" w:color="auto" w:sz="4" w:space="0"/>
            </w:tcBorders>
            <w:noWrap w:val="0"/>
            <w:vAlign w:val="bottom"/>
          </w:tcPr>
          <w:p>
            <w:pPr>
              <w:pStyle w:val="13"/>
              <w:numPr>
                <w:ilvl w:val="0"/>
                <w:numId w:val="2"/>
              </w:numPr>
              <w:shd w:val="clear"/>
              <w:rPr>
                <w:rFonts w:eastAsia="宋体"/>
                <w:color w:val="auto"/>
                <w:sz w:val="18"/>
                <w:szCs w:val="18"/>
                <w:highlight w:val="none"/>
              </w:rPr>
            </w:pPr>
            <w:r>
              <w:rPr>
                <w:rFonts w:hint="eastAsia" w:eastAsia="宋体"/>
                <w:color w:val="auto"/>
                <w:sz w:val="18"/>
                <w:szCs w:val="18"/>
                <w:highlight w:val="none"/>
              </w:rPr>
              <w:t>具有建筑工程</w:t>
            </w:r>
            <w:r>
              <w:rPr>
                <w:rFonts w:hint="eastAsia" w:eastAsia="宋体"/>
                <w:color w:val="auto"/>
                <w:sz w:val="18"/>
                <w:szCs w:val="18"/>
                <w:highlight w:val="none"/>
                <w:lang w:val="en-US" w:eastAsia="zh-CN"/>
              </w:rPr>
              <w:t>类</w:t>
            </w:r>
            <w:r>
              <w:rPr>
                <w:rFonts w:hint="eastAsia" w:eastAsia="宋体"/>
                <w:color w:val="auto"/>
                <w:sz w:val="18"/>
                <w:szCs w:val="18"/>
                <w:highlight w:val="none"/>
              </w:rPr>
              <w:t>高级工程师</w:t>
            </w:r>
            <w:r>
              <w:rPr>
                <w:rFonts w:hint="eastAsia" w:eastAsia="宋体"/>
                <w:color w:val="auto"/>
                <w:sz w:val="18"/>
                <w:szCs w:val="18"/>
                <w:highlight w:val="none"/>
                <w:lang w:eastAsia="zh-CN"/>
              </w:rPr>
              <w:t>（</w:t>
            </w:r>
            <w:r>
              <w:rPr>
                <w:rFonts w:hint="eastAsia" w:eastAsia="宋体"/>
                <w:color w:val="auto"/>
                <w:sz w:val="18"/>
                <w:szCs w:val="18"/>
                <w:highlight w:val="none"/>
              </w:rPr>
              <w:t>或以上</w:t>
            </w:r>
            <w:r>
              <w:rPr>
                <w:rFonts w:hint="eastAsia" w:eastAsia="宋体"/>
                <w:color w:val="auto"/>
                <w:sz w:val="18"/>
                <w:szCs w:val="18"/>
                <w:highlight w:val="none"/>
                <w:lang w:eastAsia="zh-CN"/>
              </w:rPr>
              <w:t>）</w:t>
            </w:r>
            <w:r>
              <w:rPr>
                <w:rFonts w:hint="eastAsia" w:eastAsia="宋体"/>
                <w:color w:val="auto"/>
                <w:sz w:val="18"/>
                <w:szCs w:val="18"/>
                <w:highlight w:val="none"/>
                <w:lang w:val="en-US" w:eastAsia="zh-CN"/>
              </w:rPr>
              <w:t>技术职称，且取得该职称证书的年限达到</w:t>
            </w:r>
            <w:r>
              <w:rPr>
                <w:rFonts w:eastAsia="宋体"/>
                <w:color w:val="auto"/>
                <w:sz w:val="18"/>
                <w:szCs w:val="18"/>
                <w:highlight w:val="none"/>
                <w:lang w:val="en-US" w:eastAsia="zh-CN"/>
              </w:rPr>
              <w:t>8</w:t>
            </w:r>
            <w:r>
              <w:rPr>
                <w:rFonts w:hint="eastAsia" w:eastAsia="宋体"/>
                <w:color w:val="auto"/>
                <w:sz w:val="18"/>
                <w:szCs w:val="18"/>
                <w:highlight w:val="none"/>
                <w:lang w:val="en-US" w:eastAsia="zh-CN"/>
              </w:rPr>
              <w:t>年（含</w:t>
            </w:r>
            <w:r>
              <w:rPr>
                <w:rFonts w:eastAsia="宋体"/>
                <w:color w:val="auto"/>
                <w:sz w:val="18"/>
                <w:szCs w:val="18"/>
                <w:highlight w:val="none"/>
                <w:lang w:val="en-US" w:eastAsia="zh-CN"/>
              </w:rPr>
              <w:t>8</w:t>
            </w:r>
            <w:r>
              <w:rPr>
                <w:rFonts w:hint="eastAsia" w:eastAsia="宋体"/>
                <w:color w:val="auto"/>
                <w:sz w:val="18"/>
                <w:szCs w:val="18"/>
                <w:highlight w:val="none"/>
                <w:lang w:val="en-US" w:eastAsia="zh-CN"/>
              </w:rPr>
              <w:t>年）或以上的</w:t>
            </w:r>
            <w:r>
              <w:rPr>
                <w:rFonts w:hint="eastAsia" w:eastAsia="宋体"/>
                <w:color w:val="auto"/>
                <w:sz w:val="18"/>
                <w:szCs w:val="18"/>
                <w:highlight w:val="none"/>
              </w:rPr>
              <w:t>，得</w:t>
            </w:r>
            <w:r>
              <w:rPr>
                <w:rFonts w:eastAsia="宋体"/>
                <w:color w:val="auto"/>
                <w:sz w:val="18"/>
                <w:szCs w:val="18"/>
                <w:highlight w:val="none"/>
                <w:lang w:val="en-US" w:eastAsia="zh-CN"/>
              </w:rPr>
              <w:t>15</w:t>
            </w:r>
            <w:r>
              <w:rPr>
                <w:rFonts w:hint="eastAsia" w:eastAsia="宋体"/>
                <w:color w:val="auto"/>
                <w:sz w:val="18"/>
                <w:szCs w:val="18"/>
                <w:highlight w:val="none"/>
              </w:rPr>
              <w:t>分；</w:t>
            </w:r>
          </w:p>
          <w:p>
            <w:pPr>
              <w:pStyle w:val="13"/>
              <w:numPr>
                <w:ilvl w:val="0"/>
                <w:numId w:val="2"/>
              </w:numPr>
              <w:shd w:val="clear"/>
              <w:rPr>
                <w:rFonts w:eastAsia="宋体"/>
                <w:color w:val="auto"/>
                <w:sz w:val="18"/>
                <w:szCs w:val="18"/>
                <w:highlight w:val="none"/>
                <w:lang w:eastAsia="zh-CN"/>
              </w:rPr>
            </w:pPr>
            <w:r>
              <w:rPr>
                <w:rFonts w:hint="eastAsia" w:eastAsia="宋体"/>
                <w:color w:val="auto"/>
                <w:sz w:val="18"/>
                <w:szCs w:val="18"/>
                <w:highlight w:val="none"/>
              </w:rPr>
              <w:t>具有建筑工程</w:t>
            </w:r>
            <w:r>
              <w:rPr>
                <w:rFonts w:hint="eastAsia" w:eastAsia="宋体"/>
                <w:color w:val="auto"/>
                <w:sz w:val="18"/>
                <w:szCs w:val="18"/>
                <w:highlight w:val="none"/>
                <w:lang w:val="en-US" w:eastAsia="zh-CN"/>
              </w:rPr>
              <w:t>类</w:t>
            </w:r>
            <w:r>
              <w:rPr>
                <w:rFonts w:hint="eastAsia" w:eastAsia="宋体"/>
                <w:color w:val="auto"/>
                <w:sz w:val="18"/>
                <w:szCs w:val="18"/>
                <w:highlight w:val="none"/>
              </w:rPr>
              <w:t>高级工程师</w:t>
            </w:r>
            <w:r>
              <w:rPr>
                <w:rFonts w:hint="eastAsia" w:eastAsia="宋体"/>
                <w:color w:val="auto"/>
                <w:sz w:val="18"/>
                <w:szCs w:val="18"/>
                <w:highlight w:val="none"/>
                <w:lang w:eastAsia="zh-CN"/>
              </w:rPr>
              <w:t>（</w:t>
            </w:r>
            <w:r>
              <w:rPr>
                <w:rFonts w:hint="eastAsia" w:eastAsia="宋体"/>
                <w:color w:val="auto"/>
                <w:sz w:val="18"/>
                <w:szCs w:val="18"/>
                <w:highlight w:val="none"/>
              </w:rPr>
              <w:t>或以上</w:t>
            </w:r>
            <w:r>
              <w:rPr>
                <w:rFonts w:hint="eastAsia" w:eastAsia="宋体"/>
                <w:color w:val="auto"/>
                <w:sz w:val="18"/>
                <w:szCs w:val="18"/>
                <w:highlight w:val="none"/>
                <w:lang w:eastAsia="zh-CN"/>
              </w:rPr>
              <w:t>）</w:t>
            </w:r>
            <w:r>
              <w:rPr>
                <w:rFonts w:hint="eastAsia" w:eastAsia="宋体"/>
                <w:color w:val="auto"/>
                <w:sz w:val="18"/>
                <w:szCs w:val="18"/>
                <w:highlight w:val="none"/>
                <w:lang w:val="en-US" w:eastAsia="zh-CN"/>
              </w:rPr>
              <w:t>技术职称，且取得该职称证书的年限达到</w:t>
            </w:r>
            <w:r>
              <w:rPr>
                <w:rFonts w:eastAsia="宋体"/>
                <w:color w:val="auto"/>
                <w:sz w:val="18"/>
                <w:szCs w:val="18"/>
                <w:highlight w:val="none"/>
                <w:lang w:val="en-US" w:eastAsia="zh-CN"/>
              </w:rPr>
              <w:t>6</w:t>
            </w:r>
            <w:r>
              <w:rPr>
                <w:rFonts w:hint="eastAsia" w:eastAsia="宋体"/>
                <w:color w:val="auto"/>
                <w:sz w:val="18"/>
                <w:szCs w:val="18"/>
                <w:highlight w:val="none"/>
                <w:lang w:val="en-US" w:eastAsia="zh-CN"/>
              </w:rPr>
              <w:t>年（含</w:t>
            </w:r>
            <w:r>
              <w:rPr>
                <w:rFonts w:eastAsia="宋体"/>
                <w:color w:val="auto"/>
                <w:sz w:val="18"/>
                <w:szCs w:val="18"/>
                <w:highlight w:val="none"/>
                <w:lang w:val="en-US" w:eastAsia="zh-CN"/>
              </w:rPr>
              <w:t>6</w:t>
            </w:r>
            <w:r>
              <w:rPr>
                <w:rFonts w:hint="eastAsia" w:eastAsia="宋体"/>
                <w:color w:val="auto"/>
                <w:sz w:val="18"/>
                <w:szCs w:val="18"/>
                <w:highlight w:val="none"/>
                <w:lang w:val="en-US" w:eastAsia="zh-CN"/>
              </w:rPr>
              <w:t>年）至</w:t>
            </w:r>
            <w:r>
              <w:rPr>
                <w:rFonts w:eastAsia="宋体"/>
                <w:color w:val="auto"/>
                <w:sz w:val="18"/>
                <w:szCs w:val="18"/>
                <w:highlight w:val="none"/>
                <w:lang w:val="en-US" w:eastAsia="zh-CN"/>
              </w:rPr>
              <w:t>8</w:t>
            </w:r>
            <w:r>
              <w:rPr>
                <w:rFonts w:hint="eastAsia" w:eastAsia="宋体"/>
                <w:color w:val="auto"/>
                <w:sz w:val="18"/>
                <w:szCs w:val="18"/>
                <w:highlight w:val="none"/>
                <w:lang w:val="en-US" w:eastAsia="zh-CN"/>
              </w:rPr>
              <w:t>年（不含）的</w:t>
            </w:r>
            <w:r>
              <w:rPr>
                <w:rFonts w:hint="eastAsia" w:eastAsia="宋体"/>
                <w:color w:val="auto"/>
                <w:sz w:val="18"/>
                <w:szCs w:val="18"/>
                <w:highlight w:val="none"/>
              </w:rPr>
              <w:t>，得</w:t>
            </w:r>
            <w:r>
              <w:rPr>
                <w:rFonts w:eastAsia="宋体"/>
                <w:color w:val="auto"/>
                <w:sz w:val="18"/>
                <w:szCs w:val="18"/>
                <w:highlight w:val="none"/>
                <w:lang w:val="en-US" w:eastAsia="zh-CN"/>
              </w:rPr>
              <w:t>10</w:t>
            </w:r>
            <w:r>
              <w:rPr>
                <w:rFonts w:hint="eastAsia" w:eastAsia="宋体"/>
                <w:color w:val="auto"/>
                <w:sz w:val="18"/>
                <w:szCs w:val="18"/>
                <w:highlight w:val="none"/>
              </w:rPr>
              <w:t>分</w:t>
            </w:r>
            <w:r>
              <w:rPr>
                <w:rFonts w:hint="eastAsia" w:eastAsia="宋体"/>
                <w:color w:val="auto"/>
                <w:sz w:val="18"/>
                <w:szCs w:val="18"/>
                <w:highlight w:val="none"/>
                <w:lang w:eastAsia="zh-CN"/>
              </w:rPr>
              <w:t>；</w:t>
            </w:r>
          </w:p>
          <w:p>
            <w:pPr>
              <w:pStyle w:val="13"/>
              <w:numPr>
                <w:ilvl w:val="0"/>
                <w:numId w:val="2"/>
              </w:numPr>
              <w:shd w:val="clear"/>
              <w:rPr>
                <w:rFonts w:eastAsia="宋体"/>
                <w:color w:val="auto"/>
                <w:sz w:val="18"/>
                <w:szCs w:val="18"/>
                <w:highlight w:val="none"/>
                <w:lang w:eastAsia="zh-CN"/>
              </w:rPr>
            </w:pPr>
            <w:r>
              <w:rPr>
                <w:rFonts w:hint="eastAsia" w:eastAsia="宋体"/>
                <w:color w:val="auto"/>
                <w:sz w:val="18"/>
                <w:szCs w:val="18"/>
                <w:highlight w:val="none"/>
              </w:rPr>
              <w:t>具有建筑工程</w:t>
            </w:r>
            <w:r>
              <w:rPr>
                <w:rFonts w:hint="eastAsia" w:eastAsia="宋体"/>
                <w:color w:val="auto"/>
                <w:sz w:val="18"/>
                <w:szCs w:val="18"/>
                <w:highlight w:val="none"/>
                <w:lang w:val="en-US" w:eastAsia="zh-CN"/>
              </w:rPr>
              <w:t>类</w:t>
            </w:r>
            <w:r>
              <w:rPr>
                <w:rFonts w:hint="eastAsia" w:eastAsia="宋体"/>
                <w:color w:val="auto"/>
                <w:sz w:val="18"/>
                <w:szCs w:val="18"/>
                <w:highlight w:val="none"/>
              </w:rPr>
              <w:t>高级工程师</w:t>
            </w:r>
            <w:r>
              <w:rPr>
                <w:rFonts w:hint="eastAsia" w:eastAsia="宋体"/>
                <w:color w:val="auto"/>
                <w:sz w:val="18"/>
                <w:szCs w:val="18"/>
                <w:highlight w:val="none"/>
                <w:lang w:eastAsia="zh-CN"/>
              </w:rPr>
              <w:t>（</w:t>
            </w:r>
            <w:r>
              <w:rPr>
                <w:rFonts w:hint="eastAsia" w:eastAsia="宋体"/>
                <w:color w:val="auto"/>
                <w:sz w:val="18"/>
                <w:szCs w:val="18"/>
                <w:highlight w:val="none"/>
              </w:rPr>
              <w:t>或以上</w:t>
            </w:r>
            <w:r>
              <w:rPr>
                <w:rFonts w:hint="eastAsia" w:eastAsia="宋体"/>
                <w:color w:val="auto"/>
                <w:sz w:val="18"/>
                <w:szCs w:val="18"/>
                <w:highlight w:val="none"/>
                <w:lang w:eastAsia="zh-CN"/>
              </w:rPr>
              <w:t>）</w:t>
            </w:r>
            <w:r>
              <w:rPr>
                <w:rFonts w:hint="eastAsia" w:eastAsia="宋体"/>
                <w:color w:val="auto"/>
                <w:sz w:val="18"/>
                <w:szCs w:val="18"/>
                <w:highlight w:val="none"/>
                <w:lang w:val="en-US" w:eastAsia="zh-CN"/>
              </w:rPr>
              <w:t>技术职称，且取得该职称证书的年限达到</w:t>
            </w:r>
            <w:r>
              <w:rPr>
                <w:rFonts w:eastAsia="宋体"/>
                <w:color w:val="auto"/>
                <w:sz w:val="18"/>
                <w:szCs w:val="18"/>
                <w:highlight w:val="none"/>
                <w:lang w:val="en-US" w:eastAsia="zh-CN"/>
              </w:rPr>
              <w:t>4</w:t>
            </w:r>
            <w:r>
              <w:rPr>
                <w:rFonts w:hint="eastAsia" w:eastAsia="宋体"/>
                <w:color w:val="auto"/>
                <w:sz w:val="18"/>
                <w:szCs w:val="18"/>
                <w:highlight w:val="none"/>
                <w:lang w:val="en-US" w:eastAsia="zh-CN"/>
              </w:rPr>
              <w:t>年（含</w:t>
            </w:r>
            <w:r>
              <w:rPr>
                <w:rFonts w:eastAsia="宋体"/>
                <w:color w:val="auto"/>
                <w:sz w:val="18"/>
                <w:szCs w:val="18"/>
                <w:highlight w:val="none"/>
                <w:lang w:val="en-US" w:eastAsia="zh-CN"/>
              </w:rPr>
              <w:t>4</w:t>
            </w:r>
            <w:r>
              <w:rPr>
                <w:rFonts w:hint="eastAsia" w:eastAsia="宋体"/>
                <w:color w:val="auto"/>
                <w:sz w:val="18"/>
                <w:szCs w:val="18"/>
                <w:highlight w:val="none"/>
                <w:lang w:val="en-US" w:eastAsia="zh-CN"/>
              </w:rPr>
              <w:t>年）至</w:t>
            </w:r>
            <w:r>
              <w:rPr>
                <w:rFonts w:eastAsia="宋体"/>
                <w:color w:val="auto"/>
                <w:sz w:val="18"/>
                <w:szCs w:val="18"/>
                <w:highlight w:val="none"/>
                <w:lang w:val="en-US" w:eastAsia="zh-CN"/>
              </w:rPr>
              <w:t>6</w:t>
            </w:r>
            <w:r>
              <w:rPr>
                <w:rFonts w:hint="eastAsia" w:eastAsia="宋体"/>
                <w:color w:val="auto"/>
                <w:sz w:val="18"/>
                <w:szCs w:val="18"/>
                <w:highlight w:val="none"/>
                <w:lang w:val="en-US" w:eastAsia="zh-CN"/>
              </w:rPr>
              <w:t>年（不含）的</w:t>
            </w:r>
            <w:r>
              <w:rPr>
                <w:rFonts w:hint="eastAsia" w:eastAsia="宋体"/>
                <w:color w:val="auto"/>
                <w:sz w:val="18"/>
                <w:szCs w:val="18"/>
                <w:highlight w:val="none"/>
              </w:rPr>
              <w:t>，得</w:t>
            </w:r>
            <w:r>
              <w:rPr>
                <w:rFonts w:eastAsia="宋体"/>
                <w:color w:val="auto"/>
                <w:sz w:val="18"/>
                <w:szCs w:val="18"/>
                <w:highlight w:val="none"/>
                <w:lang w:val="en-US" w:eastAsia="zh-CN"/>
              </w:rPr>
              <w:t>5</w:t>
            </w:r>
            <w:r>
              <w:rPr>
                <w:rFonts w:hint="eastAsia" w:eastAsia="宋体"/>
                <w:color w:val="auto"/>
                <w:sz w:val="18"/>
                <w:szCs w:val="18"/>
                <w:highlight w:val="none"/>
              </w:rPr>
              <w:t>分</w:t>
            </w:r>
            <w:r>
              <w:rPr>
                <w:rFonts w:hint="eastAsia" w:eastAsia="宋体"/>
                <w:color w:val="auto"/>
                <w:sz w:val="18"/>
                <w:szCs w:val="18"/>
                <w:highlight w:val="none"/>
                <w:lang w:eastAsia="zh-CN"/>
              </w:rPr>
              <w:t>；</w:t>
            </w:r>
          </w:p>
          <w:p>
            <w:pPr>
              <w:pStyle w:val="13"/>
              <w:numPr>
                <w:ilvl w:val="0"/>
                <w:numId w:val="2"/>
              </w:numPr>
              <w:shd w:val="clear"/>
              <w:rPr>
                <w:rFonts w:eastAsia="宋体"/>
                <w:color w:val="auto"/>
                <w:sz w:val="18"/>
                <w:szCs w:val="18"/>
                <w:highlight w:val="none"/>
                <w:lang w:eastAsia="zh-CN"/>
              </w:rPr>
            </w:pPr>
            <w:r>
              <w:rPr>
                <w:rFonts w:hint="eastAsia" w:eastAsia="宋体"/>
                <w:color w:val="auto"/>
                <w:sz w:val="18"/>
                <w:szCs w:val="18"/>
                <w:highlight w:val="none"/>
              </w:rPr>
              <w:t>具有建筑工程</w:t>
            </w:r>
            <w:r>
              <w:rPr>
                <w:rFonts w:hint="eastAsia" w:eastAsia="宋体"/>
                <w:color w:val="auto"/>
                <w:sz w:val="18"/>
                <w:szCs w:val="18"/>
                <w:highlight w:val="none"/>
                <w:lang w:val="en-US" w:eastAsia="zh-CN"/>
              </w:rPr>
              <w:t>类</w:t>
            </w:r>
            <w:r>
              <w:rPr>
                <w:rFonts w:hint="eastAsia" w:eastAsia="宋体"/>
                <w:color w:val="auto"/>
                <w:sz w:val="18"/>
                <w:szCs w:val="18"/>
                <w:highlight w:val="none"/>
              </w:rPr>
              <w:t>高级工程师</w:t>
            </w:r>
            <w:r>
              <w:rPr>
                <w:rFonts w:hint="eastAsia" w:eastAsia="宋体"/>
                <w:color w:val="auto"/>
                <w:sz w:val="18"/>
                <w:szCs w:val="18"/>
                <w:highlight w:val="none"/>
                <w:lang w:eastAsia="zh-CN"/>
              </w:rPr>
              <w:t>（</w:t>
            </w:r>
            <w:r>
              <w:rPr>
                <w:rFonts w:hint="eastAsia" w:eastAsia="宋体"/>
                <w:color w:val="auto"/>
                <w:sz w:val="18"/>
                <w:szCs w:val="18"/>
                <w:highlight w:val="none"/>
              </w:rPr>
              <w:t>或以上</w:t>
            </w:r>
            <w:r>
              <w:rPr>
                <w:rFonts w:hint="eastAsia" w:eastAsia="宋体"/>
                <w:color w:val="auto"/>
                <w:sz w:val="18"/>
                <w:szCs w:val="18"/>
                <w:highlight w:val="none"/>
                <w:lang w:eastAsia="zh-CN"/>
              </w:rPr>
              <w:t>）</w:t>
            </w:r>
            <w:r>
              <w:rPr>
                <w:rFonts w:hint="eastAsia" w:eastAsia="宋体"/>
                <w:color w:val="auto"/>
                <w:sz w:val="18"/>
                <w:szCs w:val="18"/>
                <w:highlight w:val="none"/>
                <w:lang w:val="en-US" w:eastAsia="zh-CN"/>
              </w:rPr>
              <w:t>技术职称，且取得该职称证书的年限达到</w:t>
            </w:r>
            <w:r>
              <w:rPr>
                <w:rFonts w:eastAsia="宋体"/>
                <w:color w:val="auto"/>
                <w:sz w:val="18"/>
                <w:szCs w:val="18"/>
                <w:highlight w:val="none"/>
                <w:lang w:val="en-US" w:eastAsia="zh-CN"/>
              </w:rPr>
              <w:t>2</w:t>
            </w:r>
            <w:r>
              <w:rPr>
                <w:rFonts w:hint="eastAsia" w:eastAsia="宋体"/>
                <w:color w:val="auto"/>
                <w:sz w:val="18"/>
                <w:szCs w:val="18"/>
                <w:highlight w:val="none"/>
                <w:lang w:val="en-US" w:eastAsia="zh-CN"/>
              </w:rPr>
              <w:t>年（含</w:t>
            </w:r>
            <w:r>
              <w:rPr>
                <w:rFonts w:eastAsia="宋体"/>
                <w:color w:val="auto"/>
                <w:sz w:val="18"/>
                <w:szCs w:val="18"/>
                <w:highlight w:val="none"/>
                <w:lang w:val="en-US" w:eastAsia="zh-CN"/>
              </w:rPr>
              <w:t>2</w:t>
            </w:r>
            <w:r>
              <w:rPr>
                <w:rFonts w:hint="eastAsia" w:eastAsia="宋体"/>
                <w:color w:val="auto"/>
                <w:sz w:val="18"/>
                <w:szCs w:val="18"/>
                <w:highlight w:val="none"/>
                <w:lang w:val="en-US" w:eastAsia="zh-CN"/>
              </w:rPr>
              <w:t>年）至</w:t>
            </w:r>
            <w:r>
              <w:rPr>
                <w:rFonts w:eastAsia="宋体"/>
                <w:color w:val="auto"/>
                <w:sz w:val="18"/>
                <w:szCs w:val="18"/>
                <w:highlight w:val="none"/>
                <w:lang w:val="en-US" w:eastAsia="zh-CN"/>
              </w:rPr>
              <w:t>4</w:t>
            </w:r>
            <w:r>
              <w:rPr>
                <w:rFonts w:hint="eastAsia" w:eastAsia="宋体"/>
                <w:color w:val="auto"/>
                <w:sz w:val="18"/>
                <w:szCs w:val="18"/>
                <w:highlight w:val="none"/>
                <w:lang w:val="en-US" w:eastAsia="zh-CN"/>
              </w:rPr>
              <w:t>年（不含）的</w:t>
            </w:r>
            <w:r>
              <w:rPr>
                <w:rFonts w:hint="eastAsia" w:eastAsia="宋体"/>
                <w:color w:val="auto"/>
                <w:sz w:val="18"/>
                <w:szCs w:val="18"/>
                <w:highlight w:val="none"/>
              </w:rPr>
              <w:t>，得</w:t>
            </w:r>
            <w:r>
              <w:rPr>
                <w:rFonts w:eastAsia="宋体"/>
                <w:color w:val="auto"/>
                <w:sz w:val="18"/>
                <w:szCs w:val="18"/>
                <w:highlight w:val="none"/>
                <w:lang w:val="en-US" w:eastAsia="zh-CN"/>
              </w:rPr>
              <w:t>2.5</w:t>
            </w:r>
            <w:r>
              <w:rPr>
                <w:rFonts w:hint="eastAsia" w:eastAsia="宋体"/>
                <w:color w:val="auto"/>
                <w:sz w:val="18"/>
                <w:szCs w:val="18"/>
                <w:highlight w:val="none"/>
              </w:rPr>
              <w:t>分</w:t>
            </w:r>
            <w:r>
              <w:rPr>
                <w:rFonts w:hint="eastAsia" w:eastAsia="宋体"/>
                <w:color w:val="auto"/>
                <w:sz w:val="18"/>
                <w:szCs w:val="18"/>
                <w:highlight w:val="none"/>
                <w:lang w:eastAsia="zh-CN"/>
              </w:rPr>
              <w:t>；</w:t>
            </w:r>
          </w:p>
          <w:p>
            <w:pPr>
              <w:pStyle w:val="13"/>
              <w:numPr>
                <w:ilvl w:val="0"/>
                <w:numId w:val="2"/>
              </w:numPr>
              <w:shd w:val="clear"/>
              <w:rPr>
                <w:rFonts w:eastAsia="宋体"/>
                <w:color w:val="auto"/>
                <w:sz w:val="18"/>
                <w:szCs w:val="18"/>
                <w:highlight w:val="none"/>
                <w:lang w:eastAsia="zh-CN"/>
              </w:rPr>
            </w:pPr>
            <w:r>
              <w:rPr>
                <w:rFonts w:hint="eastAsia" w:eastAsia="宋体"/>
                <w:color w:val="auto"/>
                <w:sz w:val="18"/>
                <w:szCs w:val="18"/>
                <w:highlight w:val="none"/>
                <w:lang w:val="en-US" w:eastAsia="zh-CN"/>
              </w:rPr>
              <w:t>其余不得分。</w:t>
            </w:r>
          </w:p>
          <w:p>
            <w:pPr>
              <w:pStyle w:val="13"/>
              <w:shd w:val="clear"/>
              <w:rPr>
                <w:rFonts w:eastAsia="宋体"/>
                <w:color w:val="auto"/>
                <w:sz w:val="18"/>
                <w:szCs w:val="18"/>
                <w:highlight w:val="none"/>
              </w:rPr>
            </w:pPr>
            <w:r>
              <w:rPr>
                <w:rFonts w:hint="eastAsia" w:eastAsia="宋体"/>
                <w:color w:val="auto"/>
                <w:sz w:val="18"/>
                <w:szCs w:val="18"/>
                <w:highlight w:val="none"/>
              </w:rPr>
              <w:t>注：</w:t>
            </w:r>
            <w:r>
              <w:rPr>
                <w:rFonts w:hint="eastAsia" w:eastAsia="宋体"/>
                <w:color w:val="auto"/>
                <w:sz w:val="18"/>
                <w:szCs w:val="18"/>
                <w:highlight w:val="none"/>
                <w:lang w:val="en-US" w:eastAsia="zh-CN"/>
              </w:rPr>
              <w:t>提供职称证书扫描件，</w:t>
            </w:r>
            <w:r>
              <w:rPr>
                <w:rFonts w:hint="eastAsia" w:eastAsia="宋体"/>
                <w:color w:val="auto"/>
                <w:sz w:val="18"/>
                <w:szCs w:val="18"/>
                <w:highlight w:val="none"/>
              </w:rPr>
              <w:t>取得职称证的年限以职称证书发证时间开始计算；职称证书以地市级以上人社部门核发为准，若不是人社部门核发的职称证书，投标人应同时提供地市级以上人社部门委托核发机构开展职称评审工作的证明文件或其他可由该机构核发的政策文件依据，或在人社部门专业技术人才职称管理系统登记的信息记录网页及截图，否则，对该职称证书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633" w:type="dxa"/>
            <w:tcBorders>
              <w:top w:val="single" w:color="auto" w:sz="4" w:space="0"/>
              <w:left w:val="single" w:color="auto" w:sz="4" w:space="0"/>
              <w:bottom w:val="single" w:color="auto" w:sz="4" w:space="0"/>
              <w:right w:val="single" w:color="auto" w:sz="4" w:space="0"/>
            </w:tcBorders>
            <w:noWrap w:val="0"/>
            <w:vAlign w:val="center"/>
          </w:tcPr>
          <w:p>
            <w:pPr>
              <w:pStyle w:val="13"/>
              <w:shd w:val="clear"/>
              <w:jc w:val="center"/>
              <w:rPr>
                <w:rFonts w:eastAsia="宋体"/>
                <w:color w:val="auto"/>
                <w:sz w:val="18"/>
                <w:szCs w:val="18"/>
                <w:highlight w:val="none"/>
                <w:lang w:eastAsia="zh-CN"/>
              </w:rPr>
            </w:pPr>
            <w:r>
              <w:rPr>
                <w:rFonts w:hint="eastAsia" w:eastAsia="宋体"/>
                <w:color w:val="auto"/>
                <w:sz w:val="18"/>
                <w:szCs w:val="18"/>
                <w:highlight w:val="none"/>
                <w:lang w:val="en-US" w:eastAsia="zh-CN" w:bidi="en-US"/>
              </w:rPr>
              <w:t>1</w:t>
            </w:r>
            <w:r>
              <w:rPr>
                <w:rFonts w:hint="eastAsia" w:eastAsia="宋体"/>
                <w:color w:val="auto"/>
                <w:sz w:val="18"/>
                <w:szCs w:val="18"/>
                <w:highlight w:val="none"/>
                <w:lang w:val="en-US" w:eastAsia="en-US" w:bidi="en-US"/>
              </w:rPr>
              <w:t>.</w:t>
            </w:r>
            <w:r>
              <w:rPr>
                <w:rFonts w:hint="eastAsia" w:eastAsia="宋体"/>
                <w:color w:val="auto"/>
                <w:sz w:val="18"/>
                <w:szCs w:val="18"/>
                <w:highlight w:val="none"/>
                <w:lang w:val="en-US" w:eastAsia="zh-CN" w:bidi="en-US"/>
              </w:rPr>
              <w:t>2</w:t>
            </w:r>
          </w:p>
        </w:tc>
        <w:tc>
          <w:tcPr>
            <w:tcW w:w="1901" w:type="dxa"/>
            <w:tcBorders>
              <w:top w:val="single" w:color="auto" w:sz="4" w:space="0"/>
              <w:left w:val="nil"/>
              <w:bottom w:val="single" w:color="auto" w:sz="4" w:space="0"/>
              <w:right w:val="single" w:color="auto" w:sz="4" w:space="0"/>
            </w:tcBorders>
            <w:noWrap w:val="0"/>
            <w:vAlign w:val="center"/>
          </w:tcPr>
          <w:p>
            <w:pPr>
              <w:pStyle w:val="13"/>
              <w:shd w:val="clear"/>
              <w:rPr>
                <w:rFonts w:eastAsia="宋体"/>
                <w:color w:val="auto"/>
                <w:sz w:val="18"/>
                <w:szCs w:val="18"/>
                <w:highlight w:val="none"/>
                <w:lang w:eastAsia="zh-CN"/>
              </w:rPr>
            </w:pPr>
            <w:r>
              <w:rPr>
                <w:rFonts w:hint="eastAsia" w:eastAsia="宋体"/>
                <w:color w:val="auto"/>
                <w:sz w:val="18"/>
                <w:szCs w:val="18"/>
                <w:highlight w:val="none"/>
                <w:lang w:val="en-US" w:eastAsia="zh-CN"/>
              </w:rPr>
              <w:t>安全</w:t>
            </w:r>
            <w:r>
              <w:rPr>
                <w:rFonts w:hint="eastAsia" w:eastAsia="宋体"/>
                <w:color w:val="auto"/>
                <w:sz w:val="18"/>
                <w:szCs w:val="18"/>
                <w:highlight w:val="none"/>
              </w:rPr>
              <w:t>负责人</w:t>
            </w:r>
          </w:p>
        </w:tc>
        <w:tc>
          <w:tcPr>
            <w:tcW w:w="883" w:type="dxa"/>
            <w:tcBorders>
              <w:top w:val="single" w:color="auto" w:sz="4" w:space="0"/>
              <w:left w:val="nil"/>
              <w:bottom w:val="single" w:color="auto" w:sz="4" w:space="0"/>
              <w:right w:val="single" w:color="auto" w:sz="4" w:space="0"/>
            </w:tcBorders>
            <w:noWrap w:val="0"/>
            <w:vAlign w:val="center"/>
          </w:tcPr>
          <w:p>
            <w:pPr>
              <w:pStyle w:val="13"/>
              <w:shd w:val="clear"/>
              <w:ind w:firstLine="280"/>
              <w:rPr>
                <w:rFonts w:eastAsia="宋体"/>
                <w:color w:val="auto"/>
                <w:sz w:val="18"/>
                <w:szCs w:val="18"/>
                <w:highlight w:val="none"/>
                <w:lang w:val="en-US" w:eastAsia="zh-CN"/>
              </w:rPr>
            </w:pPr>
            <w:r>
              <w:rPr>
                <w:rFonts w:hint="eastAsia" w:eastAsia="宋体"/>
                <w:color w:val="auto"/>
                <w:sz w:val="18"/>
                <w:szCs w:val="18"/>
                <w:highlight w:val="none"/>
                <w:lang w:val="en-US" w:eastAsia="zh-CN" w:bidi="en-US"/>
              </w:rPr>
              <w:t>15</w:t>
            </w:r>
          </w:p>
        </w:tc>
        <w:tc>
          <w:tcPr>
            <w:tcW w:w="10578" w:type="dxa"/>
            <w:tcBorders>
              <w:top w:val="single" w:color="auto" w:sz="4" w:space="0"/>
              <w:left w:val="nil"/>
              <w:bottom w:val="single" w:color="auto" w:sz="4" w:space="0"/>
              <w:right w:val="single" w:color="auto" w:sz="4" w:space="0"/>
            </w:tcBorders>
            <w:noWrap w:val="0"/>
            <w:vAlign w:val="bottom"/>
          </w:tcPr>
          <w:p>
            <w:pPr>
              <w:pStyle w:val="13"/>
              <w:numPr>
                <w:ilvl w:val="0"/>
                <w:numId w:val="0"/>
              </w:numPr>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t>1、安全负责人（与专职安全员不为同一人）</w:t>
            </w:r>
            <w:r>
              <w:rPr>
                <w:rFonts w:hint="eastAsia" w:eastAsia="宋体"/>
                <w:color w:val="auto"/>
                <w:sz w:val="18"/>
                <w:szCs w:val="18"/>
                <w:highlight w:val="none"/>
              </w:rPr>
              <w:t>具有建筑施工安全</w:t>
            </w:r>
            <w:r>
              <w:rPr>
                <w:rFonts w:hint="eastAsia" w:eastAsia="宋体"/>
                <w:color w:val="auto"/>
                <w:sz w:val="18"/>
                <w:szCs w:val="18"/>
                <w:highlight w:val="none"/>
                <w:lang w:val="en-US" w:eastAsia="zh-CN"/>
              </w:rPr>
              <w:t>专业注册安全工程师证书，得</w:t>
            </w:r>
            <w:r>
              <w:rPr>
                <w:rFonts w:eastAsia="宋体"/>
                <w:color w:val="auto"/>
                <w:sz w:val="18"/>
                <w:szCs w:val="18"/>
                <w:highlight w:val="none"/>
                <w:lang w:val="en-US" w:eastAsia="zh-CN"/>
              </w:rPr>
              <w:t>5</w:t>
            </w:r>
            <w:r>
              <w:rPr>
                <w:rFonts w:hint="eastAsia" w:eastAsia="宋体"/>
                <w:color w:val="auto"/>
                <w:sz w:val="18"/>
                <w:szCs w:val="18"/>
                <w:highlight w:val="none"/>
                <w:lang w:val="en-US" w:eastAsia="zh-CN"/>
              </w:rPr>
              <w:t>分；</w:t>
            </w:r>
          </w:p>
          <w:p>
            <w:pPr>
              <w:pStyle w:val="13"/>
              <w:numPr>
                <w:ilvl w:val="0"/>
                <w:numId w:val="0"/>
              </w:numPr>
              <w:shd w:val="clear"/>
              <w:rPr>
                <w:rFonts w:hint="eastAsia" w:eastAsia="宋体"/>
                <w:color w:val="auto"/>
                <w:sz w:val="18"/>
                <w:szCs w:val="18"/>
                <w:highlight w:val="none"/>
                <w:lang w:val="en-US" w:eastAsia="zh-CN"/>
              </w:rPr>
            </w:pPr>
            <w:r>
              <w:rPr>
                <w:rFonts w:eastAsia="宋体"/>
                <w:color w:val="auto"/>
                <w:sz w:val="18"/>
                <w:szCs w:val="18"/>
                <w:highlight w:val="none"/>
                <w:lang w:val="en-US" w:eastAsia="zh-CN"/>
              </w:rPr>
              <w:t>2</w:t>
            </w:r>
            <w:r>
              <w:rPr>
                <w:rFonts w:hint="eastAsia" w:eastAsia="宋体"/>
                <w:color w:val="auto"/>
                <w:sz w:val="18"/>
                <w:szCs w:val="18"/>
                <w:highlight w:val="none"/>
                <w:lang w:val="en-US" w:eastAsia="zh-CN"/>
              </w:rPr>
              <w:t>、具有建筑工程类高级工程师（或以上）技术职称的，得1</w:t>
            </w:r>
            <w:r>
              <w:rPr>
                <w:rFonts w:eastAsia="宋体"/>
                <w:color w:val="auto"/>
                <w:sz w:val="18"/>
                <w:szCs w:val="18"/>
                <w:highlight w:val="none"/>
                <w:lang w:val="en-US" w:eastAsia="zh-CN"/>
              </w:rPr>
              <w:t>0</w:t>
            </w:r>
            <w:r>
              <w:rPr>
                <w:rFonts w:hint="eastAsia" w:eastAsia="宋体"/>
                <w:color w:val="auto"/>
                <w:sz w:val="18"/>
                <w:szCs w:val="18"/>
                <w:highlight w:val="none"/>
                <w:lang w:val="en-US" w:eastAsia="zh-CN"/>
              </w:rPr>
              <w:t>分；具有建筑工程类中级工程师技术职称的，得5分。</w:t>
            </w:r>
          </w:p>
          <w:p>
            <w:pPr>
              <w:pStyle w:val="13"/>
              <w:numPr>
                <w:ilvl w:val="0"/>
                <w:numId w:val="0"/>
              </w:numPr>
              <w:shd w:val="clear"/>
              <w:rPr>
                <w:rFonts w:eastAsia="宋体"/>
                <w:color w:val="auto"/>
                <w:sz w:val="18"/>
                <w:szCs w:val="18"/>
                <w:highlight w:val="none"/>
                <w:lang w:val="en-US" w:eastAsia="zh-CN"/>
              </w:rPr>
            </w:pPr>
            <w:r>
              <w:rPr>
                <w:rFonts w:hint="eastAsia"/>
                <w:color w:val="auto"/>
                <w:sz w:val="18"/>
                <w:szCs w:val="18"/>
                <w:highlight w:val="none"/>
                <w:lang w:val="en-US" w:eastAsia="zh-CN"/>
              </w:rPr>
              <w:t>3、</w:t>
            </w:r>
            <w:r>
              <w:rPr>
                <w:rFonts w:hint="eastAsia" w:eastAsia="宋体"/>
                <w:color w:val="auto"/>
                <w:sz w:val="18"/>
                <w:szCs w:val="18"/>
                <w:highlight w:val="none"/>
                <w:lang w:val="en-US" w:eastAsia="zh-CN"/>
              </w:rPr>
              <w:t>其余不得分。</w:t>
            </w:r>
          </w:p>
          <w:p>
            <w:pPr>
              <w:pStyle w:val="13"/>
              <w:shd w:val="clear"/>
              <w:rPr>
                <w:rFonts w:hint="eastAsia" w:eastAsia="宋体"/>
                <w:color w:val="auto"/>
                <w:sz w:val="18"/>
                <w:szCs w:val="18"/>
                <w:highlight w:val="none"/>
                <w:lang w:val="en-US" w:eastAsia="zh-CN"/>
              </w:rPr>
            </w:pPr>
            <w:r>
              <w:rPr>
                <w:rFonts w:hint="eastAsia" w:eastAsia="宋体"/>
                <w:color w:val="auto"/>
                <w:sz w:val="18"/>
                <w:szCs w:val="18"/>
                <w:highlight w:val="none"/>
              </w:rPr>
              <w:t>注：</w:t>
            </w:r>
            <w:r>
              <w:rPr>
                <w:rFonts w:hint="eastAsia" w:eastAsia="宋体"/>
                <w:color w:val="auto"/>
                <w:sz w:val="18"/>
                <w:szCs w:val="18"/>
                <w:highlight w:val="none"/>
                <w:lang w:eastAsia="zh-CN"/>
              </w:rPr>
              <w:fldChar w:fldCharType="begin"/>
            </w:r>
            <w:r>
              <w:rPr>
                <w:rFonts w:hint="eastAsia" w:eastAsia="宋体"/>
                <w:color w:val="auto"/>
                <w:sz w:val="18"/>
                <w:szCs w:val="18"/>
                <w:highlight w:val="none"/>
                <w:lang w:eastAsia="zh-CN"/>
              </w:rPr>
              <w:instrText xml:space="preserve"> = 1 \* GB3 \* MERGEFORMAT </w:instrText>
            </w:r>
            <w:r>
              <w:rPr>
                <w:rFonts w:hint="eastAsia" w:eastAsia="宋体"/>
                <w:color w:val="auto"/>
                <w:sz w:val="18"/>
                <w:szCs w:val="18"/>
                <w:highlight w:val="none"/>
                <w:lang w:eastAsia="zh-CN"/>
              </w:rPr>
              <w:fldChar w:fldCharType="separate"/>
            </w:r>
            <w:r>
              <w:rPr>
                <w:color w:val="auto"/>
                <w:sz w:val="18"/>
                <w:szCs w:val="18"/>
                <w:highlight w:val="none"/>
              </w:rPr>
              <w:t>①</w:t>
            </w:r>
            <w:r>
              <w:rPr>
                <w:rFonts w:hint="eastAsia" w:eastAsia="宋体"/>
                <w:color w:val="auto"/>
                <w:sz w:val="18"/>
                <w:szCs w:val="18"/>
                <w:highlight w:val="none"/>
                <w:lang w:eastAsia="zh-CN"/>
              </w:rPr>
              <w:fldChar w:fldCharType="end"/>
            </w:r>
            <w:r>
              <w:rPr>
                <w:rFonts w:hint="eastAsia" w:eastAsia="宋体"/>
                <w:color w:val="auto"/>
                <w:sz w:val="18"/>
                <w:szCs w:val="18"/>
                <w:highlight w:val="none"/>
                <w:lang w:eastAsia="zh-CN"/>
              </w:rPr>
              <w:t>同时</w:t>
            </w:r>
            <w:r>
              <w:rPr>
                <w:rFonts w:hint="eastAsia" w:eastAsia="宋体"/>
                <w:color w:val="auto"/>
                <w:sz w:val="18"/>
                <w:szCs w:val="18"/>
                <w:highlight w:val="none"/>
                <w:lang w:val="en-US" w:eastAsia="zh-CN"/>
              </w:rPr>
              <w:t>提供注册安全工程师注册管理系统（http://rmocse.chinasafety.ac.cn/）的查询截图及注册证书扫描件，无提交查询截图、注册证书扫描件的第1项不计分；</w:t>
            </w:r>
          </w:p>
          <w:p>
            <w:pPr>
              <w:pStyle w:val="13"/>
              <w:numPr>
                <w:ilvl w:val="0"/>
                <w:numId w:val="0"/>
              </w:numPr>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fldChar w:fldCharType="begin"/>
            </w:r>
            <w:r>
              <w:rPr>
                <w:rFonts w:hint="eastAsia" w:eastAsia="宋体"/>
                <w:color w:val="auto"/>
                <w:sz w:val="18"/>
                <w:szCs w:val="18"/>
                <w:highlight w:val="none"/>
                <w:lang w:val="en-US" w:eastAsia="zh-CN"/>
              </w:rPr>
              <w:instrText xml:space="preserve"> = 2 \* GB3 \* MERGEFORMAT </w:instrText>
            </w:r>
            <w:r>
              <w:rPr>
                <w:rFonts w:hint="eastAsia" w:eastAsia="宋体"/>
                <w:color w:val="auto"/>
                <w:sz w:val="18"/>
                <w:szCs w:val="18"/>
                <w:highlight w:val="none"/>
                <w:lang w:val="en-US" w:eastAsia="zh-CN"/>
              </w:rPr>
              <w:fldChar w:fldCharType="separate"/>
            </w:r>
            <w:r>
              <w:rPr>
                <w:color w:val="auto"/>
                <w:sz w:val="18"/>
                <w:szCs w:val="18"/>
                <w:highlight w:val="none"/>
              </w:rPr>
              <w:t>②</w:t>
            </w:r>
            <w:r>
              <w:rPr>
                <w:rFonts w:hint="eastAsia" w:eastAsia="宋体"/>
                <w:color w:val="auto"/>
                <w:sz w:val="18"/>
                <w:szCs w:val="18"/>
                <w:highlight w:val="none"/>
                <w:lang w:val="en-US" w:eastAsia="zh-CN"/>
              </w:rPr>
              <w:fldChar w:fldCharType="end"/>
            </w:r>
            <w:r>
              <w:rPr>
                <w:rFonts w:eastAsia="宋体"/>
                <w:color w:val="auto"/>
                <w:sz w:val="18"/>
                <w:szCs w:val="18"/>
                <w:highlight w:val="none"/>
                <w:lang w:val="en-US" w:eastAsia="zh-CN"/>
              </w:rPr>
              <w:t>提供</w:t>
            </w:r>
            <w:r>
              <w:rPr>
                <w:rFonts w:hint="eastAsia" w:eastAsia="宋体"/>
                <w:color w:val="auto"/>
                <w:sz w:val="18"/>
                <w:szCs w:val="18"/>
                <w:highlight w:val="none"/>
                <w:lang w:val="en-US" w:eastAsia="zh-CN"/>
              </w:rPr>
              <w:t>职称证书</w:t>
            </w:r>
            <w:r>
              <w:rPr>
                <w:rFonts w:eastAsia="宋体"/>
                <w:color w:val="auto"/>
                <w:sz w:val="18"/>
                <w:szCs w:val="18"/>
                <w:highlight w:val="none"/>
                <w:lang w:val="en-US" w:eastAsia="zh-CN"/>
              </w:rPr>
              <w:t>扫描件</w:t>
            </w:r>
            <w:r>
              <w:rPr>
                <w:rFonts w:hint="eastAsia" w:eastAsia="宋体"/>
                <w:color w:val="auto"/>
                <w:sz w:val="18"/>
                <w:szCs w:val="18"/>
                <w:highlight w:val="none"/>
                <w:lang w:val="en-US" w:eastAsia="zh-CN"/>
              </w:rPr>
              <w:t>作为</w:t>
            </w:r>
            <w:r>
              <w:rPr>
                <w:rFonts w:eastAsia="宋体"/>
                <w:color w:val="auto"/>
                <w:sz w:val="18"/>
                <w:szCs w:val="18"/>
                <w:highlight w:val="none"/>
                <w:lang w:val="en-US" w:eastAsia="zh-CN"/>
              </w:rPr>
              <w:t>证明材料，</w:t>
            </w:r>
            <w:r>
              <w:rPr>
                <w:rFonts w:hint="eastAsia" w:eastAsia="宋体"/>
                <w:color w:val="auto"/>
                <w:sz w:val="18"/>
                <w:szCs w:val="18"/>
                <w:highlight w:val="none"/>
                <w:lang w:val="en-US" w:eastAsia="zh-CN"/>
              </w:rPr>
              <w:t>否则</w:t>
            </w:r>
            <w:r>
              <w:rPr>
                <w:rFonts w:eastAsia="宋体"/>
                <w:color w:val="auto"/>
                <w:sz w:val="18"/>
                <w:szCs w:val="18"/>
                <w:highlight w:val="none"/>
                <w:lang w:val="en-US" w:eastAsia="zh-CN"/>
              </w:rPr>
              <w:t>第</w:t>
            </w:r>
            <w:r>
              <w:rPr>
                <w:rFonts w:hint="eastAsia" w:eastAsia="宋体"/>
                <w:color w:val="auto"/>
                <w:sz w:val="18"/>
                <w:szCs w:val="18"/>
                <w:highlight w:val="none"/>
                <w:lang w:val="en-US" w:eastAsia="zh-CN"/>
              </w:rPr>
              <w:t>2项不得分。</w:t>
            </w:r>
            <w:r>
              <w:rPr>
                <w:rFonts w:hint="eastAsia" w:eastAsia="宋体"/>
                <w:color w:val="auto"/>
                <w:sz w:val="18"/>
                <w:szCs w:val="18"/>
                <w:highlight w:val="none"/>
              </w:rPr>
              <w:t>职称证书以地市级以上人社部门核发为准，若不是人社部门核发的职称证书，投标人应同时提供地市级以上人社部门委托核发机构开展职称评审工作的证明文件或其他可由该机构核发的政策文件依据，或在人社部门专业技术人才职称管理系统登记的信息记录网页及截图，否则，对该职称证书不予认可</w:t>
            </w:r>
            <w:r>
              <w:rPr>
                <w:rFonts w:eastAsia="宋体"/>
                <w:color w:val="auto"/>
                <w:sz w:val="18"/>
                <w:szCs w:val="18"/>
                <w:highlight w:val="none"/>
                <w:lang w:val="en-US" w:eastAsia="zh-CN"/>
              </w:rPr>
              <w:t>；</w:t>
            </w:r>
          </w:p>
          <w:p>
            <w:pPr>
              <w:pStyle w:val="13"/>
              <w:numPr>
                <w:ilvl w:val="0"/>
                <w:numId w:val="0"/>
              </w:numPr>
              <w:shd w:val="clear"/>
              <w:rPr>
                <w:rFonts w:eastAsia="宋体"/>
                <w:color w:val="auto"/>
                <w:sz w:val="18"/>
                <w:szCs w:val="18"/>
                <w:highlight w:val="none"/>
                <w:lang w:val="en-US"/>
              </w:rPr>
            </w:pPr>
            <w:r>
              <w:rPr>
                <w:rFonts w:hint="eastAsia" w:eastAsia="宋体"/>
                <w:color w:val="auto"/>
                <w:sz w:val="18"/>
                <w:szCs w:val="18"/>
                <w:highlight w:val="none"/>
                <w:lang w:val="en-US" w:eastAsia="zh-CN"/>
              </w:rPr>
              <w:fldChar w:fldCharType="begin"/>
            </w:r>
            <w:r>
              <w:rPr>
                <w:rFonts w:hint="eastAsia" w:eastAsia="宋体"/>
                <w:color w:val="auto"/>
                <w:sz w:val="18"/>
                <w:szCs w:val="18"/>
                <w:highlight w:val="none"/>
                <w:lang w:val="en-US" w:eastAsia="zh-CN"/>
              </w:rPr>
              <w:instrText xml:space="preserve"> = 3 \* GB3 \* MERGEFORMAT </w:instrText>
            </w:r>
            <w:r>
              <w:rPr>
                <w:rFonts w:hint="eastAsia" w:eastAsia="宋体"/>
                <w:color w:val="auto"/>
                <w:sz w:val="18"/>
                <w:szCs w:val="18"/>
                <w:highlight w:val="none"/>
                <w:lang w:val="en-US" w:eastAsia="zh-CN"/>
              </w:rPr>
              <w:fldChar w:fldCharType="separate"/>
            </w:r>
            <w:r>
              <w:rPr>
                <w:color w:val="auto"/>
                <w:sz w:val="18"/>
                <w:szCs w:val="18"/>
                <w:highlight w:val="none"/>
              </w:rPr>
              <w:t>③</w:t>
            </w:r>
            <w:r>
              <w:rPr>
                <w:rFonts w:hint="eastAsia" w:eastAsia="宋体"/>
                <w:color w:val="auto"/>
                <w:sz w:val="18"/>
                <w:szCs w:val="18"/>
                <w:highlight w:val="none"/>
                <w:lang w:val="en-US" w:eastAsia="zh-CN"/>
              </w:rPr>
              <w:fldChar w:fldCharType="end"/>
            </w:r>
            <w:r>
              <w:rPr>
                <w:rFonts w:hint="eastAsia" w:eastAsia="宋体"/>
                <w:color w:val="auto"/>
                <w:sz w:val="18"/>
                <w:szCs w:val="18"/>
                <w:highlight w:val="none"/>
                <w:lang w:val="en-US" w:eastAsia="zh-CN"/>
              </w:rPr>
              <w:t>本项最多得15分。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633" w:type="dxa"/>
            <w:tcBorders>
              <w:top w:val="single" w:color="auto" w:sz="4" w:space="0"/>
              <w:left w:val="single" w:color="auto" w:sz="4" w:space="0"/>
              <w:bottom w:val="single" w:color="auto" w:sz="4" w:space="0"/>
              <w:right w:val="single" w:color="auto" w:sz="4" w:space="0"/>
            </w:tcBorders>
            <w:noWrap w:val="0"/>
            <w:vAlign w:val="center"/>
          </w:tcPr>
          <w:p>
            <w:pPr>
              <w:pStyle w:val="13"/>
              <w:shd w:val="clear"/>
              <w:jc w:val="center"/>
              <w:rPr>
                <w:rFonts w:eastAsia="宋体"/>
                <w:color w:val="auto"/>
                <w:sz w:val="18"/>
                <w:szCs w:val="18"/>
                <w:highlight w:val="none"/>
                <w:lang w:val="en-US" w:eastAsia="zh-CN" w:bidi="en-US"/>
              </w:rPr>
            </w:pPr>
            <w:r>
              <w:rPr>
                <w:rFonts w:hint="eastAsia" w:eastAsia="宋体"/>
                <w:color w:val="auto"/>
                <w:sz w:val="18"/>
                <w:szCs w:val="18"/>
                <w:highlight w:val="none"/>
                <w:lang w:val="en-US" w:eastAsia="zh-CN" w:bidi="en-US"/>
              </w:rPr>
              <w:t>1.3</w:t>
            </w:r>
          </w:p>
        </w:tc>
        <w:tc>
          <w:tcPr>
            <w:tcW w:w="1901" w:type="dxa"/>
            <w:tcBorders>
              <w:top w:val="single" w:color="auto" w:sz="4" w:space="0"/>
              <w:left w:val="nil"/>
              <w:bottom w:val="single" w:color="auto" w:sz="4" w:space="0"/>
              <w:right w:val="single" w:color="auto" w:sz="4" w:space="0"/>
            </w:tcBorders>
            <w:noWrap w:val="0"/>
            <w:vAlign w:val="center"/>
          </w:tcPr>
          <w:p>
            <w:pPr>
              <w:pStyle w:val="13"/>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t>造价负责人</w:t>
            </w:r>
          </w:p>
        </w:tc>
        <w:tc>
          <w:tcPr>
            <w:tcW w:w="883" w:type="dxa"/>
            <w:tcBorders>
              <w:top w:val="single" w:color="auto" w:sz="4" w:space="0"/>
              <w:left w:val="nil"/>
              <w:bottom w:val="single" w:color="auto" w:sz="4" w:space="0"/>
              <w:right w:val="single" w:color="auto" w:sz="4" w:space="0"/>
            </w:tcBorders>
            <w:noWrap w:val="0"/>
            <w:vAlign w:val="center"/>
          </w:tcPr>
          <w:p>
            <w:pPr>
              <w:pStyle w:val="13"/>
              <w:shd w:val="clear"/>
              <w:ind w:firstLine="280"/>
              <w:rPr>
                <w:rFonts w:eastAsia="宋体"/>
                <w:color w:val="auto"/>
                <w:sz w:val="18"/>
                <w:szCs w:val="18"/>
                <w:highlight w:val="none"/>
                <w:lang w:val="en-US" w:eastAsia="zh-CN" w:bidi="en-US"/>
              </w:rPr>
            </w:pPr>
            <w:r>
              <w:rPr>
                <w:rFonts w:eastAsia="宋体"/>
                <w:color w:val="auto"/>
                <w:sz w:val="18"/>
                <w:szCs w:val="18"/>
                <w:highlight w:val="none"/>
                <w:lang w:val="en-US" w:eastAsia="zh-CN" w:bidi="en-US"/>
              </w:rPr>
              <w:t>10</w:t>
            </w:r>
          </w:p>
        </w:tc>
        <w:tc>
          <w:tcPr>
            <w:tcW w:w="10578" w:type="dxa"/>
            <w:tcBorders>
              <w:top w:val="single" w:color="auto" w:sz="4" w:space="0"/>
              <w:left w:val="nil"/>
              <w:bottom w:val="single" w:color="auto" w:sz="4" w:space="0"/>
              <w:right w:val="single" w:color="auto" w:sz="4" w:space="0"/>
            </w:tcBorders>
            <w:noWrap w:val="0"/>
            <w:vAlign w:val="bottom"/>
          </w:tcPr>
          <w:p>
            <w:pPr>
              <w:pStyle w:val="13"/>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t>拟委派</w:t>
            </w:r>
            <w:r>
              <w:rPr>
                <w:rFonts w:hint="eastAsia"/>
                <w:color w:val="auto"/>
                <w:sz w:val="18"/>
                <w:szCs w:val="18"/>
                <w:highlight w:val="none"/>
                <w:lang w:val="en-US" w:eastAsia="zh-CN"/>
              </w:rPr>
              <w:t>的</w:t>
            </w:r>
            <w:r>
              <w:rPr>
                <w:rFonts w:hint="eastAsia" w:eastAsia="宋体"/>
                <w:color w:val="auto"/>
                <w:sz w:val="18"/>
                <w:szCs w:val="18"/>
                <w:highlight w:val="none"/>
                <w:lang w:val="en-US" w:eastAsia="zh-CN"/>
              </w:rPr>
              <w:t>造价负责人</w:t>
            </w:r>
          </w:p>
          <w:p>
            <w:pPr>
              <w:pStyle w:val="13"/>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t>1、具有工程造价</w:t>
            </w:r>
            <w:r>
              <w:rPr>
                <w:rFonts w:hint="eastAsia"/>
                <w:color w:val="auto"/>
                <w:sz w:val="18"/>
                <w:szCs w:val="18"/>
                <w:highlight w:val="none"/>
                <w:lang w:val="en-US" w:eastAsia="zh-CN"/>
              </w:rPr>
              <w:t>类</w:t>
            </w:r>
            <w:r>
              <w:rPr>
                <w:rFonts w:hint="eastAsia" w:eastAsia="宋体"/>
                <w:color w:val="auto"/>
                <w:sz w:val="18"/>
                <w:szCs w:val="18"/>
                <w:highlight w:val="none"/>
                <w:lang w:val="en-US" w:eastAsia="zh-CN"/>
              </w:rPr>
              <w:t>高级（</w:t>
            </w:r>
            <w:r>
              <w:rPr>
                <w:rFonts w:hint="eastAsia" w:eastAsia="宋体"/>
                <w:color w:val="auto"/>
                <w:sz w:val="18"/>
                <w:szCs w:val="18"/>
                <w:highlight w:val="none"/>
              </w:rPr>
              <w:t>或以上</w:t>
            </w:r>
            <w:r>
              <w:rPr>
                <w:rFonts w:hint="eastAsia" w:eastAsia="宋体"/>
                <w:color w:val="auto"/>
                <w:sz w:val="18"/>
                <w:szCs w:val="18"/>
                <w:highlight w:val="none"/>
                <w:lang w:val="en-US" w:eastAsia="zh-CN"/>
              </w:rPr>
              <w:t>）技术职称的得</w:t>
            </w:r>
            <w:r>
              <w:rPr>
                <w:rFonts w:eastAsia="宋体"/>
                <w:color w:val="auto"/>
                <w:sz w:val="18"/>
                <w:szCs w:val="18"/>
                <w:highlight w:val="none"/>
                <w:lang w:val="en-US" w:eastAsia="zh-CN"/>
              </w:rPr>
              <w:t>5</w:t>
            </w:r>
            <w:r>
              <w:rPr>
                <w:rFonts w:hint="eastAsia" w:eastAsia="宋体"/>
                <w:color w:val="auto"/>
                <w:sz w:val="18"/>
                <w:szCs w:val="18"/>
                <w:highlight w:val="none"/>
                <w:lang w:val="en-US" w:eastAsia="zh-CN"/>
              </w:rPr>
              <w:t>分，具有工程造价</w:t>
            </w:r>
            <w:r>
              <w:rPr>
                <w:rFonts w:hint="eastAsia"/>
                <w:color w:val="auto"/>
                <w:sz w:val="18"/>
                <w:szCs w:val="18"/>
                <w:highlight w:val="none"/>
                <w:lang w:val="en-US" w:eastAsia="zh-CN"/>
              </w:rPr>
              <w:t>类</w:t>
            </w:r>
            <w:r>
              <w:rPr>
                <w:rFonts w:hint="eastAsia" w:eastAsia="宋体"/>
                <w:color w:val="auto"/>
                <w:sz w:val="18"/>
                <w:szCs w:val="18"/>
                <w:highlight w:val="none"/>
                <w:lang w:val="en-US" w:eastAsia="zh-CN"/>
              </w:rPr>
              <w:t>中级技术职称的得2</w:t>
            </w:r>
            <w:r>
              <w:rPr>
                <w:rFonts w:eastAsia="宋体"/>
                <w:color w:val="auto"/>
                <w:sz w:val="18"/>
                <w:szCs w:val="18"/>
                <w:highlight w:val="none"/>
                <w:lang w:val="en-US" w:eastAsia="zh-CN"/>
              </w:rPr>
              <w:t>.5</w:t>
            </w:r>
            <w:r>
              <w:rPr>
                <w:rFonts w:hint="eastAsia" w:eastAsia="宋体"/>
                <w:color w:val="auto"/>
                <w:sz w:val="18"/>
                <w:szCs w:val="18"/>
                <w:highlight w:val="none"/>
                <w:lang w:val="en-US" w:eastAsia="zh-CN"/>
              </w:rPr>
              <w:t>分；</w:t>
            </w:r>
          </w:p>
          <w:p>
            <w:pPr>
              <w:pStyle w:val="13"/>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t>2、具备一级注册造价工程师资格（含按照《造价工程师职业资格制度规定》的规定，根据原人事部、原建设部发布的《造价工程师执业资格制度暂行规定》（人发〔</w:t>
            </w:r>
            <w:r>
              <w:rPr>
                <w:rFonts w:eastAsia="宋体"/>
                <w:color w:val="auto"/>
                <w:sz w:val="18"/>
                <w:szCs w:val="18"/>
                <w:highlight w:val="none"/>
                <w:lang w:val="en-US" w:eastAsia="zh-CN"/>
              </w:rPr>
              <w:t>1996〕77号）取得的造价工程师执业资格，并经注册且在有效期内的，等同于一级注册造价工程师。</w:t>
            </w:r>
            <w:r>
              <w:rPr>
                <w:rFonts w:hint="eastAsia" w:eastAsia="宋体"/>
                <w:color w:val="auto"/>
                <w:sz w:val="18"/>
                <w:szCs w:val="18"/>
                <w:highlight w:val="none"/>
                <w:lang w:val="en-US" w:eastAsia="zh-CN"/>
              </w:rPr>
              <w:t>）的得5分；具备二级注册造价工程师资格的，得2</w:t>
            </w:r>
            <w:r>
              <w:rPr>
                <w:rFonts w:eastAsia="宋体"/>
                <w:color w:val="auto"/>
                <w:sz w:val="18"/>
                <w:szCs w:val="18"/>
                <w:highlight w:val="none"/>
                <w:lang w:val="en-US" w:eastAsia="zh-CN"/>
              </w:rPr>
              <w:t>.5</w:t>
            </w:r>
            <w:r>
              <w:rPr>
                <w:rFonts w:hint="eastAsia" w:eastAsia="宋体"/>
                <w:color w:val="auto"/>
                <w:sz w:val="18"/>
                <w:szCs w:val="18"/>
                <w:highlight w:val="none"/>
                <w:lang w:val="en-US" w:eastAsia="zh-CN"/>
              </w:rPr>
              <w:t>分；</w:t>
            </w:r>
          </w:p>
          <w:p>
            <w:pPr>
              <w:pStyle w:val="13"/>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t>最多得1</w:t>
            </w:r>
            <w:r>
              <w:rPr>
                <w:rFonts w:eastAsia="宋体"/>
                <w:color w:val="auto"/>
                <w:sz w:val="18"/>
                <w:szCs w:val="18"/>
                <w:highlight w:val="none"/>
                <w:lang w:val="en-US" w:eastAsia="zh-CN"/>
              </w:rPr>
              <w:t>0</w:t>
            </w:r>
            <w:r>
              <w:rPr>
                <w:rFonts w:hint="eastAsia" w:eastAsia="宋体"/>
                <w:color w:val="auto"/>
                <w:sz w:val="18"/>
                <w:szCs w:val="18"/>
                <w:highlight w:val="none"/>
                <w:lang w:val="en-US" w:eastAsia="zh-CN"/>
              </w:rPr>
              <w:t>分。</w:t>
            </w:r>
          </w:p>
          <w:p>
            <w:pPr>
              <w:pStyle w:val="13"/>
              <w:shd w:val="clear"/>
              <w:rPr>
                <w:rFonts w:hint="eastAsia" w:eastAsia="宋体"/>
                <w:color w:val="auto"/>
                <w:sz w:val="18"/>
                <w:szCs w:val="18"/>
                <w:highlight w:val="none"/>
              </w:rPr>
            </w:pPr>
            <w:r>
              <w:rPr>
                <w:rFonts w:hint="eastAsia" w:eastAsia="宋体"/>
                <w:color w:val="auto"/>
                <w:sz w:val="18"/>
                <w:szCs w:val="18"/>
                <w:highlight w:val="none"/>
                <w:lang w:val="en-US" w:eastAsia="zh-CN"/>
              </w:rPr>
              <w:t>注：</w:t>
            </w:r>
            <w:r>
              <w:rPr>
                <w:rFonts w:hint="eastAsia" w:eastAsia="宋体"/>
                <w:color w:val="auto"/>
                <w:sz w:val="18"/>
                <w:szCs w:val="18"/>
                <w:highlight w:val="none"/>
                <w:lang w:val="en-US" w:eastAsia="zh-CN"/>
              </w:rPr>
              <w:fldChar w:fldCharType="begin"/>
            </w:r>
            <w:r>
              <w:rPr>
                <w:rFonts w:hint="eastAsia" w:eastAsia="宋体"/>
                <w:color w:val="auto"/>
                <w:sz w:val="18"/>
                <w:szCs w:val="18"/>
                <w:highlight w:val="none"/>
                <w:lang w:val="en-US" w:eastAsia="zh-CN"/>
              </w:rPr>
              <w:instrText xml:space="preserve"> = 1 \* GB3 \* MERGEFORMAT </w:instrText>
            </w:r>
            <w:r>
              <w:rPr>
                <w:rFonts w:hint="eastAsia" w:eastAsia="宋体"/>
                <w:color w:val="auto"/>
                <w:sz w:val="18"/>
                <w:szCs w:val="18"/>
                <w:highlight w:val="none"/>
                <w:lang w:val="en-US" w:eastAsia="zh-CN"/>
              </w:rPr>
              <w:fldChar w:fldCharType="separate"/>
            </w:r>
            <w:r>
              <w:rPr>
                <w:color w:val="auto"/>
                <w:sz w:val="18"/>
                <w:szCs w:val="18"/>
                <w:highlight w:val="none"/>
              </w:rPr>
              <w:t>①</w:t>
            </w:r>
            <w:r>
              <w:rPr>
                <w:rFonts w:hint="eastAsia" w:eastAsia="宋体"/>
                <w:color w:val="auto"/>
                <w:sz w:val="18"/>
                <w:szCs w:val="18"/>
                <w:highlight w:val="none"/>
                <w:lang w:val="en-US" w:eastAsia="zh-CN"/>
              </w:rPr>
              <w:fldChar w:fldCharType="end"/>
            </w:r>
            <w:r>
              <w:rPr>
                <w:rFonts w:hint="eastAsia" w:eastAsia="宋体"/>
                <w:color w:val="auto"/>
                <w:sz w:val="18"/>
                <w:szCs w:val="18"/>
                <w:highlight w:val="none"/>
                <w:lang w:val="en-US" w:eastAsia="zh-CN"/>
              </w:rPr>
              <w:t>提供职称证书扫描件作为证明材料，否则第</w:t>
            </w:r>
            <w:r>
              <w:rPr>
                <w:rFonts w:eastAsia="宋体"/>
                <w:color w:val="auto"/>
                <w:sz w:val="18"/>
                <w:szCs w:val="18"/>
                <w:highlight w:val="none"/>
                <w:lang w:val="en-US" w:eastAsia="zh-CN"/>
              </w:rPr>
              <w:t>1项不得分；</w:t>
            </w:r>
            <w:r>
              <w:rPr>
                <w:rFonts w:hint="eastAsia" w:eastAsia="宋体"/>
                <w:color w:val="auto"/>
                <w:sz w:val="18"/>
                <w:szCs w:val="18"/>
                <w:highlight w:val="none"/>
              </w:rPr>
              <w:t>职称证书以地市级以上人社部门核发为准，若不是人社部门核发的职称证书，投标人应同时提供地市级以上人社部门委托核发机构开展职称评审工作的证明文件或其他可由该机构核发的政策文件依据，或在人社部门专业技术人才职称管理系统登记的信息记录网页及截图，否则，对该职称证书不予认可</w:t>
            </w:r>
            <w:r>
              <w:rPr>
                <w:rFonts w:hint="eastAsia"/>
                <w:color w:val="auto"/>
                <w:sz w:val="18"/>
                <w:szCs w:val="18"/>
                <w:highlight w:val="none"/>
                <w:lang w:eastAsia="zh-CN"/>
              </w:rPr>
              <w:t>；</w:t>
            </w:r>
          </w:p>
          <w:p>
            <w:pPr>
              <w:pStyle w:val="13"/>
              <w:numPr>
                <w:ilvl w:val="0"/>
                <w:numId w:val="0"/>
              </w:numPr>
              <w:shd w:val="clear"/>
              <w:rPr>
                <w:rFonts w:hint="eastAsia" w:eastAsia="宋体"/>
                <w:color w:val="auto"/>
                <w:sz w:val="18"/>
                <w:szCs w:val="18"/>
                <w:highlight w:val="none"/>
                <w:lang w:val="en-US" w:eastAsia="zh-CN"/>
              </w:rPr>
            </w:pPr>
            <w:r>
              <w:rPr>
                <w:rFonts w:hint="eastAsia" w:eastAsia="宋体"/>
                <w:color w:val="auto"/>
                <w:sz w:val="18"/>
                <w:szCs w:val="18"/>
                <w:highlight w:val="none"/>
                <w:lang w:val="en-US" w:eastAsia="zh-CN"/>
              </w:rPr>
              <w:fldChar w:fldCharType="begin"/>
            </w:r>
            <w:r>
              <w:rPr>
                <w:rFonts w:hint="eastAsia" w:eastAsia="宋体"/>
                <w:color w:val="auto"/>
                <w:sz w:val="18"/>
                <w:szCs w:val="18"/>
                <w:highlight w:val="none"/>
                <w:lang w:val="en-US" w:eastAsia="zh-CN"/>
              </w:rPr>
              <w:instrText xml:space="preserve"> = 2 \* GB3 \* MERGEFORMAT </w:instrText>
            </w:r>
            <w:r>
              <w:rPr>
                <w:rFonts w:hint="eastAsia" w:eastAsia="宋体"/>
                <w:color w:val="auto"/>
                <w:sz w:val="18"/>
                <w:szCs w:val="18"/>
                <w:highlight w:val="none"/>
                <w:lang w:val="en-US" w:eastAsia="zh-CN"/>
              </w:rPr>
              <w:fldChar w:fldCharType="separate"/>
            </w:r>
            <w:r>
              <w:rPr>
                <w:color w:val="auto"/>
                <w:sz w:val="18"/>
                <w:szCs w:val="18"/>
                <w:highlight w:val="none"/>
              </w:rPr>
              <w:t>②</w:t>
            </w:r>
            <w:r>
              <w:rPr>
                <w:rFonts w:hint="eastAsia" w:eastAsia="宋体"/>
                <w:color w:val="auto"/>
                <w:sz w:val="18"/>
                <w:szCs w:val="18"/>
                <w:highlight w:val="none"/>
                <w:lang w:val="en-US" w:eastAsia="zh-CN"/>
              </w:rPr>
              <w:fldChar w:fldCharType="end"/>
            </w:r>
            <w:r>
              <w:rPr>
                <w:rFonts w:hint="eastAsia" w:eastAsia="宋体"/>
                <w:color w:val="auto"/>
                <w:sz w:val="18"/>
                <w:szCs w:val="18"/>
                <w:highlight w:val="none"/>
                <w:lang w:val="en-US" w:eastAsia="zh-CN"/>
              </w:rPr>
              <w:t>提供注册证书扫描件，否则第2项不得分</w:t>
            </w:r>
            <w:r>
              <w:rPr>
                <w:rFonts w:hint="eastAsia"/>
                <w:color w:val="auto"/>
                <w:sz w:val="18"/>
                <w:szCs w:val="18"/>
                <w:highlight w:val="none"/>
                <w:lang w:val="en-US" w:eastAsia="zh-CN"/>
              </w:rPr>
              <w:t>；</w:t>
            </w:r>
          </w:p>
          <w:p>
            <w:pPr>
              <w:pStyle w:val="13"/>
              <w:numPr>
                <w:ilvl w:val="0"/>
                <w:numId w:val="0"/>
              </w:numPr>
              <w:shd w:val="clear"/>
              <w:rPr>
                <w:rFonts w:hint="eastAsia" w:eastAsia="宋体"/>
                <w:color w:val="auto"/>
                <w:sz w:val="18"/>
                <w:szCs w:val="18"/>
                <w:highlight w:val="none"/>
                <w:lang w:val="en-US" w:eastAsia="zh-CN"/>
              </w:rPr>
            </w:pPr>
            <w:r>
              <w:rPr>
                <w:rFonts w:hint="eastAsia" w:eastAsia="宋体"/>
                <w:color w:val="auto"/>
                <w:sz w:val="18"/>
                <w:szCs w:val="18"/>
                <w:highlight w:val="none"/>
                <w:lang w:val="en-US" w:eastAsia="zh-CN"/>
              </w:rPr>
              <w:fldChar w:fldCharType="begin"/>
            </w:r>
            <w:r>
              <w:rPr>
                <w:rFonts w:hint="eastAsia" w:eastAsia="宋体"/>
                <w:color w:val="auto"/>
                <w:sz w:val="18"/>
                <w:szCs w:val="18"/>
                <w:highlight w:val="none"/>
                <w:lang w:val="en-US" w:eastAsia="zh-CN"/>
              </w:rPr>
              <w:instrText xml:space="preserve"> = 3 \* GB3 \* MERGEFORMAT </w:instrText>
            </w:r>
            <w:r>
              <w:rPr>
                <w:rFonts w:hint="eastAsia" w:eastAsia="宋体"/>
                <w:color w:val="auto"/>
                <w:sz w:val="18"/>
                <w:szCs w:val="18"/>
                <w:highlight w:val="none"/>
                <w:lang w:val="en-US" w:eastAsia="zh-CN"/>
              </w:rPr>
              <w:fldChar w:fldCharType="separate"/>
            </w:r>
            <w:r>
              <w:rPr>
                <w:color w:val="auto"/>
                <w:sz w:val="18"/>
                <w:szCs w:val="18"/>
                <w:highlight w:val="none"/>
              </w:rPr>
              <w:t>③</w:t>
            </w:r>
            <w:r>
              <w:rPr>
                <w:rFonts w:hint="eastAsia" w:eastAsia="宋体"/>
                <w:color w:val="auto"/>
                <w:sz w:val="18"/>
                <w:szCs w:val="18"/>
                <w:highlight w:val="none"/>
                <w:lang w:val="en-US" w:eastAsia="zh-CN"/>
              </w:rPr>
              <w:fldChar w:fldCharType="end"/>
            </w:r>
            <w:r>
              <w:rPr>
                <w:rFonts w:eastAsia="宋体"/>
                <w:color w:val="auto"/>
                <w:sz w:val="18"/>
                <w:szCs w:val="18"/>
                <w:highlight w:val="none"/>
                <w:lang w:val="en-US" w:eastAsia="zh-CN"/>
              </w:rPr>
              <w:t>本项</w:t>
            </w:r>
            <w:r>
              <w:rPr>
                <w:rFonts w:hint="eastAsia" w:eastAsia="宋体"/>
                <w:color w:val="auto"/>
                <w:sz w:val="18"/>
                <w:szCs w:val="18"/>
                <w:highlight w:val="none"/>
                <w:lang w:val="en-US" w:eastAsia="zh-CN"/>
              </w:rPr>
              <w:t>最高</w:t>
            </w:r>
            <w:r>
              <w:rPr>
                <w:rFonts w:eastAsia="宋体"/>
                <w:color w:val="auto"/>
                <w:sz w:val="18"/>
                <w:szCs w:val="18"/>
                <w:highlight w:val="none"/>
                <w:lang w:val="en-US" w:eastAsia="zh-CN"/>
              </w:rPr>
              <w:t>得</w:t>
            </w:r>
            <w:r>
              <w:rPr>
                <w:rFonts w:hint="eastAsia" w:eastAsia="宋体"/>
                <w:color w:val="auto"/>
                <w:sz w:val="18"/>
                <w:szCs w:val="18"/>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633" w:type="dxa"/>
            <w:tcBorders>
              <w:top w:val="single" w:color="auto" w:sz="4" w:space="0"/>
              <w:left w:val="single" w:color="auto" w:sz="4" w:space="0"/>
              <w:bottom w:val="single" w:color="auto" w:sz="4" w:space="0"/>
              <w:right w:val="single" w:color="auto" w:sz="4" w:space="0"/>
            </w:tcBorders>
            <w:noWrap w:val="0"/>
            <w:vAlign w:val="center"/>
          </w:tcPr>
          <w:p>
            <w:pPr>
              <w:pStyle w:val="13"/>
              <w:shd w:val="clear"/>
              <w:jc w:val="center"/>
              <w:rPr>
                <w:rFonts w:eastAsia="宋体"/>
                <w:color w:val="auto"/>
                <w:sz w:val="18"/>
                <w:szCs w:val="18"/>
                <w:highlight w:val="none"/>
                <w:lang w:val="en-US" w:eastAsia="zh-CN" w:bidi="en-US"/>
              </w:rPr>
            </w:pPr>
            <w:r>
              <w:rPr>
                <w:rFonts w:hint="eastAsia" w:eastAsia="宋体"/>
                <w:color w:val="auto"/>
                <w:sz w:val="18"/>
                <w:szCs w:val="18"/>
                <w:highlight w:val="none"/>
                <w:lang w:val="en-US" w:eastAsia="zh-CN" w:bidi="en-US"/>
              </w:rPr>
              <w:t>1.4</w:t>
            </w:r>
          </w:p>
        </w:tc>
        <w:tc>
          <w:tcPr>
            <w:tcW w:w="1901" w:type="dxa"/>
            <w:tcBorders>
              <w:top w:val="single" w:color="auto" w:sz="4" w:space="0"/>
              <w:left w:val="nil"/>
              <w:bottom w:val="single" w:color="auto" w:sz="4" w:space="0"/>
              <w:right w:val="single" w:color="auto" w:sz="4" w:space="0"/>
            </w:tcBorders>
            <w:noWrap w:val="0"/>
            <w:vAlign w:val="center"/>
          </w:tcPr>
          <w:p>
            <w:pPr>
              <w:pStyle w:val="13"/>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t>质量负责人</w:t>
            </w:r>
          </w:p>
        </w:tc>
        <w:tc>
          <w:tcPr>
            <w:tcW w:w="883" w:type="dxa"/>
            <w:tcBorders>
              <w:top w:val="single" w:color="auto" w:sz="4" w:space="0"/>
              <w:left w:val="nil"/>
              <w:bottom w:val="single" w:color="auto" w:sz="4" w:space="0"/>
              <w:right w:val="single" w:color="auto" w:sz="4" w:space="0"/>
            </w:tcBorders>
            <w:noWrap w:val="0"/>
            <w:vAlign w:val="center"/>
          </w:tcPr>
          <w:p>
            <w:pPr>
              <w:pStyle w:val="13"/>
              <w:shd w:val="clear"/>
              <w:ind w:firstLine="280"/>
              <w:rPr>
                <w:rFonts w:eastAsia="宋体"/>
                <w:color w:val="auto"/>
                <w:sz w:val="18"/>
                <w:szCs w:val="18"/>
                <w:highlight w:val="none"/>
                <w:lang w:val="en-US" w:eastAsia="zh-CN" w:bidi="en-US"/>
              </w:rPr>
            </w:pPr>
            <w:r>
              <w:rPr>
                <w:rFonts w:hint="eastAsia" w:eastAsia="宋体"/>
                <w:color w:val="auto"/>
                <w:sz w:val="18"/>
                <w:szCs w:val="18"/>
                <w:highlight w:val="none"/>
                <w:lang w:val="en-US" w:eastAsia="zh-CN" w:bidi="en-US"/>
              </w:rPr>
              <w:t>1</w:t>
            </w:r>
            <w:r>
              <w:rPr>
                <w:rFonts w:eastAsia="宋体"/>
                <w:color w:val="auto"/>
                <w:sz w:val="18"/>
                <w:szCs w:val="18"/>
                <w:highlight w:val="none"/>
                <w:lang w:val="en-US" w:eastAsia="zh-CN" w:bidi="en-US"/>
              </w:rPr>
              <w:t>2</w:t>
            </w:r>
          </w:p>
        </w:tc>
        <w:tc>
          <w:tcPr>
            <w:tcW w:w="10578" w:type="dxa"/>
            <w:tcBorders>
              <w:top w:val="single" w:color="auto" w:sz="4" w:space="0"/>
              <w:left w:val="nil"/>
              <w:bottom w:val="single" w:color="auto" w:sz="4" w:space="0"/>
              <w:right w:val="single" w:color="auto" w:sz="4" w:space="0"/>
            </w:tcBorders>
            <w:noWrap w:val="0"/>
            <w:vAlign w:val="bottom"/>
          </w:tcPr>
          <w:p>
            <w:pPr>
              <w:pStyle w:val="13"/>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t>1、具有建筑工程类高级工程师（或以上）技术职称的，得1</w:t>
            </w:r>
            <w:r>
              <w:rPr>
                <w:rFonts w:eastAsia="宋体"/>
                <w:color w:val="auto"/>
                <w:sz w:val="18"/>
                <w:szCs w:val="18"/>
                <w:highlight w:val="none"/>
                <w:lang w:val="en-US" w:eastAsia="zh-CN"/>
              </w:rPr>
              <w:t>2</w:t>
            </w:r>
            <w:r>
              <w:rPr>
                <w:rFonts w:hint="eastAsia" w:eastAsia="宋体"/>
                <w:color w:val="auto"/>
                <w:sz w:val="18"/>
                <w:szCs w:val="18"/>
                <w:highlight w:val="none"/>
                <w:lang w:val="en-US" w:eastAsia="zh-CN"/>
              </w:rPr>
              <w:t>分；</w:t>
            </w:r>
          </w:p>
          <w:p>
            <w:pPr>
              <w:pStyle w:val="13"/>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t>2、具有建筑工程类中级工程师技术职称的，得</w:t>
            </w:r>
            <w:r>
              <w:rPr>
                <w:rFonts w:eastAsia="宋体"/>
                <w:color w:val="auto"/>
                <w:sz w:val="18"/>
                <w:szCs w:val="18"/>
                <w:highlight w:val="none"/>
                <w:lang w:val="en-US" w:eastAsia="zh-CN"/>
              </w:rPr>
              <w:t>6</w:t>
            </w:r>
            <w:r>
              <w:rPr>
                <w:rFonts w:hint="eastAsia" w:eastAsia="宋体"/>
                <w:color w:val="auto"/>
                <w:sz w:val="18"/>
                <w:szCs w:val="18"/>
                <w:highlight w:val="none"/>
                <w:lang w:val="en-US" w:eastAsia="zh-CN"/>
              </w:rPr>
              <w:t>分；</w:t>
            </w:r>
          </w:p>
          <w:p>
            <w:pPr>
              <w:pStyle w:val="13"/>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t>3、其余不得分</w:t>
            </w:r>
            <w:r>
              <w:rPr>
                <w:rFonts w:hint="eastAsia"/>
                <w:color w:val="auto"/>
                <w:sz w:val="18"/>
                <w:szCs w:val="18"/>
                <w:highlight w:val="none"/>
                <w:lang w:val="en-US" w:eastAsia="zh-CN"/>
              </w:rPr>
              <w:t>。</w:t>
            </w:r>
          </w:p>
          <w:p>
            <w:pPr>
              <w:pStyle w:val="13"/>
              <w:shd w:val="clear"/>
              <w:rPr>
                <w:rFonts w:eastAsia="宋体"/>
                <w:color w:val="auto"/>
                <w:sz w:val="18"/>
                <w:szCs w:val="18"/>
                <w:highlight w:val="none"/>
                <w:lang w:val="en-US" w:eastAsia="zh-CN"/>
              </w:rPr>
            </w:pPr>
            <w:r>
              <w:rPr>
                <w:rFonts w:hint="eastAsia" w:eastAsia="宋体"/>
                <w:color w:val="auto"/>
                <w:sz w:val="18"/>
                <w:szCs w:val="18"/>
                <w:highlight w:val="none"/>
              </w:rPr>
              <w:t>注：</w:t>
            </w:r>
            <w:r>
              <w:rPr>
                <w:rFonts w:hint="eastAsia" w:eastAsia="宋体"/>
                <w:color w:val="auto"/>
                <w:sz w:val="18"/>
                <w:szCs w:val="18"/>
                <w:highlight w:val="none"/>
                <w:lang w:val="en-US" w:eastAsia="zh-CN"/>
              </w:rPr>
              <w:t>提供职称证书扫描件，不提供不计分。</w:t>
            </w:r>
            <w:r>
              <w:rPr>
                <w:rFonts w:hint="eastAsia" w:eastAsia="宋体"/>
                <w:color w:val="auto"/>
                <w:sz w:val="18"/>
                <w:szCs w:val="18"/>
                <w:highlight w:val="none"/>
              </w:rPr>
              <w:t>职称证书以地市级以上人社部门核发为准，若不是人社部门核发的职称证书，投标人应同时提供地市级以上人社部门委托核发机构开展职称评审工作的证明文件或其他可由该机构核发的政策文件依据，或在人社部门专业技术人才职称管理系统登记的信息记录网页及截图，否则，对该职称证书不予认可。</w:t>
            </w:r>
            <w:r>
              <w:rPr>
                <w:rFonts w:hint="eastAsia" w:eastAsia="宋体"/>
                <w:color w:val="auto"/>
                <w:sz w:val="18"/>
                <w:szCs w:val="18"/>
                <w:highlight w:val="none"/>
                <w:lang w:val="en-US" w:eastAsia="zh-CN"/>
              </w:rPr>
              <w:t>本项最多得</w:t>
            </w:r>
            <w:r>
              <w:rPr>
                <w:rFonts w:eastAsia="宋体"/>
                <w:color w:val="auto"/>
                <w:sz w:val="18"/>
                <w:szCs w:val="18"/>
                <w:highlight w:val="none"/>
                <w:lang w:val="en-US" w:eastAsia="zh-CN"/>
              </w:rPr>
              <w:t>12</w:t>
            </w:r>
            <w:r>
              <w:rPr>
                <w:rFonts w:hint="eastAsia" w:eastAsia="宋体"/>
                <w:color w:val="auto"/>
                <w:sz w:val="18"/>
                <w:szCs w:val="18"/>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633" w:type="dxa"/>
            <w:tcBorders>
              <w:top w:val="single" w:color="auto" w:sz="4" w:space="0"/>
              <w:left w:val="single" w:color="auto" w:sz="4" w:space="0"/>
              <w:bottom w:val="single" w:color="auto" w:sz="4" w:space="0"/>
              <w:right w:val="single" w:color="auto" w:sz="4" w:space="0"/>
            </w:tcBorders>
            <w:noWrap w:val="0"/>
            <w:vAlign w:val="center"/>
          </w:tcPr>
          <w:p>
            <w:pPr>
              <w:pStyle w:val="13"/>
              <w:shd w:val="clear"/>
              <w:jc w:val="center"/>
              <w:rPr>
                <w:rFonts w:eastAsia="宋体"/>
                <w:color w:val="auto"/>
                <w:sz w:val="18"/>
                <w:szCs w:val="18"/>
                <w:highlight w:val="none"/>
                <w:lang w:val="en-US" w:eastAsia="zh-CN" w:bidi="en-US"/>
              </w:rPr>
            </w:pPr>
            <w:r>
              <w:rPr>
                <w:rFonts w:hint="eastAsia" w:eastAsia="宋体"/>
                <w:color w:val="auto"/>
                <w:sz w:val="18"/>
                <w:szCs w:val="18"/>
                <w:highlight w:val="none"/>
                <w:lang w:val="en-US" w:eastAsia="zh-CN" w:bidi="en-US"/>
              </w:rPr>
              <w:t>1</w:t>
            </w:r>
            <w:r>
              <w:rPr>
                <w:rFonts w:eastAsia="宋体"/>
                <w:color w:val="auto"/>
                <w:sz w:val="18"/>
                <w:szCs w:val="18"/>
                <w:highlight w:val="none"/>
                <w:lang w:val="en-US" w:eastAsia="zh-CN" w:bidi="en-US"/>
              </w:rPr>
              <w:t>.5</w:t>
            </w:r>
          </w:p>
        </w:tc>
        <w:tc>
          <w:tcPr>
            <w:tcW w:w="1901" w:type="dxa"/>
            <w:tcBorders>
              <w:top w:val="single" w:color="auto" w:sz="4" w:space="0"/>
              <w:left w:val="nil"/>
              <w:bottom w:val="single" w:color="auto" w:sz="4" w:space="0"/>
              <w:right w:val="single" w:color="auto" w:sz="4" w:space="0"/>
            </w:tcBorders>
            <w:noWrap w:val="0"/>
            <w:vAlign w:val="center"/>
          </w:tcPr>
          <w:p>
            <w:pPr>
              <w:pStyle w:val="13"/>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t>现场答辩</w:t>
            </w:r>
          </w:p>
        </w:tc>
        <w:tc>
          <w:tcPr>
            <w:tcW w:w="883" w:type="dxa"/>
            <w:tcBorders>
              <w:top w:val="single" w:color="auto" w:sz="4" w:space="0"/>
              <w:left w:val="nil"/>
              <w:bottom w:val="single" w:color="auto" w:sz="4" w:space="0"/>
              <w:right w:val="single" w:color="auto" w:sz="4" w:space="0"/>
            </w:tcBorders>
            <w:noWrap w:val="0"/>
            <w:vAlign w:val="center"/>
          </w:tcPr>
          <w:p>
            <w:pPr>
              <w:pStyle w:val="13"/>
              <w:shd w:val="clear"/>
              <w:ind w:firstLine="280"/>
              <w:rPr>
                <w:rFonts w:eastAsia="宋体"/>
                <w:color w:val="auto"/>
                <w:sz w:val="18"/>
                <w:szCs w:val="18"/>
                <w:highlight w:val="none"/>
                <w:lang w:val="en-US" w:eastAsia="zh-CN" w:bidi="en-US"/>
              </w:rPr>
            </w:pPr>
            <w:r>
              <w:rPr>
                <w:rFonts w:eastAsia="宋体"/>
                <w:color w:val="auto"/>
                <w:sz w:val="18"/>
                <w:szCs w:val="18"/>
                <w:highlight w:val="none"/>
                <w:lang w:val="en-US" w:eastAsia="zh-CN" w:bidi="en-US"/>
              </w:rPr>
              <w:t>30</w:t>
            </w:r>
          </w:p>
        </w:tc>
        <w:tc>
          <w:tcPr>
            <w:tcW w:w="10578" w:type="dxa"/>
            <w:tcBorders>
              <w:top w:val="single" w:color="auto" w:sz="4" w:space="0"/>
              <w:left w:val="nil"/>
              <w:bottom w:val="single" w:color="auto" w:sz="4" w:space="0"/>
              <w:right w:val="single" w:color="auto" w:sz="4" w:space="0"/>
            </w:tcBorders>
            <w:noWrap w:val="0"/>
            <w:vAlign w:val="bottom"/>
          </w:tcPr>
          <w:p>
            <w:pPr>
              <w:pStyle w:val="13"/>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t>评标委员会根据以下几个方面对投标人现场答辩的情况进行评分：</w:t>
            </w:r>
          </w:p>
          <w:p>
            <w:pPr>
              <w:pStyle w:val="13"/>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t>（1）现场答辩代表为项目负责人得</w:t>
            </w:r>
            <w:r>
              <w:rPr>
                <w:rFonts w:eastAsia="宋体"/>
                <w:color w:val="auto"/>
                <w:sz w:val="18"/>
                <w:szCs w:val="18"/>
                <w:highlight w:val="none"/>
                <w:lang w:val="en-US" w:eastAsia="zh-CN"/>
              </w:rPr>
              <w:t>5</w:t>
            </w:r>
            <w:r>
              <w:rPr>
                <w:rFonts w:hint="eastAsia" w:eastAsia="宋体"/>
                <w:color w:val="auto"/>
                <w:sz w:val="18"/>
                <w:szCs w:val="18"/>
                <w:highlight w:val="none"/>
                <w:lang w:val="en-US" w:eastAsia="zh-CN"/>
              </w:rPr>
              <w:t>分，为项目管理机构其他人员得</w:t>
            </w:r>
            <w:r>
              <w:rPr>
                <w:rFonts w:eastAsia="宋体"/>
                <w:color w:val="auto"/>
                <w:sz w:val="18"/>
                <w:szCs w:val="18"/>
                <w:highlight w:val="none"/>
                <w:lang w:val="en-US" w:eastAsia="zh-CN"/>
              </w:rPr>
              <w:t>3</w:t>
            </w:r>
            <w:r>
              <w:rPr>
                <w:rFonts w:hint="eastAsia" w:eastAsia="宋体"/>
                <w:color w:val="auto"/>
                <w:sz w:val="18"/>
                <w:szCs w:val="18"/>
                <w:highlight w:val="none"/>
                <w:lang w:val="en-US" w:eastAsia="zh-CN"/>
              </w:rPr>
              <w:t>分；</w:t>
            </w:r>
          </w:p>
          <w:p>
            <w:pPr>
              <w:pStyle w:val="13"/>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t>（2）陈述现场勘察情况以及对本项目的了解程度：</w:t>
            </w:r>
          </w:p>
          <w:p>
            <w:pPr>
              <w:pStyle w:val="13"/>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t>优：能够完整且有针对性地陈述现场勘察情况，且针对本项目的现场施工因素及施工环境有一定了解的，得</w:t>
            </w:r>
            <w:r>
              <w:rPr>
                <w:rFonts w:eastAsia="宋体"/>
                <w:color w:val="auto"/>
                <w:sz w:val="18"/>
                <w:szCs w:val="18"/>
                <w:highlight w:val="none"/>
                <w:lang w:val="en-US" w:eastAsia="zh-CN"/>
              </w:rPr>
              <w:t>5</w:t>
            </w:r>
            <w:r>
              <w:rPr>
                <w:rFonts w:hint="eastAsia" w:eastAsia="宋体"/>
                <w:color w:val="auto"/>
                <w:sz w:val="18"/>
                <w:szCs w:val="18"/>
                <w:highlight w:val="none"/>
                <w:lang w:val="en-US" w:eastAsia="zh-CN"/>
              </w:rPr>
              <w:t>分。</w:t>
            </w:r>
          </w:p>
          <w:p>
            <w:pPr>
              <w:pStyle w:val="13"/>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t>良：对现场勘察情况的陈述缺乏完整性或针对性，或者对本项目的现场施工因素及施工环境了解一般的，得</w:t>
            </w:r>
            <w:r>
              <w:rPr>
                <w:rFonts w:eastAsia="宋体"/>
                <w:color w:val="auto"/>
                <w:sz w:val="18"/>
                <w:szCs w:val="18"/>
                <w:highlight w:val="none"/>
                <w:lang w:val="en-US" w:eastAsia="zh-CN"/>
              </w:rPr>
              <w:t>3</w:t>
            </w:r>
            <w:r>
              <w:rPr>
                <w:rFonts w:hint="eastAsia" w:eastAsia="宋体"/>
                <w:color w:val="auto"/>
                <w:sz w:val="18"/>
                <w:szCs w:val="18"/>
                <w:highlight w:val="none"/>
                <w:lang w:val="en-US" w:eastAsia="zh-CN"/>
              </w:rPr>
              <w:t xml:space="preserve">分。 </w:t>
            </w:r>
          </w:p>
          <w:p>
            <w:pPr>
              <w:pStyle w:val="13"/>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t>中：对现场勘察情况的陈述缺乏完整性或针对性，且对本项目的现场施工因素及施工环境了解一般的，得</w:t>
            </w:r>
            <w:r>
              <w:rPr>
                <w:rFonts w:eastAsia="宋体"/>
                <w:color w:val="auto"/>
                <w:sz w:val="18"/>
                <w:szCs w:val="18"/>
                <w:highlight w:val="none"/>
                <w:lang w:val="en-US" w:eastAsia="zh-CN"/>
              </w:rPr>
              <w:t>1</w:t>
            </w:r>
            <w:r>
              <w:rPr>
                <w:rFonts w:hint="eastAsia" w:eastAsia="宋体"/>
                <w:color w:val="auto"/>
                <w:sz w:val="18"/>
                <w:szCs w:val="18"/>
                <w:highlight w:val="none"/>
                <w:lang w:val="en-US" w:eastAsia="zh-CN"/>
              </w:rPr>
              <w:t>分。</w:t>
            </w:r>
          </w:p>
          <w:p>
            <w:pPr>
              <w:pStyle w:val="13"/>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t xml:space="preserve">差：未对现场勘察情况进行陈述或者对本项目的现场施工因素及施工环境不了解，得0分。 </w:t>
            </w:r>
          </w:p>
          <w:p>
            <w:pPr>
              <w:pStyle w:val="13"/>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t>（3）对项目施工组织的重点、难点分析及应对措施的陈述：</w:t>
            </w:r>
          </w:p>
          <w:p>
            <w:pPr>
              <w:pStyle w:val="13"/>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t>优：施工部署、施工方法及技术措施具有针对性，能结合本项目工程概况特点陈述，对重点、难点工序的分析及相应的处理措施具体、合理，得</w:t>
            </w:r>
            <w:r>
              <w:rPr>
                <w:rFonts w:eastAsia="宋体"/>
                <w:color w:val="auto"/>
                <w:sz w:val="18"/>
                <w:szCs w:val="18"/>
                <w:highlight w:val="none"/>
                <w:lang w:val="en-US" w:eastAsia="zh-CN"/>
              </w:rPr>
              <w:t>5</w:t>
            </w:r>
            <w:r>
              <w:rPr>
                <w:rFonts w:hint="eastAsia" w:eastAsia="宋体"/>
                <w:color w:val="auto"/>
                <w:sz w:val="18"/>
                <w:szCs w:val="18"/>
                <w:highlight w:val="none"/>
                <w:lang w:val="en-US" w:eastAsia="zh-CN"/>
              </w:rPr>
              <w:t>分；</w:t>
            </w:r>
          </w:p>
          <w:p>
            <w:pPr>
              <w:pStyle w:val="13"/>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t>良：施工部署、施工方法及技术措施缺乏针对性，或重点、难点工序的分析及相应的处理措施一般，得</w:t>
            </w:r>
            <w:r>
              <w:rPr>
                <w:rFonts w:eastAsia="宋体"/>
                <w:color w:val="auto"/>
                <w:sz w:val="18"/>
                <w:szCs w:val="18"/>
                <w:highlight w:val="none"/>
                <w:lang w:val="en-US" w:eastAsia="zh-CN"/>
              </w:rPr>
              <w:t>3</w:t>
            </w:r>
            <w:r>
              <w:rPr>
                <w:rFonts w:hint="eastAsia" w:eastAsia="宋体"/>
                <w:color w:val="auto"/>
                <w:sz w:val="18"/>
                <w:szCs w:val="18"/>
                <w:highlight w:val="none"/>
                <w:lang w:val="en-US" w:eastAsia="zh-CN"/>
              </w:rPr>
              <w:t>分；</w:t>
            </w:r>
          </w:p>
          <w:p>
            <w:pPr>
              <w:pStyle w:val="13"/>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t>中：施工部署、施工方法及技术措施具有针对性，且重点、难点工序进行分析及编制相应措施一般，得</w:t>
            </w:r>
            <w:r>
              <w:rPr>
                <w:rFonts w:eastAsia="宋体"/>
                <w:color w:val="auto"/>
                <w:sz w:val="18"/>
                <w:szCs w:val="18"/>
                <w:highlight w:val="none"/>
                <w:lang w:val="en-US" w:eastAsia="zh-CN"/>
              </w:rPr>
              <w:t>1</w:t>
            </w:r>
            <w:r>
              <w:rPr>
                <w:rFonts w:hint="eastAsia" w:eastAsia="宋体"/>
                <w:color w:val="auto"/>
                <w:sz w:val="18"/>
                <w:szCs w:val="18"/>
                <w:highlight w:val="none"/>
                <w:lang w:val="en-US" w:eastAsia="zh-CN"/>
              </w:rPr>
              <w:t>分；</w:t>
            </w:r>
          </w:p>
          <w:p>
            <w:pPr>
              <w:pStyle w:val="13"/>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t>差：未对项目施工组织的重点、难点分析及应对措施进行陈述，得0分。</w:t>
            </w:r>
          </w:p>
          <w:p>
            <w:pPr>
              <w:pStyle w:val="13"/>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t>（4）对本工程人员、设备投入计划的陈述：</w:t>
            </w:r>
          </w:p>
          <w:p>
            <w:pPr>
              <w:pStyle w:val="13"/>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t>优：有完整的人员、设备投入计划，且人员、设备的投入具有项目的针对性和合理性的，得</w:t>
            </w:r>
            <w:r>
              <w:rPr>
                <w:rFonts w:eastAsia="宋体"/>
                <w:color w:val="auto"/>
                <w:sz w:val="18"/>
                <w:szCs w:val="18"/>
                <w:highlight w:val="none"/>
                <w:lang w:val="en-US" w:eastAsia="zh-CN"/>
              </w:rPr>
              <w:t>5</w:t>
            </w:r>
            <w:r>
              <w:rPr>
                <w:rFonts w:hint="eastAsia" w:eastAsia="宋体"/>
                <w:color w:val="auto"/>
                <w:sz w:val="18"/>
                <w:szCs w:val="18"/>
                <w:highlight w:val="none"/>
                <w:lang w:val="en-US" w:eastAsia="zh-CN"/>
              </w:rPr>
              <w:t>分。</w:t>
            </w:r>
          </w:p>
          <w:p>
            <w:pPr>
              <w:pStyle w:val="13"/>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t xml:space="preserve">良：人员、设备投入缺乏完整性，或者人员、设备的投入缺乏项目的针对性或合理性的，得 </w:t>
            </w:r>
            <w:r>
              <w:rPr>
                <w:rFonts w:eastAsia="宋体"/>
                <w:color w:val="auto"/>
                <w:sz w:val="18"/>
                <w:szCs w:val="18"/>
                <w:highlight w:val="none"/>
                <w:lang w:val="en-US" w:eastAsia="zh-CN"/>
              </w:rPr>
              <w:t>3</w:t>
            </w:r>
            <w:r>
              <w:rPr>
                <w:rFonts w:hint="eastAsia" w:eastAsia="宋体"/>
                <w:color w:val="auto"/>
                <w:sz w:val="18"/>
                <w:szCs w:val="18"/>
                <w:highlight w:val="none"/>
                <w:lang w:val="en-US" w:eastAsia="zh-CN"/>
              </w:rPr>
              <w:t xml:space="preserve">分。 </w:t>
            </w:r>
          </w:p>
          <w:p>
            <w:pPr>
              <w:pStyle w:val="13"/>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t>中：人员、设备投入缺乏完整性，且人员、设备的投入缺乏项目的针对性或合理性的，得</w:t>
            </w:r>
            <w:r>
              <w:rPr>
                <w:rFonts w:eastAsia="宋体"/>
                <w:color w:val="auto"/>
                <w:sz w:val="18"/>
                <w:szCs w:val="18"/>
                <w:highlight w:val="none"/>
                <w:lang w:val="en-US" w:eastAsia="zh-CN"/>
              </w:rPr>
              <w:t>1</w:t>
            </w:r>
            <w:r>
              <w:rPr>
                <w:rFonts w:hint="eastAsia" w:eastAsia="宋体"/>
                <w:color w:val="auto"/>
                <w:sz w:val="18"/>
                <w:szCs w:val="18"/>
                <w:highlight w:val="none"/>
                <w:lang w:val="en-US" w:eastAsia="zh-CN"/>
              </w:rPr>
              <w:t>分。</w:t>
            </w:r>
          </w:p>
          <w:p>
            <w:pPr>
              <w:pStyle w:val="13"/>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t>差：未对本工程人员、设备投入计划进行陈述，得0分。</w:t>
            </w:r>
          </w:p>
          <w:p>
            <w:pPr>
              <w:pStyle w:val="13"/>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t>（5）对项目设备、材料质量的保障措施的陈述：</w:t>
            </w:r>
          </w:p>
          <w:p>
            <w:pPr>
              <w:pStyle w:val="13"/>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t>优：有完整的设备、材料质量的保障措施，且措施合理、可行的，得</w:t>
            </w:r>
            <w:r>
              <w:rPr>
                <w:rFonts w:eastAsia="宋体"/>
                <w:color w:val="auto"/>
                <w:sz w:val="18"/>
                <w:szCs w:val="18"/>
                <w:highlight w:val="none"/>
                <w:lang w:val="en-US" w:eastAsia="zh-CN"/>
              </w:rPr>
              <w:t>5</w:t>
            </w:r>
            <w:r>
              <w:rPr>
                <w:rFonts w:hint="eastAsia" w:eastAsia="宋体"/>
                <w:color w:val="auto"/>
                <w:sz w:val="18"/>
                <w:szCs w:val="18"/>
                <w:highlight w:val="none"/>
                <w:lang w:val="en-US" w:eastAsia="zh-CN"/>
              </w:rPr>
              <w:t xml:space="preserve">分。 </w:t>
            </w:r>
          </w:p>
          <w:p>
            <w:pPr>
              <w:pStyle w:val="13"/>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t>良：设备、材料质量的保障措施缺乏完整性，或者保障措施缺乏合理性或可行性的，得</w:t>
            </w:r>
            <w:r>
              <w:rPr>
                <w:rFonts w:eastAsia="宋体"/>
                <w:color w:val="auto"/>
                <w:sz w:val="18"/>
                <w:szCs w:val="18"/>
                <w:highlight w:val="none"/>
                <w:lang w:val="en-US" w:eastAsia="zh-CN"/>
              </w:rPr>
              <w:t>3</w:t>
            </w:r>
            <w:r>
              <w:rPr>
                <w:rFonts w:hint="eastAsia" w:eastAsia="宋体"/>
                <w:color w:val="auto"/>
                <w:sz w:val="18"/>
                <w:szCs w:val="18"/>
                <w:highlight w:val="none"/>
                <w:lang w:val="en-US" w:eastAsia="zh-CN"/>
              </w:rPr>
              <w:t xml:space="preserve"> 分。 </w:t>
            </w:r>
          </w:p>
          <w:p>
            <w:pPr>
              <w:pStyle w:val="13"/>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t>中：设备、材料质量的保障措施缺乏完整性，且保障措施缺乏合理性或可行性的，得</w:t>
            </w:r>
            <w:r>
              <w:rPr>
                <w:rFonts w:eastAsia="宋体"/>
                <w:color w:val="auto"/>
                <w:sz w:val="18"/>
                <w:szCs w:val="18"/>
                <w:highlight w:val="none"/>
                <w:lang w:val="en-US" w:eastAsia="zh-CN"/>
              </w:rPr>
              <w:t>1</w:t>
            </w:r>
            <w:r>
              <w:rPr>
                <w:rFonts w:hint="eastAsia" w:eastAsia="宋体"/>
                <w:color w:val="auto"/>
                <w:sz w:val="18"/>
                <w:szCs w:val="18"/>
                <w:highlight w:val="none"/>
                <w:lang w:val="en-US" w:eastAsia="zh-CN"/>
              </w:rPr>
              <w:t xml:space="preserve">分。 </w:t>
            </w:r>
          </w:p>
          <w:p>
            <w:pPr>
              <w:pStyle w:val="13"/>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t>差：未对项目设备、材料质量的保障措施进行陈述，得0分。</w:t>
            </w:r>
          </w:p>
          <w:p>
            <w:pPr>
              <w:pStyle w:val="13"/>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t>（</w:t>
            </w:r>
            <w:r>
              <w:rPr>
                <w:rFonts w:eastAsia="宋体"/>
                <w:color w:val="auto"/>
                <w:sz w:val="18"/>
                <w:szCs w:val="18"/>
                <w:highlight w:val="none"/>
                <w:lang w:val="en-US" w:eastAsia="zh-CN"/>
              </w:rPr>
              <w:t>6</w:t>
            </w:r>
            <w:r>
              <w:rPr>
                <w:rFonts w:hint="eastAsia" w:eastAsia="宋体"/>
                <w:color w:val="auto"/>
                <w:sz w:val="18"/>
                <w:szCs w:val="18"/>
                <w:highlight w:val="none"/>
                <w:lang w:val="en-US" w:eastAsia="zh-CN"/>
              </w:rPr>
              <w:t>）投标人答辩人陈述完成后，对</w:t>
            </w:r>
            <w:r>
              <w:rPr>
                <w:rFonts w:eastAsia="宋体"/>
                <w:color w:val="auto"/>
                <w:sz w:val="18"/>
                <w:szCs w:val="18"/>
                <w:highlight w:val="none"/>
                <w:lang w:val="en-US" w:eastAsia="zh-CN"/>
              </w:rPr>
              <w:t>评委提问的应答情况</w:t>
            </w:r>
            <w:r>
              <w:rPr>
                <w:rFonts w:hint="eastAsia" w:eastAsia="宋体"/>
                <w:color w:val="auto"/>
                <w:sz w:val="18"/>
                <w:szCs w:val="18"/>
                <w:highlight w:val="none"/>
                <w:lang w:val="en-US" w:eastAsia="zh-CN"/>
              </w:rPr>
              <w:t>：</w:t>
            </w:r>
          </w:p>
          <w:p>
            <w:pPr>
              <w:pStyle w:val="13"/>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t>优：应答条理清晰，问题阐释清楚，得</w:t>
            </w:r>
            <w:r>
              <w:rPr>
                <w:rFonts w:eastAsia="宋体"/>
                <w:color w:val="auto"/>
                <w:sz w:val="18"/>
                <w:szCs w:val="18"/>
                <w:highlight w:val="none"/>
                <w:lang w:val="en-US" w:eastAsia="zh-CN"/>
              </w:rPr>
              <w:t>5</w:t>
            </w:r>
            <w:r>
              <w:rPr>
                <w:rFonts w:hint="eastAsia" w:eastAsia="宋体"/>
                <w:color w:val="auto"/>
                <w:sz w:val="18"/>
                <w:szCs w:val="18"/>
                <w:highlight w:val="none"/>
                <w:lang w:val="en-US" w:eastAsia="zh-CN"/>
              </w:rPr>
              <w:t>分；</w:t>
            </w:r>
          </w:p>
          <w:p>
            <w:pPr>
              <w:pStyle w:val="13"/>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t>良：应答条理不清晰，或问题阐释不清楚，得</w:t>
            </w:r>
            <w:r>
              <w:rPr>
                <w:rFonts w:eastAsia="宋体"/>
                <w:color w:val="auto"/>
                <w:sz w:val="18"/>
                <w:szCs w:val="18"/>
                <w:highlight w:val="none"/>
                <w:lang w:val="en-US" w:eastAsia="zh-CN"/>
              </w:rPr>
              <w:t>3</w:t>
            </w:r>
            <w:r>
              <w:rPr>
                <w:rFonts w:hint="eastAsia" w:eastAsia="宋体"/>
                <w:color w:val="auto"/>
                <w:sz w:val="18"/>
                <w:szCs w:val="18"/>
                <w:highlight w:val="none"/>
                <w:lang w:val="en-US" w:eastAsia="zh-CN"/>
              </w:rPr>
              <w:t>分；</w:t>
            </w:r>
          </w:p>
          <w:p>
            <w:pPr>
              <w:pStyle w:val="13"/>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t>中：应答条理不清晰，且问题阐释不清楚，得</w:t>
            </w:r>
            <w:r>
              <w:rPr>
                <w:rFonts w:eastAsia="宋体"/>
                <w:color w:val="auto"/>
                <w:sz w:val="18"/>
                <w:szCs w:val="18"/>
                <w:highlight w:val="none"/>
                <w:lang w:val="en-US" w:eastAsia="zh-CN"/>
              </w:rPr>
              <w:t>1</w:t>
            </w:r>
            <w:r>
              <w:rPr>
                <w:rFonts w:hint="eastAsia" w:eastAsia="宋体"/>
                <w:color w:val="auto"/>
                <w:sz w:val="18"/>
                <w:szCs w:val="18"/>
                <w:highlight w:val="none"/>
                <w:lang w:val="en-US" w:eastAsia="zh-CN"/>
              </w:rPr>
              <w:t>分；</w:t>
            </w:r>
          </w:p>
          <w:p>
            <w:pPr>
              <w:pStyle w:val="13"/>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t>差：未回答或答非所问，得0分；</w:t>
            </w:r>
          </w:p>
          <w:p>
            <w:pPr>
              <w:pStyle w:val="13"/>
              <w:shd w:val="clear"/>
              <w:rPr>
                <w:rFonts w:eastAsia="宋体"/>
                <w:color w:val="auto"/>
                <w:sz w:val="18"/>
                <w:szCs w:val="18"/>
                <w:highlight w:val="none"/>
                <w:lang w:val="en-US" w:eastAsia="zh-CN"/>
              </w:rPr>
            </w:pPr>
            <w:r>
              <w:rPr>
                <w:rFonts w:eastAsia="宋体"/>
                <w:color w:val="auto"/>
                <w:sz w:val="18"/>
                <w:szCs w:val="18"/>
                <w:highlight w:val="none"/>
                <w:lang w:val="en-US" w:eastAsia="zh-CN"/>
              </w:rPr>
              <w:t>评委未提问该项默认为优</w:t>
            </w:r>
            <w:r>
              <w:rPr>
                <w:rFonts w:hint="eastAsia" w:eastAsia="宋体"/>
                <w:color w:val="auto"/>
                <w:sz w:val="18"/>
                <w:szCs w:val="18"/>
                <w:highlight w:val="none"/>
                <w:lang w:val="en-US" w:eastAsia="zh-CN"/>
              </w:rPr>
              <w:t>。</w:t>
            </w:r>
          </w:p>
          <w:p>
            <w:pPr>
              <w:pStyle w:val="13"/>
              <w:shd w:val="clear"/>
              <w:rPr>
                <w:rFonts w:hint="eastAsia" w:eastAsia="宋体"/>
                <w:color w:val="auto"/>
                <w:sz w:val="18"/>
                <w:szCs w:val="18"/>
                <w:highlight w:val="none"/>
                <w:lang w:val="en-US" w:eastAsia="zh-CN"/>
              </w:rPr>
            </w:pPr>
            <w:r>
              <w:rPr>
                <w:rFonts w:hint="eastAsia" w:eastAsia="宋体"/>
                <w:color w:val="auto"/>
                <w:sz w:val="18"/>
                <w:szCs w:val="18"/>
                <w:highlight w:val="none"/>
                <w:lang w:val="en-US" w:eastAsia="zh-CN"/>
              </w:rPr>
              <w:t>注：①投标人未参加答辩的，得0分</w:t>
            </w:r>
            <w:r>
              <w:rPr>
                <w:rFonts w:hint="eastAsia"/>
                <w:color w:val="auto"/>
                <w:sz w:val="18"/>
                <w:szCs w:val="18"/>
                <w:highlight w:val="none"/>
                <w:lang w:val="en-US" w:eastAsia="zh-CN"/>
              </w:rPr>
              <w:t>；</w:t>
            </w:r>
          </w:p>
          <w:p>
            <w:pPr>
              <w:pStyle w:val="13"/>
              <w:shd w:val="clear"/>
              <w:rPr>
                <w:rFonts w:hint="eastAsia" w:eastAsia="宋体"/>
                <w:color w:val="auto"/>
                <w:sz w:val="18"/>
                <w:szCs w:val="18"/>
                <w:highlight w:val="none"/>
                <w:lang w:val="en-US" w:eastAsia="zh-CN"/>
              </w:rPr>
            </w:pPr>
            <w:r>
              <w:rPr>
                <w:rFonts w:hint="eastAsia" w:eastAsia="宋体"/>
                <w:color w:val="auto"/>
                <w:sz w:val="18"/>
                <w:szCs w:val="18"/>
                <w:highlight w:val="none"/>
                <w:lang w:val="en-US" w:eastAsia="zh-CN"/>
              </w:rPr>
              <w:t>②答辩顺序的确定：按《开标记录表》中顺序进行答辩</w:t>
            </w:r>
            <w:r>
              <w:rPr>
                <w:rFonts w:hint="eastAsia"/>
                <w:color w:val="auto"/>
                <w:sz w:val="18"/>
                <w:szCs w:val="18"/>
                <w:highlight w:val="none"/>
                <w:lang w:val="en-US" w:eastAsia="zh-CN"/>
              </w:rPr>
              <w:t>；</w:t>
            </w:r>
          </w:p>
          <w:p>
            <w:pPr>
              <w:pStyle w:val="13"/>
              <w:shd w:val="clear"/>
              <w:rPr>
                <w:rFonts w:hint="eastAsia" w:eastAsia="宋体"/>
                <w:color w:val="auto"/>
                <w:sz w:val="18"/>
                <w:szCs w:val="18"/>
                <w:highlight w:val="none"/>
                <w:lang w:val="en-US" w:eastAsia="zh-CN"/>
              </w:rPr>
            </w:pPr>
            <w:r>
              <w:rPr>
                <w:rFonts w:hint="eastAsia" w:eastAsia="宋体"/>
                <w:color w:val="auto"/>
                <w:sz w:val="18"/>
                <w:szCs w:val="18"/>
                <w:highlight w:val="none"/>
                <w:lang w:val="en-US" w:eastAsia="zh-CN"/>
              </w:rPr>
              <w:t>③答辩人员的到场要求：投标人答辩人（仅限1人），在答辩时须提供答辩人员授权委托书、身份证原件</w:t>
            </w:r>
            <w:r>
              <w:rPr>
                <w:rFonts w:hint="eastAsia"/>
                <w:color w:val="auto"/>
                <w:sz w:val="18"/>
                <w:szCs w:val="18"/>
                <w:highlight w:val="none"/>
                <w:lang w:val="en-US" w:eastAsia="zh-CN"/>
              </w:rPr>
              <w:t>，</w:t>
            </w:r>
            <w:r>
              <w:rPr>
                <w:rFonts w:hint="eastAsia" w:eastAsia="宋体"/>
                <w:color w:val="auto"/>
                <w:sz w:val="18"/>
                <w:szCs w:val="18"/>
                <w:highlight w:val="none"/>
                <w:lang w:val="en-US" w:eastAsia="zh-CN"/>
              </w:rPr>
              <w:t>核对确认身份后方可参加答辩</w:t>
            </w:r>
            <w:r>
              <w:rPr>
                <w:rFonts w:hint="eastAsia"/>
                <w:color w:val="auto"/>
                <w:sz w:val="18"/>
                <w:szCs w:val="18"/>
                <w:highlight w:val="none"/>
                <w:lang w:val="en-US" w:eastAsia="zh-CN"/>
              </w:rPr>
              <w:t>，</w:t>
            </w:r>
            <w:r>
              <w:rPr>
                <w:rFonts w:hint="eastAsia" w:eastAsia="宋体"/>
                <w:color w:val="auto"/>
                <w:sz w:val="18"/>
                <w:szCs w:val="18"/>
                <w:highlight w:val="none"/>
                <w:lang w:val="en-US" w:eastAsia="zh-CN"/>
              </w:rPr>
              <w:t>投标人答辩人未能提供以上材料核对的不予参加答辩环节</w:t>
            </w:r>
            <w:r>
              <w:rPr>
                <w:rFonts w:hint="eastAsia"/>
                <w:color w:val="auto"/>
                <w:sz w:val="18"/>
                <w:szCs w:val="18"/>
                <w:highlight w:val="none"/>
                <w:lang w:val="en-US" w:eastAsia="zh-CN"/>
              </w:rPr>
              <w:t>；</w:t>
            </w:r>
          </w:p>
          <w:p>
            <w:pPr>
              <w:pStyle w:val="13"/>
              <w:shd w:val="clear"/>
              <w:rPr>
                <w:rFonts w:hint="eastAsia" w:eastAsia="宋体"/>
                <w:color w:val="auto"/>
                <w:sz w:val="18"/>
                <w:szCs w:val="18"/>
                <w:highlight w:val="none"/>
                <w:lang w:val="en-US" w:eastAsia="zh-CN"/>
              </w:rPr>
            </w:pPr>
            <w:r>
              <w:rPr>
                <w:rFonts w:hint="eastAsia" w:eastAsia="宋体"/>
                <w:color w:val="auto"/>
                <w:sz w:val="18"/>
                <w:szCs w:val="18"/>
                <w:highlight w:val="none"/>
                <w:lang w:val="en-US" w:eastAsia="zh-CN"/>
              </w:rPr>
              <w:t>④招标人另行通知答辩时间、地点，投标人在答辩当天按通知时间到达广州公共资源交易中心（广州市天河区天润路333号）指定区域等候</w:t>
            </w:r>
            <w:r>
              <w:rPr>
                <w:rFonts w:hint="eastAsia"/>
                <w:color w:val="auto"/>
                <w:sz w:val="18"/>
                <w:szCs w:val="18"/>
                <w:highlight w:val="none"/>
                <w:lang w:val="en-US" w:eastAsia="zh-CN"/>
              </w:rPr>
              <w:t>；</w:t>
            </w:r>
          </w:p>
          <w:p>
            <w:pPr>
              <w:pStyle w:val="13"/>
              <w:shd w:val="clear"/>
              <w:rPr>
                <w:rFonts w:hint="eastAsia" w:eastAsia="宋体"/>
                <w:color w:val="auto"/>
                <w:sz w:val="18"/>
                <w:szCs w:val="18"/>
                <w:highlight w:val="none"/>
                <w:lang w:val="en-US" w:eastAsia="zh-CN"/>
              </w:rPr>
            </w:pPr>
            <w:r>
              <w:rPr>
                <w:rFonts w:hint="eastAsia" w:eastAsia="宋体"/>
                <w:color w:val="auto"/>
                <w:sz w:val="18"/>
                <w:szCs w:val="18"/>
                <w:highlight w:val="none"/>
                <w:lang w:val="en-US" w:eastAsia="zh-CN"/>
              </w:rPr>
              <w:t>⑤答辩形式与要求：答辩人员按要求进入答辩区域；答辩人员先陈述，评委针对陈述内容进行提问，由答辩人员进行解答</w:t>
            </w:r>
            <w:r>
              <w:rPr>
                <w:rFonts w:hint="eastAsia"/>
                <w:color w:val="auto"/>
                <w:sz w:val="18"/>
                <w:szCs w:val="18"/>
                <w:highlight w:val="none"/>
                <w:lang w:val="en-US" w:eastAsia="zh-CN"/>
              </w:rPr>
              <w:t>；</w:t>
            </w:r>
          </w:p>
          <w:p>
            <w:pPr>
              <w:pStyle w:val="13"/>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t>⑥答辩时长控制：答辩人陈述时长控制在10分钟内。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633" w:type="dxa"/>
            <w:tcBorders>
              <w:top w:val="single" w:color="auto" w:sz="4" w:space="0"/>
              <w:left w:val="single" w:color="auto" w:sz="4" w:space="0"/>
              <w:bottom w:val="single" w:color="auto" w:sz="4" w:space="0"/>
              <w:right w:val="single" w:color="auto" w:sz="4" w:space="0"/>
            </w:tcBorders>
            <w:noWrap w:val="0"/>
            <w:vAlign w:val="center"/>
          </w:tcPr>
          <w:p>
            <w:pPr>
              <w:pStyle w:val="13"/>
              <w:shd w:val="clear"/>
              <w:jc w:val="center"/>
              <w:rPr>
                <w:rFonts w:eastAsia="宋体"/>
                <w:color w:val="auto"/>
                <w:sz w:val="18"/>
                <w:szCs w:val="18"/>
                <w:highlight w:val="none"/>
                <w:lang w:val="zh-CN" w:eastAsia="zh-CN" w:bidi="zh-CN"/>
              </w:rPr>
            </w:pPr>
            <w:r>
              <w:rPr>
                <w:rFonts w:hint="eastAsia" w:eastAsia="宋体"/>
                <w:color w:val="auto"/>
                <w:sz w:val="18"/>
                <w:szCs w:val="18"/>
                <w:highlight w:val="none"/>
                <w:lang w:val="en-US" w:eastAsia="zh-CN" w:bidi="zh-CN"/>
              </w:rPr>
              <w:t>2</w:t>
            </w:r>
          </w:p>
        </w:tc>
        <w:tc>
          <w:tcPr>
            <w:tcW w:w="1901" w:type="dxa"/>
            <w:tcBorders>
              <w:top w:val="single" w:color="auto" w:sz="4" w:space="0"/>
              <w:left w:val="nil"/>
              <w:bottom w:val="single" w:color="auto" w:sz="4" w:space="0"/>
              <w:right w:val="single" w:color="auto" w:sz="4" w:space="0"/>
            </w:tcBorders>
            <w:noWrap w:val="0"/>
            <w:vAlign w:val="center"/>
          </w:tcPr>
          <w:p>
            <w:pPr>
              <w:pStyle w:val="13"/>
              <w:shd w:val="clear"/>
              <w:rPr>
                <w:rFonts w:eastAsia="宋体"/>
                <w:color w:val="auto"/>
                <w:sz w:val="18"/>
                <w:szCs w:val="18"/>
                <w:highlight w:val="none"/>
                <w:lang w:val="zh-CN" w:eastAsia="zh-CN" w:bidi="zh-CN"/>
              </w:rPr>
            </w:pPr>
            <w:r>
              <w:rPr>
                <w:rFonts w:hint="eastAsia" w:eastAsia="宋体"/>
                <w:color w:val="auto"/>
                <w:sz w:val="18"/>
                <w:szCs w:val="18"/>
                <w:highlight w:val="none"/>
                <w:lang w:val="zh-CN" w:eastAsia="zh-CN" w:bidi="zh-CN"/>
              </w:rPr>
              <w:t>企业资信</w:t>
            </w:r>
          </w:p>
        </w:tc>
        <w:tc>
          <w:tcPr>
            <w:tcW w:w="883" w:type="dxa"/>
            <w:tcBorders>
              <w:top w:val="single" w:color="auto" w:sz="4" w:space="0"/>
              <w:left w:val="nil"/>
              <w:bottom w:val="single" w:color="auto" w:sz="4" w:space="0"/>
              <w:right w:val="single" w:color="auto" w:sz="4" w:space="0"/>
            </w:tcBorders>
            <w:noWrap w:val="0"/>
            <w:vAlign w:val="center"/>
          </w:tcPr>
          <w:p>
            <w:pPr>
              <w:pStyle w:val="13"/>
              <w:shd w:val="clear"/>
              <w:ind w:firstLine="280"/>
              <w:rPr>
                <w:rFonts w:eastAsia="宋体"/>
                <w:color w:val="auto"/>
                <w:sz w:val="18"/>
                <w:szCs w:val="18"/>
                <w:highlight w:val="none"/>
                <w:lang w:val="en-US" w:eastAsia="zh-CN"/>
              </w:rPr>
            </w:pPr>
            <w:r>
              <w:rPr>
                <w:rFonts w:eastAsia="宋体"/>
                <w:color w:val="auto"/>
                <w:sz w:val="18"/>
                <w:szCs w:val="18"/>
                <w:highlight w:val="none"/>
                <w:lang w:val="en-US" w:eastAsia="zh-CN" w:bidi="en-US"/>
              </w:rPr>
              <w:t>18</w:t>
            </w:r>
          </w:p>
        </w:tc>
        <w:tc>
          <w:tcPr>
            <w:tcW w:w="10578" w:type="dxa"/>
            <w:tcBorders>
              <w:top w:val="single" w:color="auto" w:sz="4" w:space="0"/>
              <w:left w:val="nil"/>
              <w:bottom w:val="single" w:color="auto" w:sz="4" w:space="0"/>
              <w:right w:val="single" w:color="auto" w:sz="4" w:space="0"/>
            </w:tcBorders>
            <w:noWrap w:val="0"/>
            <w:vAlign w:val="bottom"/>
          </w:tcPr>
          <w:p>
            <w:pPr>
              <w:pStyle w:val="13"/>
              <w:shd w:val="clear"/>
              <w:rPr>
                <w:rFonts w:eastAsia="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633" w:type="dxa"/>
            <w:tcBorders>
              <w:top w:val="single" w:color="auto" w:sz="4" w:space="0"/>
              <w:left w:val="single" w:color="auto" w:sz="4" w:space="0"/>
              <w:bottom w:val="single" w:color="auto" w:sz="4" w:space="0"/>
              <w:right w:val="single" w:color="auto" w:sz="4" w:space="0"/>
            </w:tcBorders>
            <w:noWrap w:val="0"/>
            <w:vAlign w:val="center"/>
          </w:tcPr>
          <w:p>
            <w:pPr>
              <w:pStyle w:val="13"/>
              <w:shd w:val="clear"/>
              <w:jc w:val="center"/>
              <w:rPr>
                <w:rFonts w:eastAsia="宋体"/>
                <w:color w:val="auto"/>
                <w:sz w:val="18"/>
                <w:szCs w:val="18"/>
                <w:highlight w:val="none"/>
                <w:lang w:eastAsia="zh-CN"/>
              </w:rPr>
            </w:pPr>
            <w:r>
              <w:rPr>
                <w:rFonts w:hint="eastAsia" w:eastAsia="宋体"/>
                <w:color w:val="auto"/>
                <w:sz w:val="18"/>
                <w:szCs w:val="18"/>
                <w:highlight w:val="none"/>
                <w:lang w:val="en-US" w:eastAsia="zh-CN" w:bidi="en-US"/>
              </w:rPr>
              <w:t>2</w:t>
            </w:r>
            <w:r>
              <w:rPr>
                <w:rFonts w:hint="eastAsia" w:eastAsia="宋体"/>
                <w:color w:val="auto"/>
                <w:sz w:val="18"/>
                <w:szCs w:val="18"/>
                <w:highlight w:val="none"/>
                <w:lang w:val="en-US" w:eastAsia="en-US" w:bidi="en-US"/>
              </w:rPr>
              <w:t>.</w:t>
            </w:r>
            <w:r>
              <w:rPr>
                <w:rFonts w:hint="eastAsia" w:eastAsia="宋体"/>
                <w:color w:val="auto"/>
                <w:sz w:val="18"/>
                <w:szCs w:val="18"/>
                <w:highlight w:val="none"/>
                <w:lang w:val="en-US" w:eastAsia="zh-CN" w:bidi="en-US"/>
              </w:rPr>
              <w:t>1</w:t>
            </w:r>
          </w:p>
        </w:tc>
        <w:tc>
          <w:tcPr>
            <w:tcW w:w="1901" w:type="dxa"/>
            <w:tcBorders>
              <w:top w:val="single" w:color="auto" w:sz="4" w:space="0"/>
              <w:left w:val="nil"/>
              <w:bottom w:val="single" w:color="auto" w:sz="4" w:space="0"/>
              <w:right w:val="single" w:color="auto" w:sz="4" w:space="0"/>
            </w:tcBorders>
            <w:noWrap w:val="0"/>
            <w:vAlign w:val="center"/>
          </w:tcPr>
          <w:p>
            <w:pPr>
              <w:pStyle w:val="13"/>
              <w:shd w:val="clear"/>
              <w:spacing w:line="235" w:lineRule="exact"/>
              <w:rPr>
                <w:rFonts w:eastAsia="宋体"/>
                <w:color w:val="auto"/>
                <w:sz w:val="18"/>
                <w:szCs w:val="18"/>
                <w:highlight w:val="none"/>
              </w:rPr>
            </w:pPr>
            <w:r>
              <w:rPr>
                <w:rFonts w:hint="eastAsia" w:eastAsia="宋体"/>
                <w:color w:val="auto"/>
                <w:sz w:val="18"/>
                <w:szCs w:val="18"/>
                <w:highlight w:val="none"/>
              </w:rPr>
              <w:t>企业类似工程业绩</w:t>
            </w:r>
          </w:p>
        </w:tc>
        <w:tc>
          <w:tcPr>
            <w:tcW w:w="883" w:type="dxa"/>
            <w:tcBorders>
              <w:top w:val="single" w:color="auto" w:sz="4" w:space="0"/>
              <w:left w:val="nil"/>
              <w:bottom w:val="single" w:color="auto" w:sz="4" w:space="0"/>
              <w:right w:val="single" w:color="auto" w:sz="4" w:space="0"/>
            </w:tcBorders>
            <w:noWrap w:val="0"/>
            <w:vAlign w:val="center"/>
          </w:tcPr>
          <w:p>
            <w:pPr>
              <w:pStyle w:val="13"/>
              <w:shd w:val="clear"/>
              <w:jc w:val="center"/>
              <w:rPr>
                <w:rFonts w:eastAsia="宋体"/>
                <w:color w:val="auto"/>
                <w:sz w:val="18"/>
                <w:szCs w:val="18"/>
                <w:highlight w:val="none"/>
                <w:lang w:val="en-US" w:eastAsia="zh-CN"/>
              </w:rPr>
            </w:pPr>
            <w:r>
              <w:rPr>
                <w:rFonts w:eastAsia="宋体"/>
                <w:color w:val="auto"/>
                <w:sz w:val="18"/>
                <w:szCs w:val="18"/>
                <w:highlight w:val="none"/>
                <w:lang w:val="en-US" w:eastAsia="zh-CN"/>
              </w:rPr>
              <w:t>10</w:t>
            </w:r>
          </w:p>
        </w:tc>
        <w:tc>
          <w:tcPr>
            <w:tcW w:w="10578" w:type="dxa"/>
            <w:tcBorders>
              <w:top w:val="single" w:color="auto" w:sz="4" w:space="0"/>
              <w:left w:val="nil"/>
              <w:bottom w:val="single" w:color="auto" w:sz="4" w:space="0"/>
              <w:right w:val="single" w:color="auto" w:sz="4" w:space="0"/>
            </w:tcBorders>
            <w:noWrap w:val="0"/>
            <w:vAlign w:val="top"/>
          </w:tcPr>
          <w:p>
            <w:pPr>
              <w:pStyle w:val="13"/>
              <w:shd w:val="clea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投标人自2019年1月1日至投标截止时间止完成过质量合格的类似工程业绩：</w:t>
            </w:r>
          </w:p>
          <w:p>
            <w:pPr>
              <w:pStyle w:val="13"/>
              <w:shd w:val="clear"/>
              <w:rPr>
                <w:rFonts w:hint="eastAsia" w:ascii="宋体" w:hAnsi="宋体" w:eastAsia="宋体" w:cs="宋体"/>
                <w:color w:val="auto"/>
                <w:sz w:val="18"/>
                <w:szCs w:val="18"/>
                <w:highlight w:val="none"/>
                <w:lang w:val="en-US" w:eastAsia="zh-CN"/>
              </w:rPr>
            </w:pPr>
            <w:r>
              <w:rPr>
                <w:rFonts w:hint="eastAsia" w:cs="宋体"/>
                <w:color w:val="auto"/>
                <w:sz w:val="18"/>
                <w:szCs w:val="18"/>
                <w:highlight w:val="none"/>
                <w:lang w:val="en-US" w:eastAsia="zh-CN"/>
              </w:rPr>
              <w:t>1、</w:t>
            </w:r>
            <w:r>
              <w:rPr>
                <w:rFonts w:hint="eastAsia" w:ascii="宋体" w:hAnsi="宋体" w:eastAsia="宋体" w:cs="宋体"/>
                <w:color w:val="auto"/>
                <w:sz w:val="18"/>
                <w:szCs w:val="18"/>
                <w:highlight w:val="none"/>
                <w:lang w:val="en-US" w:eastAsia="zh-CN"/>
              </w:rPr>
              <w:t>有12个（含12）以上的，得10分；</w:t>
            </w:r>
          </w:p>
          <w:p>
            <w:pPr>
              <w:pStyle w:val="13"/>
              <w:shd w:val="clear"/>
              <w:rPr>
                <w:rFonts w:hint="eastAsia" w:ascii="宋体" w:hAnsi="宋体" w:eastAsia="宋体" w:cs="宋体"/>
                <w:color w:val="auto"/>
                <w:sz w:val="18"/>
                <w:szCs w:val="18"/>
                <w:highlight w:val="none"/>
                <w:lang w:val="en-US" w:eastAsia="zh-CN"/>
              </w:rPr>
            </w:pPr>
            <w:r>
              <w:rPr>
                <w:rFonts w:hint="eastAsia" w:cs="宋体"/>
                <w:color w:val="auto"/>
                <w:sz w:val="18"/>
                <w:szCs w:val="18"/>
                <w:highlight w:val="none"/>
                <w:lang w:val="en-US" w:eastAsia="zh-CN"/>
              </w:rPr>
              <w:t>2、</w:t>
            </w:r>
            <w:r>
              <w:rPr>
                <w:rFonts w:hint="eastAsia" w:ascii="宋体" w:hAnsi="宋体" w:eastAsia="宋体" w:cs="宋体"/>
                <w:color w:val="auto"/>
                <w:sz w:val="18"/>
                <w:szCs w:val="18"/>
                <w:highlight w:val="none"/>
                <w:lang w:val="en-US" w:eastAsia="zh-CN"/>
              </w:rPr>
              <w:t>有8-12个（不含12）的，得5分；</w:t>
            </w:r>
          </w:p>
          <w:p>
            <w:pPr>
              <w:pStyle w:val="13"/>
              <w:shd w:val="clear"/>
              <w:rPr>
                <w:rFonts w:hint="eastAsia" w:ascii="宋体" w:hAnsi="宋体" w:eastAsia="宋体" w:cs="宋体"/>
                <w:color w:val="auto"/>
                <w:sz w:val="18"/>
                <w:szCs w:val="18"/>
                <w:highlight w:val="none"/>
                <w:lang w:val="en-US" w:eastAsia="zh-CN"/>
              </w:rPr>
            </w:pPr>
            <w:r>
              <w:rPr>
                <w:rFonts w:hint="eastAsia" w:cs="宋体"/>
                <w:color w:val="auto"/>
                <w:sz w:val="18"/>
                <w:szCs w:val="18"/>
                <w:highlight w:val="none"/>
                <w:lang w:val="en-US" w:eastAsia="zh-CN"/>
              </w:rPr>
              <w:t>3、</w:t>
            </w:r>
            <w:r>
              <w:rPr>
                <w:rFonts w:hint="eastAsia" w:ascii="宋体" w:hAnsi="宋体" w:eastAsia="宋体" w:cs="宋体"/>
                <w:color w:val="auto"/>
                <w:sz w:val="18"/>
                <w:szCs w:val="18"/>
                <w:highlight w:val="none"/>
                <w:lang w:val="en-US" w:eastAsia="zh-CN"/>
              </w:rPr>
              <w:t>有4-8个（不含8）的，得2.5分；</w:t>
            </w:r>
          </w:p>
          <w:p>
            <w:pPr>
              <w:pStyle w:val="13"/>
              <w:shd w:val="clear"/>
              <w:rPr>
                <w:rFonts w:hint="eastAsia" w:cs="宋体"/>
                <w:color w:val="auto"/>
                <w:sz w:val="18"/>
                <w:szCs w:val="18"/>
                <w:highlight w:val="none"/>
                <w:lang w:val="en-US" w:eastAsia="zh-CN"/>
              </w:rPr>
            </w:pPr>
            <w:r>
              <w:rPr>
                <w:rFonts w:hint="eastAsia" w:cs="宋体"/>
                <w:color w:val="auto"/>
                <w:sz w:val="18"/>
                <w:szCs w:val="18"/>
                <w:highlight w:val="none"/>
                <w:lang w:val="en-US" w:eastAsia="zh-CN"/>
              </w:rPr>
              <w:t>4、</w:t>
            </w:r>
            <w:r>
              <w:rPr>
                <w:rFonts w:hint="eastAsia" w:ascii="宋体" w:hAnsi="宋体" w:eastAsia="宋体" w:cs="宋体"/>
                <w:color w:val="auto"/>
                <w:sz w:val="18"/>
                <w:szCs w:val="18"/>
                <w:highlight w:val="none"/>
                <w:lang w:val="en-US" w:eastAsia="zh-CN"/>
              </w:rPr>
              <w:t>不符合上述条件的不得分</w:t>
            </w:r>
            <w:r>
              <w:rPr>
                <w:rFonts w:hint="eastAsia" w:cs="宋体"/>
                <w:color w:val="auto"/>
                <w:sz w:val="18"/>
                <w:szCs w:val="18"/>
                <w:highlight w:val="none"/>
                <w:lang w:val="en-US" w:eastAsia="zh-CN"/>
              </w:rPr>
              <w:t>。</w:t>
            </w:r>
          </w:p>
          <w:p>
            <w:pPr>
              <w:pStyle w:val="13"/>
              <w:shd w:val="clear"/>
              <w:rPr>
                <w:rFonts w:hint="eastAsia" w:ascii="宋体" w:hAnsi="宋体" w:eastAsia="宋体" w:cs="宋体"/>
                <w:color w:val="auto"/>
                <w:sz w:val="18"/>
                <w:szCs w:val="18"/>
                <w:highlight w:val="none"/>
              </w:rPr>
            </w:pPr>
            <w:r>
              <w:rPr>
                <w:rFonts w:hint="eastAsia" w:cs="宋体"/>
                <w:color w:val="auto"/>
                <w:sz w:val="18"/>
                <w:szCs w:val="18"/>
                <w:highlight w:val="none"/>
                <w:lang w:val="en-US" w:eastAsia="zh-CN"/>
              </w:rPr>
              <w:t>注：本项</w:t>
            </w:r>
            <w:r>
              <w:rPr>
                <w:rFonts w:hint="eastAsia" w:ascii="宋体" w:hAnsi="宋体" w:eastAsia="宋体" w:cs="宋体"/>
                <w:color w:val="auto"/>
                <w:sz w:val="18"/>
                <w:szCs w:val="18"/>
                <w:highlight w:val="none"/>
                <w:lang w:val="en-US" w:eastAsia="zh-CN"/>
              </w:rPr>
              <w:t>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633" w:type="dxa"/>
            <w:tcBorders>
              <w:top w:val="single" w:color="auto" w:sz="4" w:space="0"/>
              <w:left w:val="single" w:color="auto" w:sz="4" w:space="0"/>
              <w:bottom w:val="single" w:color="auto" w:sz="4" w:space="0"/>
              <w:right w:val="single" w:color="auto" w:sz="4" w:space="0"/>
            </w:tcBorders>
            <w:noWrap w:val="0"/>
            <w:vAlign w:val="center"/>
          </w:tcPr>
          <w:p>
            <w:pPr>
              <w:pStyle w:val="13"/>
              <w:shd w:val="clear"/>
              <w:jc w:val="center"/>
              <w:rPr>
                <w:rFonts w:eastAsia="宋体"/>
                <w:color w:val="auto"/>
                <w:sz w:val="18"/>
                <w:szCs w:val="18"/>
                <w:highlight w:val="none"/>
                <w:lang w:eastAsia="zh-CN"/>
              </w:rPr>
            </w:pPr>
            <w:r>
              <w:rPr>
                <w:rFonts w:hint="eastAsia" w:eastAsia="宋体"/>
                <w:color w:val="auto"/>
                <w:sz w:val="18"/>
                <w:szCs w:val="18"/>
                <w:highlight w:val="none"/>
                <w:lang w:val="en-US" w:eastAsia="zh-CN" w:bidi="en-US"/>
              </w:rPr>
              <w:t>2</w:t>
            </w:r>
            <w:r>
              <w:rPr>
                <w:rFonts w:hint="eastAsia" w:eastAsia="宋体"/>
                <w:color w:val="auto"/>
                <w:sz w:val="18"/>
                <w:szCs w:val="18"/>
                <w:highlight w:val="none"/>
                <w:lang w:val="en-US" w:eastAsia="en-US" w:bidi="en-US"/>
              </w:rPr>
              <w:t>.</w:t>
            </w:r>
            <w:r>
              <w:rPr>
                <w:rFonts w:hint="eastAsia" w:eastAsia="宋体"/>
                <w:color w:val="auto"/>
                <w:sz w:val="18"/>
                <w:szCs w:val="18"/>
                <w:highlight w:val="none"/>
                <w:lang w:val="en-US" w:eastAsia="zh-CN" w:bidi="en-US"/>
              </w:rPr>
              <w:t>2</w:t>
            </w:r>
          </w:p>
        </w:tc>
        <w:tc>
          <w:tcPr>
            <w:tcW w:w="1901" w:type="dxa"/>
            <w:tcBorders>
              <w:top w:val="single" w:color="auto" w:sz="4" w:space="0"/>
              <w:left w:val="nil"/>
              <w:bottom w:val="single" w:color="auto" w:sz="4" w:space="0"/>
              <w:right w:val="single" w:color="auto" w:sz="4" w:space="0"/>
            </w:tcBorders>
            <w:noWrap w:val="0"/>
            <w:vAlign w:val="center"/>
          </w:tcPr>
          <w:p>
            <w:pPr>
              <w:pStyle w:val="13"/>
              <w:shd w:val="clear"/>
              <w:rPr>
                <w:rFonts w:eastAsia="宋体"/>
                <w:color w:val="auto"/>
                <w:sz w:val="18"/>
                <w:szCs w:val="18"/>
                <w:highlight w:val="none"/>
              </w:rPr>
            </w:pPr>
            <w:r>
              <w:rPr>
                <w:rFonts w:hint="eastAsia" w:eastAsia="宋体"/>
                <w:color w:val="auto"/>
                <w:sz w:val="18"/>
                <w:szCs w:val="18"/>
                <w:highlight w:val="none"/>
                <w:lang w:eastAsia="zh-CN"/>
              </w:rPr>
              <w:t>工程</w:t>
            </w:r>
            <w:r>
              <w:rPr>
                <w:rFonts w:hint="eastAsia" w:eastAsia="宋体"/>
                <w:color w:val="auto"/>
                <w:sz w:val="18"/>
                <w:szCs w:val="18"/>
                <w:highlight w:val="none"/>
              </w:rPr>
              <w:t>获奖</w:t>
            </w:r>
          </w:p>
        </w:tc>
        <w:tc>
          <w:tcPr>
            <w:tcW w:w="883" w:type="dxa"/>
            <w:tcBorders>
              <w:top w:val="single" w:color="auto" w:sz="4" w:space="0"/>
              <w:left w:val="nil"/>
              <w:bottom w:val="single" w:color="auto" w:sz="4" w:space="0"/>
              <w:right w:val="single" w:color="auto" w:sz="4" w:space="0"/>
            </w:tcBorders>
            <w:noWrap w:val="0"/>
            <w:vAlign w:val="center"/>
          </w:tcPr>
          <w:p>
            <w:pPr>
              <w:pStyle w:val="13"/>
              <w:shd w:val="clear"/>
              <w:jc w:val="center"/>
              <w:rPr>
                <w:rFonts w:eastAsia="宋体"/>
                <w:color w:val="auto"/>
                <w:sz w:val="18"/>
                <w:szCs w:val="18"/>
                <w:highlight w:val="none"/>
                <w:lang w:val="en-US" w:eastAsia="zh-CN"/>
              </w:rPr>
            </w:pPr>
            <w:r>
              <w:rPr>
                <w:rFonts w:eastAsia="宋体"/>
                <w:color w:val="auto"/>
                <w:sz w:val="18"/>
                <w:szCs w:val="18"/>
                <w:highlight w:val="none"/>
                <w:lang w:val="en-US" w:eastAsia="zh-CN"/>
              </w:rPr>
              <w:t>8</w:t>
            </w:r>
          </w:p>
        </w:tc>
        <w:tc>
          <w:tcPr>
            <w:tcW w:w="10578" w:type="dxa"/>
            <w:tcBorders>
              <w:top w:val="single" w:color="auto" w:sz="4" w:space="0"/>
              <w:left w:val="nil"/>
              <w:bottom w:val="single" w:color="auto" w:sz="4" w:space="0"/>
              <w:right w:val="single" w:color="auto" w:sz="4" w:space="0"/>
            </w:tcBorders>
            <w:noWrap w:val="0"/>
            <w:vAlign w:val="bottom"/>
          </w:tcPr>
          <w:p>
            <w:pPr>
              <w:pStyle w:val="13"/>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t>投标人2019年1月1日至投标截止时间止，承接的房屋建筑工程施工总承包项目：</w:t>
            </w:r>
          </w:p>
          <w:p>
            <w:pPr>
              <w:pStyle w:val="13"/>
              <w:shd w:val="clear"/>
              <w:rPr>
                <w:rFonts w:eastAsia="宋体"/>
                <w:color w:val="auto"/>
                <w:sz w:val="18"/>
                <w:szCs w:val="18"/>
                <w:highlight w:val="none"/>
                <w:lang w:val="en-US" w:eastAsia="zh-CN"/>
              </w:rPr>
            </w:pPr>
            <w:r>
              <w:rPr>
                <w:rFonts w:hint="eastAsia" w:eastAsia="宋体"/>
                <w:color w:val="auto"/>
                <w:sz w:val="18"/>
                <w:szCs w:val="18"/>
                <w:highlight w:val="none"/>
                <w:lang w:val="en-US" w:eastAsia="zh-CN"/>
              </w:rPr>
              <w:t>获得过市级或以上质量奖或安全奖项的，</w:t>
            </w:r>
            <w:r>
              <w:rPr>
                <w:rFonts w:eastAsia="宋体"/>
                <w:color w:val="auto"/>
                <w:sz w:val="18"/>
                <w:szCs w:val="18"/>
                <w:highlight w:val="none"/>
                <w:lang w:val="en-US" w:eastAsia="zh-CN"/>
              </w:rPr>
              <w:t>1</w:t>
            </w:r>
            <w:r>
              <w:rPr>
                <w:rFonts w:hint="eastAsia" w:eastAsia="宋体"/>
                <w:color w:val="auto"/>
                <w:sz w:val="18"/>
                <w:szCs w:val="18"/>
                <w:highlight w:val="none"/>
                <w:lang w:val="en-US" w:eastAsia="zh-CN"/>
              </w:rPr>
              <w:t>项得</w:t>
            </w:r>
            <w:r>
              <w:rPr>
                <w:rFonts w:eastAsia="宋体"/>
                <w:color w:val="auto"/>
                <w:sz w:val="18"/>
                <w:szCs w:val="18"/>
                <w:highlight w:val="none"/>
                <w:lang w:val="en-US" w:eastAsia="zh-CN"/>
              </w:rPr>
              <w:t>0.5</w:t>
            </w:r>
            <w:r>
              <w:rPr>
                <w:rFonts w:hint="eastAsia" w:eastAsia="宋体"/>
                <w:color w:val="auto"/>
                <w:sz w:val="18"/>
                <w:szCs w:val="18"/>
                <w:highlight w:val="none"/>
                <w:lang w:val="en-US" w:eastAsia="zh-CN"/>
              </w:rPr>
              <w:t>分。</w:t>
            </w:r>
          </w:p>
          <w:p>
            <w:pPr>
              <w:pStyle w:val="13"/>
              <w:shd w:val="clear"/>
              <w:rPr>
                <w:rFonts w:hint="eastAsia" w:eastAsia="宋体"/>
                <w:color w:val="auto"/>
                <w:sz w:val="18"/>
                <w:szCs w:val="18"/>
                <w:highlight w:val="none"/>
                <w:lang w:val="en-US" w:eastAsia="zh-CN"/>
              </w:rPr>
            </w:pPr>
            <w:r>
              <w:rPr>
                <w:rFonts w:hint="eastAsia" w:eastAsia="宋体"/>
                <w:color w:val="auto"/>
                <w:sz w:val="18"/>
                <w:szCs w:val="18"/>
                <w:highlight w:val="none"/>
                <w:lang w:val="en-US" w:eastAsia="zh-CN"/>
              </w:rPr>
              <w:t>本项最多得8分。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633" w:type="dxa"/>
            <w:tcBorders>
              <w:top w:val="single" w:color="auto" w:sz="4" w:space="0"/>
              <w:left w:val="single" w:color="auto" w:sz="4" w:space="0"/>
              <w:bottom w:val="single" w:color="auto" w:sz="4" w:space="0"/>
              <w:right w:val="single" w:color="auto" w:sz="4" w:space="0"/>
            </w:tcBorders>
            <w:noWrap w:val="0"/>
            <w:vAlign w:val="center"/>
          </w:tcPr>
          <w:p>
            <w:pPr>
              <w:shd w:val="clear"/>
              <w:snapToGrid w:val="0"/>
              <w:jc w:val="center"/>
              <w:rPr>
                <w:rFonts w:ascii="宋体" w:hAnsi="宋体" w:eastAsia="宋体" w:cs="宋体"/>
                <w:color w:val="auto"/>
                <w:sz w:val="18"/>
                <w:szCs w:val="18"/>
                <w:highlight w:val="none"/>
              </w:rPr>
            </w:pPr>
          </w:p>
        </w:tc>
        <w:tc>
          <w:tcPr>
            <w:tcW w:w="1901" w:type="dxa"/>
            <w:tcBorders>
              <w:top w:val="single" w:color="auto" w:sz="4" w:space="0"/>
              <w:left w:val="nil"/>
              <w:bottom w:val="single" w:color="auto" w:sz="4" w:space="0"/>
              <w:right w:val="single" w:color="auto" w:sz="4" w:space="0"/>
            </w:tcBorders>
            <w:noWrap w:val="0"/>
            <w:vAlign w:val="center"/>
          </w:tcPr>
          <w:p>
            <w:pPr>
              <w:widowControl/>
              <w:shd w:val="clear"/>
              <w:spacing w:line="280" w:lineRule="exact"/>
              <w:jc w:val="center"/>
              <w:rPr>
                <w:rFonts w:ascii="宋体" w:hAnsi="宋体" w:eastAsia="宋体" w:cs="宋体"/>
                <w:color w:val="auto"/>
                <w:spacing w:val="-10"/>
                <w:sz w:val="18"/>
                <w:szCs w:val="18"/>
                <w:highlight w:val="none"/>
              </w:rPr>
            </w:pPr>
            <w:r>
              <w:rPr>
                <w:rFonts w:hint="eastAsia" w:ascii="宋体" w:hAnsi="宋体" w:eastAsia="宋体" w:cs="宋体"/>
                <w:color w:val="auto"/>
                <w:spacing w:val="-10"/>
                <w:sz w:val="18"/>
                <w:szCs w:val="18"/>
                <w:highlight w:val="none"/>
              </w:rPr>
              <w:t>合计</w:t>
            </w:r>
          </w:p>
        </w:tc>
        <w:tc>
          <w:tcPr>
            <w:tcW w:w="883" w:type="dxa"/>
            <w:tcBorders>
              <w:top w:val="single" w:color="auto" w:sz="4" w:space="0"/>
              <w:left w:val="nil"/>
              <w:bottom w:val="single" w:color="auto" w:sz="4" w:space="0"/>
              <w:right w:val="single" w:color="auto" w:sz="4" w:space="0"/>
            </w:tcBorders>
            <w:noWrap w:val="0"/>
            <w:vAlign w:val="center"/>
          </w:tcPr>
          <w:p>
            <w:pPr>
              <w:widowControl/>
              <w:shd w:val="clear"/>
              <w:spacing w:line="280" w:lineRule="exac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100</w:t>
            </w:r>
          </w:p>
        </w:tc>
        <w:tc>
          <w:tcPr>
            <w:tcW w:w="10578" w:type="dxa"/>
            <w:tcBorders>
              <w:top w:val="single" w:color="auto" w:sz="4" w:space="0"/>
              <w:left w:val="nil"/>
              <w:bottom w:val="single" w:color="auto" w:sz="4" w:space="0"/>
              <w:right w:val="single" w:color="auto" w:sz="4" w:space="0"/>
            </w:tcBorders>
            <w:noWrap w:val="0"/>
            <w:vAlign w:val="center"/>
          </w:tcPr>
          <w:p>
            <w:pPr>
              <w:shd w:val="clear"/>
              <w:spacing w:line="340" w:lineRule="exact"/>
              <w:ind w:right="136" w:rightChars="64"/>
              <w:jc w:val="center"/>
              <w:rPr>
                <w:rFonts w:ascii="宋体" w:hAnsi="宋体" w:eastAsia="宋体" w:cs="宋体"/>
                <w:color w:val="auto"/>
                <w:sz w:val="18"/>
                <w:szCs w:val="18"/>
                <w:highlight w:val="none"/>
              </w:rPr>
            </w:pPr>
          </w:p>
        </w:tc>
      </w:tr>
    </w:tbl>
    <w:p>
      <w:pPr>
        <w:shd w:val="clear"/>
        <w:rPr>
          <w:rFonts w:hint="eastAsia"/>
          <w:color w:val="000000"/>
          <w:sz w:val="18"/>
          <w:szCs w:val="18"/>
          <w:highlight w:val="none"/>
          <w:lang w:val="en-US" w:eastAsia="zh-CN"/>
        </w:rPr>
      </w:pPr>
      <w:r>
        <w:rPr>
          <w:rFonts w:hint="eastAsia"/>
          <w:color w:val="000000"/>
          <w:sz w:val="18"/>
          <w:szCs w:val="18"/>
          <w:highlight w:val="none"/>
          <w:lang w:val="en-US" w:eastAsia="zh-CN"/>
        </w:rPr>
        <w:t>注：</w:t>
      </w:r>
    </w:p>
    <w:p>
      <w:pPr>
        <w:numPr>
          <w:ilvl w:val="0"/>
          <w:numId w:val="3"/>
        </w:numPr>
        <w:shd w:val="clear"/>
        <w:rPr>
          <w:rFonts w:hint="eastAsia"/>
          <w:color w:val="000000"/>
          <w:sz w:val="18"/>
          <w:szCs w:val="18"/>
          <w:highlight w:val="none"/>
          <w:lang w:val="en-US" w:eastAsia="zh-CN"/>
        </w:rPr>
      </w:pPr>
      <w:r>
        <w:rPr>
          <w:rFonts w:hint="eastAsia"/>
          <w:color w:val="000000"/>
          <w:sz w:val="18"/>
          <w:szCs w:val="18"/>
          <w:highlight w:val="none"/>
          <w:lang w:val="en-US" w:eastAsia="zh-CN"/>
        </w:rPr>
        <w:t>【项目管理机构】：所有人员不得互相兼任，注册类人员须提供注册证扫描件，职称人员须提供职称证书扫描件，项目管理机构人员均须提供身份证及近1个月（2023年5月）的社保证明扫描件加盖电子印章，提供资料不齐全不得分，管理机构人员职称只按最高级别计分。人员仅指投标人自身人员（含不具有独立法人资格的子公司人员），不含子母公司人员；社保缴纳期限包含疫情期，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未按要求提供完整相关资料的人员，该人员不作为评分依据。证明资料不提供或提供不齐全不得分，所有证明资料的扫描件需加盖投标人电子印章。</w:t>
      </w:r>
    </w:p>
    <w:p>
      <w:pPr>
        <w:pStyle w:val="9"/>
        <w:numPr>
          <w:ilvl w:val="0"/>
          <w:numId w:val="0"/>
        </w:numPr>
        <w:shd w:val="clear"/>
        <w:ind w:firstLine="0"/>
        <w:rPr>
          <w:rFonts w:hint="eastAsia"/>
          <w:sz w:val="18"/>
          <w:szCs w:val="18"/>
          <w:highlight w:val="none"/>
          <w:lang w:eastAsia="zh-CN"/>
        </w:rPr>
      </w:pPr>
      <w:r>
        <w:rPr>
          <w:rFonts w:hint="eastAsia" w:eastAsia="宋体"/>
          <w:color w:val="333333"/>
          <w:sz w:val="18"/>
          <w:szCs w:val="18"/>
          <w:highlight w:val="none"/>
        </w:rPr>
        <w:t>职</w:t>
      </w:r>
      <w:r>
        <w:rPr>
          <w:rFonts w:hint="eastAsia" w:eastAsia="宋体"/>
          <w:sz w:val="18"/>
          <w:szCs w:val="18"/>
          <w:highlight w:val="none"/>
        </w:rPr>
        <w:t>称证书以地市级以上人社部门核发为准，若不是人社部门核发的职称证书，投标人应同时提供地市级以上人社部门委托核发机构开展职称评审工作的证明文件或其他可由该机构核发的政策文件依据，或在人社部门专业技术人才职称管理系统登记的信息记录网页及截图，否则，对该职称证书不予认可</w:t>
      </w:r>
      <w:r>
        <w:rPr>
          <w:rFonts w:hint="eastAsia"/>
          <w:sz w:val="18"/>
          <w:szCs w:val="18"/>
          <w:highlight w:val="none"/>
          <w:lang w:eastAsia="zh-CN"/>
        </w:rPr>
        <w:t>。</w:t>
      </w:r>
    </w:p>
    <w:p>
      <w:pPr>
        <w:shd w:val="clear"/>
        <w:rPr>
          <w:rFonts w:hint="eastAsia"/>
          <w:color w:val="000000"/>
          <w:sz w:val="18"/>
          <w:szCs w:val="18"/>
          <w:highlight w:val="none"/>
          <w:lang w:val="en-US" w:eastAsia="zh-CN"/>
        </w:rPr>
      </w:pPr>
      <w:r>
        <w:rPr>
          <w:rFonts w:hint="eastAsia"/>
          <w:color w:val="000000"/>
          <w:sz w:val="18"/>
          <w:szCs w:val="18"/>
          <w:highlight w:val="none"/>
          <w:lang w:val="en-US" w:eastAsia="zh-CN"/>
        </w:rPr>
        <w:t>2、【</w:t>
      </w:r>
      <w:r>
        <w:rPr>
          <w:rFonts w:hint="eastAsia" w:eastAsia="宋体"/>
          <w:sz w:val="18"/>
          <w:szCs w:val="18"/>
          <w:highlight w:val="none"/>
        </w:rPr>
        <w:t>企业类似工程业绩</w:t>
      </w:r>
      <w:r>
        <w:rPr>
          <w:rFonts w:hint="eastAsia"/>
          <w:color w:val="000000"/>
          <w:sz w:val="18"/>
          <w:szCs w:val="18"/>
          <w:highlight w:val="none"/>
          <w:lang w:val="en-US" w:eastAsia="zh-CN"/>
        </w:rPr>
        <w:t>】：类似工程业绩指单项工程造价为900万元或以上的</w:t>
      </w:r>
      <w:r>
        <w:rPr>
          <w:rFonts w:hint="eastAsia"/>
          <w:b w:val="0"/>
          <w:bCs w:val="0"/>
          <w:color w:val="000000"/>
          <w:sz w:val="18"/>
          <w:szCs w:val="18"/>
          <w:highlight w:val="none"/>
          <w:lang w:val="en-US" w:eastAsia="zh-CN"/>
        </w:rPr>
        <w:t>房屋</w:t>
      </w:r>
      <w:r>
        <w:rPr>
          <w:rFonts w:hint="eastAsia"/>
          <w:color w:val="000000"/>
          <w:sz w:val="18"/>
          <w:szCs w:val="18"/>
          <w:highlight w:val="none"/>
          <w:lang w:val="en-US" w:eastAsia="zh-CN"/>
        </w:rPr>
        <w:t>建筑工程施工总承包项目。</w:t>
      </w:r>
    </w:p>
    <w:p>
      <w:pPr>
        <w:shd w:val="clear"/>
        <w:rPr>
          <w:rFonts w:hint="eastAsia" w:ascii="宋体" w:hAnsi="宋体" w:eastAsia="宋体" w:cs="宋体"/>
          <w:sz w:val="18"/>
          <w:szCs w:val="18"/>
          <w:highlight w:val="none"/>
          <w:lang w:val="en-US" w:eastAsia="zh-CN" w:bidi="zh-TW"/>
        </w:rPr>
      </w:pPr>
      <w:r>
        <w:rPr>
          <w:rFonts w:hint="eastAsia" w:ascii="宋体" w:hAnsi="宋体" w:eastAsia="宋体" w:cs="宋体"/>
          <w:sz w:val="18"/>
          <w:szCs w:val="18"/>
          <w:highlight w:val="none"/>
          <w:lang w:val="en-US" w:eastAsia="zh-CN" w:bidi="zh-TW"/>
        </w:rPr>
        <w:t>业绩取自广州市住建行业信用管理平台。投标人须提供类似</w:t>
      </w:r>
      <w:r>
        <w:rPr>
          <w:rFonts w:hint="eastAsia" w:ascii="宋体" w:hAnsi="宋体" w:cs="宋体"/>
          <w:sz w:val="18"/>
          <w:szCs w:val="18"/>
          <w:highlight w:val="none"/>
          <w:lang w:val="en-US" w:eastAsia="zh-CN" w:bidi="zh-TW"/>
        </w:rPr>
        <w:t>工程</w:t>
      </w:r>
      <w:r>
        <w:rPr>
          <w:rFonts w:hint="eastAsia" w:ascii="宋体" w:hAnsi="宋体" w:eastAsia="宋体" w:cs="宋体"/>
          <w:sz w:val="18"/>
          <w:szCs w:val="18"/>
          <w:highlight w:val="none"/>
          <w:lang w:val="en-US" w:eastAsia="zh-CN" w:bidi="zh-TW"/>
        </w:rPr>
        <w:t>业绩的项目名称及业绩在广州市住建行业信用管理平台中项目编号、相应业绩在广州市住建行业信用管理平台的网页信息截图（网页信息截图须为能清晰显示该业绩在广州市住建行业信用管理平台内的页面，即需同时包含“项目基本信息”、“工程规模”、“工程对应的企业资质”、“电子材料”等信息的页面）。不提供项目名称及项目编号、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w:t>
      </w:r>
      <w:r>
        <w:rPr>
          <w:rFonts w:hint="eastAsia" w:ascii="宋体" w:hAnsi="宋体" w:cs="宋体"/>
          <w:sz w:val="18"/>
          <w:szCs w:val="18"/>
          <w:highlight w:val="none"/>
          <w:lang w:val="en-US" w:eastAsia="zh-CN" w:bidi="zh-TW"/>
        </w:rPr>
        <w:t>投标人</w:t>
      </w:r>
      <w:r>
        <w:rPr>
          <w:rFonts w:hint="eastAsia" w:ascii="宋体" w:hAnsi="宋体" w:eastAsia="宋体" w:cs="宋体"/>
          <w:sz w:val="18"/>
          <w:szCs w:val="18"/>
          <w:highlight w:val="none"/>
          <w:lang w:val="en-US" w:eastAsia="zh-CN" w:bidi="zh-TW"/>
        </w:rPr>
        <w:t>在平台内业绩上传件为依据（投标文件中可不需重复提交相关业绩上传件）。</w:t>
      </w:r>
    </w:p>
    <w:p>
      <w:pPr>
        <w:shd w:val="clear"/>
        <w:rPr>
          <w:rFonts w:hint="eastAsia"/>
          <w:color w:val="000000"/>
          <w:sz w:val="18"/>
          <w:szCs w:val="18"/>
          <w:highlight w:val="none"/>
          <w:lang w:val="en-US" w:eastAsia="zh-CN"/>
        </w:rPr>
      </w:pPr>
      <w:r>
        <w:rPr>
          <w:rFonts w:hint="eastAsia"/>
          <w:color w:val="000000"/>
          <w:sz w:val="18"/>
          <w:szCs w:val="18"/>
          <w:highlight w:val="none"/>
          <w:lang w:val="en-US" w:eastAsia="zh-CN"/>
        </w:rPr>
        <w:t>（1）金额以中标通知书为准，中标通知书上没有金额或免招标的，以施工合同（不含补充合同）为准。</w:t>
      </w:r>
    </w:p>
    <w:p>
      <w:pPr>
        <w:shd w:val="clear"/>
        <w:rPr>
          <w:rFonts w:hint="eastAsia"/>
          <w:color w:val="000000"/>
          <w:sz w:val="18"/>
          <w:szCs w:val="18"/>
          <w:highlight w:val="none"/>
          <w:lang w:val="en-US" w:eastAsia="zh-CN"/>
        </w:rPr>
      </w:pPr>
      <w:r>
        <w:rPr>
          <w:rFonts w:hint="eastAsia"/>
          <w:color w:val="000000"/>
          <w:sz w:val="18"/>
          <w:szCs w:val="18"/>
          <w:highlight w:val="none"/>
          <w:lang w:val="en-US" w:eastAsia="zh-CN"/>
        </w:rPr>
        <w:t>（2）完成时间以竣工验收文件为准。验收文件至少具有建设单位、设计、施工和监理单位盖章。</w:t>
      </w:r>
    </w:p>
    <w:p>
      <w:pPr>
        <w:shd w:val="clear"/>
        <w:rPr>
          <w:rFonts w:hint="eastAsia"/>
          <w:color w:val="000000"/>
          <w:sz w:val="18"/>
          <w:szCs w:val="18"/>
          <w:highlight w:val="none"/>
          <w:lang w:val="en-US" w:eastAsia="zh-CN"/>
        </w:rPr>
      </w:pPr>
      <w:r>
        <w:rPr>
          <w:rFonts w:hint="eastAsia"/>
          <w:color w:val="000000"/>
          <w:sz w:val="18"/>
          <w:szCs w:val="18"/>
          <w:highlight w:val="none"/>
          <w:lang w:val="en-US" w:eastAsia="zh-CN"/>
        </w:rPr>
        <w:t>（3）平台内业绩上传件不符合上述要求的或登记的工程资质内容与施工合同等业绩证明资料不相符的，该项业绩不予认定。</w:t>
      </w:r>
    </w:p>
    <w:p>
      <w:pPr>
        <w:shd w:val="clear"/>
        <w:rPr>
          <w:rFonts w:hint="eastAsia"/>
          <w:color w:val="000000"/>
          <w:sz w:val="18"/>
          <w:szCs w:val="18"/>
          <w:highlight w:val="none"/>
          <w:lang w:val="en-US" w:eastAsia="zh-CN"/>
        </w:rPr>
      </w:pPr>
      <w:r>
        <w:rPr>
          <w:rFonts w:hint="eastAsia"/>
          <w:color w:val="000000"/>
          <w:sz w:val="18"/>
          <w:szCs w:val="18"/>
          <w:highlight w:val="none"/>
          <w:lang w:val="en-US" w:eastAsia="zh-CN"/>
        </w:rPr>
        <w:t>3、【工程获奖】：①工程奖项取自广州市住建行业信用管理平台，投标人须提供相应奖项在广州市住建行业信用管理平台的网页信息截图(网页信息截图须为能清晰显示该业绩在广州市住建行业信用管理平台内的页面，即需同时包含“项目基本信息”、“奖项信息”等信息的页面)。不提供网页信息截图的奖项不予评审；评标委员会对奖项的评审以投标截止时间在平台内上传件为依据。不符合上述条件或上述资料相关信息不一致或提供的资料不齐全的获奖业绩不予评审。</w:t>
      </w:r>
    </w:p>
    <w:p>
      <w:pPr>
        <w:shd w:val="clear"/>
        <w:rPr>
          <w:rFonts w:hint="eastAsia"/>
          <w:color w:val="000000"/>
          <w:sz w:val="18"/>
          <w:szCs w:val="18"/>
          <w:highlight w:val="none"/>
          <w:lang w:val="en-US" w:eastAsia="zh-CN"/>
        </w:rPr>
      </w:pPr>
      <w:r>
        <w:rPr>
          <w:rFonts w:hint="eastAsia"/>
          <w:color w:val="000000"/>
          <w:sz w:val="18"/>
          <w:szCs w:val="18"/>
          <w:highlight w:val="none"/>
          <w:lang w:val="en-US" w:eastAsia="zh-CN"/>
        </w:rPr>
        <w:t>②时间以获奖证书颁发时间为准；</w:t>
      </w:r>
    </w:p>
    <w:p>
      <w:pPr>
        <w:shd w:val="clear"/>
        <w:rPr>
          <w:rFonts w:hint="eastAsia"/>
          <w:color w:val="000000"/>
          <w:sz w:val="18"/>
          <w:szCs w:val="18"/>
          <w:highlight w:val="none"/>
          <w:lang w:val="en-US" w:eastAsia="zh-CN"/>
        </w:rPr>
      </w:pPr>
      <w:r>
        <w:rPr>
          <w:rFonts w:hint="eastAsia"/>
          <w:color w:val="000000"/>
          <w:sz w:val="18"/>
          <w:szCs w:val="18"/>
          <w:highlight w:val="none"/>
          <w:lang w:val="en-US" w:eastAsia="zh-CN"/>
        </w:rPr>
        <w:t>③国家级工程质量奖项是指中国建设工程鲁班奖、中国土木工程詹天佑奖、国家优质工程金质奖、国家优质工程奖（原国家优质工程奖银质奖）。省级、市级工程质量奖项是指省级、市级行政主管部门或行业协会（行业协会须在民政管理部门登记备案，并提供其在民政管理部门登记备案查询网页信息截图）颁发的工程质量奖项，奖项不含科技类、技术类、钢结构类、装饰类、及绿色施工类奖项。安全奖项是指建设工程项目施工安全生产标准化工地（原国家AAA级安全文明标准化诚信工地）、或省市建设行政主管部门或行业协会颁发的安全类工程奖项；</w:t>
      </w:r>
    </w:p>
    <w:p>
      <w:pPr>
        <w:shd w:val="clear"/>
        <w:rPr>
          <w:rFonts w:hint="eastAsia"/>
          <w:color w:val="000000"/>
          <w:sz w:val="18"/>
          <w:szCs w:val="18"/>
          <w:highlight w:val="none"/>
          <w:lang w:val="en-US" w:eastAsia="zh-CN"/>
        </w:rPr>
      </w:pPr>
      <w:r>
        <w:rPr>
          <w:rFonts w:hint="eastAsia"/>
          <w:color w:val="000000"/>
          <w:sz w:val="18"/>
          <w:szCs w:val="18"/>
          <w:highlight w:val="none"/>
          <w:lang w:val="en-US" w:eastAsia="zh-CN"/>
        </w:rPr>
        <w:t>④同一工程项目获得多个奖项的，只计算其符合要求的最高奖项得分，不重复计分；</w:t>
      </w:r>
    </w:p>
    <w:p>
      <w:pPr>
        <w:shd w:val="clear"/>
        <w:rPr>
          <w:rFonts w:hint="eastAsia"/>
          <w:color w:val="000000"/>
          <w:sz w:val="18"/>
          <w:szCs w:val="18"/>
          <w:highlight w:val="none"/>
          <w:lang w:val="en-US" w:eastAsia="zh-CN"/>
        </w:rPr>
      </w:pPr>
      <w:r>
        <w:rPr>
          <w:rFonts w:hint="eastAsia"/>
          <w:color w:val="000000"/>
          <w:sz w:val="18"/>
          <w:szCs w:val="18"/>
          <w:highlight w:val="none"/>
          <w:lang w:val="en-US" w:eastAsia="zh-CN"/>
        </w:rPr>
        <w:t>⑤只计算房屋建筑工程获奖得分，其他非房建项目，如：市政、路桥、铁路、水利、电力、化工、冶金等获奖不参与计分。</w:t>
      </w:r>
    </w:p>
    <w:p>
      <w:pPr>
        <w:shd w:val="clear"/>
        <w:rPr>
          <w:rFonts w:hint="eastAsia"/>
          <w:color w:val="000000"/>
          <w:sz w:val="18"/>
          <w:szCs w:val="18"/>
          <w:highlight w:val="none"/>
          <w:lang w:val="en-US" w:eastAsia="zh-CN"/>
        </w:rPr>
      </w:pPr>
      <w:r>
        <w:rPr>
          <w:rFonts w:hint="eastAsia"/>
          <w:color w:val="000000"/>
          <w:sz w:val="18"/>
          <w:szCs w:val="18"/>
          <w:highlight w:val="none"/>
          <w:lang w:val="en-US" w:eastAsia="zh-CN"/>
        </w:rPr>
        <w:t>4、评标委员会成员评分的算术平均值，即为该投标人的评审得分（若分数出现小数点时，保留到小数点后两位，第三位小数四舍五入）。</w:t>
      </w:r>
    </w:p>
    <w:p>
      <w:pPr>
        <w:shd w:val="clear"/>
        <w:rPr>
          <w:rFonts w:hint="eastAsia"/>
          <w:color w:val="000000"/>
          <w:highlight w:val="none"/>
          <w:lang w:val="en-US" w:eastAsia="zh-CN"/>
        </w:rPr>
      </w:pPr>
    </w:p>
    <w:p>
      <w:pPr>
        <w:shd w:val="clear"/>
        <w:rPr>
          <w:color w:val="000000"/>
          <w:highlight w:val="none"/>
        </w:rPr>
      </w:pPr>
    </w:p>
    <w:p>
      <w:pPr>
        <w:shd w:val="clear"/>
        <w:rPr>
          <w:color w:val="000000"/>
          <w:highlight w:val="none"/>
        </w:rPr>
      </w:pPr>
      <w:r>
        <w:rPr>
          <w:rFonts w:hint="eastAsia" w:ascii="宋体" w:hAnsi="宋体" w:cs="宋体"/>
          <w:sz w:val="18"/>
          <w:szCs w:val="18"/>
          <w:highlight w:val="none"/>
        </w:rPr>
        <w:t xml:space="preserve">评委签名：    </w:t>
      </w:r>
      <w:r>
        <w:rPr>
          <w:rFonts w:hint="eastAsia"/>
          <w:sz w:val="18"/>
          <w:szCs w:val="18"/>
          <w:highlight w:val="none"/>
        </w:rPr>
        <w:t xml:space="preserve">                  </w:t>
      </w:r>
      <w:r>
        <w:rPr>
          <w:rFonts w:hint="eastAsia"/>
          <w:sz w:val="18"/>
          <w:szCs w:val="18"/>
          <w:highlight w:val="none"/>
          <w:lang w:val="en-US" w:eastAsia="zh-CN"/>
        </w:rPr>
        <w:t xml:space="preserve">日期： </w:t>
      </w:r>
    </w:p>
    <w:p>
      <w:pPr>
        <w:shd w:val="clear"/>
        <w:rPr>
          <w:highlight w:val="none"/>
        </w:rPr>
      </w:pPr>
    </w:p>
    <w:p>
      <w:pPr>
        <w:pStyle w:val="2"/>
        <w:shd w:val="clear"/>
      </w:pPr>
    </w:p>
    <w:sectPr>
      <w:footerReference r:id="rId3" w:type="default"/>
      <w:pgSz w:w="16838" w:h="11906" w:orient="landscape"/>
      <w:pgMar w:top="1088" w:right="1247" w:bottom="1400" w:left="1440" w:header="851" w:footer="992" w:gutter="0"/>
      <w:cols w:space="720" w:num="1"/>
      <w:docGrid w:type="linesAndChars" w:linePitch="313" w:charSpace="8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E14FAF"/>
    <w:multiLevelType w:val="singleLevel"/>
    <w:tmpl w:val="9DE14FAF"/>
    <w:lvl w:ilvl="0" w:tentative="0">
      <w:start w:val="1"/>
      <w:numFmt w:val="decimal"/>
      <w:suff w:val="nothing"/>
      <w:lvlText w:val="%1、"/>
      <w:lvlJc w:val="left"/>
    </w:lvl>
  </w:abstractNum>
  <w:abstractNum w:abstractNumId="1">
    <w:nsid w:val="00000001"/>
    <w:multiLevelType w:val="singleLevel"/>
    <w:tmpl w:val="00000001"/>
    <w:lvl w:ilvl="0" w:tentative="0">
      <w:start w:val="2"/>
      <w:numFmt w:val="chineseCounting"/>
      <w:suff w:val="nothing"/>
      <w:lvlText w:val="%1、"/>
      <w:lvlJc w:val="left"/>
      <w:rPr>
        <w:rFonts w:hint="eastAsia"/>
      </w:rPr>
    </w:lvl>
  </w:abstractNum>
  <w:abstractNum w:abstractNumId="2">
    <w:nsid w:val="29E5BC00"/>
    <w:multiLevelType w:val="singleLevel"/>
    <w:tmpl w:val="29E5BC00"/>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06763A"/>
    <w:rsid w:val="00372A16"/>
    <w:rsid w:val="1B11554F"/>
    <w:rsid w:val="1B5E168F"/>
    <w:rsid w:val="2FB2175C"/>
    <w:rsid w:val="33FA1E9A"/>
    <w:rsid w:val="3C06763A"/>
    <w:rsid w:val="45CE7988"/>
    <w:rsid w:val="4DAB79D0"/>
    <w:rsid w:val="62152432"/>
    <w:rsid w:val="7C5F7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4"/>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4">
    <w:name w:val="Normal Indent"/>
    <w:basedOn w:val="1"/>
    <w:next w:val="1"/>
    <w:qFormat/>
    <w:uiPriority w:val="0"/>
    <w:pPr>
      <w:ind w:firstLine="420"/>
    </w:pPr>
    <w:rPr>
      <w:rFonts w:ascii="Times New Roman" w:hAnsi="Times New Roman"/>
      <w:szCs w:val="20"/>
    </w:rPr>
  </w:style>
  <w:style w:type="paragraph" w:styleId="5">
    <w:name w:val="Body Text"/>
    <w:basedOn w:val="1"/>
    <w:next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5"/>
    <w:qFormat/>
    <w:uiPriority w:val="0"/>
    <w:pPr>
      <w:ind w:firstLine="420"/>
    </w:pPr>
  </w:style>
  <w:style w:type="character" w:styleId="12">
    <w:name w:val="page number"/>
    <w:basedOn w:val="11"/>
    <w:qFormat/>
    <w:uiPriority w:val="0"/>
  </w:style>
  <w:style w:type="paragraph" w:customStyle="1" w:styleId="13">
    <w:name w:val="Other|1"/>
    <w:basedOn w:val="1"/>
    <w:qFormat/>
    <w:uiPriority w:val="0"/>
    <w:pPr>
      <w:jc w:val="left"/>
    </w:pPr>
    <w:rPr>
      <w:rFonts w:ascii="宋体" w:hAnsi="宋体" w:cs="宋体"/>
      <w:kern w:val="0"/>
      <w:sz w:val="17"/>
      <w:szCs w:val="17"/>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2020-12-23T01:14:00Z</dcterms:created>
  <dc:creator>NTKO</dc:creator>
  <cp:lastModifiedBy>swh</cp:lastModifiedBy>
  <dcterms:modified xsi:type="dcterms:W3CDTF">2023-06-16T03:24:56Z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