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000000" w:themeColor="text1"/>
          <w:kern w:val="44"/>
          <w:sz w:val="28"/>
          <w:szCs w:val="28"/>
          <w14:textFill>
            <w14:solidFill>
              <w14:schemeClr w14:val="tx1"/>
            </w14:solidFill>
          </w14:textFill>
        </w:rPr>
      </w:pPr>
      <w:r>
        <w:rPr>
          <w:rFonts w:hint="eastAsia" w:ascii="宋体" w:hAnsi="宋体" w:cs="宋体"/>
          <w:b/>
          <w:color w:val="000000" w:themeColor="text1"/>
          <w:kern w:val="44"/>
          <w:sz w:val="28"/>
          <w:szCs w:val="28"/>
          <w14:textFill>
            <w14:solidFill>
              <w14:schemeClr w14:val="tx1"/>
            </w14:solidFill>
          </w14:textFill>
        </w:rPr>
        <w:t>附录1  资格审查条件(资质最低要求)</w:t>
      </w:r>
    </w:p>
    <w:tbl>
      <w:tblPr>
        <w:tblStyle w:val="6"/>
        <w:tblW w:w="9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9565" w:type="dxa"/>
            <w:noWrap w:val="0"/>
            <w:vAlign w:val="center"/>
          </w:tcPr>
          <w:p>
            <w:pPr>
              <w:widowControl/>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9565" w:type="dxa"/>
            <w:noWrap w:val="0"/>
            <w:vAlign w:val="center"/>
          </w:tcPr>
          <w:p>
            <w:pPr>
              <w:widowControl/>
              <w:wordWrap w:val="0"/>
              <w:topLinePunct/>
              <w:spacing w:line="48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1、具有独立法人资格、有效的营业执照；</w:t>
            </w:r>
          </w:p>
          <w:p>
            <w:pPr>
              <w:widowControl/>
              <w:wordWrap w:val="0"/>
              <w:topLinePunct/>
              <w:spacing w:line="48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2、具备公路工程施工总承包叁级（或以上）资质；</w:t>
            </w:r>
          </w:p>
          <w:p>
            <w:pPr>
              <w:widowControl/>
              <w:spacing w:line="480" w:lineRule="auto"/>
              <w:rPr>
                <w:rFonts w:hint="eastAsia"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3、具有有效的施工企业安全生产许可证。</w:t>
            </w:r>
          </w:p>
        </w:tc>
      </w:tr>
    </w:tbl>
    <w:p>
      <w:pPr>
        <w:widowControl/>
        <w:spacing w:line="480" w:lineRule="auto"/>
        <w:ind w:firstLine="214"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注：1.、投标人应根据投标文件第二章“投标人须知”第 3.5.1 项的要求附相关证明材料。</w:t>
      </w:r>
    </w:p>
    <w:p>
      <w:pPr>
        <w:pStyle w:val="5"/>
        <w:spacing w:line="360" w:lineRule="auto"/>
        <w:rPr>
          <w:rFonts w:hint="eastAsia" w:ascii="宋体" w:hAnsi="宋体" w:cs="宋体"/>
          <w:color w:val="000000" w:themeColor="text1"/>
          <w14:textFill>
            <w14:solidFill>
              <w14:schemeClr w14:val="tx1"/>
            </w14:solidFill>
          </w14:textFill>
        </w:rPr>
      </w:pPr>
    </w:p>
    <w:p>
      <w:pPr>
        <w:spacing w:line="360" w:lineRule="auto"/>
        <w:jc w:val="center"/>
        <w:rPr>
          <w:rFonts w:hint="eastAsia" w:ascii="宋体" w:hAnsi="宋体" w:cs="宋体"/>
          <w:b/>
          <w:color w:val="000000" w:themeColor="text1"/>
          <w:kern w:val="44"/>
          <w:sz w:val="28"/>
          <w:szCs w:val="28"/>
          <w14:textFill>
            <w14:solidFill>
              <w14:schemeClr w14:val="tx1"/>
            </w14:solidFill>
          </w14:textFill>
        </w:rPr>
      </w:pPr>
      <w:r>
        <w:rPr>
          <w:rFonts w:hint="eastAsia" w:ascii="宋体" w:hAnsi="宋体" w:cs="宋体"/>
          <w:b/>
          <w:color w:val="000000" w:themeColor="text1"/>
          <w:kern w:val="44"/>
          <w:sz w:val="28"/>
          <w:szCs w:val="28"/>
          <w14:textFill>
            <w14:solidFill>
              <w14:schemeClr w14:val="tx1"/>
            </w14:solidFill>
          </w14:textFill>
        </w:rPr>
        <w:t>附录2  资格审查条件(财务最低要求)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9079"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bidi="ar"/>
                <w14:textFill>
                  <w14:solidFill>
                    <w14:schemeClr w14:val="tx1"/>
                  </w14:solidFill>
                </w14:textFill>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0" w:hRule="atLeast"/>
          <w:jc w:val="center"/>
        </w:trPr>
        <w:tc>
          <w:tcPr>
            <w:tcW w:w="9079" w:type="dxa"/>
            <w:tcBorders>
              <w:top w:val="single" w:color="auto" w:sz="6" w:space="0"/>
              <w:left w:val="single" w:color="auto" w:sz="12" w:space="0"/>
              <w:bottom w:val="single" w:color="auto" w:sz="12" w:space="0"/>
              <w:right w:val="single" w:color="auto" w:sz="12" w:space="0"/>
            </w:tcBorders>
            <w:noWrap w:val="0"/>
            <w:vAlign w:val="center"/>
          </w:tcPr>
          <w:p>
            <w:pPr>
              <w:widowControl/>
              <w:spacing w:line="480" w:lineRule="auto"/>
              <w:rPr>
                <w:rFonts w:hint="eastAsia"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1、企业净资产（总资产-总负债）不少于</w:t>
            </w:r>
            <w:r>
              <w:rPr>
                <w:rFonts w:hint="eastAsia" w:ascii="宋体" w:hAnsi="宋体" w:cs="宋体"/>
                <w:color w:val="000000" w:themeColor="text1"/>
                <w:spacing w:val="2"/>
                <w:szCs w:val="21"/>
                <w:u w:val="single"/>
                <w14:textFill>
                  <w14:solidFill>
                    <w14:schemeClr w14:val="tx1"/>
                  </w14:solidFill>
                </w14:textFill>
              </w:rPr>
              <w:t>500</w:t>
            </w:r>
            <w:r>
              <w:rPr>
                <w:rFonts w:hint="eastAsia" w:ascii="宋体" w:hAnsi="宋体" w:cs="宋体"/>
                <w:color w:val="000000" w:themeColor="text1"/>
                <w:spacing w:val="2"/>
                <w:szCs w:val="21"/>
                <w14:textFill>
                  <w14:solidFill>
                    <w14:schemeClr w14:val="tx1"/>
                  </w14:solidFill>
                </w14:textFill>
              </w:rPr>
              <w:t xml:space="preserve">万元人民币。 </w:t>
            </w:r>
          </w:p>
          <w:p>
            <w:pPr>
              <w:widowControl/>
              <w:spacing w:line="480" w:lineRule="auto"/>
              <w:rPr>
                <w:rFonts w:hint="eastAsia"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2、营运资金（流动资产－流动负债）不少于</w:t>
            </w:r>
            <w:r>
              <w:rPr>
                <w:rFonts w:hint="eastAsia" w:ascii="宋体" w:hAnsi="宋体" w:cs="宋体"/>
                <w:color w:val="000000" w:themeColor="text1"/>
                <w:spacing w:val="2"/>
                <w:szCs w:val="21"/>
                <w:u w:val="single"/>
                <w14:textFill>
                  <w14:solidFill>
                    <w14:schemeClr w14:val="tx1"/>
                  </w14:solidFill>
                </w14:textFill>
              </w:rPr>
              <w:t>500</w:t>
            </w:r>
            <w:r>
              <w:rPr>
                <w:rFonts w:hint="eastAsia" w:ascii="宋体" w:hAnsi="宋体" w:cs="宋体"/>
                <w:color w:val="000000" w:themeColor="text1"/>
                <w:spacing w:val="2"/>
                <w:szCs w:val="21"/>
                <w14:textFill>
                  <w14:solidFill>
                    <w14:schemeClr w14:val="tx1"/>
                  </w14:solidFill>
                </w14:textFill>
              </w:rPr>
              <w:t xml:space="preserve">万元人民币。 </w:t>
            </w:r>
          </w:p>
          <w:p>
            <w:pPr>
              <w:widowControl/>
              <w:spacing w:line="480" w:lineRule="auto"/>
              <w:rPr>
                <w:rFonts w:hint="eastAsia"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3、近三个年度的年平均营业总收入不少于</w:t>
            </w:r>
            <w:r>
              <w:rPr>
                <w:rFonts w:hint="eastAsia" w:ascii="宋体" w:hAnsi="宋体" w:cs="宋体"/>
                <w:color w:val="000000" w:themeColor="text1"/>
                <w:spacing w:val="2"/>
                <w:szCs w:val="21"/>
                <w:u w:val="single"/>
                <w14:textFill>
                  <w14:solidFill>
                    <w14:schemeClr w14:val="tx1"/>
                  </w14:solidFill>
                </w14:textFill>
              </w:rPr>
              <w:t>1500</w:t>
            </w:r>
            <w:r>
              <w:rPr>
                <w:rFonts w:hint="eastAsia" w:ascii="宋体" w:hAnsi="宋体" w:cs="宋体"/>
                <w:color w:val="000000" w:themeColor="text1"/>
                <w:spacing w:val="2"/>
                <w:szCs w:val="21"/>
                <w14:textFill>
                  <w14:solidFill>
                    <w14:schemeClr w14:val="tx1"/>
                  </w14:solidFill>
                </w14:textFill>
              </w:rPr>
              <w:t>万元人民币。</w:t>
            </w:r>
          </w:p>
          <w:p>
            <w:pPr>
              <w:widowControl/>
              <w:spacing w:line="480" w:lineRule="auto"/>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4、近三个年度至少有两年盈利，且负债率低于30%。</w:t>
            </w:r>
          </w:p>
        </w:tc>
      </w:tr>
    </w:tbl>
    <w:p>
      <w:pPr>
        <w:widowControl/>
        <w:spacing w:line="480" w:lineRule="auto"/>
        <w:ind w:firstLine="210" w:firstLineChars="100"/>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注：1.</w:t>
      </w:r>
      <w:r>
        <w:rPr>
          <w:rFonts w:hint="eastAsia" w:ascii="宋体" w:hAnsi="宋体" w:cs="宋体"/>
          <w:color w:val="000000" w:themeColor="text1"/>
          <w:szCs w:val="21"/>
          <w14:textFill>
            <w14:solidFill>
              <w14:schemeClr w14:val="tx1"/>
            </w14:solidFill>
          </w14:textFill>
        </w:rPr>
        <w:t>企业净资产、营运资金是按交通运输部“全国公路建设市场信用信息管理系统”登记的最新年度</w:t>
      </w:r>
      <w:r>
        <w:rPr>
          <w:rFonts w:hint="eastAsia" w:ascii="宋体" w:hAnsi="宋体" w:cs="宋体"/>
          <w:color w:val="000000" w:themeColor="text1"/>
          <w:szCs w:val="21"/>
          <w:lang w:bidi="ar"/>
          <w14:textFill>
            <w14:solidFill>
              <w14:schemeClr w14:val="tx1"/>
            </w14:solidFill>
          </w14:textFill>
        </w:rPr>
        <w:t>（2022年度）</w:t>
      </w:r>
      <w:r>
        <w:rPr>
          <w:rFonts w:hint="eastAsia" w:ascii="宋体" w:hAnsi="宋体" w:cs="宋体"/>
          <w:color w:val="000000" w:themeColor="text1"/>
          <w:szCs w:val="21"/>
          <w14:textFill>
            <w14:solidFill>
              <w14:schemeClr w14:val="tx1"/>
            </w14:solidFill>
          </w14:textFill>
        </w:rPr>
        <w:t>数据计算得出。</w:t>
      </w:r>
    </w:p>
    <w:p>
      <w:pPr>
        <w:widowControl/>
        <w:snapToGrid w:val="0"/>
        <w:spacing w:line="480" w:lineRule="auto"/>
        <w:ind w:firstLine="420" w:firstLineChars="200"/>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2.近三个年度</w:t>
      </w:r>
      <w:r>
        <w:rPr>
          <w:rFonts w:hint="eastAsia" w:ascii="宋体" w:hAnsi="宋体" w:cs="宋体"/>
          <w:color w:val="000000" w:themeColor="text1"/>
          <w:szCs w:val="21"/>
          <w14:textFill>
            <w14:solidFill>
              <w14:schemeClr w14:val="tx1"/>
            </w14:solidFill>
          </w14:textFill>
        </w:rPr>
        <w:t>是指</w:t>
      </w:r>
      <w:r>
        <w:rPr>
          <w:rFonts w:hint="eastAsia" w:ascii="宋体" w:hAnsi="宋体" w:cs="宋体"/>
          <w:color w:val="000000" w:themeColor="text1"/>
          <w:szCs w:val="21"/>
          <w:u w:val="single"/>
          <w14:textFill>
            <w14:solidFill>
              <w14:schemeClr w14:val="tx1"/>
            </w14:solidFill>
          </w14:textFill>
        </w:rPr>
        <w:t>2020年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2021年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2022年</w:t>
      </w:r>
      <w:r>
        <w:rPr>
          <w:rFonts w:hint="eastAsia" w:ascii="宋体" w:hAnsi="宋体" w:cs="宋体"/>
          <w:color w:val="000000" w:themeColor="text1"/>
          <w:szCs w:val="21"/>
          <w:lang w:bidi="ar"/>
          <w14:textFill>
            <w14:solidFill>
              <w14:schemeClr w14:val="tx1"/>
            </w14:solidFill>
          </w14:textFill>
        </w:rPr>
        <w:t>财务信息以投标人提供的“全国公路建设市场信用信息管理系统”企业所填的信息截图为准。</w:t>
      </w:r>
    </w:p>
    <w:p>
      <w:pPr>
        <w:widowControl/>
        <w:spacing w:line="480" w:lineRule="auto"/>
        <w:ind w:right="-20" w:firstLine="420" w:firstLineChars="200"/>
        <w:rPr>
          <w:rFonts w:hint="eastAsia" w:ascii="宋体" w:hAnsi="宋体" w:cs="宋体"/>
          <w:b/>
          <w:color w:val="000000" w:themeColor="text1"/>
          <w:kern w:val="44"/>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bidi="ar"/>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若投标人成立不足三年，则提供成立以来的财务信息截图或网页打印件的扫描件或财务状况表。</w:t>
      </w:r>
    </w:p>
    <w:p>
      <w:pPr>
        <w:pStyle w:val="4"/>
        <w:spacing w:line="360" w:lineRule="auto"/>
        <w:jc w:val="center"/>
        <w:rPr>
          <w:rFonts w:hint="eastAsia" w:ascii="宋体" w:hAnsi="宋体" w:cs="宋体"/>
          <w:bCs w:val="0"/>
          <w:color w:val="000000" w:themeColor="text1"/>
          <w:kern w:val="44"/>
          <w:sz w:val="28"/>
          <w:szCs w:val="28"/>
          <w14:textFill>
            <w14:solidFill>
              <w14:schemeClr w14:val="tx1"/>
            </w14:solidFill>
          </w14:textFill>
        </w:rPr>
      </w:pPr>
      <w:r>
        <w:rPr>
          <w:rFonts w:hint="eastAsia" w:ascii="宋体" w:hAnsi="宋体" w:cs="宋体"/>
          <w:bCs w:val="0"/>
          <w:color w:val="000000" w:themeColor="text1"/>
          <w:kern w:val="44"/>
          <w:sz w:val="28"/>
          <w:szCs w:val="28"/>
          <w14:textFill>
            <w14:solidFill>
              <w14:schemeClr w14:val="tx1"/>
            </w14:solidFill>
          </w14:textFill>
        </w:rPr>
        <w:br w:type="page"/>
      </w:r>
      <w:r>
        <w:rPr>
          <w:rFonts w:hint="eastAsia" w:ascii="宋体" w:hAnsi="宋体" w:cs="宋体"/>
          <w:bCs w:val="0"/>
          <w:color w:val="000000" w:themeColor="text1"/>
          <w:kern w:val="44"/>
          <w:sz w:val="28"/>
          <w:szCs w:val="28"/>
          <w14:textFill>
            <w14:solidFill>
              <w14:schemeClr w14:val="tx1"/>
            </w14:solidFill>
          </w14:textFill>
        </w:rPr>
        <w:t>附录3  资格审查条件(业绩最低要求)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094"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9094" w:type="dxa"/>
            <w:tcBorders>
              <w:top w:val="single" w:color="auto" w:sz="6" w:space="0"/>
              <w:left w:val="single" w:color="auto" w:sz="12" w:space="0"/>
              <w:bottom w:val="single" w:color="auto" w:sz="12" w:space="0"/>
              <w:right w:val="single" w:color="auto" w:sz="12" w:space="0"/>
            </w:tcBorders>
            <w:noWrap w:val="0"/>
            <w:vAlign w:val="center"/>
          </w:tcPr>
          <w:p>
            <w:pPr>
              <w:pStyle w:val="5"/>
              <w:widowControl/>
              <w:spacing w:line="48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近五年内（近五年指2018年6月1日至投标文件递交截止日止），完成过至少1项公路施工项目，并经交/竣工验收合格。</w:t>
            </w:r>
          </w:p>
        </w:tc>
      </w:tr>
    </w:tbl>
    <w:p>
      <w:pPr>
        <w:pStyle w:val="5"/>
        <w:widowControl/>
        <w:spacing w:line="480" w:lineRule="auto"/>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注：1、业绩计算以“全国公路建设市场信用信息管理系统”上的交工验收或未交工验收一次性竣工验收的时间为准。</w:t>
      </w:r>
    </w:p>
    <w:p>
      <w:pPr>
        <w:pStyle w:val="5"/>
        <w:widowControl/>
        <w:spacing w:line="48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2、业绩要求为公路施工项目。</w:t>
      </w:r>
    </w:p>
    <w:p>
      <w:pPr>
        <w:pStyle w:val="5"/>
        <w:widowControl/>
        <w:spacing w:line="48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3、提供业绩网页截图复印件或网页打印件。除网页截图复印件或网页打印件外，投标人无需再提供任何业绩证明材料。业绩网页截图必须清晰体现所完成的工程量，否则不予认定。</w:t>
      </w:r>
    </w:p>
    <w:p>
      <w:pPr>
        <w:widowControl/>
        <w:spacing w:line="360" w:lineRule="auto"/>
        <w:jc w:val="center"/>
        <w:rPr>
          <w:rFonts w:hint="eastAsia" w:ascii="宋体" w:hAnsi="宋体" w:cs="宋体"/>
          <w:b/>
          <w:color w:val="000000" w:themeColor="text1"/>
          <w:kern w:val="44"/>
          <w:sz w:val="28"/>
          <w:szCs w:val="28"/>
          <w14:textFill>
            <w14:solidFill>
              <w14:schemeClr w14:val="tx1"/>
            </w14:solidFill>
          </w14:textFill>
        </w:rPr>
      </w:pPr>
    </w:p>
    <w:p>
      <w:pPr>
        <w:widowControl/>
        <w:spacing w:line="360" w:lineRule="auto"/>
        <w:jc w:val="center"/>
        <w:rPr>
          <w:rFonts w:hint="eastAsia" w:ascii="宋体" w:hAnsi="宋体" w:cs="宋体"/>
          <w:b/>
          <w:color w:val="000000" w:themeColor="text1"/>
          <w:kern w:val="44"/>
          <w:sz w:val="28"/>
          <w:szCs w:val="28"/>
          <w14:textFill>
            <w14:solidFill>
              <w14:schemeClr w14:val="tx1"/>
            </w14:solidFill>
          </w14:textFill>
        </w:rPr>
      </w:pPr>
    </w:p>
    <w:p>
      <w:pPr>
        <w:widowControl/>
        <w:spacing w:line="360" w:lineRule="auto"/>
        <w:jc w:val="center"/>
        <w:rPr>
          <w:rFonts w:hint="eastAsia" w:ascii="宋体" w:hAnsi="宋体" w:cs="宋体"/>
          <w:b/>
          <w:color w:val="000000" w:themeColor="text1"/>
          <w:kern w:val="44"/>
          <w:sz w:val="28"/>
          <w:szCs w:val="28"/>
          <w14:textFill>
            <w14:solidFill>
              <w14:schemeClr w14:val="tx1"/>
            </w14:solidFill>
          </w14:textFill>
        </w:rPr>
      </w:pPr>
      <w:r>
        <w:rPr>
          <w:rFonts w:hint="eastAsia" w:ascii="宋体" w:hAnsi="宋体" w:cs="宋体"/>
          <w:b/>
          <w:color w:val="000000" w:themeColor="text1"/>
          <w:kern w:val="44"/>
          <w:sz w:val="28"/>
          <w:szCs w:val="28"/>
          <w14:textFill>
            <w14:solidFill>
              <w14:schemeClr w14:val="tx1"/>
            </w14:solidFill>
          </w14:textFill>
        </w:rPr>
        <w:t>附录4  资格审查条件(信誉最低要求)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124"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bidi="ar"/>
                <w14:textFill>
                  <w14:solidFill>
                    <w14:schemeClr w14:val="tx1"/>
                  </w14:solidFill>
                </w14:textFill>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jc w:val="center"/>
        </w:trPr>
        <w:tc>
          <w:tcPr>
            <w:tcW w:w="9124" w:type="dxa"/>
            <w:tcBorders>
              <w:top w:val="single" w:color="auto" w:sz="6" w:space="0"/>
              <w:left w:val="single" w:color="auto" w:sz="12" w:space="0"/>
              <w:bottom w:val="single" w:color="auto" w:sz="12" w:space="0"/>
              <w:right w:val="single" w:color="auto" w:sz="12" w:space="0"/>
            </w:tcBorders>
            <w:noWrap w:val="0"/>
            <w:vAlign w:val="center"/>
          </w:tcPr>
          <w:p>
            <w:pPr>
              <w:widowControl/>
              <w:spacing w:line="48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在最新年度广东省公路工程从业单位（施工单位）信用评价（含无最新年度而上一年度有信用评价）中，信用等级未被评为D级；</w:t>
            </w:r>
          </w:p>
          <w:p>
            <w:pPr>
              <w:widowControl/>
              <w:spacing w:line="48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初次进入广东省的投标人，在最新年度的全国公路从业单位（施工单位）信用评价结果中未被评为D级。</w:t>
            </w:r>
          </w:p>
        </w:tc>
      </w:tr>
    </w:tbl>
    <w:p>
      <w:pPr>
        <w:widowControl/>
        <w:spacing w:line="480" w:lineRule="auto"/>
        <w:ind w:left="116" w:right="-20" w:firstLine="214" w:firstLineChars="100"/>
        <w:rPr>
          <w:rFonts w:hint="eastAsia"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注：1、信用等级的确定原则遵遁投标人须知前附表 10.2 款的规定。</w:t>
      </w:r>
    </w:p>
    <w:p>
      <w:pPr>
        <w:snapToGrid w:val="0"/>
        <w:spacing w:line="360" w:lineRule="auto"/>
        <w:rPr>
          <w:rFonts w:hint="eastAsia" w:ascii="宋体" w:hAnsi="宋体" w:cs="宋体"/>
          <w:b/>
          <w:bCs/>
          <w:color w:val="000000" w:themeColor="text1"/>
          <w:sz w:val="32"/>
          <w:szCs w:val="32"/>
          <w14:textFill>
            <w14:solidFill>
              <w14:schemeClr w14:val="tx1"/>
            </w14:solidFill>
          </w14:textFill>
        </w:rPr>
      </w:pPr>
    </w:p>
    <w:p>
      <w:pPr>
        <w:pStyle w:val="5"/>
        <w:spacing w:line="360" w:lineRule="auto"/>
        <w:rPr>
          <w:rFonts w:hint="eastAsia" w:ascii="宋体" w:hAnsi="宋体" w:cs="宋体"/>
          <w:color w:val="000000" w:themeColor="text1"/>
          <w14:textFill>
            <w14:solidFill>
              <w14:schemeClr w14:val="tx1"/>
            </w14:solidFill>
          </w14:textFill>
        </w:rPr>
      </w:pPr>
    </w:p>
    <w:p>
      <w:pPr>
        <w:pStyle w:val="4"/>
        <w:spacing w:line="360" w:lineRule="auto"/>
        <w:jc w:val="center"/>
        <w:rPr>
          <w:rFonts w:hint="eastAsia" w:ascii="宋体" w:hAnsi="宋体" w:cs="宋体"/>
          <w:bCs w:val="0"/>
          <w:color w:val="000000" w:themeColor="text1"/>
          <w:kern w:val="44"/>
          <w:sz w:val="28"/>
          <w:szCs w:val="28"/>
          <w14:textFill>
            <w14:solidFill>
              <w14:schemeClr w14:val="tx1"/>
            </w14:solidFill>
          </w14:textFill>
        </w:rPr>
      </w:pPr>
      <w:r>
        <w:rPr>
          <w:rFonts w:hint="eastAsia" w:ascii="宋体" w:hAnsi="宋体" w:cs="宋体"/>
          <w:bCs w:val="0"/>
          <w:color w:val="000000" w:themeColor="text1"/>
          <w:kern w:val="44"/>
          <w:sz w:val="28"/>
          <w:szCs w:val="28"/>
          <w14:textFill>
            <w14:solidFill>
              <w14:schemeClr w14:val="tx1"/>
            </w14:solidFill>
          </w14:textFill>
        </w:rPr>
        <w:br w:type="page"/>
      </w:r>
      <w:r>
        <w:rPr>
          <w:rFonts w:hint="eastAsia" w:ascii="宋体" w:hAnsi="宋体" w:cs="宋体"/>
          <w:bCs w:val="0"/>
          <w:color w:val="000000" w:themeColor="text1"/>
          <w:kern w:val="44"/>
          <w:sz w:val="28"/>
          <w:szCs w:val="28"/>
          <w14:textFill>
            <w14:solidFill>
              <w14:schemeClr w14:val="tx1"/>
            </w14:solidFill>
          </w14:textFill>
        </w:rPr>
        <w:t>附录5   资格审查条件（项目经理和项目总工最低要求）</w:t>
      </w:r>
    </w:p>
    <w:tbl>
      <w:tblPr>
        <w:tblStyle w:val="6"/>
        <w:tblW w:w="9178"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953"/>
        <w:gridCol w:w="4790"/>
        <w:gridCol w:w="1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528" w:type="dxa"/>
            <w:noWrap w:val="0"/>
            <w:vAlign w:val="center"/>
          </w:tcPr>
          <w:p>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人  员</w:t>
            </w:r>
          </w:p>
        </w:tc>
        <w:tc>
          <w:tcPr>
            <w:tcW w:w="953" w:type="dxa"/>
            <w:noWrap w:val="0"/>
            <w:vAlign w:val="center"/>
          </w:tcPr>
          <w:p>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数  量</w:t>
            </w:r>
          </w:p>
        </w:tc>
        <w:tc>
          <w:tcPr>
            <w:tcW w:w="4790" w:type="dxa"/>
            <w:noWrap w:val="0"/>
            <w:vAlign w:val="center"/>
          </w:tcPr>
          <w:p>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资 格 要 求</w:t>
            </w:r>
          </w:p>
        </w:tc>
        <w:tc>
          <w:tcPr>
            <w:tcW w:w="1907" w:type="dxa"/>
            <w:noWrap w:val="0"/>
            <w:vAlign w:val="center"/>
          </w:tcPr>
          <w:p>
            <w:pPr>
              <w:widowControl/>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在 岗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1528" w:type="dxa"/>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项目经理</w:t>
            </w:r>
          </w:p>
        </w:tc>
        <w:tc>
          <w:tcPr>
            <w:tcW w:w="953" w:type="dxa"/>
            <w:noWrap w:val="0"/>
            <w:vAlign w:val="center"/>
          </w:tcPr>
          <w:p>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790" w:type="dxa"/>
            <w:noWrap w:val="0"/>
            <w:vAlign w:val="center"/>
          </w:tcPr>
          <w:p>
            <w:pPr>
              <w:ind w:left="103" w:right="-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路桥相关专业工程师或以上职称，持有有效的公路工程专业二级（或以上）建造师注册证书（不含临时资格证书，广东省外的投标人拟派项目经理需持有公路工程专业一级注册建造师注册证书）具有交通运输主管部门颁发的有效安全生产“三类人员”B 类证书。</w:t>
            </w:r>
          </w:p>
        </w:tc>
        <w:tc>
          <w:tcPr>
            <w:tcW w:w="1907" w:type="dxa"/>
            <w:vMerge w:val="restart"/>
            <w:noWrap w:val="0"/>
            <w:vAlign w:val="center"/>
          </w:tcPr>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无在岗项目（指目前未在其他项目上任职，或虽在其他项目上任职但本项 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1528" w:type="dxa"/>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项目总工</w:t>
            </w:r>
          </w:p>
        </w:tc>
        <w:tc>
          <w:tcPr>
            <w:tcW w:w="953" w:type="dxa"/>
            <w:noWrap w:val="0"/>
            <w:vAlign w:val="center"/>
          </w:tcPr>
          <w:p>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790" w:type="dxa"/>
            <w:noWrap w:val="0"/>
            <w:vAlign w:val="center"/>
          </w:tcPr>
          <w:p>
            <w:pPr>
              <w:ind w:left="103" w:right="-2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路桥相关专业工程师或以上职称，具有交通运输主管部门颁发的有效安全生产“三类人员”B 类证书。</w:t>
            </w:r>
          </w:p>
        </w:tc>
        <w:tc>
          <w:tcPr>
            <w:tcW w:w="1907" w:type="dxa"/>
            <w:vMerge w:val="continue"/>
            <w:noWrap w:val="0"/>
            <w:vAlign w:val="center"/>
          </w:tcPr>
          <w:p>
            <w:pPr>
              <w:adjustRightInd w:val="0"/>
              <w:snapToGrid w:val="0"/>
              <w:jc w:val="center"/>
              <w:rPr>
                <w:rFonts w:hint="eastAsia" w:ascii="宋体" w:hAnsi="宋体" w:cs="宋体"/>
                <w:color w:val="000000" w:themeColor="text1"/>
                <w:szCs w:val="21"/>
                <w14:textFill>
                  <w14:solidFill>
                    <w14:schemeClr w14:val="tx1"/>
                  </w14:solidFill>
                </w14:textFill>
              </w:rPr>
            </w:pPr>
          </w:p>
        </w:tc>
      </w:tr>
    </w:tbl>
    <w:p>
      <w:pPr>
        <w:adjustRightInd w:val="0"/>
        <w:snapToGrid w:val="0"/>
        <w:spacing w:line="312"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注：1、资格要求的人员建造师注册证书、安全生产“三类人员”B 类证书均应在投标人所在单位， 否则视为无效。</w:t>
      </w:r>
    </w:p>
    <w:p>
      <w:pPr>
        <w:adjustRightInd w:val="0"/>
        <w:snapToGrid w:val="0"/>
        <w:spacing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人员信息来源于“全国公路建设市场信用信息管理系统”中查询到的企业“人员信息”相关网页截图复印件或网页打印件，即包括人员的“基本信息”、“职称信息”、“执业资格”、“个人业绩”等栏目在内的人员详细信息网页截图复印件或网页打印件。如无人员的基本信息、职称信息、执业资格、个人业绩信息等关键信息的，审查时将不予认定。</w:t>
      </w:r>
    </w:p>
    <w:p>
      <w:pPr>
        <w:spacing w:before="120" w:after="12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（1）项目经理注册建造师证书应可在住房与城乡建设部相关网站查询，投标人应附上述网站查询页面（含初始注册信息、变更注册信息及增项注册信息）网页截图复印件或网页打印件。</w:t>
      </w:r>
    </w:p>
    <w:p>
      <w:pPr>
        <w:spacing w:before="120" w:after="12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安全生产“三类人员”B类证书应可在交通运输部交通运输部公路水运工程施工企业主要负责人和安全生产管理人员信息管理系统上查询，投标人应附上述网站查询页面（注册证书详细信息）网页截图复印件或网页打印件。</w:t>
      </w:r>
    </w:p>
    <w:p>
      <w:pPr>
        <w:spacing w:before="120" w:after="12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（3）资格要求的人员建造师注册证书、安全生产“三类人员”B类证书均应在投标人所在单位，否则视为无效。</w:t>
      </w:r>
    </w:p>
    <w:p>
      <w:pPr>
        <w:spacing w:before="120" w:after="12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拟委任的项目经理和项目总工还需附投标人所属社保机构出具的社保缴费证明或其他能够证明拟委任的项目经理和项目总工参加社保的有效证明材料复印件（社保时段为申请文件递交截止日前半年时间内连续不少于三个月）。</w:t>
      </w:r>
    </w:p>
    <w:p>
      <w:pPr>
        <w:spacing w:before="120" w:after="120" w:line="312"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adjustRightInd w:val="0"/>
        <w:snapToGrid w:val="0"/>
        <w:spacing w:line="360" w:lineRule="auto"/>
        <w:jc w:val="center"/>
        <w:outlineLvl w:val="1"/>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附录6  资格审查条件(其他管理和技术人员最低要求)</w:t>
      </w:r>
    </w:p>
    <w:tbl>
      <w:tblPr>
        <w:tblStyle w:val="6"/>
        <w:tblW w:w="96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06"/>
        <w:gridCol w:w="821"/>
        <w:gridCol w:w="706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98" w:hRule="atLeast"/>
          <w:tblHeader/>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人  员</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数 量</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3"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napToGrid w:val="0"/>
              <w:spacing w:line="360" w:lineRule="auto"/>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试验工程师</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adjustRightInd w:val="0"/>
              <w:spacing w:line="360" w:lineRule="auto"/>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路桥相关专业工程师或以上职称，且同时持有交通运输部工程质量监督局（原交通运输部基本建设质量监督总站）颁发的试验检测工程师资格证书或交通运输部职业资格中心颁发的公路水运试验检测师资格证书。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3"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工程部门负责人</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路桥相关专业工程师或以上职称。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439"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安全负责人</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具有交通运输部门颁发的有效安全生产“三类人员”C类证书。</w:t>
            </w:r>
          </w:p>
        </w:tc>
      </w:tr>
    </w:tbl>
    <w:p>
      <w:pPr>
        <w:widowControl/>
        <w:adjustRightInd w:val="0"/>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lang w:bidi="ar"/>
          <w14:textFill>
            <w14:solidFill>
              <w14:schemeClr w14:val="tx1"/>
            </w14:solidFill>
          </w14:textFill>
        </w:rPr>
        <w:t>注：</w:t>
      </w:r>
      <w:r>
        <w:rPr>
          <w:rFonts w:hint="eastAsia" w:ascii="宋体" w:hAnsi="宋体" w:cs="宋体"/>
          <w:color w:val="000000" w:themeColor="text1"/>
          <w:szCs w:val="21"/>
          <w14:textFill>
            <w14:solidFill>
              <w14:schemeClr w14:val="tx1"/>
            </w14:solidFill>
          </w14:textFill>
        </w:rPr>
        <w:t>1、投标人中标后专职安全生产管理人员的配备应按照交通部《公路水运工程安全生产监督管理办法(交通运输部令2017 年第25 号)的要求执行。</w:t>
      </w:r>
    </w:p>
    <w:p>
      <w:pPr>
        <w:widowControl/>
        <w:snapToGrid w:val="0"/>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拟委任的其他管理和技术人员中相关人员应附身份证以及资格审查条件所要求的其他相关证书的复印件，以及投标人所属社保机构出具的社保缴费证明或其他能够证明其参加社保的有效证明材料复印件（社保时段为申请文件递交截止日前半年时间内连续不少于三个月）。</w:t>
      </w:r>
    </w:p>
    <w:p>
      <w:pPr>
        <w:widowControl/>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3、试验工程师、工程部门负责人、</w:t>
      </w:r>
      <w:r>
        <w:rPr>
          <w:rFonts w:hint="eastAsia" w:ascii="宋体" w:hAnsi="宋体" w:cs="宋体"/>
          <w:color w:val="000000" w:themeColor="text1"/>
          <w:szCs w:val="21"/>
          <w:lang w:bidi="ar"/>
          <w14:textFill>
            <w14:solidFill>
              <w14:schemeClr w14:val="tx1"/>
            </w14:solidFill>
          </w14:textFill>
        </w:rPr>
        <w:t>安全负责人</w:t>
      </w:r>
      <w:r>
        <w:rPr>
          <w:rFonts w:hint="eastAsia" w:ascii="宋体" w:hAnsi="宋体" w:cs="宋体"/>
          <w:color w:val="000000" w:themeColor="text1"/>
          <w:szCs w:val="21"/>
          <w14:textFill>
            <w14:solidFill>
              <w14:schemeClr w14:val="tx1"/>
            </w14:solidFill>
          </w14:textFill>
        </w:rPr>
        <w:t>，应同时附在“全国公路建设市场信用信息管理系统”的人员信息中的网页截图复印件：①拟投入人员在汇总表的网页屏幕打印或截图资料；②人员信息明细表中各栏目的网页屏幕打印或截图资料。</w:t>
      </w:r>
    </w:p>
    <w:p>
      <w:pPr>
        <w:widowControl/>
        <w:snapToGrid w:val="0"/>
        <w:spacing w:line="360" w:lineRule="auto"/>
        <w:ind w:firstLine="420" w:firstLineChars="200"/>
        <w:rPr>
          <w:rStyle w:val="8"/>
          <w:rFonts w:hint="default" w:ascii="宋体" w:hAnsi="宋体"/>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bookmarkStart w:id="0" w:name="_GoBack"/>
      <w:bookmarkEnd w:id="0"/>
    </w:p>
    <w:p>
      <w:pPr>
        <w:spacing w:line="360" w:lineRule="auto"/>
        <w:jc w:val="center"/>
        <w:rPr>
          <w:rStyle w:val="8"/>
          <w:rFonts w:hint="default" w:ascii="宋体" w:hAnsi="宋体"/>
          <w:color w:val="000000" w:themeColor="text1"/>
          <w:sz w:val="32"/>
          <w:szCs w:val="32"/>
          <w14:textFill>
            <w14:solidFill>
              <w14:schemeClr w14:val="tx1"/>
            </w14:solidFill>
          </w14:textFill>
        </w:rPr>
      </w:pPr>
    </w:p>
    <w:p>
      <w:pPr>
        <w:spacing w:line="360" w:lineRule="auto"/>
        <w:jc w:val="center"/>
        <w:rPr>
          <w:rStyle w:val="8"/>
          <w:rFonts w:hint="default" w:ascii="宋体" w:hAnsi="宋体"/>
          <w:color w:val="000000" w:themeColor="text1"/>
          <w:sz w:val="32"/>
          <w:szCs w:val="32"/>
          <w14:textFill>
            <w14:solidFill>
              <w14:schemeClr w14:val="tx1"/>
            </w14:solidFill>
          </w14:textFill>
        </w:rPr>
      </w:pPr>
    </w:p>
    <w:p>
      <w:pPr>
        <w:spacing w:line="360" w:lineRule="auto"/>
        <w:jc w:val="center"/>
        <w:rPr>
          <w:rStyle w:val="8"/>
          <w:rFonts w:hint="default" w:ascii="宋体" w:hAnsi="宋体"/>
          <w:color w:val="000000" w:themeColor="text1"/>
          <w:sz w:val="32"/>
          <w:szCs w:val="32"/>
          <w14:textFill>
            <w14:solidFill>
              <w14:schemeClr w14:val="tx1"/>
            </w14:solidFill>
          </w14:textFill>
        </w:rPr>
      </w:pPr>
    </w:p>
    <w:p>
      <w:pPr>
        <w:spacing w:line="360" w:lineRule="auto"/>
        <w:jc w:val="center"/>
        <w:rPr>
          <w:rStyle w:val="8"/>
          <w:rFonts w:hint="default" w:ascii="宋体" w:hAnsi="宋体"/>
          <w:color w:val="000000" w:themeColor="text1"/>
          <w:sz w:val="32"/>
          <w:szCs w:val="32"/>
          <w14:textFill>
            <w14:solidFill>
              <w14:schemeClr w14:val="tx1"/>
            </w14:solidFill>
          </w14:textFill>
        </w:rPr>
      </w:pPr>
    </w:p>
    <w:p>
      <w:pPr>
        <w:pStyle w:val="2"/>
        <w:ind w:firstLine="643"/>
        <w:rPr>
          <w:rStyle w:val="8"/>
          <w:rFonts w:hint="default" w:ascii="宋体" w:hAnsi="宋体"/>
          <w:color w:val="000000" w:themeColor="text1"/>
          <w:sz w:val="32"/>
          <w:szCs w:val="32"/>
          <w14:textFill>
            <w14:solidFill>
              <w14:schemeClr w14:val="tx1"/>
            </w14:solidFill>
          </w14:textFill>
        </w:rPr>
      </w:pPr>
    </w:p>
    <w:p>
      <w:pPr>
        <w:pStyle w:val="2"/>
        <w:ind w:firstLine="643"/>
        <w:rPr>
          <w:rStyle w:val="8"/>
          <w:rFonts w:hint="default" w:ascii="宋体" w:hAnsi="宋体"/>
          <w:color w:val="000000" w:themeColor="text1"/>
          <w:sz w:val="32"/>
          <w:szCs w:val="32"/>
          <w14:textFill>
            <w14:solidFill>
              <w14:schemeClr w14:val="tx1"/>
            </w14:solidFill>
          </w14:textFill>
        </w:rPr>
      </w:pPr>
    </w:p>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I2YTcwYzQyYjg0MjJkMDQ0MjM5OWFiZDM4NGIifQ=="/>
  </w:docVars>
  <w:rsids>
    <w:rsidRoot w:val="32A920F0"/>
    <w:rsid w:val="32A9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iPriority w:val="0"/>
    <w:pPr>
      <w:spacing w:after="120"/>
      <w:ind w:left="420" w:leftChars="200"/>
    </w:pPr>
    <w:rPr>
      <w:rFonts w:ascii="Times New Roman" w:hAnsi="Times New Roman" w:eastAsia="宋体" w:cs="Times New Roman"/>
    </w:rPr>
  </w:style>
  <w:style w:type="paragraph" w:styleId="5">
    <w:name w:val="toc 2"/>
    <w:basedOn w:val="1"/>
    <w:next w:val="1"/>
    <w:qFormat/>
    <w:uiPriority w:val="0"/>
    <w:pPr>
      <w:spacing w:line="440" w:lineRule="exact"/>
    </w:pPr>
  </w:style>
  <w:style w:type="character" w:customStyle="1" w:styleId="8">
    <w:name w:val="17"/>
    <w:qFormat/>
    <w:uiPriority w:val="0"/>
    <w:rPr>
      <w:rFonts w:hint="eastAsia" w:ascii="MingLiU" w:hAnsi="MingLiU" w:eastAsia="宋体"/>
      <w:b/>
      <w:sz w:val="42"/>
      <w:szCs w:val="4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2306</Words>
  <Characters>2345</Characters>
  <Lines>0</Lines>
  <Paragraphs>0</Paragraphs>
  <TotalTime>1</TotalTime>
  <ScaleCrop>false</ScaleCrop>
  <LinksUpToDate>false</LinksUpToDate>
  <CharactersWithSpaces>2387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2023-06-15T07:59:00Z</dcterms:created>
  <dc:creator>Administrator</dc:creator>
  <cp:lastModifiedBy>Administrator</cp:lastModifiedBy>
  <dcterms:modified xsi:type="dcterms:W3CDTF">2023-06-15T08:01:16Z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21BA5A0E9DF84CFFB25295F06CDACDB5_11</vt:lpwstr>
  </property>
</Properties>
</file>