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480" w:lineRule="auto"/>
        <w:jc w:val="center"/>
        <w:rPr>
          <w:b/>
          <w:color w:val="auto"/>
          <w:kern w:val="2"/>
          <w:sz w:val="32"/>
          <w:highlight w:val="none"/>
          <w:u w:val="none"/>
          <w:lang w:val="en-US"/>
        </w:rPr>
      </w:pPr>
      <w:bookmarkStart w:id="0" w:name="_GoBack"/>
      <w:r>
        <w:rPr>
          <w:rFonts w:hint="eastAsia"/>
          <w:b/>
          <w:color w:val="auto"/>
          <w:kern w:val="2"/>
          <w:sz w:val="32"/>
          <w:highlight w:val="none"/>
          <w:u w:val="none"/>
          <w:lang w:val="en-US"/>
        </w:rPr>
        <w:t>中山大学附属第三医院天河院区综合楼19楼放疗科病区装修改造项目</w:t>
      </w:r>
    </w:p>
    <w:p>
      <w:pPr>
        <w:pStyle w:val="10"/>
        <w:spacing w:line="480" w:lineRule="auto"/>
        <w:jc w:val="center"/>
        <w:rPr>
          <w:b/>
          <w:color w:val="auto"/>
          <w:kern w:val="2"/>
          <w:sz w:val="32"/>
          <w:highlight w:val="none"/>
          <w:u w:val="none"/>
          <w:lang w:val="en-US"/>
        </w:rPr>
      </w:pPr>
      <w:r>
        <w:rPr>
          <w:rFonts w:hint="eastAsia"/>
          <w:b/>
          <w:color w:val="auto"/>
          <w:kern w:val="2"/>
          <w:sz w:val="32"/>
          <w:highlight w:val="none"/>
          <w:u w:val="none"/>
          <w:lang w:val="en-US"/>
        </w:rPr>
        <w:t>招标公告</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s="宋体"/>
          <w:color w:val="auto"/>
          <w:sz w:val="24"/>
          <w:highlight w:val="none"/>
          <w:u w:val="single"/>
        </w:rPr>
        <w:t>《广东省企业投资项目备案证》（项目代码：2303-440106-04-01-241028）</w:t>
      </w:r>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rPr>
        <w:t>中山大学附属第三医院</w:t>
      </w:r>
      <w:r>
        <w:rPr>
          <w:rFonts w:hint="eastAsia" w:ascii="宋体" w:hAnsi="宋体"/>
          <w:color w:val="auto"/>
          <w:sz w:val="24"/>
          <w:highlight w:val="none"/>
        </w:rPr>
        <w:t>现对</w:t>
      </w:r>
      <w:r>
        <w:rPr>
          <w:rFonts w:hint="eastAsia"/>
          <w:color w:val="auto"/>
          <w:sz w:val="24"/>
          <w:highlight w:val="none"/>
          <w:u w:val="single"/>
        </w:rPr>
        <w:t>中山大学附属第三医院天河院区综合楼19楼放疗科病区装修改造项目</w:t>
      </w:r>
      <w:r>
        <w:rPr>
          <w:rFonts w:hint="eastAsia" w:ascii="宋体" w:hAnsi="宋体"/>
          <w:color w:val="auto"/>
          <w:sz w:val="24"/>
          <w:highlight w:val="none"/>
        </w:rPr>
        <w:t>进行公开招标，选定承包人。</w:t>
      </w:r>
    </w:p>
    <w:p>
      <w:pPr>
        <w:tabs>
          <w:tab w:val="center" w:pos="4415"/>
        </w:tabs>
        <w:spacing w:line="480" w:lineRule="auto"/>
        <w:ind w:firstLine="537" w:firstLineChars="224"/>
        <w:rPr>
          <w:rFonts w:ascii="宋体" w:hAnsi="宋体"/>
          <w:color w:val="auto"/>
          <w:sz w:val="24"/>
          <w:highlight w:val="none"/>
          <w:u w:val="single"/>
        </w:rPr>
      </w:pPr>
      <w:r>
        <w:rPr>
          <w:rFonts w:hint="eastAsia" w:ascii="宋体" w:hAnsi="宋体"/>
          <w:color w:val="auto"/>
          <w:sz w:val="24"/>
          <w:highlight w:val="none"/>
        </w:rPr>
        <w:t>一、工程名称：</w:t>
      </w:r>
      <w:r>
        <w:rPr>
          <w:rFonts w:hint="eastAsia" w:ascii="宋体" w:hAnsi="宋体"/>
          <w:color w:val="auto"/>
          <w:sz w:val="24"/>
          <w:highlight w:val="none"/>
          <w:u w:val="single"/>
        </w:rPr>
        <w:t>中山大学附属第三医院天河院区综合楼19楼放疗科病区装修改造项目</w:t>
      </w:r>
    </w:p>
    <w:p>
      <w:pPr>
        <w:tabs>
          <w:tab w:val="center" w:pos="4415"/>
        </w:tabs>
        <w:spacing w:line="480" w:lineRule="auto"/>
        <w:ind w:firstLine="1017" w:firstLineChars="424"/>
        <w:rPr>
          <w:rFonts w:ascii="宋体" w:hAnsi="宋体"/>
          <w:color w:val="auto"/>
          <w:sz w:val="24"/>
          <w:highlight w:val="none"/>
          <w:u w:val="single"/>
        </w:rPr>
      </w:pPr>
      <w:r>
        <w:rPr>
          <w:rFonts w:hint="eastAsia" w:ascii="宋体"/>
          <w:color w:val="auto"/>
          <w:sz w:val="24"/>
          <w:highlight w:val="none"/>
        </w:rPr>
        <w:t>项目代码：</w:t>
      </w:r>
      <w:r>
        <w:rPr>
          <w:rFonts w:hint="eastAsia" w:ascii="宋体" w:hAnsi="宋体" w:cs="宋体"/>
          <w:color w:val="auto"/>
          <w:sz w:val="24"/>
          <w:highlight w:val="none"/>
          <w:u w:val="single"/>
        </w:rPr>
        <w:t>2303-440106-04-01-241028</w:t>
      </w:r>
    </w:p>
    <w:p>
      <w:pPr>
        <w:spacing w:line="480" w:lineRule="auto"/>
        <w:ind w:firstLine="537" w:firstLineChars="224"/>
        <w:rPr>
          <w:rFonts w:ascii="宋体" w:hAnsi="宋体"/>
          <w:color w:val="auto"/>
          <w:sz w:val="24"/>
          <w:highlight w:val="none"/>
          <w:u w:val="single"/>
        </w:rPr>
      </w:pPr>
      <w:r>
        <w:rPr>
          <w:rFonts w:hint="eastAsia" w:ascii="宋体" w:hAnsi="宋体"/>
          <w:color w:val="auto"/>
          <w:sz w:val="24"/>
          <w:highlight w:val="none"/>
        </w:rPr>
        <w:t>二、招标单位：</w:t>
      </w:r>
      <w:r>
        <w:rPr>
          <w:rFonts w:hint="eastAsia" w:ascii="宋体" w:hAnsi="宋体"/>
          <w:color w:val="auto"/>
          <w:sz w:val="24"/>
          <w:highlight w:val="none"/>
          <w:u w:val="single"/>
        </w:rPr>
        <w:t>中山大学附属第三医院</w:t>
      </w:r>
    </w:p>
    <w:p>
      <w:pPr>
        <w:spacing w:line="480" w:lineRule="auto"/>
        <w:ind w:firstLine="537" w:firstLineChars="224"/>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联系人：</w:t>
      </w:r>
      <w:r>
        <w:rPr>
          <w:rFonts w:hint="eastAsia" w:ascii="宋体" w:hAnsi="宋体"/>
          <w:color w:val="auto"/>
          <w:sz w:val="24"/>
          <w:highlight w:val="none"/>
          <w:u w:val="single"/>
        </w:rPr>
        <w:t>詹工</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020-8525</w:t>
      </w:r>
      <w:r>
        <w:rPr>
          <w:rFonts w:ascii="宋体" w:hAnsi="宋体"/>
          <w:color w:val="auto"/>
          <w:sz w:val="24"/>
          <w:highlight w:val="none"/>
          <w:u w:val="single"/>
        </w:rPr>
        <w:t>2375</w:t>
      </w:r>
    </w:p>
    <w:p>
      <w:pPr>
        <w:spacing w:line="480" w:lineRule="auto"/>
        <w:ind w:left="420" w:leftChars="200" w:firstLine="537" w:firstLineChars="224"/>
        <w:jc w:val="left"/>
        <w:rPr>
          <w:rFonts w:ascii="宋体" w:hAnsi="宋体"/>
          <w:color w:val="auto"/>
          <w:sz w:val="24"/>
          <w:highlight w:val="none"/>
          <w:u w:val="single"/>
        </w:rPr>
      </w:pPr>
      <w:r>
        <w:rPr>
          <w:rFonts w:hint="eastAsia" w:ascii="宋体" w:hAnsi="宋体"/>
          <w:color w:val="auto"/>
          <w:sz w:val="24"/>
          <w:highlight w:val="none"/>
        </w:rPr>
        <w:t>联系地址：</w:t>
      </w:r>
      <w:r>
        <w:rPr>
          <w:rFonts w:hint="eastAsia" w:ascii="宋体" w:hAnsi="宋体"/>
          <w:color w:val="auto"/>
          <w:sz w:val="24"/>
          <w:highlight w:val="none"/>
          <w:u w:val="single"/>
        </w:rPr>
        <w:t>广州市天河区天河路600号</w:t>
      </w:r>
    </w:p>
    <w:p>
      <w:pPr>
        <w:spacing w:line="480" w:lineRule="auto"/>
        <w:ind w:left="420" w:leftChars="200" w:firstLine="537" w:firstLineChars="224"/>
        <w:jc w:val="left"/>
        <w:rPr>
          <w:rFonts w:ascii="宋体"/>
          <w:color w:val="auto"/>
          <w:sz w:val="24"/>
          <w:highlight w:val="none"/>
          <w:u w:val="single"/>
        </w:rPr>
      </w:pPr>
      <w:r>
        <w:rPr>
          <w:rFonts w:hint="eastAsia" w:ascii="宋体" w:hAnsi="宋体"/>
          <w:color w:val="auto"/>
          <w:sz w:val="24"/>
          <w:highlight w:val="none"/>
        </w:rPr>
        <w:t>招标代理机构：</w:t>
      </w:r>
      <w:r>
        <w:rPr>
          <w:rFonts w:hint="eastAsia" w:ascii="宋体" w:hAnsi="宋体"/>
          <w:color w:val="auto"/>
          <w:sz w:val="24"/>
          <w:highlight w:val="none"/>
          <w:u w:val="single"/>
        </w:rPr>
        <w:t>国义招标股份有限公司</w:t>
      </w:r>
    </w:p>
    <w:p>
      <w:pPr>
        <w:spacing w:line="480" w:lineRule="auto"/>
        <w:ind w:firstLine="537" w:firstLineChars="224"/>
        <w:rPr>
          <w:rFonts w:asci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联系人：</w:t>
      </w:r>
      <w:r>
        <w:rPr>
          <w:rFonts w:hint="eastAsia" w:ascii="宋体" w:hAnsi="宋体"/>
          <w:color w:val="auto"/>
          <w:sz w:val="24"/>
          <w:szCs w:val="24"/>
          <w:highlight w:val="none"/>
          <w:u w:val="single"/>
        </w:rPr>
        <w:t>林工、何工</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020-37861059、37860558</w:t>
      </w:r>
    </w:p>
    <w:p>
      <w:pPr>
        <w:spacing w:line="480" w:lineRule="auto"/>
        <w:ind w:firstLine="537" w:firstLineChars="224"/>
        <w:jc w:val="lef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联系地址：</w:t>
      </w:r>
      <w:r>
        <w:rPr>
          <w:rFonts w:hint="eastAsia" w:ascii="宋体" w:hAnsi="宋体"/>
          <w:color w:val="auto"/>
          <w:sz w:val="24"/>
          <w:highlight w:val="none"/>
          <w:u w:val="single"/>
        </w:rPr>
        <w:t>广州市越秀区东风东路726号19楼</w:t>
      </w:r>
    </w:p>
    <w:p>
      <w:pPr>
        <w:spacing w:line="480" w:lineRule="auto"/>
        <w:ind w:firstLine="1015" w:firstLineChars="423"/>
        <w:jc w:val="left"/>
        <w:rPr>
          <w:rFonts w:ascii="宋体"/>
          <w:color w:val="auto"/>
          <w:sz w:val="24"/>
          <w:highlight w:val="none"/>
        </w:rPr>
      </w:pPr>
      <w:r>
        <w:rPr>
          <w:rFonts w:hint="eastAsia" w:ascii="宋体" w:hAnsi="宋体"/>
          <w:color w:val="auto"/>
          <w:sz w:val="24"/>
          <w:highlight w:val="none"/>
        </w:rPr>
        <w:t>招标监督机构：</w:t>
      </w:r>
      <w:r>
        <w:rPr>
          <w:rFonts w:hint="eastAsia" w:ascii="宋体" w:hAnsi="宋体"/>
          <w:color w:val="auto"/>
          <w:sz w:val="24"/>
          <w:highlight w:val="none"/>
          <w:u w:val="single"/>
        </w:rPr>
        <w:t>广州市天河区建设工程招标管理办公室</w:t>
      </w:r>
    </w:p>
    <w:p>
      <w:pPr>
        <w:spacing w:line="480" w:lineRule="auto"/>
        <w:ind w:firstLine="537" w:firstLineChars="224"/>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监督电话：</w:t>
      </w:r>
      <w:r>
        <w:rPr>
          <w:rFonts w:hint="eastAsia" w:ascii="宋体" w:hAnsi="宋体"/>
          <w:color w:val="auto"/>
          <w:sz w:val="24"/>
          <w:highlight w:val="none"/>
          <w:u w:val="single"/>
        </w:rPr>
        <w:t>020-85536908</w:t>
      </w:r>
    </w:p>
    <w:p>
      <w:pPr>
        <w:spacing w:line="480" w:lineRule="auto"/>
        <w:ind w:firstLine="537" w:firstLineChars="224"/>
        <w:jc w:val="left"/>
        <w:rPr>
          <w:color w:val="auto"/>
          <w:highlight w:val="none"/>
        </w:rPr>
      </w:pPr>
      <w:r>
        <w:rPr>
          <w:rFonts w:ascii="宋体" w:hAnsi="宋体"/>
          <w:color w:val="auto"/>
          <w:sz w:val="24"/>
          <w:highlight w:val="none"/>
        </w:rPr>
        <w:t xml:space="preserve">    </w:t>
      </w:r>
      <w:r>
        <w:rPr>
          <w:rFonts w:hint="eastAsia" w:ascii="宋体" w:hAnsi="宋体"/>
          <w:color w:val="auto"/>
          <w:sz w:val="24"/>
          <w:highlight w:val="none"/>
        </w:rPr>
        <w:t>联系地址：</w:t>
      </w:r>
      <w:r>
        <w:rPr>
          <w:rFonts w:hint="eastAsia" w:ascii="宋体" w:hAnsi="宋体"/>
          <w:color w:val="auto"/>
          <w:sz w:val="24"/>
          <w:highlight w:val="none"/>
          <w:u w:val="single"/>
        </w:rPr>
        <w:t>广州市天河区黄埔大道中166号305室</w:t>
      </w:r>
    </w:p>
    <w:p>
      <w:pPr>
        <w:spacing w:line="480" w:lineRule="auto"/>
        <w:ind w:firstLine="537" w:firstLineChars="224"/>
        <w:rPr>
          <w:rFonts w:ascii="宋体"/>
          <w:color w:val="auto"/>
          <w:sz w:val="24"/>
          <w:highlight w:val="none"/>
          <w:u w:val="single"/>
        </w:rPr>
      </w:pPr>
      <w:r>
        <w:rPr>
          <w:rFonts w:hint="eastAsia" w:ascii="宋体" w:hAnsi="宋体"/>
          <w:color w:val="auto"/>
          <w:sz w:val="24"/>
          <w:highlight w:val="none"/>
        </w:rPr>
        <w:t>三、建设地点：</w:t>
      </w:r>
      <w:r>
        <w:rPr>
          <w:rFonts w:hint="eastAsia" w:ascii="宋体" w:hAnsi="宋体"/>
          <w:color w:val="auto"/>
          <w:sz w:val="24"/>
          <w:highlight w:val="none"/>
          <w:u w:val="single"/>
        </w:rPr>
        <w:t>广州市天河区石牌街道天河路600号综合楼19层</w:t>
      </w:r>
    </w:p>
    <w:p>
      <w:pPr>
        <w:spacing w:line="480" w:lineRule="auto"/>
        <w:ind w:firstLine="537" w:firstLineChars="224"/>
        <w:rPr>
          <w:rFonts w:ascii="宋体" w:hAnsi="宋体"/>
          <w:color w:val="auto"/>
          <w:sz w:val="24"/>
          <w:highlight w:val="none"/>
          <w:u w:val="single"/>
          <w:lang w:val="de-DE"/>
        </w:rPr>
      </w:pPr>
      <w:r>
        <w:rPr>
          <w:rFonts w:hint="eastAsia" w:ascii="宋体" w:hAnsi="宋体"/>
          <w:color w:val="auto"/>
          <w:sz w:val="24"/>
          <w:highlight w:val="none"/>
        </w:rPr>
        <w:t>四、项目概况：</w:t>
      </w:r>
      <w:r>
        <w:rPr>
          <w:rFonts w:hint="eastAsia" w:ascii="宋体" w:hAnsi="宋体"/>
          <w:color w:val="auto"/>
          <w:sz w:val="24"/>
          <w:highlight w:val="none"/>
          <w:u w:val="single"/>
        </w:rPr>
        <w:t>把综合楼1</w:t>
      </w:r>
      <w:r>
        <w:rPr>
          <w:rFonts w:ascii="宋体" w:hAnsi="宋体"/>
          <w:color w:val="auto"/>
          <w:sz w:val="24"/>
          <w:highlight w:val="none"/>
          <w:u w:val="single"/>
        </w:rPr>
        <w:t>9</w:t>
      </w:r>
      <w:r>
        <w:rPr>
          <w:rFonts w:hint="eastAsia" w:ascii="宋体" w:hAnsi="宋体"/>
          <w:color w:val="auto"/>
          <w:sz w:val="24"/>
          <w:highlight w:val="none"/>
          <w:u w:val="single"/>
        </w:rPr>
        <w:t>层原行政办公室改建为放疗科病区，建筑面积约</w:t>
      </w:r>
      <w:r>
        <w:rPr>
          <w:rFonts w:ascii="宋体" w:hAnsi="宋体"/>
          <w:color w:val="auto"/>
          <w:sz w:val="24"/>
          <w:highlight w:val="none"/>
          <w:u w:val="single"/>
        </w:rPr>
        <w:t>1420</w:t>
      </w:r>
      <w:r>
        <w:rPr>
          <w:rFonts w:hint="eastAsia" w:ascii="宋体" w:hAnsi="宋体"/>
          <w:color w:val="auto"/>
          <w:sz w:val="24"/>
          <w:highlight w:val="none"/>
          <w:u w:val="single"/>
        </w:rPr>
        <w:t>平方米。包括：装修工程、电气工程、给排水工程、暖通工程、医气工程、消防工程等，具体内容以本项目招标图纸、工程量清单及用户需求书等有关资料为准。</w:t>
      </w:r>
    </w:p>
    <w:p>
      <w:pPr>
        <w:spacing w:line="480" w:lineRule="auto"/>
        <w:ind w:firstLine="537" w:firstLineChars="224"/>
        <w:rPr>
          <w:rFonts w:ascii="宋体" w:hAnsi="宋体"/>
          <w:color w:val="auto"/>
          <w:sz w:val="24"/>
          <w:highlight w:val="none"/>
          <w:u w:val="single"/>
        </w:rPr>
      </w:pPr>
      <w:r>
        <w:rPr>
          <w:rFonts w:hint="eastAsia" w:ascii="宋体" w:hAnsi="宋体"/>
          <w:color w:val="auto"/>
          <w:sz w:val="24"/>
          <w:highlight w:val="none"/>
        </w:rPr>
        <w:t>五、标段划分及各标段招标内容、规模和最高投标限价：</w:t>
      </w:r>
    </w:p>
    <w:p>
      <w:pPr>
        <w:spacing w:line="360" w:lineRule="auto"/>
        <w:ind w:firstLine="537" w:firstLineChars="224"/>
        <w:rPr>
          <w:rFonts w:ascii="宋体" w:hAnsi="宋体"/>
          <w:color w:val="auto"/>
          <w:sz w:val="24"/>
          <w:szCs w:val="24"/>
          <w:highlight w:val="none"/>
        </w:rPr>
      </w:pPr>
      <w:r>
        <w:rPr>
          <w:rFonts w:hint="eastAsia" w:ascii="宋体" w:hAnsi="宋体"/>
          <w:color w:val="auto"/>
          <w:sz w:val="24"/>
          <w:szCs w:val="24"/>
          <w:highlight w:val="none"/>
        </w:rPr>
        <w:t>1、本工程划分为1个标段。</w:t>
      </w:r>
    </w:p>
    <w:p>
      <w:pPr>
        <w:spacing w:line="480" w:lineRule="auto"/>
        <w:ind w:firstLine="480" w:firstLineChars="200"/>
        <w:rPr>
          <w:rFonts w:ascii="宋体" w:hAnsi="宋体"/>
          <w:color w:val="auto"/>
          <w:sz w:val="24"/>
          <w:highlight w:val="none"/>
        </w:rPr>
      </w:pPr>
      <w:r>
        <w:rPr>
          <w:rFonts w:hint="eastAsia" w:ascii="宋体" w:hAnsi="宋体"/>
          <w:color w:val="auto"/>
          <w:sz w:val="24"/>
          <w:szCs w:val="24"/>
          <w:highlight w:val="none"/>
        </w:rPr>
        <w:t>2、招标内容、规模：</w:t>
      </w:r>
      <w:r>
        <w:rPr>
          <w:rFonts w:hint="eastAsia" w:ascii="宋体" w:hAnsi="宋体"/>
          <w:color w:val="auto"/>
          <w:sz w:val="24"/>
          <w:highlight w:val="none"/>
          <w:u w:val="single"/>
        </w:rPr>
        <w:t>把综合楼1</w:t>
      </w:r>
      <w:r>
        <w:rPr>
          <w:rFonts w:ascii="宋体" w:hAnsi="宋体"/>
          <w:color w:val="auto"/>
          <w:sz w:val="24"/>
          <w:highlight w:val="none"/>
          <w:u w:val="single"/>
        </w:rPr>
        <w:t>9</w:t>
      </w:r>
      <w:r>
        <w:rPr>
          <w:rFonts w:hint="eastAsia" w:ascii="宋体" w:hAnsi="宋体"/>
          <w:color w:val="auto"/>
          <w:sz w:val="24"/>
          <w:highlight w:val="none"/>
          <w:u w:val="single"/>
        </w:rPr>
        <w:t>层原行政办公室改建为放疗科病区，建筑面积约</w:t>
      </w:r>
      <w:r>
        <w:rPr>
          <w:rFonts w:ascii="宋体" w:hAnsi="宋体"/>
          <w:color w:val="auto"/>
          <w:sz w:val="24"/>
          <w:highlight w:val="none"/>
          <w:u w:val="single"/>
        </w:rPr>
        <w:t>1420</w:t>
      </w:r>
      <w:r>
        <w:rPr>
          <w:rFonts w:hint="eastAsia" w:ascii="宋体" w:hAnsi="宋体"/>
          <w:color w:val="auto"/>
          <w:sz w:val="24"/>
          <w:highlight w:val="none"/>
          <w:u w:val="single"/>
        </w:rPr>
        <w:t>平方米。包括：装修工程、电气工程、给排水工程、暖通工程、医气工程、消防工程等，具体内容以本项目招标图纸、工程量清单及用户需求书等有关资料为准。</w:t>
      </w:r>
    </w:p>
    <w:p>
      <w:pPr>
        <w:spacing w:line="480" w:lineRule="auto"/>
        <w:ind w:firstLine="537" w:firstLineChars="224"/>
        <w:rPr>
          <w:rFonts w:ascii="宋体" w:hAnsi="宋体"/>
          <w:color w:val="auto"/>
          <w:sz w:val="24"/>
          <w:szCs w:val="24"/>
          <w:highlight w:val="none"/>
          <w:u w:val="single"/>
        </w:rPr>
      </w:pPr>
      <w:r>
        <w:rPr>
          <w:rFonts w:hint="eastAsia" w:ascii="宋体" w:hAnsi="宋体"/>
          <w:color w:val="auto"/>
          <w:sz w:val="24"/>
          <w:szCs w:val="24"/>
          <w:highlight w:val="none"/>
        </w:rPr>
        <w:t>3、最高投标限价：</w:t>
      </w:r>
      <w:r>
        <w:rPr>
          <w:rFonts w:hint="eastAsia" w:ascii="宋体" w:hAnsi="宋体"/>
          <w:color w:val="auto"/>
          <w:sz w:val="24"/>
          <w:szCs w:val="24"/>
          <w:highlight w:val="none"/>
          <w:u w:val="single"/>
        </w:rPr>
        <w:t>￥4,234,042.45元</w:t>
      </w:r>
      <w:r>
        <w:rPr>
          <w:rFonts w:hint="eastAsia" w:ascii="宋体" w:hAnsi="宋体"/>
          <w:color w:val="auto"/>
          <w:sz w:val="24"/>
          <w:szCs w:val="24"/>
          <w:highlight w:val="none"/>
        </w:rPr>
        <w:t>。</w:t>
      </w:r>
    </w:p>
    <w:p>
      <w:pPr>
        <w:spacing w:line="480" w:lineRule="auto"/>
        <w:ind w:firstLine="537" w:firstLineChars="224"/>
        <w:rPr>
          <w:rFonts w:ascii="宋体" w:hAnsi="宋体"/>
          <w:color w:val="auto"/>
          <w:sz w:val="24"/>
          <w:highlight w:val="none"/>
          <w:u w:val="single"/>
        </w:rPr>
      </w:pPr>
      <w:r>
        <w:rPr>
          <w:rFonts w:hint="eastAsia" w:ascii="宋体" w:hAnsi="宋体"/>
          <w:color w:val="auto"/>
          <w:sz w:val="24"/>
          <w:highlight w:val="none"/>
        </w:rPr>
        <w:t>六、</w:t>
      </w:r>
      <w:r>
        <w:rPr>
          <w:rFonts w:hint="eastAsia" w:ascii="宋体" w:hAnsi="宋体"/>
          <w:color w:val="auto"/>
          <w:sz w:val="24"/>
          <w:szCs w:val="24"/>
          <w:highlight w:val="none"/>
        </w:rPr>
        <w:t>资金来源：</w:t>
      </w:r>
      <w:r>
        <w:rPr>
          <w:rFonts w:hint="eastAsia" w:ascii="宋体" w:hAnsi="宋体" w:cs="TimesNewRomanPS-BoldMT"/>
          <w:bCs/>
          <w:color w:val="auto"/>
          <w:sz w:val="24"/>
          <w:highlight w:val="none"/>
          <w:u w:val="single"/>
        </w:rPr>
        <w:t>医院</w:t>
      </w:r>
      <w:r>
        <w:rPr>
          <w:rFonts w:hint="eastAsia" w:ascii="宋体" w:hAnsi="宋体"/>
          <w:color w:val="auto"/>
          <w:sz w:val="24"/>
          <w:highlight w:val="none"/>
          <w:u w:val="single"/>
        </w:rPr>
        <w:t>自筹资金。</w:t>
      </w:r>
    </w:p>
    <w:p>
      <w:pPr>
        <w:spacing w:line="480" w:lineRule="auto"/>
        <w:ind w:left="120" w:leftChars="57" w:firstLine="417" w:firstLineChars="174"/>
        <w:rPr>
          <w:rFonts w:ascii="宋体"/>
          <w:color w:val="auto"/>
          <w:sz w:val="24"/>
          <w:highlight w:val="none"/>
        </w:rPr>
      </w:pPr>
      <w:r>
        <w:rPr>
          <w:rFonts w:hint="eastAsia" w:ascii="宋体" w:hAnsi="宋体"/>
          <w:color w:val="auto"/>
          <w:sz w:val="24"/>
          <w:highlight w:val="none"/>
        </w:rPr>
        <w:t>注：政府投资项目一律不得以建筑业企业带资承包的方式进行建设。</w:t>
      </w:r>
    </w:p>
    <w:p>
      <w:pPr>
        <w:snapToGrid w:val="0"/>
        <w:spacing w:line="480" w:lineRule="auto"/>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pPr>
        <w:snapToGrid w:val="0"/>
        <w:spacing w:line="480" w:lineRule="auto"/>
        <w:ind w:left="435"/>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hint="eastAsia" w:ascii="宋体" w:hAnsi="宋体"/>
          <w:color w:val="auto"/>
          <w:sz w:val="24"/>
          <w:highlight w:val="none"/>
          <w:u w:val="single"/>
        </w:rPr>
        <w:t>2023</w:t>
      </w:r>
      <w:r>
        <w:rPr>
          <w:rFonts w:hint="eastAsia" w:ascii="宋体" w:hAnsi="宋体"/>
          <w:color w:val="auto"/>
          <w:sz w:val="24"/>
          <w:highlight w:val="none"/>
        </w:rPr>
        <w:t>年  月  日至</w:t>
      </w:r>
      <w:r>
        <w:rPr>
          <w:rFonts w:hint="eastAsia" w:ascii="宋体" w:hAnsi="宋体"/>
          <w:color w:val="auto"/>
          <w:sz w:val="24"/>
          <w:highlight w:val="none"/>
          <w:u w:val="single"/>
        </w:rPr>
        <w:t>2023</w:t>
      </w:r>
      <w:r>
        <w:rPr>
          <w:rFonts w:hint="eastAsia" w:ascii="宋体" w:hAnsi="宋体"/>
          <w:color w:val="auto"/>
          <w:sz w:val="24"/>
          <w:highlight w:val="none"/>
        </w:rPr>
        <w:t>年  月  日</w:t>
      </w:r>
    </w:p>
    <w:p>
      <w:pPr>
        <w:snapToGrid w:val="0"/>
        <w:spacing w:line="480" w:lineRule="auto"/>
        <w:ind w:left="435"/>
        <w:rPr>
          <w:rFonts w:ascii="宋体" w:cs="宋体"/>
          <w:color w:val="auto"/>
          <w:kern w:val="0"/>
          <w:sz w:val="24"/>
          <w:szCs w:val="24"/>
          <w:highlight w:val="none"/>
        </w:rPr>
      </w:pPr>
      <w:r>
        <w:rPr>
          <w:rFonts w:hint="eastAsia" w:ascii="宋体" w:hAnsi="宋体"/>
          <w:color w:val="auto"/>
          <w:sz w:val="24"/>
          <w:highlight w:val="none"/>
        </w:rPr>
        <w:t>凡有意参加投标者，请登录</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pPr>
        <w:widowControl/>
        <w:shd w:val="clear" w:color="auto" w:fill="FFFFFF"/>
        <w:snapToGrid w:val="0"/>
        <w:spacing w:line="48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注：发布招标公告的时间为招标公告发出之日起至投标截止时间止。</w:t>
      </w:r>
    </w:p>
    <w:p>
      <w:pPr>
        <w:widowControl/>
        <w:shd w:val="clear" w:color="auto" w:fill="FFFFFF"/>
        <w:snapToGrid w:val="0"/>
        <w:spacing w:line="480" w:lineRule="auto"/>
        <w:ind w:left="809" w:leftChars="214" w:hanging="360" w:hangingChars="150"/>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olor w:val="auto"/>
          <w:sz w:val="24"/>
          <w:szCs w:val="24"/>
          <w:highlight w:val="none"/>
          <w:u w:val="single"/>
        </w:rPr>
        <w:t>2023</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480" w:lineRule="auto"/>
        <w:ind w:left="764" w:leftChars="364" w:firstLine="1440" w:firstLineChars="600"/>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highlight w:val="none"/>
          <w:u w:val="single"/>
        </w:rPr>
        <w:t>2023</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480" w:lineRule="auto"/>
        <w:ind w:firstLine="48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olor w:val="auto"/>
          <w:sz w:val="24"/>
          <w:highlight w:val="none"/>
          <w:u w:val="single"/>
        </w:rPr>
        <w:t>2023</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48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80" w:lineRule="auto"/>
        <w:ind w:firstLine="480" w:firstLineChars="200"/>
        <w:rPr>
          <w:rFonts w:ascii="宋体" w:hAnsi="宋体" w:cs="仿宋_GB2312"/>
          <w:color w:val="auto"/>
          <w:sz w:val="24"/>
          <w:szCs w:val="24"/>
          <w:highlight w:val="non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 xml:space="preserve">网站办理网上投标登记手续。按照交易平台关于全流程电子化项目的相关指南进行操作。详见：广州公共资源交易中心网站http:// www.gzggzy.cn）《房屋建筑和市政基础设施工程全流程电子化项目专章》。 </w:t>
      </w:r>
    </w:p>
    <w:p>
      <w:pPr>
        <w:snapToGrid w:val="0"/>
        <w:spacing w:line="480" w:lineRule="auto"/>
        <w:ind w:firstLine="480" w:firstLineChars="200"/>
        <w:rPr>
          <w:rFonts w:ascii="宋体" w:hAnsi="宋体"/>
          <w:color w:val="auto"/>
          <w:sz w:val="24"/>
          <w:szCs w:val="24"/>
          <w:highlight w:val="none"/>
          <w:u w:val="single"/>
        </w:rPr>
      </w:pPr>
      <w:r>
        <w:rPr>
          <w:rFonts w:hint="eastAsia" w:ascii="宋体" w:hAnsi="宋体" w:cs="仿宋_GB2312"/>
          <w:color w:val="auto"/>
          <w:sz w:val="24"/>
          <w:szCs w:val="24"/>
          <w:highlight w:val="none"/>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widowControl/>
        <w:shd w:val="clear" w:color="auto" w:fill="FFFFFF"/>
        <w:snapToGrid w:val="0"/>
        <w:spacing w:line="480" w:lineRule="auto"/>
        <w:jc w:val="left"/>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pPr>
        <w:widowControl/>
        <w:shd w:val="clear" w:color="auto" w:fill="FFFFFF"/>
        <w:snapToGrid w:val="0"/>
        <w:spacing w:line="48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480" w:lineRule="auto"/>
        <w:ind w:firstLine="537" w:firstLineChars="224"/>
        <w:rPr>
          <w:rFonts w:ascii="宋体"/>
          <w:color w:val="auto"/>
          <w:sz w:val="24"/>
          <w:highlight w:val="none"/>
        </w:rPr>
      </w:pPr>
      <w:r>
        <w:rPr>
          <w:rFonts w:hint="eastAsia" w:ascii="宋体" w:hAnsi="宋体"/>
          <w:color w:val="auto"/>
          <w:sz w:val="24"/>
          <w:highlight w:val="none"/>
        </w:rPr>
        <w:t>九、投标人合格条件：</w:t>
      </w:r>
    </w:p>
    <w:p>
      <w:pPr>
        <w:spacing w:line="480" w:lineRule="auto"/>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pPr>
        <w:spacing w:line="480" w:lineRule="auto"/>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pPr>
        <w:spacing w:line="480" w:lineRule="auto"/>
        <w:ind w:firstLine="537" w:firstLineChars="224"/>
        <w:rPr>
          <w:rFonts w:ascii="宋体"/>
          <w:color w:val="auto"/>
          <w:sz w:val="24"/>
          <w:highlight w:val="none"/>
          <w:shd w:val="clear" w:color="FFFFFF" w:fill="D9D9D9"/>
        </w:rPr>
      </w:pPr>
      <w:r>
        <w:rPr>
          <w:rFonts w:ascii="宋体" w:hAnsi="宋体"/>
          <w:color w:val="auto"/>
          <w:sz w:val="24"/>
          <w:highlight w:val="none"/>
        </w:rPr>
        <w:t>3</w:t>
      </w:r>
      <w:r>
        <w:rPr>
          <w:rFonts w:hint="eastAsia" w:ascii="宋体" w:hAnsi="宋体"/>
          <w:color w:val="auto"/>
          <w:sz w:val="24"/>
          <w:highlight w:val="none"/>
        </w:rPr>
        <w:t>、投标人均持有建设行政主管部门颁发的企业资质证书及安全生产许可证；</w:t>
      </w:r>
    </w:p>
    <w:p>
      <w:pPr>
        <w:pStyle w:val="25"/>
        <w:spacing w:line="480" w:lineRule="auto"/>
        <w:ind w:firstLine="539"/>
        <w:rPr>
          <w:rFonts w:ascii="宋体" w:hAnsi="宋体" w:eastAsia="宋体"/>
          <w:color w:val="auto"/>
          <w:sz w:val="24"/>
          <w:szCs w:val="24"/>
          <w:highlight w:val="none"/>
          <w:u w:val="singl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、投标人应具备承接本工程所需的：</w:t>
      </w:r>
      <w:r>
        <w:rPr>
          <w:rFonts w:hint="eastAsia" w:ascii="宋体" w:hAnsi="宋体" w:eastAsia="宋体"/>
          <w:color w:val="auto"/>
          <w:sz w:val="24"/>
          <w:szCs w:val="24"/>
          <w:highlight w:val="none"/>
          <w:u w:val="single"/>
        </w:rPr>
        <w:t>建筑工程施工总承包三级或以上资质。</w:t>
      </w:r>
    </w:p>
    <w:p>
      <w:pPr>
        <w:pStyle w:val="25"/>
        <w:spacing w:line="480" w:lineRule="auto"/>
        <w:ind w:firstLine="539"/>
        <w:rPr>
          <w:rFonts w:ascii="宋体" w:hAnsi="宋体" w:eastAsia="宋体"/>
          <w:color w:val="auto"/>
          <w:sz w:val="24"/>
          <w:szCs w:val="24"/>
          <w:highlight w:val="none"/>
        </w:rPr>
      </w:pPr>
      <w:r>
        <w:rPr>
          <w:rFonts w:hint="eastAsia" w:ascii="宋体" w:hAnsi="宋体" w:eastAsia="宋体"/>
          <w:color w:val="auto"/>
          <w:sz w:val="24"/>
          <w:szCs w:val="24"/>
          <w:highlight w:val="none"/>
        </w:rPr>
        <w:t>投标人拟担任本工程项目负责人的人员为：</w:t>
      </w:r>
      <w:r>
        <w:rPr>
          <w:rFonts w:hint="eastAsia" w:ascii="宋体" w:hAnsi="宋体" w:eastAsia="宋体"/>
          <w:color w:val="auto"/>
          <w:sz w:val="24"/>
          <w:szCs w:val="24"/>
          <w:highlight w:val="none"/>
          <w:u w:val="single"/>
        </w:rPr>
        <w:t>建筑工程专业</w:t>
      </w:r>
      <w:r>
        <w:rPr>
          <w:rFonts w:hint="eastAsia" w:ascii="宋体" w:hAnsi="宋体" w:eastAsia="宋体"/>
          <w:color w:val="auto"/>
          <w:sz w:val="24"/>
          <w:szCs w:val="24"/>
          <w:highlight w:val="none"/>
          <w:u w:val="single"/>
        </w:rPr>
        <w:t>或</w:t>
      </w:r>
      <w:r>
        <w:rPr>
          <w:rFonts w:hint="eastAsia" w:ascii="宋体" w:hAnsi="宋体" w:eastAsia="宋体"/>
          <w:color w:val="auto"/>
          <w:sz w:val="24"/>
          <w:szCs w:val="24"/>
          <w:highlight w:val="none"/>
          <w:u w:val="single"/>
        </w:rPr>
        <w:t>机电工程专业二级或以上注册建造师。</w:t>
      </w:r>
    </w:p>
    <w:p>
      <w:pPr>
        <w:pStyle w:val="25"/>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和城乡建设部办公厅关于建设工程企业资质有关事宜的通知》（建办市函〔2023〕361号）的要求设置。招标内容含有设计要求，且设计要求仅为深化设计的，在投标人的资质设置要求中，不允许设置设计资质。</w:t>
      </w:r>
    </w:p>
    <w:p>
      <w:pPr>
        <w:pStyle w:val="25"/>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②项目负责人在任职期间不得担任专职安全员，项目专职安全员在任职期间也不得担任项目负责人，项目负责人和专职安全员不为同一人。</w:t>
      </w:r>
    </w:p>
    <w:p>
      <w:pPr>
        <w:pStyle w:val="25"/>
        <w:spacing w:line="48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、项目负责人持有安全生产考核合格证（B类）或建筑施工企业项目负责人安全生产考核合格证书；</w:t>
      </w:r>
    </w:p>
    <w:p>
      <w:pPr>
        <w:pStyle w:val="25"/>
        <w:spacing w:line="480" w:lineRule="auto"/>
        <w:ind w:firstLine="480" w:firstLineChars="200"/>
        <w:rPr>
          <w:color w:val="auto"/>
          <w:highlight w:val="none"/>
        </w:rPr>
      </w:pPr>
      <w:r>
        <w:rPr>
          <w:rFonts w:hint="eastAsia" w:ascii="宋体" w:hAnsi="宋体" w:eastAsia="宋体"/>
          <w:color w:val="auto"/>
          <w:sz w:val="24"/>
          <w:szCs w:val="24"/>
          <w:highlight w:val="none"/>
        </w:rPr>
        <w:t>6、投标人拟担任本工程技术负责人的资格要求为：</w:t>
      </w:r>
      <w:r>
        <w:rPr>
          <w:rFonts w:hint="eastAsia" w:ascii="宋体" w:hAnsi="宋体" w:eastAsia="宋体"/>
          <w:color w:val="auto"/>
          <w:sz w:val="24"/>
          <w:szCs w:val="24"/>
          <w:highlight w:val="none"/>
          <w:u w:val="single"/>
        </w:rPr>
        <w:t>具有</w:t>
      </w:r>
      <w:r>
        <w:rPr>
          <w:rFonts w:hint="eastAsia" w:ascii="宋体" w:hAnsi="宋体" w:eastAsia="宋体" w:cs="宋体"/>
          <w:color w:val="auto"/>
          <w:sz w:val="24"/>
          <w:szCs w:val="24"/>
          <w:highlight w:val="none"/>
          <w:u w:val="single"/>
          <w:shd w:val="clear" w:color="auto" w:fill="FFFFFF"/>
        </w:rPr>
        <w:t>建筑工程类</w:t>
      </w:r>
      <w:r>
        <w:rPr>
          <w:rFonts w:hint="eastAsia" w:ascii="宋体" w:hAnsi="宋体" w:eastAsia="宋体"/>
          <w:color w:val="auto"/>
          <w:sz w:val="24"/>
          <w:szCs w:val="24"/>
          <w:highlight w:val="none"/>
          <w:u w:val="single"/>
        </w:rPr>
        <w:t>相关专业中级工程师(或以上)技术职称。</w:t>
      </w:r>
    </w:p>
    <w:p>
      <w:pPr>
        <w:pStyle w:val="25"/>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w:t>
      </w:r>
    </w:p>
    <w:p>
      <w:pPr>
        <w:numPr>
          <w:ilvl w:val="0"/>
          <w:numId w:val="1"/>
        </w:numPr>
        <w:spacing w:line="480" w:lineRule="auto"/>
        <w:ind w:firstLine="537" w:firstLineChars="224"/>
        <w:rPr>
          <w:rFonts w:ascii="宋体" w:hAnsi="宋体"/>
          <w:color w:val="auto"/>
          <w:kern w:val="0"/>
          <w:sz w:val="24"/>
          <w:highlight w:val="none"/>
        </w:rPr>
      </w:pPr>
      <w:r>
        <w:rPr>
          <w:rFonts w:hint="eastAsia" w:ascii="宋体" w:hAnsi="宋体"/>
          <w:color w:val="auto"/>
          <w:kern w:val="0"/>
          <w:sz w:val="24"/>
          <w:highlight w:val="none"/>
        </w:rPr>
        <w:t>专职安全员须具有安全生产考核合格证（C类）或建筑施工企业专职安全生产管理人员安全生产考核合格证书（C3类）。</w:t>
      </w:r>
    </w:p>
    <w:p>
      <w:pPr>
        <w:spacing w:line="480" w:lineRule="auto"/>
        <w:ind w:firstLine="537" w:firstLineChars="224"/>
        <w:rPr>
          <w:rFonts w:ascii="宋体"/>
          <w:color w:val="auto"/>
          <w:sz w:val="24"/>
          <w:highlight w:val="none"/>
        </w:rPr>
      </w:pPr>
      <w:r>
        <w:rPr>
          <w:rFonts w:hint="eastAsia" w:ascii="宋体" w:hAnsi="宋体"/>
          <w:color w:val="auto"/>
          <w:sz w:val="24"/>
          <w:highlight w:val="none"/>
        </w:rPr>
        <w:t>8</w:t>
      </w:r>
      <w:r>
        <w:rPr>
          <w:rFonts w:hint="eastAsia" w:ascii="宋体"/>
          <w:color w:val="auto"/>
          <w:sz w:val="24"/>
          <w:highlight w:val="none"/>
        </w:rPr>
        <w:t>、</w:t>
      </w:r>
      <w:r>
        <w:rPr>
          <w:rFonts w:hint="eastAsia" w:ascii="宋体" w:hAnsi="宋体"/>
          <w:color w:val="auto"/>
          <w:sz w:val="24"/>
          <w:highlight w:val="none"/>
        </w:rPr>
        <w:t>投标人已按照附件一的内容签署盖章的投标人声明。</w:t>
      </w:r>
    </w:p>
    <w:p>
      <w:pPr>
        <w:spacing w:line="480" w:lineRule="auto"/>
        <w:ind w:firstLine="537" w:firstLineChars="224"/>
        <w:rPr>
          <w:rFonts w:ascii="宋体"/>
          <w:color w:val="auto"/>
          <w:sz w:val="24"/>
          <w:highlight w:val="none"/>
        </w:rPr>
      </w:pPr>
      <w:r>
        <w:rPr>
          <w:rFonts w:hint="eastAsia" w:ascii="宋体" w:hAnsi="宋体"/>
          <w:color w:val="auto"/>
          <w:sz w:val="24"/>
          <w:szCs w:val="24"/>
          <w:highlight w:val="none"/>
        </w:rPr>
        <w:t>9、关于联合体投标：</w:t>
      </w:r>
      <w:r>
        <w:rPr>
          <w:rFonts w:hint="eastAsia" w:ascii="宋体" w:hAnsi="宋体"/>
          <w:color w:val="auto"/>
          <w:kern w:val="0"/>
          <w:sz w:val="24"/>
          <w:szCs w:val="24"/>
          <w:highlight w:val="none"/>
        </w:rPr>
        <w:t>本项目不接受联合体投标。</w:t>
      </w:r>
    </w:p>
    <w:p>
      <w:pPr>
        <w:spacing w:line="48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480" w:lineRule="auto"/>
        <w:rPr>
          <w:rFonts w:ascii="宋体" w:hAnsi="宋体"/>
          <w:color w:val="auto"/>
          <w:sz w:val="24"/>
          <w:highlight w:val="none"/>
        </w:rPr>
      </w:pPr>
      <w:r>
        <w:rPr>
          <w:color w:val="auto"/>
          <w:highlight w:val="none"/>
        </w:rPr>
        <w:fldChar w:fldCharType="begin"/>
      </w:r>
      <w:r>
        <w:rPr>
          <w:color w:val="auto"/>
          <w:highlight w:val="none"/>
        </w:rPr>
        <w:instrText xml:space="preserve"> HYPERLINK "http://zfcj.gz.gov.cn/zwgk/zsdwxxgkzl/gzsjzyglfwzx/bszy/content/post_8484886.html））" </w:instrText>
      </w:r>
      <w:r>
        <w:rPr>
          <w:color w:val="auto"/>
          <w:highlight w:val="none"/>
        </w:rPr>
        <w:fldChar w:fldCharType="separate"/>
      </w:r>
      <w:r>
        <w:rPr>
          <w:rStyle w:val="18"/>
          <w:rFonts w:hint="eastAsia" w:ascii="宋体" w:hAnsi="宋体"/>
          <w:color w:val="auto"/>
          <w:sz w:val="24"/>
          <w:highlight w:val="none"/>
        </w:rPr>
        <w:t>http://zfcj.gz.gov.cn/zwgk/zsdwxxgkzl/gzsjzyglfwzx/bszy/content/post_8484886.html））</w:t>
      </w:r>
      <w:r>
        <w:rPr>
          <w:rStyle w:val="18"/>
          <w:rFonts w:hint="eastAsia" w:ascii="宋体" w:hAnsi="宋体"/>
          <w:color w:val="auto"/>
          <w:sz w:val="24"/>
          <w:highlight w:val="none"/>
        </w:rPr>
        <w:fldChar w:fldCharType="end"/>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11、</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auto"/>
          <w:kern w:val="0"/>
          <w:sz w:val="24"/>
          <w:szCs w:val="24"/>
          <w:highlight w:val="none"/>
          <w:u w:val="single"/>
        </w:rPr>
        <w:t>视为无效投标</w:t>
      </w:r>
      <w:r>
        <w:rPr>
          <w:rFonts w:hint="eastAsia" w:ascii="宋体" w:hAnsi="宋体"/>
          <w:color w:val="auto"/>
          <w:kern w:val="0"/>
          <w:sz w:val="24"/>
          <w:szCs w:val="24"/>
          <w:highlight w:val="none"/>
        </w:rPr>
        <w:t>。</w:t>
      </w:r>
    </w:p>
    <w:p>
      <w:pPr>
        <w:spacing w:line="480" w:lineRule="auto"/>
        <w:ind w:firstLine="537" w:firstLineChars="224"/>
        <w:rPr>
          <w:rFonts w:ascii="宋体" w:hAnsi="宋体"/>
          <w:color w:val="auto"/>
          <w:sz w:val="24"/>
          <w:szCs w:val="24"/>
          <w:highlight w:val="none"/>
        </w:rPr>
      </w:pPr>
      <w:r>
        <w:rPr>
          <w:rFonts w:hint="eastAsia" w:ascii="宋体" w:hAnsi="宋体"/>
          <w:color w:val="auto"/>
          <w:sz w:val="24"/>
          <w:szCs w:val="24"/>
          <w:highlight w:val="none"/>
        </w:rPr>
        <w:t>12、适用于财政投资项目：未被纳入失信联合惩戒名单且被限制参加财政投资工程或政府投资工程或建设工程投标的（具体名单以递交投标文件截止时间“信用广州”https://credit1.gz.gov.cn/sgs/sgsXkNew公布的“失信黑名单”为准）。</w:t>
      </w:r>
    </w:p>
    <w:p>
      <w:pPr>
        <w:spacing w:line="480" w:lineRule="auto"/>
        <w:ind w:firstLine="537" w:firstLineChars="224"/>
        <w:rPr>
          <w:rFonts w:ascii="宋体" w:hAnsi="宋体"/>
          <w:color w:val="auto"/>
          <w:sz w:val="24"/>
          <w:highlight w:val="none"/>
        </w:rPr>
      </w:pPr>
      <w:r>
        <w:rPr>
          <w:rFonts w:hint="eastAsia" w:ascii="宋体" w:hAnsi="宋体"/>
          <w:color w:val="auto"/>
          <w:sz w:val="24"/>
          <w:szCs w:val="24"/>
          <w:highlight w:val="none"/>
        </w:rPr>
        <w:t>注：因联合惩戒措施表述存在细微差别，惩戒措施与上文不完全一致但措施内容相同的，也应属于被限制参与相关项目的投标。</w:t>
      </w:r>
    </w:p>
    <w:p>
      <w:pPr>
        <w:pStyle w:val="13"/>
        <w:tabs>
          <w:tab w:val="left" w:pos="7380"/>
        </w:tabs>
        <w:spacing w:after="0" w:line="480" w:lineRule="auto"/>
        <w:ind w:firstLine="523" w:firstLineChars="218"/>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pPr>
        <w:snapToGrid w:val="0"/>
        <w:spacing w:line="48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48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napToGrid w:val="0"/>
        <w:spacing w:line="480" w:lineRule="auto"/>
        <w:rPr>
          <w:rFonts w:ascii="宋体" w:hAnsi="宋体"/>
          <w:color w:val="auto"/>
          <w:sz w:val="24"/>
          <w:highlight w:val="none"/>
        </w:rPr>
      </w:pPr>
      <w:r>
        <w:rPr>
          <w:rFonts w:hint="eastAsia" w:ascii="宋体" w:hAnsi="宋体"/>
          <w:color w:val="auto"/>
          <w:sz w:val="24"/>
          <w:highlight w:val="none"/>
        </w:rPr>
        <w:t xml:space="preserve">    十一、资格审查结果将在</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pPr>
        <w:snapToGrid w:val="0"/>
        <w:spacing w:line="480" w:lineRule="auto"/>
        <w:rPr>
          <w:rFonts w:ascii="宋体" w:hAnsi="宋体"/>
          <w:color w:val="auto"/>
          <w:sz w:val="24"/>
          <w:highlight w:val="none"/>
        </w:rPr>
      </w:pPr>
      <w:r>
        <w:rPr>
          <w:rFonts w:hint="eastAsia" w:ascii="宋体" w:hAnsi="宋体"/>
          <w:color w:val="auto"/>
          <w:sz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537" w:firstLineChars="224"/>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pPr>
        <w:spacing w:line="480" w:lineRule="auto"/>
        <w:ind w:left="538" w:leftChars="256"/>
        <w:rPr>
          <w:rFonts w:ascii="宋体"/>
          <w:color w:val="auto"/>
          <w:sz w:val="24"/>
          <w:highlight w:val="none"/>
          <w:u w:val="single"/>
        </w:rPr>
      </w:pPr>
      <w:r>
        <w:rPr>
          <w:rFonts w:hint="eastAsia" w:ascii="宋体" w:hAnsi="宋体"/>
          <w:color w:val="auto"/>
          <w:sz w:val="24"/>
          <w:highlight w:val="none"/>
        </w:rPr>
        <w:t>异议受理部门：</w:t>
      </w:r>
      <w:r>
        <w:rPr>
          <w:rFonts w:hint="eastAsia" w:ascii="宋体" w:hAnsi="宋体"/>
          <w:color w:val="auto"/>
          <w:sz w:val="24"/>
          <w:highlight w:val="none"/>
          <w:u w:val="single"/>
        </w:rPr>
        <w:t>中山大学附属第三医院</w:t>
      </w:r>
    </w:p>
    <w:p>
      <w:pPr>
        <w:spacing w:line="480" w:lineRule="auto"/>
        <w:ind w:firstLine="537" w:firstLineChars="224"/>
        <w:rPr>
          <w:rFonts w:ascii="宋体"/>
          <w:color w:val="auto"/>
          <w:sz w:val="24"/>
          <w:highlight w:val="none"/>
          <w:u w:val="single"/>
        </w:rPr>
      </w:pPr>
      <w:r>
        <w:rPr>
          <w:rFonts w:hint="eastAsia" w:ascii="宋体" w:hAnsi="宋体"/>
          <w:color w:val="auto"/>
          <w:sz w:val="24"/>
          <w:highlight w:val="none"/>
        </w:rPr>
        <w:t>异议受理电话：</w:t>
      </w:r>
      <w:r>
        <w:rPr>
          <w:rFonts w:hint="eastAsia" w:ascii="宋体" w:hAnsi="宋体"/>
          <w:color w:val="auto"/>
          <w:sz w:val="24"/>
          <w:highlight w:val="none"/>
          <w:u w:val="single"/>
        </w:rPr>
        <w:t>020-8525</w:t>
      </w:r>
      <w:r>
        <w:rPr>
          <w:rFonts w:ascii="宋体" w:hAnsi="宋体"/>
          <w:color w:val="auto"/>
          <w:sz w:val="24"/>
          <w:highlight w:val="none"/>
          <w:u w:val="single"/>
        </w:rPr>
        <w:t>2375</w:t>
      </w:r>
    </w:p>
    <w:p>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广州市天河区天河路600号</w:t>
      </w:r>
    </w:p>
    <w:p>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80" w:lineRule="auto"/>
        <w:ind w:left="239" w:leftChars="114" w:firstLine="297" w:firstLineChars="124"/>
        <w:rPr>
          <w:rFonts w:ascii="宋体"/>
          <w:color w:val="auto"/>
          <w:sz w:val="24"/>
          <w:highlight w:val="none"/>
        </w:rPr>
      </w:pPr>
      <w:r>
        <w:rPr>
          <w:rFonts w:hint="eastAsia" w:ascii="宋体" w:hAnsi="宋体"/>
          <w:color w:val="auto"/>
          <w:sz w:val="24"/>
          <w:highlight w:val="none"/>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80" w:lineRule="auto"/>
        <w:ind w:firstLine="537" w:firstLineChars="224"/>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80" w:lineRule="auto"/>
        <w:ind w:firstLine="537" w:firstLineChars="224"/>
        <w:rPr>
          <w:rFonts w:ascii="宋体"/>
          <w:color w:val="auto"/>
          <w:sz w:val="24"/>
          <w:highlight w:val="none"/>
        </w:rPr>
      </w:pPr>
      <w:r>
        <w:rPr>
          <w:rFonts w:hint="eastAsia" w:ascii="宋体"/>
          <w:color w:val="auto"/>
          <w:sz w:val="24"/>
          <w:highlight w:val="none"/>
        </w:rPr>
        <w:t>十九、《投诉处理决定书》和《行政处理决定书》在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pPr>
        <w:spacing w:line="540" w:lineRule="exact"/>
        <w:ind w:firstLine="537" w:firstLineChars="224"/>
        <w:rPr>
          <w:rFonts w:ascii="宋体" w:hAnsi="宋体" w:cs="宋体"/>
          <w:color w:val="auto"/>
          <w:sz w:val="24"/>
          <w:highlight w:val="none"/>
        </w:rPr>
      </w:pPr>
      <w:r>
        <w:rPr>
          <w:rFonts w:hint="eastAsia" w:ascii="宋体"/>
          <w:color w:val="auto"/>
          <w:sz w:val="24"/>
          <w:highlight w:val="none"/>
        </w:rPr>
        <w:t>特别提示：</w:t>
      </w:r>
      <w:r>
        <w:rPr>
          <w:rFonts w:hint="eastAsia" w:ascii="宋体" w:hAnsi="宋体" w:cs="宋体"/>
          <w:color w:val="auto"/>
          <w:sz w:val="24"/>
          <w:highlight w:val="none"/>
        </w:rPr>
        <w:t>投标人在本项目招标人的工程项目中存在下列行为的，将被拒绝</w:t>
      </w:r>
      <w:r>
        <w:rPr>
          <w:rFonts w:hint="eastAsia" w:ascii="宋体" w:hAnsi="宋体" w:cs="宋体"/>
          <w:b/>
          <w:color w:val="auto"/>
          <w:sz w:val="24"/>
          <w:highlight w:val="none"/>
          <w:u w:val="single"/>
        </w:rPr>
        <w:t>一年</w:t>
      </w:r>
      <w:r>
        <w:rPr>
          <w:rFonts w:hint="eastAsia" w:ascii="宋体" w:hAnsi="宋体" w:cs="宋体"/>
          <w:color w:val="auto"/>
          <w:sz w:val="24"/>
          <w:highlight w:val="none"/>
        </w:rPr>
        <w:t>内参与招标人后续工程投标。（注：拒绝投标时限由招标人视严重程度确定，最低三个月起，自招标人发出通知之日起计）：</w:t>
      </w:r>
    </w:p>
    <w:p>
      <w:pPr>
        <w:spacing w:line="480" w:lineRule="auto"/>
        <w:ind w:firstLine="537" w:firstLineChars="224"/>
        <w:rPr>
          <w:rFonts w:ascii="宋体"/>
          <w:color w:val="auto"/>
          <w:sz w:val="24"/>
          <w:highlight w:val="none"/>
        </w:rPr>
      </w:pPr>
      <w:r>
        <w:rPr>
          <w:rFonts w:hint="eastAsia" w:ascii="宋体"/>
          <w:color w:val="auto"/>
          <w:sz w:val="24"/>
          <w:highlight w:val="none"/>
        </w:rPr>
        <w:t>1.将中标工程转包或者违法分包的；</w:t>
      </w:r>
    </w:p>
    <w:p>
      <w:pPr>
        <w:spacing w:line="480" w:lineRule="auto"/>
        <w:ind w:firstLine="537" w:firstLineChars="224"/>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pPr>
        <w:spacing w:line="480" w:lineRule="auto"/>
        <w:ind w:firstLine="537" w:firstLineChars="224"/>
        <w:rPr>
          <w:rFonts w:ascii="宋体"/>
          <w:color w:val="auto"/>
          <w:sz w:val="24"/>
          <w:highlight w:val="none"/>
        </w:rPr>
      </w:pPr>
      <w:r>
        <w:rPr>
          <w:rFonts w:hint="eastAsia" w:ascii="宋体"/>
          <w:color w:val="auto"/>
          <w:sz w:val="24"/>
          <w:highlight w:val="none"/>
        </w:rPr>
        <w:t>3.存在围标或串标情形的；</w:t>
      </w:r>
    </w:p>
    <w:p>
      <w:pPr>
        <w:spacing w:line="480" w:lineRule="auto"/>
        <w:ind w:firstLine="537" w:firstLineChars="224"/>
        <w:rPr>
          <w:rFonts w:ascii="宋体"/>
          <w:color w:val="auto"/>
          <w:sz w:val="24"/>
          <w:highlight w:val="none"/>
        </w:rPr>
      </w:pPr>
      <w:r>
        <w:rPr>
          <w:rFonts w:hint="eastAsia" w:ascii="宋体"/>
          <w:color w:val="auto"/>
          <w:sz w:val="24"/>
          <w:highlight w:val="none"/>
        </w:rPr>
        <w:t>4.存在弄虚作假骗取中标、行贿情形的；</w:t>
      </w:r>
    </w:p>
    <w:p>
      <w:pPr>
        <w:spacing w:line="480" w:lineRule="auto"/>
        <w:ind w:firstLine="537" w:firstLineChars="224"/>
        <w:rPr>
          <w:rFonts w:ascii="宋体"/>
          <w:color w:val="auto"/>
          <w:sz w:val="24"/>
          <w:highlight w:val="none"/>
        </w:rPr>
      </w:pPr>
      <w:r>
        <w:rPr>
          <w:rFonts w:hint="eastAsia" w:ascii="宋体"/>
          <w:color w:val="auto"/>
          <w:sz w:val="24"/>
          <w:highlight w:val="none"/>
        </w:rPr>
        <w:t>5.拖欠农民工工资的；</w:t>
      </w:r>
    </w:p>
    <w:p>
      <w:pPr>
        <w:spacing w:line="480" w:lineRule="auto"/>
        <w:ind w:firstLine="537" w:firstLineChars="224"/>
        <w:rPr>
          <w:rFonts w:ascii="宋体"/>
          <w:color w:val="auto"/>
          <w:sz w:val="24"/>
          <w:highlight w:val="none"/>
        </w:rPr>
      </w:pPr>
      <w:r>
        <w:rPr>
          <w:rFonts w:hint="eastAsia" w:ascii="宋体"/>
          <w:color w:val="auto"/>
          <w:sz w:val="24"/>
          <w:highlight w:val="none"/>
        </w:rPr>
        <w:t>6.未按照国家、省、市有关建筑施工实名制管理和工人工资支付分账管理的规定执行，被行政监管部门处罚的；</w:t>
      </w:r>
    </w:p>
    <w:p>
      <w:pPr>
        <w:spacing w:line="480" w:lineRule="auto"/>
        <w:ind w:firstLine="537" w:firstLineChars="224"/>
        <w:rPr>
          <w:rFonts w:ascii="宋体"/>
          <w:color w:val="auto"/>
          <w:sz w:val="24"/>
          <w:highlight w:val="none"/>
        </w:rPr>
      </w:pPr>
      <w:r>
        <w:rPr>
          <w:rFonts w:hint="eastAsia" w:ascii="宋体"/>
          <w:color w:val="auto"/>
          <w:sz w:val="24"/>
          <w:highlight w:val="none"/>
        </w:rPr>
        <w:t>7.中标人在项目实施过程中选取的专业分包单位或劳务企业或劳务班组长与投标时不一致的（如有）。</w:t>
      </w:r>
    </w:p>
    <w:p>
      <w:pPr>
        <w:spacing w:line="480" w:lineRule="auto"/>
        <w:ind w:firstLine="537" w:firstLineChars="224"/>
        <w:rPr>
          <w:rFonts w:ascii="宋体"/>
          <w:color w:val="auto"/>
          <w:sz w:val="24"/>
          <w:highlight w:val="none"/>
        </w:rPr>
      </w:pPr>
      <w:r>
        <w:rPr>
          <w:rFonts w:hint="eastAsia" w:ascii="宋体"/>
          <w:color w:val="auto"/>
          <w:sz w:val="24"/>
          <w:highlight w:val="none"/>
        </w:rPr>
        <w:t>8.</w:t>
      </w:r>
      <w:r>
        <w:rPr>
          <w:rFonts w:hint="eastAsia" w:ascii="宋体"/>
          <w:color w:val="auto"/>
          <w:sz w:val="24"/>
          <w:highlight w:val="none"/>
          <w:u w:val="single"/>
        </w:rPr>
        <w:t>存在因过错行为被生效法律文书认定承担违约或侵权责任的</w:t>
      </w:r>
      <w:r>
        <w:rPr>
          <w:rFonts w:hint="eastAsia" w:ascii="宋体"/>
          <w:color w:val="auto"/>
          <w:sz w:val="24"/>
          <w:highlight w:val="none"/>
        </w:rPr>
        <w:t>。</w:t>
      </w:r>
    </w:p>
    <w:p>
      <w:pPr>
        <w:spacing w:line="480" w:lineRule="auto"/>
        <w:ind w:firstLine="537" w:firstLineChars="224"/>
        <w:rPr>
          <w:rFonts w:ascii="宋体"/>
          <w:color w:val="auto"/>
          <w:sz w:val="24"/>
          <w:highlight w:val="none"/>
        </w:rPr>
      </w:pPr>
    </w:p>
    <w:p>
      <w:pPr>
        <w:spacing w:line="360" w:lineRule="auto"/>
        <w:ind w:right="1348" w:rightChars="642"/>
        <w:jc w:val="right"/>
        <w:rPr>
          <w:rFonts w:ascii="宋体" w:hAnsi="宋体"/>
          <w:color w:val="auto"/>
          <w:sz w:val="24"/>
          <w:highlight w:val="none"/>
        </w:rPr>
      </w:pPr>
      <w:r>
        <w:rPr>
          <w:rFonts w:hint="eastAsia" w:ascii="宋体" w:hAnsi="宋体"/>
          <w:color w:val="auto"/>
          <w:sz w:val="24"/>
          <w:highlight w:val="none"/>
        </w:rPr>
        <w:t>中山大学附属第三医院</w:t>
      </w:r>
    </w:p>
    <w:p>
      <w:pPr>
        <w:spacing w:line="360" w:lineRule="auto"/>
        <w:ind w:right="1348" w:rightChars="642"/>
        <w:jc w:val="right"/>
        <w:rPr>
          <w:rFonts w:ascii="宋体" w:hAnsi="宋体"/>
          <w:color w:val="auto"/>
          <w:sz w:val="24"/>
          <w:highlight w:val="none"/>
        </w:rPr>
      </w:pPr>
      <w:r>
        <w:rPr>
          <w:rFonts w:hint="eastAsia" w:ascii="宋体" w:hAnsi="宋体"/>
          <w:color w:val="auto"/>
          <w:sz w:val="24"/>
          <w:highlight w:val="none"/>
        </w:rPr>
        <w:t>国义招标股份有限公司</w:t>
      </w:r>
    </w:p>
    <w:p>
      <w:pPr>
        <w:spacing w:line="360" w:lineRule="auto"/>
        <w:ind w:right="1348" w:rightChars="642" w:firstLine="4860" w:firstLineChars="2025"/>
        <w:jc w:val="right"/>
        <w:rPr>
          <w:rFonts w:ascii="宋体" w:hAnsi="宋体"/>
          <w:color w:val="auto"/>
          <w:sz w:val="24"/>
          <w:highlight w:val="none"/>
        </w:rPr>
      </w:pPr>
      <w:r>
        <w:rPr>
          <w:rFonts w:hint="eastAsia" w:ascii="宋体" w:hAnsi="宋体"/>
          <w:color w:val="auto"/>
          <w:sz w:val="24"/>
          <w:highlight w:val="none"/>
        </w:rPr>
        <w:t>2023年  月  日</w:t>
      </w:r>
    </w:p>
    <w:p>
      <w:pPr>
        <w:spacing w:line="480" w:lineRule="auto"/>
        <w:ind w:right="1348" w:rightChars="642" w:firstLine="4860" w:firstLineChars="2025"/>
        <w:jc w:val="center"/>
        <w:rPr>
          <w:rFonts w:ascii="宋体"/>
          <w:color w:val="auto"/>
          <w:sz w:val="24"/>
          <w:highlight w:val="none"/>
        </w:rPr>
        <w:sectPr>
          <w:footerReference r:id="rId3" w:type="default"/>
          <w:footerReference r:id="rId4" w:type="even"/>
          <w:endnotePr>
            <w:numFmt w:val="decimal"/>
          </w:endnotePr>
          <w:pgSz w:w="11906" w:h="16838"/>
          <w:pgMar w:top="1276" w:right="892" w:bottom="1276" w:left="1134" w:header="851" w:footer="992" w:gutter="0"/>
          <w:cols w:space="425" w:num="1"/>
          <w:docGrid w:type="lines" w:linePitch="312" w:charSpace="0"/>
        </w:sectPr>
      </w:pPr>
    </w:p>
    <w:p>
      <w:pPr>
        <w:spacing w:line="360" w:lineRule="auto"/>
        <w:rPr>
          <w:b/>
          <w:color w:val="auto"/>
          <w:sz w:val="44"/>
          <w:highlight w:val="none"/>
        </w:rPr>
      </w:pPr>
      <w:r>
        <w:rPr>
          <w:rFonts w:hint="eastAsia" w:ascii="宋体" w:hAnsi="宋体"/>
          <w:color w:val="auto"/>
          <w:sz w:val="24"/>
          <w:highlight w:val="none"/>
        </w:rPr>
        <w:t>附件一：</w:t>
      </w:r>
    </w:p>
    <w:p>
      <w:pPr>
        <w:jc w:val="center"/>
        <w:rPr>
          <w:b/>
          <w:color w:val="auto"/>
          <w:kern w:val="0"/>
          <w:sz w:val="32"/>
          <w:szCs w:val="32"/>
          <w:highlight w:val="none"/>
        </w:rPr>
      </w:pPr>
      <w:r>
        <w:rPr>
          <w:rFonts w:hint="eastAsia"/>
          <w:b/>
          <w:color w:val="auto"/>
          <w:kern w:val="0"/>
          <w:sz w:val="32"/>
          <w:szCs w:val="32"/>
          <w:highlight w:val="none"/>
        </w:rPr>
        <w:t>投标人声明</w:t>
      </w:r>
    </w:p>
    <w:p>
      <w:pPr>
        <w:pStyle w:val="25"/>
        <w:ind w:firstLine="0"/>
        <w:rPr>
          <w:rFonts w:ascii="宋体" w:hAnsi="宋体" w:eastAsia="宋体"/>
          <w:color w:val="auto"/>
          <w:sz w:val="21"/>
          <w:szCs w:val="21"/>
          <w:highlight w:val="none"/>
        </w:rPr>
      </w:pPr>
    </w:p>
    <w:p>
      <w:pPr>
        <w:pStyle w:val="25"/>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广州市住房和城乡建设局、本招标项目招标人及招标监管机构：</w:t>
      </w:r>
    </w:p>
    <w:p>
      <w:pPr>
        <w:pStyle w:val="2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 xml:space="preserve">     （项目名称）     </w:t>
      </w:r>
      <w:r>
        <w:rPr>
          <w:rFonts w:hint="eastAsia" w:ascii="宋体" w:hAnsi="宋体" w:eastAsia="宋体"/>
          <w:color w:val="auto"/>
          <w:sz w:val="21"/>
          <w:szCs w:val="21"/>
          <w:highlight w:val="none"/>
        </w:rPr>
        <w:t>投标工作，作出郑重声明：</w:t>
      </w:r>
    </w:p>
    <w:p>
      <w:pPr>
        <w:pStyle w:val="2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2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2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2"/>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（一）为招标人不具有独立法人资格的附属机构（单位）；</w:t>
      </w:r>
    </w:p>
    <w:p>
      <w:pPr>
        <w:pStyle w:val="2"/>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（二）为本标段前期准备提供设计或咨询服务或者与本项目设计人或提供咨询服务的机构存在附属关系的；</w:t>
      </w:r>
    </w:p>
    <w:p>
      <w:pPr>
        <w:pStyle w:val="2"/>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（三）为本</w:t>
      </w:r>
      <w:r>
        <w:rPr>
          <w:rFonts w:hint="eastAsia" w:hAnsi="宋体" w:cs="宋体"/>
          <w:b/>
          <w:color w:val="auto"/>
          <w:kern w:val="0"/>
          <w:szCs w:val="21"/>
          <w:highlight w:val="none"/>
        </w:rPr>
        <w:t>标段</w:t>
      </w:r>
      <w:r>
        <w:rPr>
          <w:rFonts w:hint="eastAsia" w:hAnsi="宋体" w:cs="宋体"/>
          <w:bCs/>
          <w:color w:val="auto"/>
          <w:kern w:val="0"/>
          <w:szCs w:val="21"/>
          <w:highlight w:val="none"/>
        </w:rPr>
        <w:t>监理人或者与本</w:t>
      </w:r>
      <w:r>
        <w:rPr>
          <w:rFonts w:hint="eastAsia" w:hAnsi="宋体" w:cs="宋体"/>
          <w:b/>
          <w:color w:val="auto"/>
          <w:kern w:val="0"/>
          <w:szCs w:val="21"/>
          <w:highlight w:val="none"/>
        </w:rPr>
        <w:t>标段</w:t>
      </w:r>
      <w:r>
        <w:rPr>
          <w:rFonts w:hint="eastAsia" w:hAnsi="宋体" w:cs="宋体"/>
          <w:bCs/>
          <w:color w:val="auto"/>
          <w:kern w:val="0"/>
          <w:szCs w:val="21"/>
          <w:highlight w:val="none"/>
        </w:rPr>
        <w:t>监理人存在隶属关系或者其他利害关系；</w:t>
      </w:r>
    </w:p>
    <w:p>
      <w:pPr>
        <w:pStyle w:val="2"/>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（四）为本标段的代建人；</w:t>
      </w:r>
    </w:p>
    <w:p>
      <w:pPr>
        <w:pStyle w:val="2"/>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（五）为本标段提供招标代理服务的；</w:t>
      </w:r>
    </w:p>
    <w:p>
      <w:pPr>
        <w:pStyle w:val="2"/>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（六）与本标段的监理人或代建人或招标代理机构同为一个法定代表人的；</w:t>
      </w:r>
    </w:p>
    <w:p>
      <w:pPr>
        <w:pStyle w:val="2"/>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（七）与本标段的监理人或代建人或招标代理机构互相控股或参股的；</w:t>
      </w:r>
    </w:p>
    <w:p>
      <w:pPr>
        <w:pStyle w:val="2"/>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（八）与本标段的监理人或代建人或招标代理机构相互任职或工作的；</w:t>
      </w:r>
    </w:p>
    <w:p>
      <w:pPr>
        <w:pStyle w:val="2"/>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（九）与本标段的检测机构有隶属关系或者其他利害关系；</w:t>
      </w:r>
    </w:p>
    <w:p>
      <w:pPr>
        <w:pStyle w:val="2"/>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 xml:space="preserve">（十）与招标人存在利害关系且可能影响招标公正性； </w:t>
      </w:r>
    </w:p>
    <w:p>
      <w:pPr>
        <w:pStyle w:val="2"/>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（十一）被依法暂停或取消投标资格的；（</w:t>
      </w:r>
      <w:r>
        <w:rPr>
          <w:rFonts w:hint="eastAsia" w:hAnsi="宋体" w:cs="宋体"/>
          <w:b/>
          <w:color w:val="auto"/>
          <w:kern w:val="0"/>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hAnsi="宋体" w:cs="宋体"/>
          <w:bCs/>
          <w:color w:val="auto"/>
          <w:kern w:val="0"/>
          <w:szCs w:val="21"/>
          <w:highlight w:val="none"/>
        </w:rPr>
        <w:t xml:space="preserve">） </w:t>
      </w:r>
    </w:p>
    <w:p>
      <w:pPr>
        <w:pStyle w:val="2"/>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（十二）被责令停产停业、暂扣或者吊销许可证、暂扣或者吊销执照的</w:t>
      </w:r>
      <w:r>
        <w:rPr>
          <w:rFonts w:hint="eastAsia" w:hAnsi="宋体" w:cs="宋体"/>
          <w:b/>
          <w:color w:val="auto"/>
          <w:kern w:val="0"/>
          <w:szCs w:val="21"/>
          <w:highlight w:val="none"/>
        </w:rPr>
        <w:t>（</w:t>
      </w:r>
      <w:r>
        <w:rPr>
          <w:rFonts w:hint="eastAsia" w:hAnsi="宋体" w:cs="宋体"/>
          <w:b/>
          <w:color w:val="auto"/>
          <w:kern w:val="0"/>
          <w:szCs w:val="21"/>
          <w:highlight w:val="none"/>
          <w:lang w:val="zh-CN"/>
        </w:rPr>
        <w:t>本项事实应当以根据《中华人民共和国行政处罚法》依法作出并已经生效的行政处罚决定为认定依据。</w:t>
      </w:r>
      <w:r>
        <w:rPr>
          <w:rFonts w:hint="eastAsia" w:hAnsi="宋体" w:cs="宋体"/>
          <w:b/>
          <w:color w:val="auto"/>
          <w:kern w:val="0"/>
          <w:szCs w:val="21"/>
          <w:highlight w:val="none"/>
        </w:rPr>
        <w:t>）</w:t>
      </w:r>
      <w:r>
        <w:rPr>
          <w:rFonts w:hint="eastAsia" w:hAnsi="宋体" w:cs="宋体"/>
          <w:bCs/>
          <w:color w:val="auto"/>
          <w:kern w:val="0"/>
          <w:szCs w:val="21"/>
          <w:highlight w:val="none"/>
        </w:rPr>
        <w:t>；</w:t>
      </w:r>
    </w:p>
    <w:p>
      <w:pPr>
        <w:pStyle w:val="2"/>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（十三）进入清算程序，或被宣布破产，或其他丧失履约能力的情形；</w:t>
      </w:r>
    </w:p>
    <w:p>
      <w:pPr>
        <w:pStyle w:val="2"/>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（十四）在最近三年内有严重违约或重大工程质量问题的；</w:t>
      </w:r>
      <w:r>
        <w:rPr>
          <w:rFonts w:hint="eastAsia" w:hAnsi="宋体" w:cs="宋体"/>
          <w:b/>
          <w:color w:val="auto"/>
          <w:kern w:val="0"/>
          <w:szCs w:val="21"/>
          <w:highlight w:val="none"/>
        </w:rPr>
        <w:t>（</w:t>
      </w:r>
      <w:r>
        <w:rPr>
          <w:rFonts w:hint="eastAsia" w:hAnsi="宋体" w:cs="宋体"/>
          <w:b/>
          <w:color w:val="auto"/>
          <w:kern w:val="0"/>
          <w:szCs w:val="21"/>
          <w:highlight w:val="none"/>
          <w:lang w:val="zh-CN"/>
        </w:rPr>
        <w:t>“严重违约”事实应当以</w:t>
      </w:r>
      <w:r>
        <w:rPr>
          <w:rFonts w:hint="eastAsia" w:hAnsi="宋体" w:cs="宋体"/>
          <w:b/>
          <w:color w:val="auto"/>
          <w:kern w:val="0"/>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5"/>
        <w:ind w:firstLine="420" w:firstLineChars="200"/>
        <w:rPr>
          <w:rFonts w:ascii="宋体" w:hAnsi="宋体" w:eastAsia="宋体"/>
          <w:color w:val="auto"/>
          <w:sz w:val="21"/>
          <w:szCs w:val="21"/>
          <w:highlight w:val="none"/>
        </w:rPr>
      </w:pPr>
      <w:r>
        <w:rPr>
          <w:rFonts w:hint="eastAsia" w:ascii="宋体" w:hAnsi="宋体" w:eastAsia="宋体" w:cs="宋体"/>
          <w:bCs/>
          <w:color w:val="auto"/>
          <w:sz w:val="21"/>
          <w:szCs w:val="21"/>
          <w:highlight w:val="none"/>
        </w:rPr>
        <w:t>（十五）法律法规规定的其他情形。</w:t>
      </w:r>
    </w:p>
    <w:p>
      <w:pPr>
        <w:pStyle w:val="2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四、本公司保证：本项目拟派的项目负责人没有在其他在建项目中任施工单位项目负责人，本项目拟派的专职安全员没有在其他在建项目中任职。</w:t>
      </w:r>
    </w:p>
    <w:p>
      <w:pPr>
        <w:widowControl/>
        <w:spacing w:line="360" w:lineRule="auto"/>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25"/>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 。（注：本条由投标人如实填写，如有，应列出全部满足招标公告资质要求的相关单位的名称；如无，则填写“无”。）</w:t>
      </w:r>
    </w:p>
    <w:p>
      <w:pPr>
        <w:pStyle w:val="2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2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26"/>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w:t>
      </w:r>
    </w:p>
    <w:p>
      <w:pPr>
        <w:pStyle w:val="25"/>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法定代表人签字：</w:t>
      </w:r>
    </w:p>
    <w:p>
      <w:pPr>
        <w:pStyle w:val="25"/>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25"/>
        <w:ind w:right="879" w:firstLine="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pPr>
        <w:pStyle w:val="25"/>
        <w:ind w:right="879" w:firstLine="5040" w:firstLineChars="24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年   月   日                 </w:t>
      </w:r>
    </w:p>
    <w:p>
      <w:pPr>
        <w:pStyle w:val="25"/>
        <w:ind w:right="879" w:firstLine="5040" w:firstLineChars="24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（企业公章）</w:t>
      </w:r>
    </w:p>
    <w:p>
      <w:pPr>
        <w:widowControl/>
        <w:snapToGrid w:val="0"/>
        <w:spacing w:line="480" w:lineRule="auto"/>
        <w:ind w:right="102"/>
        <w:jc w:val="left"/>
        <w:rPr>
          <w:rFonts w:ascii="宋体" w:hAnsi="宋体"/>
          <w:color w:val="auto"/>
          <w:kern w:val="0"/>
          <w:szCs w:val="21"/>
          <w:highlight w:val="none"/>
        </w:rPr>
      </w:pPr>
      <w:r>
        <w:rPr>
          <w:rFonts w:hint="eastAsia" w:ascii="宋体" w:hAnsi="宋体"/>
          <w:color w:val="auto"/>
          <w:kern w:val="0"/>
          <w:szCs w:val="21"/>
          <w:highlight w:val="none"/>
        </w:rPr>
        <w:t xml:space="preserve">注：招标人应当要求投标人的项目负责人和技术负责人签字。 </w:t>
      </w:r>
    </w:p>
    <w:p>
      <w:pPr>
        <w:widowControl/>
        <w:jc w:val="left"/>
        <w:rPr>
          <w:rFonts w:ascii="宋体" w:hAnsi="宋体"/>
          <w:color w:val="auto"/>
          <w:kern w:val="0"/>
          <w:szCs w:val="21"/>
          <w:highlight w:val="none"/>
        </w:rPr>
      </w:pPr>
      <w:r>
        <w:rPr>
          <w:rFonts w:hint="eastAsia" w:ascii="宋体" w:hAnsi="宋体"/>
          <w:color w:val="auto"/>
          <w:kern w:val="0"/>
          <w:szCs w:val="21"/>
          <w:highlight w:val="none"/>
        </w:rPr>
        <w:br w:type="page"/>
      </w:r>
    </w:p>
    <w:p>
      <w:pPr>
        <w:rPr>
          <w:rFonts w:ascii="宋体" w:hAnsi="宋体" w:cs="宋体"/>
          <w:color w:val="auto"/>
          <w:sz w:val="24"/>
          <w:highlight w:val="none"/>
        </w:rPr>
      </w:pPr>
      <w:r>
        <w:rPr>
          <w:rFonts w:hint="eastAsia" w:ascii="宋体" w:hAnsi="宋体" w:cs="宋体"/>
          <w:color w:val="auto"/>
          <w:sz w:val="24"/>
          <w:highlight w:val="none"/>
        </w:rPr>
        <w:t>附件二：</w:t>
      </w:r>
    </w:p>
    <w:p>
      <w:pPr>
        <w:snapToGrid w:val="0"/>
        <w:spacing w:after="78" w:afterLines="25" w:line="300" w:lineRule="auto"/>
        <w:ind w:firstLine="629"/>
        <w:rPr>
          <w:rFonts w:ascii="宋体" w:hAnsi="宋体"/>
          <w:color w:val="auto"/>
          <w:kern w:val="0"/>
          <w:szCs w:val="21"/>
          <w:highlight w:val="none"/>
        </w:rPr>
      </w:pPr>
    </w:p>
    <w:p>
      <w:pPr>
        <w:snapToGrid w:val="0"/>
        <w:spacing w:after="78" w:afterLines="25" w:line="480" w:lineRule="auto"/>
        <w:jc w:val="center"/>
        <w:rPr>
          <w:rFonts w:ascii="宋体" w:hAnsi="宋体"/>
          <w:b/>
          <w:color w:val="auto"/>
          <w:kern w:val="0"/>
          <w:sz w:val="36"/>
          <w:szCs w:val="36"/>
          <w:highlight w:val="none"/>
        </w:rPr>
      </w:pPr>
      <w:r>
        <w:rPr>
          <w:rFonts w:hint="eastAsia" w:ascii="宋体" w:hAnsi="宋体"/>
          <w:b/>
          <w:color w:val="auto"/>
          <w:kern w:val="0"/>
          <w:sz w:val="36"/>
          <w:szCs w:val="36"/>
          <w:highlight w:val="none"/>
        </w:rPr>
        <w:t>施工项目管理团队人员信息表</w:t>
      </w:r>
    </w:p>
    <w:tbl>
      <w:tblPr>
        <w:tblStyle w:val="14"/>
        <w:tblW w:w="9850" w:type="dxa"/>
        <w:jc w:val="center"/>
        <w:tblLayout w:type="fixed"/>
        <w:tblCellMar>
          <w:top w:w="0" w:type="dxa"/>
          <w:left w:w="108" w:type="dxa"/>
          <w:bottom w:w="0" w:type="dxa"/>
          <w:right w:w="108" w:type="dxa"/>
        </w:tblCellMar>
      </w:tblPr>
      <w:tblGrid>
        <w:gridCol w:w="715"/>
        <w:gridCol w:w="1231"/>
        <w:gridCol w:w="2409"/>
        <w:gridCol w:w="1290"/>
        <w:gridCol w:w="4205"/>
      </w:tblGrid>
      <w:tr>
        <w:tblPrEx>
          <w:tblCellMar>
            <w:top w:w="0" w:type="dxa"/>
            <w:left w:w="108" w:type="dxa"/>
            <w:bottom w:w="0" w:type="dxa"/>
            <w:right w:w="108" w:type="dxa"/>
          </w:tblCellMar>
        </w:tblPrEx>
        <w:trPr>
          <w:trHeight w:val="482"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姓名</w:t>
            </w:r>
          </w:p>
        </w:tc>
        <w:tc>
          <w:tcPr>
            <w:tcW w:w="2409"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岗位</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职称</w:t>
            </w: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职称证书或资格证书编号</w:t>
            </w: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r>
              <w:rPr>
                <w:rFonts w:ascii="宋体" w:hAnsi="宋体" w:cs="宋体"/>
                <w:bCs/>
                <w:color w:val="auto"/>
                <w:szCs w:val="21"/>
                <w:highlight w:val="none"/>
              </w:rPr>
              <w:t>1</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cs="宋体"/>
                <w:bCs/>
                <w:color w:val="auto"/>
                <w:szCs w:val="21"/>
                <w:highlight w:val="none"/>
              </w:rPr>
            </w:pPr>
            <w:r>
              <w:rPr>
                <w:rFonts w:hint="eastAsia" w:ascii="宋体" w:hAnsi="宋体" w:cs="宋体"/>
                <w:color w:val="auto"/>
                <w:kern w:val="0"/>
                <w:szCs w:val="21"/>
                <w:highlight w:val="none"/>
              </w:rPr>
              <w:t>技术负责人</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r>
              <w:rPr>
                <w:rFonts w:ascii="宋体" w:hAnsi="宋体" w:cs="宋体"/>
                <w:bCs/>
                <w:color w:val="auto"/>
                <w:szCs w:val="21"/>
                <w:highlight w:val="none"/>
              </w:rPr>
              <w:t>2</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cs="宋体"/>
                <w:bCs/>
                <w:color w:val="auto"/>
                <w:szCs w:val="21"/>
                <w:highlight w:val="none"/>
              </w:rPr>
            </w:pPr>
            <w:r>
              <w:rPr>
                <w:rFonts w:hint="eastAsia" w:ascii="宋体" w:hAnsi="宋体" w:cs="宋体"/>
                <w:color w:val="auto"/>
                <w:kern w:val="0"/>
                <w:szCs w:val="21"/>
                <w:highlight w:val="none"/>
              </w:rPr>
              <w:t>质量负责人</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r>
              <w:rPr>
                <w:rFonts w:ascii="宋体" w:hAnsi="宋体" w:cs="宋体"/>
                <w:bCs/>
                <w:color w:val="auto"/>
                <w:szCs w:val="21"/>
                <w:highlight w:val="none"/>
              </w:rPr>
              <w:t>3</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cs="宋体"/>
                <w:bCs/>
                <w:color w:val="auto"/>
                <w:szCs w:val="21"/>
                <w:highlight w:val="none"/>
              </w:rPr>
            </w:pPr>
            <w:r>
              <w:rPr>
                <w:rFonts w:hint="eastAsia" w:ascii="宋体" w:hAnsi="宋体" w:cs="宋体"/>
                <w:color w:val="auto"/>
                <w:kern w:val="0"/>
                <w:szCs w:val="21"/>
                <w:highlight w:val="none"/>
              </w:rPr>
              <w:t>安全负责人</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4</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造价负责人</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5</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szCs w:val="21"/>
                <w:highlight w:val="none"/>
              </w:rPr>
              <w:t>结构工程师</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6</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rPr>
              <w:t>装修工程师</w:t>
            </w:r>
            <w:r>
              <w:rPr>
                <w:rFonts w:hint="eastAsia" w:ascii="宋体" w:hAnsi="宋体" w:cs="宋体"/>
                <w:color w:val="auto"/>
                <w:szCs w:val="21"/>
                <w:highlight w:val="none"/>
                <w:lang w:val="en-US" w:eastAsia="zh-CN"/>
              </w:rPr>
              <w:t>1</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7</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rPr>
              <w:t>装修工程师</w:t>
            </w:r>
            <w:r>
              <w:rPr>
                <w:rFonts w:hint="eastAsia" w:ascii="宋体" w:hAnsi="宋体" w:cs="宋体"/>
                <w:color w:val="auto"/>
                <w:szCs w:val="21"/>
                <w:highlight w:val="none"/>
                <w:lang w:val="en-US" w:eastAsia="zh-CN"/>
              </w:rPr>
              <w:t>2</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8</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rPr>
              <w:t>装修工程师</w:t>
            </w:r>
            <w:r>
              <w:rPr>
                <w:rFonts w:hint="eastAsia" w:ascii="宋体" w:hAnsi="宋体" w:cs="宋体"/>
                <w:color w:val="auto"/>
                <w:szCs w:val="21"/>
                <w:highlight w:val="none"/>
                <w:lang w:val="en-US" w:eastAsia="zh-CN"/>
              </w:rPr>
              <w:t>3</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9</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rPr>
              <w:t>机电工程师</w:t>
            </w:r>
            <w:r>
              <w:rPr>
                <w:rFonts w:hint="eastAsia" w:ascii="宋体" w:hAnsi="宋体" w:cs="宋体"/>
                <w:color w:val="auto"/>
                <w:szCs w:val="21"/>
                <w:highlight w:val="none"/>
                <w:lang w:val="en-US" w:eastAsia="zh-CN"/>
              </w:rPr>
              <w:t>1</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rPr>
              <w:t>机电工程师</w:t>
            </w:r>
            <w:r>
              <w:rPr>
                <w:rFonts w:hint="eastAsia" w:ascii="宋体" w:hAnsi="宋体" w:cs="宋体"/>
                <w:color w:val="auto"/>
                <w:szCs w:val="21"/>
                <w:highlight w:val="none"/>
                <w:lang w:val="en-US" w:eastAsia="zh-CN"/>
              </w:rPr>
              <w:t>2</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11</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auto"/>
                <w:kern w:val="0"/>
                <w:szCs w:val="21"/>
                <w:highlight w:val="none"/>
              </w:rPr>
            </w:pPr>
            <w:r>
              <w:rPr>
                <w:rFonts w:hint="eastAsia" w:ascii="宋体" w:hAnsi="宋体" w:cs="宋体"/>
                <w:color w:val="auto"/>
                <w:szCs w:val="21"/>
                <w:highlight w:val="none"/>
              </w:rPr>
              <w:t>给排水工程师</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12</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rPr>
              <w:t>暖通工程师</w:t>
            </w:r>
            <w:r>
              <w:rPr>
                <w:rFonts w:hint="eastAsia" w:ascii="宋体" w:hAnsi="宋体" w:cs="宋体"/>
                <w:color w:val="auto"/>
                <w:szCs w:val="21"/>
                <w:highlight w:val="none"/>
                <w:lang w:val="en-US" w:eastAsia="zh-CN"/>
              </w:rPr>
              <w:t>1</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13</w:t>
            </w:r>
          </w:p>
        </w:tc>
        <w:tc>
          <w:tcPr>
            <w:tcW w:w="1231"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2409"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eastAsia="宋体" w:cs="宋体"/>
                <w:bCs/>
                <w:color w:val="auto"/>
                <w:szCs w:val="21"/>
                <w:highlight w:val="none"/>
                <w:lang w:val="en-US" w:eastAsia="zh-CN"/>
              </w:rPr>
            </w:pPr>
            <w:r>
              <w:rPr>
                <w:rFonts w:hint="eastAsia" w:ascii="宋体" w:hAnsi="宋体" w:cs="宋体"/>
                <w:color w:val="auto"/>
                <w:szCs w:val="21"/>
                <w:highlight w:val="none"/>
              </w:rPr>
              <w:t>暖通工程师</w:t>
            </w:r>
            <w:r>
              <w:rPr>
                <w:rFonts w:hint="eastAsia" w:ascii="宋体" w:hAnsi="宋体" w:cs="宋体"/>
                <w:color w:val="auto"/>
                <w:szCs w:val="21"/>
                <w:highlight w:val="none"/>
                <w:lang w:val="en-US" w:eastAsia="zh-CN"/>
              </w:rPr>
              <w:t>2</w:t>
            </w:r>
          </w:p>
        </w:tc>
        <w:tc>
          <w:tcPr>
            <w:tcW w:w="1290" w:type="dxa"/>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highlight w:val="none"/>
              </w:rPr>
            </w:pPr>
          </w:p>
        </w:tc>
        <w:tc>
          <w:tcPr>
            <w:tcW w:w="4205" w:type="dxa"/>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3487" w:hRule="atLeast"/>
          <w:jc w:val="center"/>
        </w:trPr>
        <w:tc>
          <w:tcPr>
            <w:tcW w:w="9850"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kern w:val="0"/>
                <w:szCs w:val="21"/>
                <w:highlight w:val="none"/>
              </w:rPr>
            </w:pPr>
            <w:r>
              <w:rPr>
                <w:rFonts w:hint="eastAsia" w:ascii="宋体" w:hAnsi="宋体"/>
                <w:color w:val="auto"/>
                <w:kern w:val="0"/>
                <w:szCs w:val="21"/>
                <w:highlight w:val="none"/>
              </w:rPr>
              <w:t>备注：</w:t>
            </w:r>
          </w:p>
          <w:p>
            <w:pPr>
              <w:snapToGrid w:val="0"/>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w:t>
            </w:r>
            <w:r>
              <w:rPr>
                <w:rFonts w:hint="eastAsia" w:ascii="宋体" w:hAnsi="宋体"/>
                <w:color w:val="auto"/>
                <w:kern w:val="0"/>
                <w:szCs w:val="21"/>
                <w:highlight w:val="none"/>
                <w:u w:val="single"/>
              </w:rPr>
              <w:t>“岗</w:t>
            </w:r>
            <w:r>
              <w:rPr>
                <w:rFonts w:hint="eastAsia" w:ascii="宋体" w:hAnsi="宋体"/>
                <w:color w:val="auto"/>
                <w:spacing w:val="-2"/>
                <w:kern w:val="0"/>
                <w:szCs w:val="21"/>
                <w:highlight w:val="none"/>
                <w:u w:val="single"/>
              </w:rPr>
              <w:t>位”要求（除项目负责人和专职安全员外）：拟派驻施工现场的技术负责人、质量负责人、安全负责人、造价负责人</w:t>
            </w:r>
            <w:r>
              <w:rPr>
                <w:rFonts w:hint="eastAsia" w:ascii="宋体" w:hAnsi="宋体"/>
                <w:color w:val="auto"/>
                <w:spacing w:val="-2"/>
                <w:kern w:val="0"/>
                <w:szCs w:val="21"/>
                <w:highlight w:val="none"/>
                <w:u w:val="single"/>
                <w:lang w:eastAsia="zh-CN"/>
              </w:rPr>
              <w:t>、结构工程师、装修工程师、机电工程师、给排水工程师、暖通工程师</w:t>
            </w:r>
            <w:r>
              <w:rPr>
                <w:rFonts w:hint="eastAsia" w:ascii="宋体" w:hAnsi="宋体"/>
                <w:color w:val="auto"/>
                <w:spacing w:val="-2"/>
                <w:kern w:val="0"/>
                <w:szCs w:val="21"/>
                <w:highlight w:val="none"/>
                <w:u w:val="single"/>
              </w:rPr>
              <w:t>等</w:t>
            </w:r>
            <w:r>
              <w:rPr>
                <w:rFonts w:hint="eastAsia" w:ascii="宋体" w:hAnsi="宋体"/>
                <w:color w:val="auto"/>
                <w:spacing w:val="-2"/>
                <w:kern w:val="0"/>
                <w:szCs w:val="21"/>
                <w:highlight w:val="none"/>
              </w:rPr>
              <w:t>。以上项目管理团队人员信息将由交易系统提取后供各相关单位在履约时比对、查核</w:t>
            </w:r>
            <w:r>
              <w:rPr>
                <w:rFonts w:hint="eastAsia" w:ascii="宋体" w:hAnsi="宋体"/>
                <w:color w:val="auto"/>
                <w:kern w:val="0"/>
                <w:szCs w:val="21"/>
                <w:highlight w:val="none"/>
              </w:rPr>
              <w:t>。</w:t>
            </w:r>
          </w:p>
          <w:p>
            <w:pPr>
              <w:snapToGrid w:val="0"/>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ascii="宋体" w:hAnsi="宋体"/>
                <w:color w:val="auto"/>
                <w:kern w:val="0"/>
                <w:szCs w:val="21"/>
                <w:highlight w:val="none"/>
              </w:rPr>
              <w:t>(</w:t>
            </w:r>
            <w:r>
              <w:rPr>
                <w:rFonts w:hint="eastAsia" w:ascii="宋体" w:hAnsi="宋体"/>
                <w:color w:val="auto"/>
                <w:kern w:val="0"/>
                <w:szCs w:val="21"/>
                <w:highlight w:val="none"/>
              </w:rPr>
              <w:t>投标截止时间前可以补充、修改、替代</w:t>
            </w:r>
            <w:r>
              <w:rPr>
                <w:rFonts w:ascii="宋体" w:hAnsi="宋体"/>
                <w:color w:val="auto"/>
                <w:kern w:val="0"/>
                <w:szCs w:val="21"/>
                <w:highlight w:val="none"/>
              </w:rPr>
              <w:t>)</w:t>
            </w:r>
            <w:r>
              <w:rPr>
                <w:rFonts w:hint="eastAsia" w:ascii="宋体" w:hAnsi="宋体"/>
                <w:color w:val="auto"/>
                <w:kern w:val="0"/>
                <w:szCs w:val="21"/>
                <w:highlight w:val="none"/>
              </w:rPr>
              <w:t>。</w:t>
            </w:r>
          </w:p>
          <w:p>
            <w:pPr>
              <w:snapToGrid w:val="0"/>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2"/>
        <w:rPr>
          <w:color w:val="auto"/>
          <w:highlight w:val="none"/>
        </w:rPr>
      </w:pPr>
    </w:p>
    <w:bookmarkEnd w:id="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NewRomanPS-BoldMT">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7</w:t>
    </w:r>
    <w:r>
      <w:rPr>
        <w:rStyle w:val="16"/>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92"/>
      <w:jc w:val="center"/>
      <w:rPr>
        <w:rStyle w:val="16"/>
      </w:rPr>
    </w:pPr>
    <w:r>
      <w:rPr>
        <w:rStyle w:val="16"/>
      </w:rPr>
      <w:fldChar w:fldCharType="begin"/>
    </w:r>
    <w:r>
      <w:rPr>
        <w:rStyle w:val="16"/>
      </w:rPr>
      <w:instrText xml:space="preserve">PAGE  </w:instrText>
    </w:r>
    <w:r>
      <w:rPr>
        <w:rStyle w:val="16"/>
      </w:rPr>
      <w:fldChar w:fldCharType="separate"/>
    </w:r>
    <w:r>
      <w:rPr>
        <w:rStyle w:val="16"/>
      </w:rPr>
      <w:t>11</w:t>
    </w:r>
    <w:r>
      <w:rPr>
        <w:rStyle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92"/>
      <w:rPr>
        <w:rStyle w:val="16"/>
      </w:rPr>
    </w:pPr>
    <w:r>
      <w:rPr>
        <w:rStyle w:val="16"/>
      </w:rPr>
      <w:fldChar w:fldCharType="begin"/>
    </w:r>
    <w:r>
      <w:rPr>
        <w:rStyle w:val="16"/>
      </w:rPr>
      <w:instrText xml:space="preserve">PAGE  </w:instrText>
    </w:r>
    <w:r>
      <w:rPr>
        <w:rStyle w:val="16"/>
      </w:rPr>
      <w:fldChar w:fldCharType="separate"/>
    </w:r>
    <w:r>
      <w:rPr>
        <w:rStyle w:val="16"/>
        <w:rFonts w:hint="eastAsia"/>
      </w:rPr>
      <w:t>一</w:t>
    </w:r>
    <w:r>
      <w:rPr>
        <w:rStyle w:val="16"/>
      </w:rPr>
      <w:t>–2</w:t>
    </w:r>
    <w:r>
      <w:rPr>
        <w:rStyle w:val="16"/>
      </w:rPr>
      <w:fldChar w:fldCharType="end"/>
    </w:r>
  </w:p>
  <w:p>
    <w:pPr>
      <w:pStyle w:val="7"/>
      <w:ind w:firstLine="392"/>
    </w:pPr>
    <w: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92"/>
    </w:pPr>
    <w:r>
      <w:rPr>
        <w:rStyle w:val="16"/>
      </w:rPr>
      <w:fldChar w:fldCharType="begin"/>
    </w:r>
    <w:r>
      <w:rPr>
        <w:rStyle w:val="16"/>
      </w:rPr>
      <w:instrText xml:space="preserve"> PAGE </w:instrText>
    </w:r>
    <w:r>
      <w:rPr>
        <w:rStyle w:val="16"/>
      </w:rPr>
      <w:fldChar w:fldCharType="separate"/>
    </w:r>
    <w:r>
      <w:rPr>
        <w:rStyle w:val="16"/>
      </w:rPr>
      <w:t>10</w:t>
    </w:r>
    <w:r>
      <w:rPr>
        <w:rStyle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E8756"/>
    <w:multiLevelType w:val="singleLevel"/>
    <w:tmpl w:val="C52E8756"/>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0YzE1ODViZDcyMjAwMTc2YzY0NGViNDk0OTM3OTQifQ=="/>
  </w:docVars>
  <w:rsids>
    <w:rsidRoot w:val="001C36EE"/>
    <w:rsid w:val="00011E67"/>
    <w:rsid w:val="00105DE0"/>
    <w:rsid w:val="00121C77"/>
    <w:rsid w:val="00136A9F"/>
    <w:rsid w:val="00167BFF"/>
    <w:rsid w:val="001A6843"/>
    <w:rsid w:val="001C36EE"/>
    <w:rsid w:val="0022218B"/>
    <w:rsid w:val="00283E4C"/>
    <w:rsid w:val="0028533B"/>
    <w:rsid w:val="002A642F"/>
    <w:rsid w:val="002C08E0"/>
    <w:rsid w:val="003121A1"/>
    <w:rsid w:val="00416809"/>
    <w:rsid w:val="00457788"/>
    <w:rsid w:val="004956C2"/>
    <w:rsid w:val="00524715"/>
    <w:rsid w:val="00595C8A"/>
    <w:rsid w:val="0067367A"/>
    <w:rsid w:val="0068029E"/>
    <w:rsid w:val="00682E8B"/>
    <w:rsid w:val="006E1822"/>
    <w:rsid w:val="007259B2"/>
    <w:rsid w:val="0074465C"/>
    <w:rsid w:val="007876B5"/>
    <w:rsid w:val="007A6B3D"/>
    <w:rsid w:val="007E03D3"/>
    <w:rsid w:val="007E75F5"/>
    <w:rsid w:val="008510DF"/>
    <w:rsid w:val="00860432"/>
    <w:rsid w:val="00867B85"/>
    <w:rsid w:val="00886268"/>
    <w:rsid w:val="008C7378"/>
    <w:rsid w:val="00976D4B"/>
    <w:rsid w:val="00980613"/>
    <w:rsid w:val="009E04E5"/>
    <w:rsid w:val="00A511C9"/>
    <w:rsid w:val="00AD3795"/>
    <w:rsid w:val="00AE0DB2"/>
    <w:rsid w:val="00B45B7C"/>
    <w:rsid w:val="00B82133"/>
    <w:rsid w:val="00BF6247"/>
    <w:rsid w:val="00C8408A"/>
    <w:rsid w:val="00CA05F2"/>
    <w:rsid w:val="00D51F8B"/>
    <w:rsid w:val="00D53D56"/>
    <w:rsid w:val="00D5408A"/>
    <w:rsid w:val="00DE4ED6"/>
    <w:rsid w:val="00E47D01"/>
    <w:rsid w:val="00E85CCE"/>
    <w:rsid w:val="00EE26CB"/>
    <w:rsid w:val="00FC12C0"/>
    <w:rsid w:val="00FF0A65"/>
    <w:rsid w:val="00FF4E4E"/>
    <w:rsid w:val="012153D7"/>
    <w:rsid w:val="015E5E12"/>
    <w:rsid w:val="01CD0AF7"/>
    <w:rsid w:val="01E93200"/>
    <w:rsid w:val="01F353DB"/>
    <w:rsid w:val="02845E60"/>
    <w:rsid w:val="029F7154"/>
    <w:rsid w:val="036E28F4"/>
    <w:rsid w:val="037C0F02"/>
    <w:rsid w:val="03D93EDA"/>
    <w:rsid w:val="04575263"/>
    <w:rsid w:val="04826744"/>
    <w:rsid w:val="04F7772C"/>
    <w:rsid w:val="051D6775"/>
    <w:rsid w:val="052430DB"/>
    <w:rsid w:val="052C3D34"/>
    <w:rsid w:val="0532195B"/>
    <w:rsid w:val="05BB24F7"/>
    <w:rsid w:val="05EC0654"/>
    <w:rsid w:val="065958F2"/>
    <w:rsid w:val="06622C7D"/>
    <w:rsid w:val="06AF2867"/>
    <w:rsid w:val="07175D1E"/>
    <w:rsid w:val="07917873"/>
    <w:rsid w:val="079F5E6D"/>
    <w:rsid w:val="07D17DB0"/>
    <w:rsid w:val="0824254E"/>
    <w:rsid w:val="084208A2"/>
    <w:rsid w:val="08555818"/>
    <w:rsid w:val="0867191A"/>
    <w:rsid w:val="08830CDE"/>
    <w:rsid w:val="097A53C7"/>
    <w:rsid w:val="0993146A"/>
    <w:rsid w:val="09C24519"/>
    <w:rsid w:val="09D4148D"/>
    <w:rsid w:val="0A016858"/>
    <w:rsid w:val="0A1C13D2"/>
    <w:rsid w:val="0A2C3B1B"/>
    <w:rsid w:val="0B4B2A98"/>
    <w:rsid w:val="0B765B95"/>
    <w:rsid w:val="0BD725F5"/>
    <w:rsid w:val="0C123173"/>
    <w:rsid w:val="0C2B2513"/>
    <w:rsid w:val="0C8F2829"/>
    <w:rsid w:val="0CFE26A9"/>
    <w:rsid w:val="0D8308C4"/>
    <w:rsid w:val="0E0D2217"/>
    <w:rsid w:val="0E0D57F7"/>
    <w:rsid w:val="0E0F3E38"/>
    <w:rsid w:val="0E526B07"/>
    <w:rsid w:val="0E5D5183"/>
    <w:rsid w:val="0EE12586"/>
    <w:rsid w:val="0F2E7F13"/>
    <w:rsid w:val="0F4E7EE7"/>
    <w:rsid w:val="0F8267DB"/>
    <w:rsid w:val="0FAB3524"/>
    <w:rsid w:val="10973517"/>
    <w:rsid w:val="10BD35C7"/>
    <w:rsid w:val="1109042B"/>
    <w:rsid w:val="111911C3"/>
    <w:rsid w:val="1125116C"/>
    <w:rsid w:val="11495112"/>
    <w:rsid w:val="11BC4D17"/>
    <w:rsid w:val="121C431D"/>
    <w:rsid w:val="124D60E5"/>
    <w:rsid w:val="125A3098"/>
    <w:rsid w:val="126420E9"/>
    <w:rsid w:val="12A76776"/>
    <w:rsid w:val="13192BB2"/>
    <w:rsid w:val="134D6332"/>
    <w:rsid w:val="137415A0"/>
    <w:rsid w:val="139130A4"/>
    <w:rsid w:val="13A97F48"/>
    <w:rsid w:val="14397DD8"/>
    <w:rsid w:val="14671DBF"/>
    <w:rsid w:val="14C32666"/>
    <w:rsid w:val="151235F9"/>
    <w:rsid w:val="15835C67"/>
    <w:rsid w:val="15903CA5"/>
    <w:rsid w:val="161004B7"/>
    <w:rsid w:val="162118FC"/>
    <w:rsid w:val="162400F6"/>
    <w:rsid w:val="169225C3"/>
    <w:rsid w:val="16A82624"/>
    <w:rsid w:val="16DA67F6"/>
    <w:rsid w:val="16E2752A"/>
    <w:rsid w:val="170D1B5F"/>
    <w:rsid w:val="177E3384"/>
    <w:rsid w:val="17AC1E4E"/>
    <w:rsid w:val="17FB3316"/>
    <w:rsid w:val="18817CB2"/>
    <w:rsid w:val="189C3C17"/>
    <w:rsid w:val="18A51933"/>
    <w:rsid w:val="18B51C8F"/>
    <w:rsid w:val="18BB3B37"/>
    <w:rsid w:val="18BF5274"/>
    <w:rsid w:val="19173A91"/>
    <w:rsid w:val="19436939"/>
    <w:rsid w:val="196B3484"/>
    <w:rsid w:val="198218CD"/>
    <w:rsid w:val="19861019"/>
    <w:rsid w:val="19A1335A"/>
    <w:rsid w:val="1A03709F"/>
    <w:rsid w:val="1A072B23"/>
    <w:rsid w:val="1A080F1B"/>
    <w:rsid w:val="1AB84F53"/>
    <w:rsid w:val="1ABC48F0"/>
    <w:rsid w:val="1ADF05DE"/>
    <w:rsid w:val="1AE11B49"/>
    <w:rsid w:val="1B1B1F29"/>
    <w:rsid w:val="1B913106"/>
    <w:rsid w:val="1B98342C"/>
    <w:rsid w:val="1BC952F2"/>
    <w:rsid w:val="1BDB41D6"/>
    <w:rsid w:val="1C611550"/>
    <w:rsid w:val="1C870638"/>
    <w:rsid w:val="1CB7665E"/>
    <w:rsid w:val="1CC96E50"/>
    <w:rsid w:val="1CCE4466"/>
    <w:rsid w:val="1CDA19C1"/>
    <w:rsid w:val="1D405808"/>
    <w:rsid w:val="1DDD44C8"/>
    <w:rsid w:val="1E060BE2"/>
    <w:rsid w:val="1E086616"/>
    <w:rsid w:val="1F8136F5"/>
    <w:rsid w:val="1FB85127"/>
    <w:rsid w:val="201C3226"/>
    <w:rsid w:val="203065DE"/>
    <w:rsid w:val="205D622D"/>
    <w:rsid w:val="206F236A"/>
    <w:rsid w:val="20887022"/>
    <w:rsid w:val="20F90404"/>
    <w:rsid w:val="21DF48AF"/>
    <w:rsid w:val="21E46A4E"/>
    <w:rsid w:val="21EC13EF"/>
    <w:rsid w:val="21FB714B"/>
    <w:rsid w:val="2213502C"/>
    <w:rsid w:val="22210462"/>
    <w:rsid w:val="22656765"/>
    <w:rsid w:val="22912EC0"/>
    <w:rsid w:val="22A139BF"/>
    <w:rsid w:val="22CA2FC7"/>
    <w:rsid w:val="230F7587"/>
    <w:rsid w:val="23162C67"/>
    <w:rsid w:val="231F3AEB"/>
    <w:rsid w:val="231F5939"/>
    <w:rsid w:val="23254AE0"/>
    <w:rsid w:val="236B6EB3"/>
    <w:rsid w:val="237F5E1F"/>
    <w:rsid w:val="2392339C"/>
    <w:rsid w:val="23943268"/>
    <w:rsid w:val="2424165E"/>
    <w:rsid w:val="24244ED4"/>
    <w:rsid w:val="24997BD1"/>
    <w:rsid w:val="24B11094"/>
    <w:rsid w:val="2551263E"/>
    <w:rsid w:val="25954413"/>
    <w:rsid w:val="25A30362"/>
    <w:rsid w:val="25A462E2"/>
    <w:rsid w:val="25C0501D"/>
    <w:rsid w:val="25CC4B2B"/>
    <w:rsid w:val="25CD10F9"/>
    <w:rsid w:val="263D0486"/>
    <w:rsid w:val="269A360B"/>
    <w:rsid w:val="26BE0028"/>
    <w:rsid w:val="27552761"/>
    <w:rsid w:val="27B72598"/>
    <w:rsid w:val="2809760F"/>
    <w:rsid w:val="284A0044"/>
    <w:rsid w:val="28551EE0"/>
    <w:rsid w:val="28CE088A"/>
    <w:rsid w:val="29191616"/>
    <w:rsid w:val="2938245E"/>
    <w:rsid w:val="2950171F"/>
    <w:rsid w:val="297B3BC8"/>
    <w:rsid w:val="298113C1"/>
    <w:rsid w:val="29E63150"/>
    <w:rsid w:val="29F41D18"/>
    <w:rsid w:val="2AE906CB"/>
    <w:rsid w:val="2AFF555D"/>
    <w:rsid w:val="2B4E7C6A"/>
    <w:rsid w:val="2B991D4C"/>
    <w:rsid w:val="2BFC211E"/>
    <w:rsid w:val="2C105A4A"/>
    <w:rsid w:val="2C133F1E"/>
    <w:rsid w:val="2C203772"/>
    <w:rsid w:val="2C33078A"/>
    <w:rsid w:val="2C452775"/>
    <w:rsid w:val="2C7E5D56"/>
    <w:rsid w:val="2C97659A"/>
    <w:rsid w:val="2C9D76A2"/>
    <w:rsid w:val="2D0D2D89"/>
    <w:rsid w:val="2D5776A5"/>
    <w:rsid w:val="2D8A415D"/>
    <w:rsid w:val="2E9D3382"/>
    <w:rsid w:val="2ED563FB"/>
    <w:rsid w:val="2EFF3620"/>
    <w:rsid w:val="2F07200E"/>
    <w:rsid w:val="2F3C4C02"/>
    <w:rsid w:val="2F9037FD"/>
    <w:rsid w:val="2FB83911"/>
    <w:rsid w:val="2FC34145"/>
    <w:rsid w:val="2FDB57F3"/>
    <w:rsid w:val="30234296"/>
    <w:rsid w:val="31060DE6"/>
    <w:rsid w:val="311E38B4"/>
    <w:rsid w:val="315C6248"/>
    <w:rsid w:val="31713594"/>
    <w:rsid w:val="318B715B"/>
    <w:rsid w:val="31D61CC4"/>
    <w:rsid w:val="31D7118A"/>
    <w:rsid w:val="320008F1"/>
    <w:rsid w:val="32F27C96"/>
    <w:rsid w:val="32FD149B"/>
    <w:rsid w:val="33411E93"/>
    <w:rsid w:val="343516FB"/>
    <w:rsid w:val="346F4329"/>
    <w:rsid w:val="3481200A"/>
    <w:rsid w:val="34BE2FB1"/>
    <w:rsid w:val="34F84078"/>
    <w:rsid w:val="352960B5"/>
    <w:rsid w:val="355E5AD1"/>
    <w:rsid w:val="35684088"/>
    <w:rsid w:val="36A60369"/>
    <w:rsid w:val="36FF0141"/>
    <w:rsid w:val="37835E55"/>
    <w:rsid w:val="383B2D1A"/>
    <w:rsid w:val="38617CC8"/>
    <w:rsid w:val="38747127"/>
    <w:rsid w:val="387D6E9F"/>
    <w:rsid w:val="387F7D49"/>
    <w:rsid w:val="38C64085"/>
    <w:rsid w:val="38D27183"/>
    <w:rsid w:val="38E57F67"/>
    <w:rsid w:val="38F93C10"/>
    <w:rsid w:val="39FB0669"/>
    <w:rsid w:val="3AA62924"/>
    <w:rsid w:val="3B0C081D"/>
    <w:rsid w:val="3B0C5280"/>
    <w:rsid w:val="3B1A6930"/>
    <w:rsid w:val="3B231D40"/>
    <w:rsid w:val="3B5129DA"/>
    <w:rsid w:val="3B6E2517"/>
    <w:rsid w:val="3BEA11C9"/>
    <w:rsid w:val="3C010515"/>
    <w:rsid w:val="3C0B0DDB"/>
    <w:rsid w:val="3C1E1EE2"/>
    <w:rsid w:val="3CD37EFE"/>
    <w:rsid w:val="3D8E2AFE"/>
    <w:rsid w:val="3DBF00CF"/>
    <w:rsid w:val="3DC74E4C"/>
    <w:rsid w:val="3DDE5CFA"/>
    <w:rsid w:val="3DF53E53"/>
    <w:rsid w:val="3E06004E"/>
    <w:rsid w:val="3E424B35"/>
    <w:rsid w:val="3E5351D5"/>
    <w:rsid w:val="3EDC080D"/>
    <w:rsid w:val="3F367F1D"/>
    <w:rsid w:val="3F740A45"/>
    <w:rsid w:val="3FB65E92"/>
    <w:rsid w:val="3FE536F1"/>
    <w:rsid w:val="3FF05BE1"/>
    <w:rsid w:val="40084E77"/>
    <w:rsid w:val="403918CF"/>
    <w:rsid w:val="40624243"/>
    <w:rsid w:val="40D90F20"/>
    <w:rsid w:val="41155923"/>
    <w:rsid w:val="41615D7E"/>
    <w:rsid w:val="424E5D61"/>
    <w:rsid w:val="429F5713"/>
    <w:rsid w:val="42B4353C"/>
    <w:rsid w:val="42D741E3"/>
    <w:rsid w:val="42EE7A68"/>
    <w:rsid w:val="42FF7F79"/>
    <w:rsid w:val="438016CA"/>
    <w:rsid w:val="43830FEE"/>
    <w:rsid w:val="43D75602"/>
    <w:rsid w:val="44045059"/>
    <w:rsid w:val="4478091B"/>
    <w:rsid w:val="44AE7B04"/>
    <w:rsid w:val="44B65141"/>
    <w:rsid w:val="44C55904"/>
    <w:rsid w:val="452F5F4C"/>
    <w:rsid w:val="45724994"/>
    <w:rsid w:val="4583444B"/>
    <w:rsid w:val="45F20A03"/>
    <w:rsid w:val="46570B7F"/>
    <w:rsid w:val="46834FC3"/>
    <w:rsid w:val="4683634C"/>
    <w:rsid w:val="47034758"/>
    <w:rsid w:val="47140E7E"/>
    <w:rsid w:val="47C9559D"/>
    <w:rsid w:val="47CC284A"/>
    <w:rsid w:val="47D048BC"/>
    <w:rsid w:val="48143A2B"/>
    <w:rsid w:val="483C1890"/>
    <w:rsid w:val="483F2463"/>
    <w:rsid w:val="48BB1493"/>
    <w:rsid w:val="491F2669"/>
    <w:rsid w:val="49756CB8"/>
    <w:rsid w:val="49915D1A"/>
    <w:rsid w:val="49A23DAC"/>
    <w:rsid w:val="49F12736"/>
    <w:rsid w:val="49F930E0"/>
    <w:rsid w:val="4A1231CF"/>
    <w:rsid w:val="4A1F6E62"/>
    <w:rsid w:val="4ABC373D"/>
    <w:rsid w:val="4AD1021E"/>
    <w:rsid w:val="4AEE0F90"/>
    <w:rsid w:val="4B047908"/>
    <w:rsid w:val="4B0F6C8F"/>
    <w:rsid w:val="4B2C5E19"/>
    <w:rsid w:val="4B712402"/>
    <w:rsid w:val="4C4009E7"/>
    <w:rsid w:val="4C5E09B9"/>
    <w:rsid w:val="4C691378"/>
    <w:rsid w:val="4C6C79C4"/>
    <w:rsid w:val="4CC0351C"/>
    <w:rsid w:val="4D0C4EDB"/>
    <w:rsid w:val="4D4B229B"/>
    <w:rsid w:val="4D720DA7"/>
    <w:rsid w:val="4D9C4497"/>
    <w:rsid w:val="4DD81EA9"/>
    <w:rsid w:val="4E4B30FD"/>
    <w:rsid w:val="4EB517F2"/>
    <w:rsid w:val="4F1156F4"/>
    <w:rsid w:val="4F293A6D"/>
    <w:rsid w:val="4F2B1E42"/>
    <w:rsid w:val="4F975815"/>
    <w:rsid w:val="4FDA7746"/>
    <w:rsid w:val="4FDC03A1"/>
    <w:rsid w:val="50304ED3"/>
    <w:rsid w:val="50554B7F"/>
    <w:rsid w:val="505D5410"/>
    <w:rsid w:val="50BA10E4"/>
    <w:rsid w:val="50E74E01"/>
    <w:rsid w:val="512025D6"/>
    <w:rsid w:val="515B5AA7"/>
    <w:rsid w:val="518C6764"/>
    <w:rsid w:val="51A508E7"/>
    <w:rsid w:val="51DD6022"/>
    <w:rsid w:val="523E0F91"/>
    <w:rsid w:val="526B1CE3"/>
    <w:rsid w:val="526E606C"/>
    <w:rsid w:val="52D003E7"/>
    <w:rsid w:val="52DB5734"/>
    <w:rsid w:val="52EA44E7"/>
    <w:rsid w:val="52F43FF6"/>
    <w:rsid w:val="52F608EB"/>
    <w:rsid w:val="53463EF0"/>
    <w:rsid w:val="53CB1303"/>
    <w:rsid w:val="53EA5979"/>
    <w:rsid w:val="540723BD"/>
    <w:rsid w:val="541C2491"/>
    <w:rsid w:val="543B4702"/>
    <w:rsid w:val="54464B8A"/>
    <w:rsid w:val="544762AC"/>
    <w:rsid w:val="544967CB"/>
    <w:rsid w:val="54870CE9"/>
    <w:rsid w:val="548C44D0"/>
    <w:rsid w:val="54AA393B"/>
    <w:rsid w:val="54F448A4"/>
    <w:rsid w:val="55180893"/>
    <w:rsid w:val="55847E23"/>
    <w:rsid w:val="56356DBB"/>
    <w:rsid w:val="564A004F"/>
    <w:rsid w:val="567D61CE"/>
    <w:rsid w:val="5697618B"/>
    <w:rsid w:val="56F56C5D"/>
    <w:rsid w:val="574232EE"/>
    <w:rsid w:val="57C54915"/>
    <w:rsid w:val="57F9070D"/>
    <w:rsid w:val="581B29CE"/>
    <w:rsid w:val="58A4226E"/>
    <w:rsid w:val="58DF2F7C"/>
    <w:rsid w:val="59774ACC"/>
    <w:rsid w:val="597E4A16"/>
    <w:rsid w:val="59DD1137"/>
    <w:rsid w:val="5A8326F7"/>
    <w:rsid w:val="5A9A53AC"/>
    <w:rsid w:val="5AC9244D"/>
    <w:rsid w:val="5AFE45BE"/>
    <w:rsid w:val="5B51582B"/>
    <w:rsid w:val="5BA109C3"/>
    <w:rsid w:val="5BBC1352"/>
    <w:rsid w:val="5C0476A0"/>
    <w:rsid w:val="5C147B09"/>
    <w:rsid w:val="5C3C0E61"/>
    <w:rsid w:val="5C672353"/>
    <w:rsid w:val="5CCA5622"/>
    <w:rsid w:val="5D1325AE"/>
    <w:rsid w:val="5D3A7375"/>
    <w:rsid w:val="5D89735E"/>
    <w:rsid w:val="5D8F700E"/>
    <w:rsid w:val="5DCA3A18"/>
    <w:rsid w:val="5E045326"/>
    <w:rsid w:val="5E107E5E"/>
    <w:rsid w:val="5EA844C4"/>
    <w:rsid w:val="5EAC1F1C"/>
    <w:rsid w:val="5F0F10E7"/>
    <w:rsid w:val="5F882086"/>
    <w:rsid w:val="5FB2142F"/>
    <w:rsid w:val="5FC7101F"/>
    <w:rsid w:val="600E18DB"/>
    <w:rsid w:val="60433FA6"/>
    <w:rsid w:val="60671524"/>
    <w:rsid w:val="60714E01"/>
    <w:rsid w:val="60717CF2"/>
    <w:rsid w:val="61322D83"/>
    <w:rsid w:val="61504E19"/>
    <w:rsid w:val="61B6101A"/>
    <w:rsid w:val="61F5736C"/>
    <w:rsid w:val="624B0111"/>
    <w:rsid w:val="6269762A"/>
    <w:rsid w:val="62704B5B"/>
    <w:rsid w:val="62894684"/>
    <w:rsid w:val="62B91878"/>
    <w:rsid w:val="62F06648"/>
    <w:rsid w:val="62F50074"/>
    <w:rsid w:val="630D619B"/>
    <w:rsid w:val="631876D7"/>
    <w:rsid w:val="634563ED"/>
    <w:rsid w:val="634D0E4E"/>
    <w:rsid w:val="63642BCE"/>
    <w:rsid w:val="63AB4186"/>
    <w:rsid w:val="644F2419"/>
    <w:rsid w:val="65742452"/>
    <w:rsid w:val="65A90B99"/>
    <w:rsid w:val="65B732B6"/>
    <w:rsid w:val="66811B16"/>
    <w:rsid w:val="66914062"/>
    <w:rsid w:val="66D41C46"/>
    <w:rsid w:val="67121848"/>
    <w:rsid w:val="672076F9"/>
    <w:rsid w:val="676C1E7F"/>
    <w:rsid w:val="67A12C4B"/>
    <w:rsid w:val="67C879E6"/>
    <w:rsid w:val="68527D75"/>
    <w:rsid w:val="685327A1"/>
    <w:rsid w:val="68720F3A"/>
    <w:rsid w:val="6895071F"/>
    <w:rsid w:val="68D423D1"/>
    <w:rsid w:val="696944ED"/>
    <w:rsid w:val="696A007A"/>
    <w:rsid w:val="697C30C8"/>
    <w:rsid w:val="69824A4D"/>
    <w:rsid w:val="69AD6C43"/>
    <w:rsid w:val="69EB2192"/>
    <w:rsid w:val="69F73489"/>
    <w:rsid w:val="6A86657E"/>
    <w:rsid w:val="6A9260A0"/>
    <w:rsid w:val="6A9C04C7"/>
    <w:rsid w:val="6B151F5A"/>
    <w:rsid w:val="6B3462D1"/>
    <w:rsid w:val="6B3B334A"/>
    <w:rsid w:val="6B4B0772"/>
    <w:rsid w:val="6B7D59FA"/>
    <w:rsid w:val="6BAE7DDB"/>
    <w:rsid w:val="6BB61486"/>
    <w:rsid w:val="6BDC2F65"/>
    <w:rsid w:val="6C543D68"/>
    <w:rsid w:val="6C6B3EF7"/>
    <w:rsid w:val="6C9A3C64"/>
    <w:rsid w:val="6CE53294"/>
    <w:rsid w:val="6CF0352F"/>
    <w:rsid w:val="6CFC1EF7"/>
    <w:rsid w:val="6D445338"/>
    <w:rsid w:val="6D692989"/>
    <w:rsid w:val="6DDB5465"/>
    <w:rsid w:val="6E0739D7"/>
    <w:rsid w:val="6E4D03A1"/>
    <w:rsid w:val="6E6E0BD2"/>
    <w:rsid w:val="6E6E2980"/>
    <w:rsid w:val="6E731A0D"/>
    <w:rsid w:val="6E7F7A62"/>
    <w:rsid w:val="6E9A19C7"/>
    <w:rsid w:val="6EB440E9"/>
    <w:rsid w:val="6ED27FA4"/>
    <w:rsid w:val="6F153637"/>
    <w:rsid w:val="6F7E124A"/>
    <w:rsid w:val="6FD40F09"/>
    <w:rsid w:val="702B7C24"/>
    <w:rsid w:val="70545BA6"/>
    <w:rsid w:val="707029DF"/>
    <w:rsid w:val="70B074D1"/>
    <w:rsid w:val="70FA499F"/>
    <w:rsid w:val="7123390F"/>
    <w:rsid w:val="71401B10"/>
    <w:rsid w:val="714F3FE5"/>
    <w:rsid w:val="717A200D"/>
    <w:rsid w:val="71C575A5"/>
    <w:rsid w:val="7285473C"/>
    <w:rsid w:val="73080A44"/>
    <w:rsid w:val="736C3DBA"/>
    <w:rsid w:val="739F72F3"/>
    <w:rsid w:val="73B07652"/>
    <w:rsid w:val="73DC6C44"/>
    <w:rsid w:val="73EC6785"/>
    <w:rsid w:val="73F42B72"/>
    <w:rsid w:val="74522E59"/>
    <w:rsid w:val="746F3FC4"/>
    <w:rsid w:val="74DD0F83"/>
    <w:rsid w:val="74DE1AB1"/>
    <w:rsid w:val="752E10AF"/>
    <w:rsid w:val="75526B58"/>
    <w:rsid w:val="755E3691"/>
    <w:rsid w:val="757E7345"/>
    <w:rsid w:val="759C12DB"/>
    <w:rsid w:val="75B66CB7"/>
    <w:rsid w:val="75C30DC4"/>
    <w:rsid w:val="75FE283B"/>
    <w:rsid w:val="765F4CD8"/>
    <w:rsid w:val="769549C0"/>
    <w:rsid w:val="76A514C8"/>
    <w:rsid w:val="76ED6AD1"/>
    <w:rsid w:val="777B00BC"/>
    <w:rsid w:val="77974721"/>
    <w:rsid w:val="77B7138C"/>
    <w:rsid w:val="77F3500A"/>
    <w:rsid w:val="78040EAB"/>
    <w:rsid w:val="78354103"/>
    <w:rsid w:val="787D249B"/>
    <w:rsid w:val="78896A97"/>
    <w:rsid w:val="78F369D5"/>
    <w:rsid w:val="799D7640"/>
    <w:rsid w:val="79A0404F"/>
    <w:rsid w:val="79C26734"/>
    <w:rsid w:val="7AA4197D"/>
    <w:rsid w:val="7AA6776D"/>
    <w:rsid w:val="7AB05834"/>
    <w:rsid w:val="7AD72F66"/>
    <w:rsid w:val="7AFF36A9"/>
    <w:rsid w:val="7B7F57B8"/>
    <w:rsid w:val="7BB44029"/>
    <w:rsid w:val="7BE73D72"/>
    <w:rsid w:val="7BFC4EE4"/>
    <w:rsid w:val="7C14558C"/>
    <w:rsid w:val="7C381D81"/>
    <w:rsid w:val="7C472F78"/>
    <w:rsid w:val="7D6E7127"/>
    <w:rsid w:val="7D89584C"/>
    <w:rsid w:val="7DB74351"/>
    <w:rsid w:val="7E311A31"/>
    <w:rsid w:val="7E507AA1"/>
    <w:rsid w:val="7E5A7B78"/>
    <w:rsid w:val="7E6D46AA"/>
    <w:rsid w:val="7EF853D2"/>
    <w:rsid w:val="7F381468"/>
    <w:rsid w:val="7F6763F4"/>
    <w:rsid w:val="7F9929DC"/>
    <w:rsid w:val="7FAF7FE8"/>
    <w:rsid w:val="7FC401FE"/>
    <w:rsid w:val="7FD27C07"/>
    <w:rsid w:val="7FD863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Normal Indent"/>
    <w:basedOn w:val="1"/>
    <w:unhideWhenUsed/>
    <w:qFormat/>
    <w:uiPriority w:val="99"/>
    <w:pPr>
      <w:ind w:firstLine="420"/>
    </w:pPr>
    <w:rPr>
      <w:szCs w:val="20"/>
    </w:rPr>
  </w:style>
  <w:style w:type="paragraph" w:styleId="4">
    <w:name w:val="annotation text"/>
    <w:basedOn w:val="1"/>
    <w:link w:val="27"/>
    <w:qFormat/>
    <w:uiPriority w:val="0"/>
    <w:pPr>
      <w:spacing w:line="360" w:lineRule="auto"/>
      <w:ind w:firstLine="523" w:firstLineChars="218"/>
      <w:jc w:val="left"/>
    </w:pPr>
    <w:rPr>
      <w:rFonts w:ascii="宋体" w:hAnsi="宋体"/>
      <w:kern w:val="0"/>
      <w:sz w:val="24"/>
      <w:szCs w:val="24"/>
      <w:lang w:val="zh-CN"/>
    </w:rPr>
  </w:style>
  <w:style w:type="paragraph" w:styleId="5">
    <w:name w:val="Body Text"/>
    <w:basedOn w:val="1"/>
    <w:link w:val="22"/>
    <w:semiHidden/>
    <w:unhideWhenUsed/>
    <w:qFormat/>
    <w:uiPriority w:val="99"/>
    <w:pPr>
      <w:spacing w:after="120"/>
    </w:pPr>
  </w:style>
  <w:style w:type="paragraph" w:styleId="6">
    <w:name w:val="Balloon Text"/>
    <w:basedOn w:val="1"/>
    <w:link w:val="28"/>
    <w:semiHidden/>
    <w:unhideWhenUsed/>
    <w:qFormat/>
    <w:uiPriority w:val="99"/>
    <w:rPr>
      <w:sz w:val="18"/>
      <w:szCs w:val="18"/>
    </w:rPr>
  </w:style>
  <w:style w:type="paragraph" w:styleId="7">
    <w:name w:val="footer"/>
    <w:basedOn w:val="1"/>
    <w:link w:val="21"/>
    <w:unhideWhenUsed/>
    <w:qFormat/>
    <w:uiPriority w:val="0"/>
    <w:pPr>
      <w:tabs>
        <w:tab w:val="center" w:pos="4153"/>
        <w:tab w:val="right" w:pos="8306"/>
      </w:tabs>
      <w:snapToGrid w:val="0"/>
      <w:jc w:val="left"/>
    </w:pPr>
    <w:rPr>
      <w:sz w:val="18"/>
      <w:szCs w:val="18"/>
    </w:rPr>
  </w:style>
  <w:style w:type="paragraph" w:styleId="8">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10">
    <w:name w:val="Body Text 2"/>
    <w:basedOn w:val="1"/>
    <w:link w:val="24"/>
    <w:qFormat/>
    <w:uiPriority w:val="0"/>
    <w:rPr>
      <w:rFonts w:ascii="宋体" w:hAnsi="宋体"/>
      <w:kern w:val="0"/>
      <w:sz w:val="20"/>
      <w:szCs w:val="24"/>
      <w:u w:val="single"/>
      <w:lang w:val="zh-CN"/>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annotation subject"/>
    <w:basedOn w:val="4"/>
    <w:next w:val="4"/>
    <w:link w:val="29"/>
    <w:semiHidden/>
    <w:unhideWhenUsed/>
    <w:qFormat/>
    <w:uiPriority w:val="99"/>
    <w:pPr>
      <w:spacing w:line="240" w:lineRule="auto"/>
      <w:ind w:firstLine="0" w:firstLineChars="0"/>
    </w:pPr>
    <w:rPr>
      <w:rFonts w:ascii="Calibri" w:hAnsi="Calibri"/>
      <w:b/>
      <w:bCs/>
      <w:kern w:val="2"/>
      <w:sz w:val="21"/>
      <w:szCs w:val="22"/>
      <w:lang w:val="en-US"/>
    </w:rPr>
  </w:style>
  <w:style w:type="paragraph" w:styleId="13">
    <w:name w:val="Body Text First Indent"/>
    <w:basedOn w:val="5"/>
    <w:link w:val="23"/>
    <w:qFormat/>
    <w:uiPriority w:val="0"/>
    <w:pPr>
      <w:ind w:firstLine="420"/>
    </w:pPr>
    <w:rPr>
      <w:rFonts w:ascii="Times New Roman" w:hAnsi="Times New Roman"/>
      <w:kern w:val="0"/>
      <w:sz w:val="20"/>
      <w:szCs w:val="20"/>
      <w:lang w:val="zh-CN"/>
    </w:rPr>
  </w:style>
  <w:style w:type="character" w:styleId="16">
    <w:name w:val="page number"/>
    <w:qFormat/>
    <w:uiPriority w:val="0"/>
    <w:rPr>
      <w:rFonts w:cs="Times New Roman"/>
    </w:rPr>
  </w:style>
  <w:style w:type="character" w:styleId="17">
    <w:name w:val="FollowedHyperlink"/>
    <w:basedOn w:val="15"/>
    <w:semiHidden/>
    <w:unhideWhenUsed/>
    <w:qFormat/>
    <w:uiPriority w:val="99"/>
    <w:rPr>
      <w:color w:val="000000"/>
      <w:u w:val="none"/>
    </w:rPr>
  </w:style>
  <w:style w:type="character" w:styleId="18">
    <w:name w:val="Hyperlink"/>
    <w:basedOn w:val="15"/>
    <w:semiHidden/>
    <w:unhideWhenUsed/>
    <w:qFormat/>
    <w:uiPriority w:val="99"/>
    <w:rPr>
      <w:color w:val="000000"/>
      <w:u w:val="none"/>
    </w:rPr>
  </w:style>
  <w:style w:type="character" w:styleId="19">
    <w:name w:val="annotation reference"/>
    <w:qFormat/>
    <w:uiPriority w:val="0"/>
    <w:rPr>
      <w:sz w:val="21"/>
      <w:szCs w:val="21"/>
    </w:rPr>
  </w:style>
  <w:style w:type="character" w:customStyle="1" w:styleId="20">
    <w:name w:val="页眉 字符"/>
    <w:basedOn w:val="15"/>
    <w:link w:val="8"/>
    <w:qFormat/>
    <w:uiPriority w:val="0"/>
    <w:rPr>
      <w:sz w:val="18"/>
      <w:szCs w:val="18"/>
    </w:rPr>
  </w:style>
  <w:style w:type="character" w:customStyle="1" w:styleId="21">
    <w:name w:val="页脚 字符"/>
    <w:basedOn w:val="15"/>
    <w:link w:val="7"/>
    <w:qFormat/>
    <w:uiPriority w:val="0"/>
    <w:rPr>
      <w:sz w:val="18"/>
      <w:szCs w:val="18"/>
    </w:rPr>
  </w:style>
  <w:style w:type="character" w:customStyle="1" w:styleId="22">
    <w:name w:val="正文文本 字符"/>
    <w:basedOn w:val="15"/>
    <w:link w:val="5"/>
    <w:semiHidden/>
    <w:qFormat/>
    <w:uiPriority w:val="99"/>
    <w:rPr>
      <w:rFonts w:ascii="Calibri" w:hAnsi="Calibri" w:eastAsia="宋体" w:cs="Times New Roman"/>
    </w:rPr>
  </w:style>
  <w:style w:type="character" w:customStyle="1" w:styleId="23">
    <w:name w:val="正文首行缩进 字符"/>
    <w:basedOn w:val="22"/>
    <w:link w:val="13"/>
    <w:qFormat/>
    <w:uiPriority w:val="0"/>
    <w:rPr>
      <w:rFonts w:ascii="Times New Roman" w:hAnsi="Times New Roman" w:eastAsia="宋体" w:cs="Times New Roman"/>
      <w:kern w:val="0"/>
      <w:sz w:val="20"/>
      <w:szCs w:val="20"/>
      <w:lang w:val="zh-CN" w:eastAsia="zh-CN"/>
    </w:rPr>
  </w:style>
  <w:style w:type="character" w:customStyle="1" w:styleId="24">
    <w:name w:val="正文文本 2 字符"/>
    <w:basedOn w:val="15"/>
    <w:link w:val="10"/>
    <w:qFormat/>
    <w:uiPriority w:val="0"/>
    <w:rPr>
      <w:rFonts w:ascii="宋体" w:hAnsi="宋体" w:eastAsia="宋体" w:cs="Times New Roman"/>
      <w:kern w:val="0"/>
      <w:sz w:val="20"/>
      <w:szCs w:val="24"/>
      <w:u w:val="single"/>
      <w:lang w:val="zh-CN" w:eastAsia="zh-CN"/>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
    <w:name w:val="发文落款"/>
    <w:basedOn w:val="25"/>
    <w:qFormat/>
    <w:uiPriority w:val="0"/>
    <w:pPr>
      <w:ind w:left="4094" w:right="607" w:firstLine="0"/>
      <w:jc w:val="center"/>
    </w:pPr>
  </w:style>
  <w:style w:type="character" w:customStyle="1" w:styleId="27">
    <w:name w:val="批注文字 字符"/>
    <w:basedOn w:val="15"/>
    <w:link w:val="4"/>
    <w:qFormat/>
    <w:uiPriority w:val="0"/>
    <w:rPr>
      <w:rFonts w:ascii="宋体" w:hAnsi="宋体" w:eastAsia="宋体" w:cs="Times New Roman"/>
      <w:kern w:val="0"/>
      <w:sz w:val="24"/>
      <w:szCs w:val="24"/>
      <w:lang w:val="zh-CN" w:eastAsia="zh-CN"/>
    </w:rPr>
  </w:style>
  <w:style w:type="character" w:customStyle="1" w:styleId="28">
    <w:name w:val="批注框文本 字符"/>
    <w:basedOn w:val="15"/>
    <w:link w:val="6"/>
    <w:semiHidden/>
    <w:qFormat/>
    <w:uiPriority w:val="99"/>
    <w:rPr>
      <w:rFonts w:ascii="Calibri" w:hAnsi="Calibri" w:eastAsia="宋体" w:cs="Times New Roman"/>
      <w:sz w:val="18"/>
      <w:szCs w:val="18"/>
    </w:rPr>
  </w:style>
  <w:style w:type="character" w:customStyle="1" w:styleId="29">
    <w:name w:val="批注主题 字符"/>
    <w:basedOn w:val="27"/>
    <w:link w:val="12"/>
    <w:semiHidden/>
    <w:qFormat/>
    <w:uiPriority w:val="99"/>
    <w:rPr>
      <w:rFonts w:ascii="Calibri" w:hAnsi="Calibri" w:eastAsia="宋体" w:cs="Times New Roman"/>
      <w:b/>
      <w:bCs/>
      <w:kern w:val="0"/>
      <w:sz w:val="24"/>
      <w:szCs w:val="24"/>
      <w:lang w:val="zh-CN" w:eastAsia="zh-CN"/>
    </w:rPr>
  </w:style>
  <w:style w:type="paragraph" w:customStyle="1" w:styleId="30">
    <w:name w:val="列出段落1"/>
    <w:basedOn w:val="1"/>
    <w:qFormat/>
    <w:uiPriority w:val="34"/>
    <w:pPr>
      <w:widowControl/>
      <w:adjustRightInd w:val="0"/>
      <w:snapToGrid w:val="0"/>
      <w:ind w:firstLine="420"/>
      <w:jc w:val="left"/>
    </w:pPr>
    <w:rPr>
      <w:rFonts w:eastAsia="PMingLiU"/>
      <w:snapToGrid w:val="0"/>
      <w:kern w:val="0"/>
      <w:sz w:val="22"/>
      <w:lang w:val="en-GB" w:eastAsia="en-US"/>
    </w:rPr>
  </w:style>
  <w:style w:type="character" w:customStyle="1" w:styleId="31">
    <w:name w:val="times"/>
    <w:basedOn w:val="15"/>
    <w:qFormat/>
    <w:uiPriority w:val="0"/>
    <w:rPr>
      <w:color w:val="3399FF"/>
      <w:bdr w:val="single" w:color="D1EDF8" w:sz="6" w:space="0"/>
      <w:shd w:val="clear" w:color="auto" w:fill="EAF9FF"/>
    </w:rPr>
  </w:style>
  <w:style w:type="character" w:customStyle="1" w:styleId="32">
    <w:name w:val="times1"/>
    <w:basedOn w:val="15"/>
    <w:qFormat/>
    <w:uiPriority w:val="0"/>
    <w:rPr>
      <w:color w:val="CDCDCD"/>
      <w:bdr w:val="single" w:color="CDCDCD" w:sz="6" w:space="0"/>
      <w:shd w:val="clear" w:color="auto" w:fill="EFEFEF"/>
    </w:rPr>
  </w:style>
  <w:style w:type="character" w:customStyle="1" w:styleId="33">
    <w:name w:val="hover42"/>
    <w:basedOn w:val="15"/>
    <w:qFormat/>
    <w:uiPriority w:val="0"/>
  </w:style>
  <w:style w:type="character" w:customStyle="1" w:styleId="34">
    <w:name w:val="hover40"/>
    <w:basedOn w:val="15"/>
    <w:qFormat/>
    <w:uiPriority w:val="0"/>
  </w:style>
  <w:style w:type="character" w:customStyle="1" w:styleId="35">
    <w:name w:val="hover41"/>
    <w:basedOn w:val="15"/>
    <w:qFormat/>
    <w:uiPriority w:val="0"/>
  </w:style>
  <w:style w:type="paragraph" w:customStyle="1" w:styleId="36">
    <w:name w:val="文一"/>
    <w:basedOn w:val="1"/>
    <w:qFormat/>
    <w:uiPriority w:val="0"/>
    <w:pPr>
      <w:topLinePunct/>
      <w:adjustRightInd w:val="0"/>
      <w:snapToGrid w:val="0"/>
      <w:spacing w:line="360" w:lineRule="auto"/>
      <w:ind w:firstLine="200" w:firstLineChars="200"/>
    </w:pPr>
    <w:rPr>
      <w:spacing w:val="4"/>
      <w:sz w:val="24"/>
    </w:rPr>
  </w:style>
  <w:style w:type="paragraph" w:customStyle="1" w:styleId="37">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6881</Words>
  <Characters>7335</Characters>
  <Lines>55</Lines>
  <Paragraphs>15</Paragraphs>
  <TotalTime>1</TotalTime>
  <ScaleCrop>false</ScaleCrop>
  <LinksUpToDate>false</LinksUpToDate>
  <CharactersWithSpaces>7569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2023-05-29T03:17:00Z</dcterms:created>
  <dc:creator>xbx</dc:creator>
  <cp:lastModifiedBy>NTKO</cp:lastModifiedBy>
  <dcterms:modified xsi:type="dcterms:W3CDTF">2023-06-06T09:28:28Z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7F0DE31311A541FEB4FE1B566AD7718D</vt:lpwstr>
  </property>
  <property fmtid="{D5CDD505-2E9C-101B-9397-08002B2CF9AE}" pid="4" name="commondata">
    <vt:lpwstr>eyJoZGlkIjoiNDcxNjdiZTdjOTc2MTkwNWM3NDg3YmYxMTBjZDU5ODgifQ==</vt:lpwstr>
  </property>
</Properties>
</file>