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宋体" w:hAnsi="宋体"/>
          <w:b/>
          <w:sz w:val="36"/>
          <w:szCs w:val="36"/>
        </w:rPr>
      </w:pPr>
      <w:r>
        <w:rPr>
          <w:rFonts w:hint="eastAsia" w:ascii="宋体" w:hAnsi="宋体"/>
          <w:b/>
          <w:sz w:val="36"/>
          <w:szCs w:val="36"/>
        </w:rPr>
        <w:t>增城区仙村镇大有围达标加固工程（下基标段）</w:t>
      </w:r>
    </w:p>
    <w:p>
      <w:pPr>
        <w:widowControl/>
        <w:jc w:val="center"/>
        <w:rPr>
          <w:rFonts w:hint="eastAsia" w:ascii="宋体" w:hAnsi="宋体" w:eastAsiaTheme="minorEastAsia"/>
          <w:b/>
          <w:sz w:val="36"/>
          <w:szCs w:val="36"/>
          <w:lang w:eastAsia="zh-CN"/>
        </w:rPr>
      </w:pPr>
      <w:r>
        <w:rPr>
          <w:rFonts w:hint="eastAsia" w:ascii="宋体" w:hAnsi="宋体"/>
          <w:b/>
          <w:sz w:val="36"/>
          <w:szCs w:val="36"/>
          <w:lang w:eastAsia="zh-CN"/>
        </w:rPr>
        <w:t>补充公告</w:t>
      </w:r>
    </w:p>
    <w:p>
      <w:pPr>
        <w:widowControl/>
        <w:jc w:val="center"/>
        <w:rPr>
          <w:rFonts w:hint="eastAsia" w:ascii="宋体" w:hAnsi="宋体" w:eastAsia="宋体" w:cs="宋体"/>
          <w:color w:val="333333"/>
          <w:kern w:val="0"/>
          <w:sz w:val="28"/>
          <w:szCs w:val="28"/>
          <w:lang w:val="en-US" w:eastAsia="zh-CN" w:bidi="ar"/>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2"/>
        <w:jc w:val="both"/>
        <w:textAlignment w:val="auto"/>
        <w:rPr>
          <w:rFonts w:hint="eastAsia" w:asciiTheme="minorHAnsi" w:hAnsiTheme="minorHAnsi" w:eastAsiaTheme="minorEastAsia" w:cstheme="minorBidi"/>
          <w:kern w:val="2"/>
          <w:sz w:val="24"/>
          <w:szCs w:val="24"/>
          <w:lang w:val="en-US" w:eastAsia="zh-CN" w:bidi="ar-SA"/>
        </w:rPr>
      </w:pPr>
      <w:r>
        <w:rPr>
          <w:rFonts w:hint="eastAsia" w:ascii="宋体" w:hAnsi="宋体" w:eastAsia="宋体" w:cs="宋体"/>
          <w:color w:val="333333"/>
          <w:kern w:val="0"/>
          <w:sz w:val="28"/>
          <w:szCs w:val="28"/>
          <w:lang w:val="en-US" w:eastAsia="zh-CN" w:bidi="ar"/>
        </w:rPr>
        <w:t xml:space="preserve"> </w:t>
      </w:r>
      <w:r>
        <w:rPr>
          <w:rFonts w:hint="eastAsia" w:asciiTheme="minorHAnsi" w:hAnsiTheme="minorHAnsi" w:eastAsiaTheme="minorEastAsia" w:cstheme="minorBidi"/>
          <w:kern w:val="2"/>
          <w:sz w:val="24"/>
          <w:szCs w:val="24"/>
          <w:lang w:val="en-US" w:eastAsia="zh-CN" w:bidi="ar-SA"/>
        </w:rPr>
        <w:t xml:space="preserve"> 增城区仙村镇大有围达标加固工程（下基标段）[</w:t>
      </w:r>
      <w:r>
        <w:rPr>
          <w:rFonts w:hint="eastAsia" w:ascii="宋体" w:hAnsi="宋体" w:eastAsia="宋体" w:cs="宋体"/>
          <w:sz w:val="24"/>
          <w:szCs w:val="24"/>
        </w:rPr>
        <w:t>项目编号：</w:t>
      </w:r>
      <w:r>
        <w:rPr>
          <w:rFonts w:hint="eastAsia" w:asciiTheme="minorHAnsi" w:hAnsiTheme="minorHAnsi" w:eastAsiaTheme="minorEastAsia" w:cstheme="minorBidi"/>
          <w:kern w:val="2"/>
          <w:sz w:val="24"/>
          <w:szCs w:val="24"/>
          <w:lang w:val="en-US" w:eastAsia="zh-CN" w:bidi="ar-SA"/>
        </w:rPr>
        <w:t>JG2023-2969]已于2023年6月2日在广州公共资源交易中心等媒介发布招标公告、招标文件，现对原招标公告、招标文件的相关内容作如下修改。已办理投标登记的投标单位仍然有效，并可以在本项目最新规定的时间内补充或者更新办理投标登记信息，未办理投标登记的单位可以继续参加投标并办理投标登记。</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firstLine="482" w:firstLineChars="200"/>
        <w:textAlignment w:val="auto"/>
        <w:rPr>
          <w:rFonts w:hint="eastAsia" w:ascii="宋体" w:hAnsi="宋体" w:cs="宋体"/>
          <w:b/>
          <w:bCs/>
          <w:sz w:val="24"/>
          <w:szCs w:val="24"/>
        </w:rPr>
      </w:pPr>
      <w:r>
        <w:rPr>
          <w:rFonts w:hint="eastAsia" w:ascii="宋体" w:hAnsi="宋体" w:cs="宋体"/>
          <w:b/>
          <w:bCs/>
          <w:sz w:val="24"/>
          <w:szCs w:val="24"/>
        </w:rPr>
        <w:t>现对原招标公告及招标文件作如下修改：</w:t>
      </w:r>
    </w:p>
    <w:tbl>
      <w:tblPr>
        <w:tblStyle w:val="11"/>
        <w:tblpPr w:leftFromText="180" w:rightFromText="180" w:vertAnchor="text" w:horzAnchor="page" w:tblpX="1108" w:tblpY="293"/>
        <w:tblOverlap w:val="never"/>
        <w:tblW w:w="98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8"/>
        <w:gridCol w:w="3604"/>
        <w:gridCol w:w="4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688" w:type="dxa"/>
            <w:noWrap w:val="0"/>
            <w:vAlign w:val="center"/>
          </w:tcPr>
          <w:p>
            <w:pPr>
              <w:pStyle w:val="2"/>
              <w:ind w:left="0" w:leftChars="0" w:firstLine="0" w:firstLineChars="0"/>
              <w:rPr>
                <w:rFonts w:hint="eastAsia" w:ascii="宋体" w:hAnsi="宋体" w:cs="宋体"/>
                <w:b/>
                <w:sz w:val="24"/>
                <w:szCs w:val="24"/>
              </w:rPr>
            </w:pPr>
            <w:r>
              <w:rPr>
                <w:rFonts w:hint="eastAsia"/>
                <w:sz w:val="24"/>
                <w:szCs w:val="24"/>
              </w:rPr>
              <w:t xml:space="preserve">     </w:t>
            </w:r>
            <w:r>
              <w:rPr>
                <w:rFonts w:hint="eastAsia" w:ascii="宋体" w:hAnsi="宋体" w:cs="宋体"/>
                <w:b/>
                <w:sz w:val="24"/>
                <w:szCs w:val="24"/>
              </w:rPr>
              <w:t>条款号</w:t>
            </w:r>
          </w:p>
        </w:tc>
        <w:tc>
          <w:tcPr>
            <w:tcW w:w="3604" w:type="dxa"/>
            <w:noWrap w:val="0"/>
            <w:vAlign w:val="center"/>
          </w:tcPr>
          <w:p>
            <w:pPr>
              <w:spacing w:line="400" w:lineRule="exact"/>
              <w:jc w:val="center"/>
              <w:rPr>
                <w:rFonts w:hint="eastAsia" w:ascii="宋体" w:hAnsi="宋体" w:cs="宋体"/>
                <w:b/>
                <w:sz w:val="24"/>
                <w:szCs w:val="24"/>
              </w:rPr>
            </w:pPr>
            <w:r>
              <w:rPr>
                <w:rFonts w:hint="eastAsia" w:ascii="宋体" w:hAnsi="宋体" w:cs="宋体"/>
                <w:b/>
                <w:sz w:val="24"/>
                <w:szCs w:val="24"/>
              </w:rPr>
              <w:t>原文</w:t>
            </w:r>
          </w:p>
        </w:tc>
        <w:tc>
          <w:tcPr>
            <w:tcW w:w="4592" w:type="dxa"/>
            <w:noWrap w:val="0"/>
            <w:vAlign w:val="center"/>
          </w:tcPr>
          <w:p>
            <w:pPr>
              <w:spacing w:line="400" w:lineRule="exact"/>
              <w:jc w:val="center"/>
              <w:rPr>
                <w:rFonts w:hint="eastAsia" w:ascii="宋体" w:hAnsi="宋体" w:cs="宋体"/>
                <w:b/>
                <w:sz w:val="24"/>
                <w:szCs w:val="24"/>
              </w:rPr>
            </w:pPr>
            <w:r>
              <w:rPr>
                <w:rFonts w:hint="eastAsia" w:ascii="宋体" w:hAnsi="宋体" w:cs="宋体"/>
                <w:b/>
                <w:sz w:val="24"/>
                <w:szCs w:val="24"/>
              </w:rPr>
              <w:t>现文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688" w:type="dxa"/>
            <w:noWrap w:val="0"/>
            <w:vAlign w:val="center"/>
          </w:tcPr>
          <w:p>
            <w:pPr>
              <w:pStyle w:val="2"/>
              <w:ind w:left="0" w:leftChars="0" w:firstLine="0" w:firstLineChars="0"/>
              <w:rPr>
                <w:rFonts w:hint="eastAsia"/>
                <w:sz w:val="24"/>
                <w:szCs w:val="24"/>
              </w:rPr>
            </w:pPr>
            <w:r>
              <w:rPr>
                <w:rFonts w:hint="eastAsia" w:ascii="宋体" w:hAnsi="宋体" w:cs="宋体"/>
                <w:sz w:val="24"/>
                <w:szCs w:val="24"/>
              </w:rPr>
              <w:t>招标公告第</w:t>
            </w:r>
            <w:r>
              <w:rPr>
                <w:rFonts w:hint="eastAsia" w:ascii="宋体" w:hAnsi="宋体" w:cs="宋体"/>
                <w:sz w:val="24"/>
                <w:szCs w:val="24"/>
                <w:lang w:val="en-US" w:eastAsia="zh-CN"/>
              </w:rPr>
              <w:t>3.6</w:t>
            </w:r>
            <w:r>
              <w:rPr>
                <w:rFonts w:hint="eastAsia" w:ascii="宋体" w:hAnsi="宋体" w:cs="宋体"/>
                <w:sz w:val="24"/>
                <w:szCs w:val="24"/>
              </w:rPr>
              <w:t>条款</w:t>
            </w:r>
          </w:p>
        </w:tc>
        <w:tc>
          <w:tcPr>
            <w:tcW w:w="3604" w:type="dxa"/>
            <w:noWrap w:val="0"/>
            <w:vAlign w:val="center"/>
          </w:tcPr>
          <w:p>
            <w:pPr>
              <w:widowControl/>
              <w:spacing w:before="94" w:after="94" w:line="360" w:lineRule="auto"/>
              <w:jc w:val="left"/>
              <w:rPr>
                <w:rFonts w:hint="eastAsia" w:ascii="宋体" w:hAnsi="宋体" w:cs="宋体"/>
                <w:kern w:val="0"/>
                <w:sz w:val="24"/>
                <w:szCs w:val="24"/>
              </w:rPr>
            </w:pPr>
            <w:r>
              <w:rPr>
                <w:rFonts w:hint="eastAsia" w:ascii="宋体" w:hAnsi="宋体" w:cs="宋体"/>
                <w:kern w:val="0"/>
                <w:sz w:val="24"/>
                <w:szCs w:val="24"/>
                <w:lang w:val="en-US" w:eastAsia="zh-CN"/>
              </w:rPr>
              <w:t>3.6</w:t>
            </w:r>
            <w:r>
              <w:rPr>
                <w:rFonts w:hint="eastAsia" w:ascii="宋体" w:hAnsi="宋体" w:cs="宋体"/>
                <w:kern w:val="0"/>
                <w:sz w:val="24"/>
                <w:szCs w:val="24"/>
              </w:rPr>
              <w:t>提交社保文件的要求</w:t>
            </w:r>
          </w:p>
          <w:p>
            <w:pPr>
              <w:widowControl/>
              <w:spacing w:before="94" w:after="94" w:line="360" w:lineRule="auto"/>
              <w:jc w:val="left"/>
              <w:rPr>
                <w:rFonts w:hint="eastAsia" w:ascii="宋体" w:hAnsi="宋体" w:cs="宋体"/>
                <w:b/>
                <w:sz w:val="24"/>
                <w:szCs w:val="24"/>
              </w:rPr>
            </w:pPr>
            <w:r>
              <w:rPr>
                <w:rFonts w:hint="eastAsia" w:ascii="宋体" w:hAnsi="宋体" w:cs="宋体"/>
                <w:kern w:val="0"/>
                <w:sz w:val="24"/>
                <w:szCs w:val="24"/>
              </w:rPr>
              <w:t>投标申请人须保证授权的委托代理人及项目部主要组成人员（项目负责人、技术负责人（如有）、专职安全员）均为本单位的正式职工，必须具有离投标截止时间最近6个月（时间为：</w:t>
            </w:r>
            <w:r>
              <w:rPr>
                <w:rFonts w:hint="eastAsia" w:ascii="宋体" w:hAnsi="宋体" w:cs="宋体"/>
                <w:b/>
                <w:bCs/>
                <w:kern w:val="0"/>
                <w:sz w:val="24"/>
                <w:szCs w:val="24"/>
              </w:rPr>
              <w:t>2022年12月至2023年5月</w:t>
            </w:r>
            <w:r>
              <w:rPr>
                <w:rFonts w:hint="eastAsia" w:ascii="宋体" w:hAnsi="宋体" w:cs="宋体"/>
                <w:kern w:val="0"/>
                <w:sz w:val="24"/>
                <w:szCs w:val="24"/>
              </w:rPr>
              <w:t>）在本单位交纳的社保证明文件（以加盖社会保险基金管理中心印章的《投保单》或《社会保险参保人员证明》资料为准）。</w:t>
            </w:r>
          </w:p>
        </w:tc>
        <w:tc>
          <w:tcPr>
            <w:tcW w:w="4592" w:type="dxa"/>
            <w:noWrap w:val="0"/>
            <w:vAlign w:val="center"/>
          </w:tcPr>
          <w:p>
            <w:pPr>
              <w:widowControl/>
              <w:spacing w:before="94" w:after="94" w:line="360" w:lineRule="auto"/>
              <w:jc w:val="left"/>
              <w:rPr>
                <w:rFonts w:hint="eastAsia" w:ascii="宋体" w:hAnsi="宋体" w:cs="宋体"/>
                <w:kern w:val="0"/>
                <w:sz w:val="24"/>
                <w:szCs w:val="24"/>
              </w:rPr>
            </w:pPr>
            <w:r>
              <w:rPr>
                <w:rFonts w:hint="eastAsia" w:ascii="宋体" w:hAnsi="宋体" w:cs="宋体"/>
                <w:kern w:val="0"/>
                <w:sz w:val="24"/>
                <w:szCs w:val="24"/>
                <w:lang w:val="en-US" w:eastAsia="zh-CN"/>
              </w:rPr>
              <w:t>3.6</w:t>
            </w:r>
            <w:r>
              <w:rPr>
                <w:rFonts w:hint="eastAsia" w:ascii="宋体" w:hAnsi="宋体" w:cs="宋体"/>
                <w:kern w:val="0"/>
                <w:sz w:val="24"/>
                <w:szCs w:val="24"/>
              </w:rPr>
              <w:t>提交社保文件的要求</w:t>
            </w:r>
          </w:p>
          <w:p>
            <w:pPr>
              <w:spacing w:line="400" w:lineRule="exact"/>
              <w:jc w:val="center"/>
              <w:rPr>
                <w:rFonts w:hint="eastAsia" w:ascii="宋体" w:hAnsi="宋体" w:cs="宋体"/>
                <w:b/>
                <w:sz w:val="24"/>
                <w:szCs w:val="24"/>
              </w:rPr>
            </w:pPr>
            <w:r>
              <w:rPr>
                <w:rFonts w:hint="eastAsia" w:ascii="宋体" w:hAnsi="宋体" w:cs="宋体"/>
                <w:kern w:val="0"/>
                <w:sz w:val="24"/>
                <w:szCs w:val="24"/>
              </w:rPr>
              <w:t>投标申请人须保证授权的委托代理人及项目部主要组成人员（项目负责人、技术负责人（如有）、专职安全员）均为本单位的正式职工，必须具有离投标截止时间最近6个月（时间为：</w:t>
            </w:r>
            <w:r>
              <w:rPr>
                <w:rFonts w:hint="eastAsia" w:ascii="宋体" w:hAnsi="宋体" w:cs="宋体"/>
                <w:b/>
                <w:bCs/>
                <w:kern w:val="0"/>
                <w:sz w:val="24"/>
                <w:szCs w:val="24"/>
                <w:u w:val="single"/>
              </w:rPr>
              <w:t>202</w:t>
            </w:r>
            <w:r>
              <w:rPr>
                <w:rFonts w:hint="eastAsia" w:ascii="宋体" w:hAnsi="宋体" w:cs="宋体"/>
                <w:b/>
                <w:bCs/>
                <w:kern w:val="0"/>
                <w:sz w:val="24"/>
                <w:szCs w:val="24"/>
                <w:u w:val="single"/>
                <w:lang w:val="en-US" w:eastAsia="zh-CN"/>
              </w:rPr>
              <w:t>3</w:t>
            </w:r>
            <w:r>
              <w:rPr>
                <w:rFonts w:hint="eastAsia" w:ascii="宋体" w:hAnsi="宋体" w:cs="宋体"/>
                <w:b/>
                <w:bCs/>
                <w:kern w:val="0"/>
                <w:sz w:val="24"/>
                <w:szCs w:val="24"/>
                <w:u w:val="single"/>
              </w:rPr>
              <w:t>年</w:t>
            </w:r>
            <w:r>
              <w:rPr>
                <w:rFonts w:hint="eastAsia" w:ascii="宋体" w:hAnsi="宋体" w:cs="宋体"/>
                <w:b/>
                <w:bCs/>
                <w:kern w:val="0"/>
                <w:sz w:val="24"/>
                <w:szCs w:val="24"/>
                <w:u w:val="single"/>
                <w:lang w:val="en-US" w:eastAsia="zh-CN"/>
              </w:rPr>
              <w:t>1</w:t>
            </w:r>
            <w:r>
              <w:rPr>
                <w:rFonts w:hint="eastAsia" w:ascii="宋体" w:hAnsi="宋体" w:cs="宋体"/>
                <w:b/>
                <w:bCs/>
                <w:kern w:val="0"/>
                <w:sz w:val="24"/>
                <w:szCs w:val="24"/>
                <w:u w:val="single"/>
              </w:rPr>
              <w:t>月至2023年</w:t>
            </w:r>
            <w:r>
              <w:rPr>
                <w:rFonts w:hint="eastAsia" w:ascii="宋体" w:hAnsi="宋体" w:cs="宋体"/>
                <w:b/>
                <w:bCs/>
                <w:kern w:val="0"/>
                <w:sz w:val="24"/>
                <w:szCs w:val="24"/>
                <w:u w:val="single"/>
                <w:lang w:val="en-US" w:eastAsia="zh-CN"/>
              </w:rPr>
              <w:t>6</w:t>
            </w:r>
            <w:r>
              <w:rPr>
                <w:rFonts w:hint="eastAsia" w:ascii="宋体" w:hAnsi="宋体" w:cs="宋体"/>
                <w:b/>
                <w:bCs/>
                <w:kern w:val="0"/>
                <w:sz w:val="24"/>
                <w:szCs w:val="24"/>
                <w:u w:val="single"/>
              </w:rPr>
              <w:t>月</w:t>
            </w:r>
            <w:r>
              <w:rPr>
                <w:rFonts w:hint="eastAsia" w:ascii="宋体" w:hAnsi="宋体" w:cs="宋体"/>
                <w:kern w:val="0"/>
                <w:sz w:val="24"/>
                <w:szCs w:val="24"/>
              </w:rPr>
              <w:t>）在本单位交纳的社保证明文件（以加盖社会保险基金管理中心印章的《投保单》或《社会保险参保人员证明》资料为准）。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88" w:type="dxa"/>
            <w:noWrap w:val="0"/>
            <w:vAlign w:val="center"/>
          </w:tcPr>
          <w:p>
            <w:pPr>
              <w:spacing w:line="400" w:lineRule="exact"/>
              <w:jc w:val="center"/>
              <w:rPr>
                <w:rFonts w:hint="eastAsia" w:ascii="宋体" w:hAnsi="宋体" w:cs="宋体"/>
                <w:sz w:val="24"/>
                <w:szCs w:val="24"/>
              </w:rPr>
            </w:pPr>
            <w:r>
              <w:rPr>
                <w:rFonts w:hint="eastAsia" w:ascii="宋体" w:hAnsi="宋体" w:cs="宋体"/>
                <w:sz w:val="24"/>
                <w:szCs w:val="24"/>
              </w:rPr>
              <w:t>招标公告第10.2条款</w:t>
            </w:r>
          </w:p>
          <w:p>
            <w:pPr>
              <w:spacing w:line="400" w:lineRule="exact"/>
              <w:jc w:val="center"/>
              <w:rPr>
                <w:rFonts w:ascii="宋体" w:hAnsi="宋体" w:cs="宋体"/>
                <w:bCs/>
                <w:sz w:val="24"/>
                <w:szCs w:val="24"/>
              </w:rPr>
            </w:pPr>
          </w:p>
        </w:tc>
        <w:tc>
          <w:tcPr>
            <w:tcW w:w="3604" w:type="dxa"/>
            <w:noWrap w:val="0"/>
            <w:vAlign w:val="center"/>
          </w:tcPr>
          <w:p>
            <w:pPr>
              <w:widowControl/>
              <w:spacing w:before="94" w:after="94" w:line="360" w:lineRule="auto"/>
              <w:jc w:val="left"/>
              <w:rPr>
                <w:rFonts w:hint="eastAsia" w:ascii="宋体" w:hAnsi="宋体" w:cs="宋体"/>
                <w:kern w:val="0"/>
                <w:sz w:val="24"/>
                <w:szCs w:val="24"/>
              </w:rPr>
            </w:pPr>
            <w:r>
              <w:rPr>
                <w:rFonts w:hint="eastAsia" w:ascii="宋体" w:hAnsi="宋体" w:cs="宋体"/>
                <w:kern w:val="0"/>
                <w:sz w:val="24"/>
                <w:szCs w:val="24"/>
              </w:rPr>
              <w:t>10.2</w:t>
            </w:r>
            <w:r>
              <w:rPr>
                <w:rFonts w:hint="eastAsia"/>
                <w:sz w:val="24"/>
                <w:szCs w:val="24"/>
              </w:rPr>
              <w:t>潜在投标人或利害关系人对本招标告及招标文件、开标、评标结果有疑问或异议的，向招标人书面提出，由招标人受理。投诉由本招标项目的招标监督机构受理</w:t>
            </w:r>
            <w:r>
              <w:rPr>
                <w:rFonts w:hint="eastAsia" w:ascii="宋体" w:hAnsi="宋体" w:cs="宋体"/>
                <w:kern w:val="0"/>
                <w:sz w:val="24"/>
                <w:szCs w:val="24"/>
              </w:rPr>
              <w:t>。</w:t>
            </w:r>
          </w:p>
          <w:p>
            <w:pPr>
              <w:spacing w:line="400" w:lineRule="exact"/>
              <w:rPr>
                <w:rFonts w:hint="eastAsia" w:ascii="宋体" w:hAnsi="宋体" w:cs="宋体"/>
                <w:bCs/>
                <w:sz w:val="24"/>
                <w:szCs w:val="24"/>
              </w:rPr>
            </w:pPr>
          </w:p>
        </w:tc>
        <w:tc>
          <w:tcPr>
            <w:tcW w:w="4592" w:type="dxa"/>
            <w:noWrap w:val="0"/>
            <w:vAlign w:val="center"/>
          </w:tcPr>
          <w:p>
            <w:pPr>
              <w:widowControl/>
              <w:snapToGrid w:val="0"/>
              <w:spacing w:line="360" w:lineRule="auto"/>
              <w:jc w:val="left"/>
              <w:rPr>
                <w:rFonts w:hint="eastAsia" w:ascii="宋体" w:hAnsi="宋体" w:cs="宋体"/>
                <w:kern w:val="0"/>
                <w:sz w:val="24"/>
                <w:szCs w:val="24"/>
              </w:rPr>
            </w:pPr>
            <w:r>
              <w:rPr>
                <w:rFonts w:hint="eastAsia" w:ascii="宋体" w:hAnsi="宋体" w:cs="宋体"/>
                <w:kern w:val="0"/>
                <w:sz w:val="24"/>
                <w:szCs w:val="24"/>
              </w:rPr>
              <w:t>10.2</w:t>
            </w:r>
            <w:r>
              <w:rPr>
                <w:rFonts w:hint="eastAsia"/>
                <w:sz w:val="24"/>
                <w:szCs w:val="24"/>
              </w:rPr>
              <w:t>潜在投标人或利害关系人对本招标告及招标文件、开标、评标结果有疑问或异议的，向招标人书面提出，由招标人受理。投诉由本招标项目的招标监督机构受理</w:t>
            </w:r>
            <w:r>
              <w:rPr>
                <w:rFonts w:hint="eastAsia" w:ascii="宋体" w:hAnsi="宋体" w:cs="宋体"/>
                <w:kern w:val="0"/>
                <w:sz w:val="24"/>
                <w:szCs w:val="24"/>
              </w:rPr>
              <w:t>。</w:t>
            </w:r>
          </w:p>
          <w:p>
            <w:pPr>
              <w:widowControl/>
              <w:snapToGrid w:val="0"/>
              <w:spacing w:line="440" w:lineRule="exact"/>
              <w:jc w:val="left"/>
              <w:rPr>
                <w:rFonts w:hint="eastAsia" w:ascii="宋体" w:hAnsi="宋体" w:cs="宋体"/>
                <w:b/>
                <w:bCs/>
                <w:sz w:val="24"/>
                <w:szCs w:val="24"/>
                <w:u w:val="single"/>
              </w:rPr>
            </w:pPr>
            <w:r>
              <w:rPr>
                <w:rFonts w:hint="eastAsia" w:ascii="宋体" w:hAnsi="宋体" w:cs="宋体"/>
                <w:b/>
                <w:bCs/>
                <w:sz w:val="24"/>
                <w:szCs w:val="24"/>
                <w:u w:val="single"/>
              </w:rPr>
              <w:t>注：潜在投标人或利害关系人可以通过线下或线上的形式提出异议。线上提出异议的，应通过广交易建设工程电子交易系统提交，招标人也应通过广交易建设工程电子交易系统答复线上提出的异议。具体按照广交易建设工程电子交易系统相关指南进行操作。作出答复前，应当暂停招标投标活动。</w:t>
            </w:r>
          </w:p>
          <w:p>
            <w:pPr>
              <w:snapToGrid w:val="0"/>
              <w:spacing w:line="440" w:lineRule="exact"/>
              <w:rPr>
                <w:rFonts w:hint="eastAsia" w:ascii="宋体" w:hAnsi="宋体" w:cs="宋体"/>
                <w:b/>
                <w:bCs/>
                <w:sz w:val="24"/>
                <w:szCs w:val="24"/>
                <w:u w:val="single"/>
              </w:rPr>
            </w:pPr>
            <w:r>
              <w:rPr>
                <w:rFonts w:hint="eastAsia" w:ascii="宋体" w:hAnsi="宋体" w:cs="宋体"/>
                <w:b/>
                <w:bCs/>
                <w:sz w:val="24"/>
                <w:szCs w:val="24"/>
                <w:u w:val="single"/>
              </w:rPr>
              <w:t xml:space="preserve"> 1.具体操作详见“广州交易集团有限公司（广州公共资源交易中心）门户网站首页-&gt;服务指南-&gt;系统帮助-&gt;操作手册-&gt;发起及受理异议操作指引”。</w:t>
            </w:r>
          </w:p>
          <w:p>
            <w:pPr>
              <w:snapToGrid w:val="0"/>
              <w:spacing w:line="440" w:lineRule="exact"/>
              <w:rPr>
                <w:rFonts w:hint="eastAsia" w:ascii="宋体" w:hAnsi="宋体" w:cs="宋体"/>
                <w:sz w:val="24"/>
                <w:szCs w:val="24"/>
              </w:rPr>
            </w:pPr>
            <w:r>
              <w:rPr>
                <w:rFonts w:hint="eastAsia" w:ascii="宋体" w:hAnsi="宋体" w:cs="宋体"/>
                <w:b/>
                <w:bCs/>
                <w:sz w:val="24"/>
                <w:szCs w:val="24"/>
                <w:u w:val="single"/>
              </w:rPr>
              <w:t>2.投标人可登录交易平台网站向招标人提出异议申请，招标人在线处理完异议后，提出异议的投标人可以在线查询处理结果。异议处理结果仅对提出异议的投标人开放查询。投标人登录广交易平台进入“我是投标人”-选择“新建设工程交易平台”-“异议管理”-点击“新增异议”-选择要发起异议的项目</w:t>
            </w:r>
            <w:r>
              <w:rPr>
                <w:rFonts w:hint="eastAsia" w:ascii="宋体" w:hAnsi="宋体" w:cs="宋体"/>
                <w:b/>
                <w:bCs/>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88" w:type="dxa"/>
            <w:noWrap w:val="0"/>
            <w:vAlign w:val="center"/>
          </w:tcPr>
          <w:p>
            <w:pPr>
              <w:spacing w:line="400" w:lineRule="exact"/>
              <w:jc w:val="center"/>
              <w:rPr>
                <w:rFonts w:ascii="宋体" w:hAnsi="宋体" w:cs="宋体"/>
                <w:bCs/>
                <w:sz w:val="24"/>
                <w:szCs w:val="24"/>
              </w:rPr>
            </w:pPr>
            <w:r>
              <w:rPr>
                <w:rFonts w:hint="eastAsia" w:ascii="宋体" w:hAnsi="宋体" w:cs="宋体"/>
                <w:sz w:val="24"/>
                <w:szCs w:val="24"/>
              </w:rPr>
              <w:t>招标文件</w:t>
            </w:r>
            <w:r>
              <w:rPr>
                <w:rFonts w:hint="eastAsia" w:ascii="宋体" w:hAnsi="宋体" w:cs="宋体"/>
                <w:sz w:val="24"/>
                <w:szCs w:val="24"/>
                <w:lang w:eastAsia="zh-CN"/>
              </w:rPr>
              <w:t>第二章</w:t>
            </w:r>
            <w:r>
              <w:rPr>
                <w:rFonts w:hint="eastAsia" w:ascii="宋体" w:hAnsi="宋体" w:cs="宋体"/>
                <w:sz w:val="24"/>
                <w:szCs w:val="24"/>
              </w:rPr>
              <w:t>《投标须知修改表》 3.1</w:t>
            </w:r>
            <w:r>
              <w:rPr>
                <w:rFonts w:hint="eastAsia" w:ascii="宋体" w:hAnsi="宋体"/>
                <w:sz w:val="24"/>
                <w:szCs w:val="24"/>
              </w:rPr>
              <w:t>（6）条款-</w:t>
            </w:r>
            <w:r>
              <w:rPr>
                <w:rFonts w:hint="eastAsia" w:ascii="宋体" w:hAnsi="宋体"/>
                <w:b/>
                <w:sz w:val="24"/>
                <w:szCs w:val="24"/>
              </w:rPr>
              <w:t>现文</w:t>
            </w:r>
          </w:p>
        </w:tc>
        <w:tc>
          <w:tcPr>
            <w:tcW w:w="3604" w:type="dxa"/>
            <w:noWrap w:val="0"/>
            <w:vAlign w:val="center"/>
          </w:tcPr>
          <w:p>
            <w:pPr>
              <w:spacing w:line="360" w:lineRule="auto"/>
              <w:rPr>
                <w:rFonts w:hint="eastAsia" w:ascii="宋体" w:hAnsi="宋体"/>
                <w:strike/>
                <w:sz w:val="24"/>
                <w:szCs w:val="24"/>
              </w:rPr>
            </w:pPr>
            <w:r>
              <w:rPr>
                <w:rFonts w:hint="eastAsia" w:ascii="宋体" w:hAnsi="宋体" w:cs="宋体"/>
                <w:sz w:val="24"/>
                <w:szCs w:val="24"/>
              </w:rPr>
              <w:t>3.1</w:t>
            </w:r>
            <w:r>
              <w:rPr>
                <w:rFonts w:hint="eastAsia" w:ascii="宋体" w:hAnsi="宋体"/>
                <w:sz w:val="24"/>
                <w:szCs w:val="24"/>
              </w:rPr>
              <w:t>（6）</w:t>
            </w:r>
            <w:r>
              <w:rPr>
                <w:rFonts w:hint="eastAsia" w:ascii="宋体" w:hAnsi="宋体" w:cs="宋体"/>
                <w:sz w:val="24"/>
                <w:szCs w:val="24"/>
              </w:rPr>
              <w:t>响应招标文件所附施工组织设计要点的承诺书；</w:t>
            </w:r>
          </w:p>
          <w:p>
            <w:pPr>
              <w:spacing w:line="360" w:lineRule="auto"/>
              <w:rPr>
                <w:rFonts w:hint="eastAsia" w:ascii="宋体" w:hAnsi="宋体" w:cs="宋体"/>
                <w:bCs/>
                <w:sz w:val="24"/>
                <w:szCs w:val="24"/>
              </w:rPr>
            </w:pPr>
          </w:p>
        </w:tc>
        <w:tc>
          <w:tcPr>
            <w:tcW w:w="4592" w:type="dxa"/>
            <w:noWrap w:val="0"/>
            <w:vAlign w:val="center"/>
          </w:tcPr>
          <w:p>
            <w:pPr>
              <w:pStyle w:val="4"/>
              <w:spacing w:line="400" w:lineRule="exact"/>
              <w:ind w:firstLine="420" w:firstLineChars="0"/>
              <w:rPr>
                <w:rFonts w:hint="eastAsia" w:ascii="宋体" w:hAnsi="宋体" w:cs="宋体"/>
                <w:b/>
                <w:bCs/>
                <w:sz w:val="24"/>
                <w:szCs w:val="24"/>
                <w:u w:val="single"/>
              </w:rPr>
            </w:pPr>
            <w:r>
              <w:rPr>
                <w:rFonts w:hint="eastAsia" w:ascii="宋体" w:hAnsi="宋体" w:cs="宋体"/>
                <w:sz w:val="24"/>
                <w:szCs w:val="24"/>
              </w:rPr>
              <w:t>3.1</w:t>
            </w:r>
            <w:r>
              <w:rPr>
                <w:rFonts w:hint="eastAsia" w:ascii="宋体" w:hAnsi="宋体"/>
                <w:sz w:val="24"/>
                <w:szCs w:val="24"/>
              </w:rPr>
              <w:t>（6）</w:t>
            </w:r>
            <w:r>
              <w:rPr>
                <w:rFonts w:hint="eastAsia" w:ascii="宋体" w:hAnsi="宋体"/>
                <w:sz w:val="24"/>
                <w:szCs w:val="24"/>
                <w:u w:val="single"/>
              </w:rPr>
              <w:t>施工组织设计；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1688" w:type="dxa"/>
            <w:noWrap w:val="0"/>
            <w:vAlign w:val="center"/>
          </w:tcPr>
          <w:p>
            <w:pPr>
              <w:spacing w:line="400" w:lineRule="exact"/>
              <w:jc w:val="center"/>
              <w:rPr>
                <w:rFonts w:hint="eastAsia" w:ascii="宋体" w:hAnsi="宋体" w:cs="宋体"/>
                <w:bCs/>
                <w:sz w:val="24"/>
                <w:szCs w:val="24"/>
              </w:rPr>
            </w:pPr>
            <w:r>
              <w:rPr>
                <w:rFonts w:hint="eastAsia" w:ascii="宋体" w:hAnsi="宋体" w:cs="宋体"/>
                <w:sz w:val="24"/>
                <w:szCs w:val="24"/>
              </w:rPr>
              <w:t>招标文件</w:t>
            </w:r>
            <w:r>
              <w:rPr>
                <w:rFonts w:hint="eastAsia" w:ascii="宋体" w:hAnsi="宋体" w:cs="宋体"/>
                <w:sz w:val="24"/>
                <w:szCs w:val="24"/>
                <w:lang w:eastAsia="zh-CN"/>
              </w:rPr>
              <w:t>第二章</w:t>
            </w:r>
            <w:r>
              <w:rPr>
                <w:rFonts w:hint="eastAsia" w:ascii="宋体" w:hAnsi="宋体" w:cs="宋体"/>
                <w:sz w:val="24"/>
                <w:szCs w:val="24"/>
              </w:rPr>
              <w:t>《</w:t>
            </w:r>
            <w:bookmarkStart w:id="0" w:name="_Toc61543593"/>
            <w:r>
              <w:rPr>
                <w:rFonts w:hint="eastAsia" w:ascii="宋体" w:hAnsi="宋体" w:cs="宋体"/>
                <w:sz w:val="24"/>
                <w:szCs w:val="24"/>
              </w:rPr>
              <w:t>投标人须知前附表</w:t>
            </w:r>
            <w:bookmarkEnd w:id="0"/>
            <w:r>
              <w:rPr>
                <w:rFonts w:hint="eastAsia" w:ascii="宋体" w:hAnsi="宋体" w:cs="宋体"/>
                <w:sz w:val="24"/>
                <w:szCs w:val="24"/>
              </w:rPr>
              <w:t>》第5.1.1条款</w:t>
            </w:r>
          </w:p>
        </w:tc>
        <w:tc>
          <w:tcPr>
            <w:tcW w:w="3604" w:type="dxa"/>
            <w:noWrap w:val="0"/>
            <w:vAlign w:val="center"/>
          </w:tcPr>
          <w:p>
            <w:pPr>
              <w:spacing w:before="156" w:beforeLines="50" w:line="400" w:lineRule="exact"/>
              <w:contextualSpacing/>
              <w:rPr>
                <w:rFonts w:hint="eastAsia" w:ascii="Times New Roman" w:hAnsi="Times New Roman"/>
                <w:sz w:val="24"/>
                <w:szCs w:val="24"/>
              </w:rPr>
            </w:pPr>
            <w:r>
              <w:rPr>
                <w:rFonts w:hint="eastAsia"/>
                <w:sz w:val="24"/>
                <w:szCs w:val="24"/>
              </w:rPr>
              <w:t>1、开标时间：</w:t>
            </w:r>
            <w:r>
              <w:rPr>
                <w:rFonts w:hint="eastAsia"/>
                <w:sz w:val="24"/>
                <w:szCs w:val="24"/>
                <w:u w:val="single"/>
              </w:rPr>
              <w:t>2023</w:t>
            </w:r>
            <w:r>
              <w:rPr>
                <w:rFonts w:hint="eastAsia"/>
                <w:sz w:val="24"/>
                <w:szCs w:val="24"/>
              </w:rPr>
              <w:t>年__月</w:t>
            </w:r>
            <w:r>
              <w:rPr>
                <w:sz w:val="24"/>
                <w:szCs w:val="24"/>
              </w:rPr>
              <w:t>__</w:t>
            </w:r>
            <w:r>
              <w:rPr>
                <w:rFonts w:hint="eastAsia"/>
                <w:sz w:val="24"/>
                <w:szCs w:val="24"/>
              </w:rPr>
              <w:t>日</w:t>
            </w:r>
            <w:r>
              <w:rPr>
                <w:sz w:val="24"/>
                <w:szCs w:val="24"/>
              </w:rPr>
              <w:t>__</w:t>
            </w:r>
            <w:r>
              <w:rPr>
                <w:rFonts w:hint="eastAsia"/>
                <w:sz w:val="24"/>
                <w:szCs w:val="24"/>
              </w:rPr>
              <w:t>时</w:t>
            </w:r>
            <w:r>
              <w:rPr>
                <w:sz w:val="24"/>
                <w:szCs w:val="24"/>
              </w:rPr>
              <w:t>__</w:t>
            </w:r>
            <w:r>
              <w:rPr>
                <w:rFonts w:hint="eastAsia"/>
                <w:sz w:val="24"/>
                <w:szCs w:val="24"/>
              </w:rPr>
              <w:t>分。</w:t>
            </w:r>
          </w:p>
          <w:p>
            <w:pPr>
              <w:spacing w:before="156" w:beforeLines="50" w:line="400" w:lineRule="exact"/>
              <w:contextualSpacing/>
              <w:rPr>
                <w:rFonts w:hint="eastAsia"/>
                <w:sz w:val="24"/>
                <w:szCs w:val="24"/>
              </w:rPr>
            </w:pPr>
            <w:r>
              <w:rPr>
                <w:rFonts w:hint="eastAsia"/>
                <w:sz w:val="24"/>
                <w:szCs w:val="24"/>
              </w:rPr>
              <w:t>2、地点：</w:t>
            </w:r>
            <w:r>
              <w:rPr>
                <w:rFonts w:hint="eastAsia"/>
                <w:sz w:val="24"/>
                <w:szCs w:val="24"/>
                <w:u w:val="single"/>
              </w:rPr>
              <w:t>广州公共资源交易中心增城交易部开标  室</w:t>
            </w:r>
            <w:r>
              <w:rPr>
                <w:rFonts w:hint="eastAsia"/>
                <w:sz w:val="24"/>
                <w:szCs w:val="24"/>
              </w:rPr>
              <w:t>。</w:t>
            </w:r>
          </w:p>
          <w:p>
            <w:pPr>
              <w:pStyle w:val="6"/>
              <w:spacing w:line="400" w:lineRule="exact"/>
              <w:rPr>
                <w:rFonts w:hint="eastAsia" w:eastAsia="宋体"/>
                <w:sz w:val="24"/>
                <w:szCs w:val="24"/>
              </w:rPr>
            </w:pPr>
            <w:r>
              <w:rPr>
                <w:rFonts w:hint="eastAsia" w:hAnsi="宋体" w:eastAsia="宋体" w:cs="宋体"/>
                <w:sz w:val="24"/>
                <w:szCs w:val="24"/>
              </w:rPr>
              <w:t>3</w:t>
            </w:r>
            <w:r>
              <w:rPr>
                <w:rFonts w:hint="eastAsia"/>
                <w:sz w:val="24"/>
                <w:szCs w:val="24"/>
              </w:rPr>
              <w:t>、</w:t>
            </w:r>
            <w:r>
              <w:rPr>
                <w:rFonts w:hint="eastAsia" w:hAnsi="宋体" w:eastAsia="宋体" w:cs="宋体"/>
                <w:sz w:val="24"/>
                <w:szCs w:val="24"/>
                <w:u w:val="single"/>
              </w:rPr>
              <w:t>递交投标文件备用光盘时间： 2023年   月    日     时   分至2023年   月   日   时   分；递交地点：广州公共资源交易中心增城交易部开标  室</w:t>
            </w:r>
            <w:r>
              <w:rPr>
                <w:rFonts w:hint="eastAsia" w:hAnsi="宋体" w:eastAsia="宋体" w:cs="宋体"/>
                <w:sz w:val="24"/>
                <w:szCs w:val="24"/>
              </w:rPr>
              <w:t>。</w:t>
            </w:r>
          </w:p>
          <w:p>
            <w:pPr>
              <w:spacing w:line="400" w:lineRule="exact"/>
              <w:rPr>
                <w:rFonts w:hint="eastAsia" w:ascii="宋体" w:hAnsi="宋体" w:cs="宋体"/>
                <w:bCs/>
                <w:sz w:val="24"/>
                <w:szCs w:val="24"/>
              </w:rPr>
            </w:pPr>
            <w:r>
              <w:rPr>
                <w:rFonts w:hint="eastAsia"/>
                <w:sz w:val="24"/>
                <w:szCs w:val="24"/>
              </w:rPr>
              <w:t>4、上述时间及地点是否有改变，请密切留意招标答疑纪要的相关信息。</w:t>
            </w:r>
          </w:p>
        </w:tc>
        <w:tc>
          <w:tcPr>
            <w:tcW w:w="4592" w:type="dxa"/>
            <w:noWrap w:val="0"/>
            <w:vAlign w:val="center"/>
          </w:tcPr>
          <w:p>
            <w:pPr>
              <w:spacing w:before="156" w:beforeLines="50" w:line="400" w:lineRule="exact"/>
              <w:contextualSpacing/>
              <w:rPr>
                <w:rFonts w:hint="eastAsia" w:ascii="Times New Roman" w:hAnsi="Times New Roman"/>
                <w:sz w:val="24"/>
                <w:szCs w:val="24"/>
              </w:rPr>
            </w:pPr>
            <w:r>
              <w:rPr>
                <w:rFonts w:hint="eastAsia"/>
                <w:sz w:val="24"/>
                <w:szCs w:val="24"/>
              </w:rPr>
              <w:t>1、开标时间：</w:t>
            </w:r>
            <w:r>
              <w:rPr>
                <w:rFonts w:hint="eastAsia"/>
                <w:sz w:val="24"/>
                <w:szCs w:val="24"/>
                <w:u w:val="single"/>
              </w:rPr>
              <w:t>2023</w:t>
            </w:r>
            <w:r>
              <w:rPr>
                <w:rFonts w:hint="eastAsia"/>
                <w:sz w:val="24"/>
                <w:szCs w:val="24"/>
              </w:rPr>
              <w:t>年__月</w:t>
            </w:r>
            <w:r>
              <w:rPr>
                <w:sz w:val="24"/>
                <w:szCs w:val="24"/>
              </w:rPr>
              <w:t>__</w:t>
            </w:r>
            <w:r>
              <w:rPr>
                <w:rFonts w:hint="eastAsia"/>
                <w:sz w:val="24"/>
                <w:szCs w:val="24"/>
              </w:rPr>
              <w:t>日</w:t>
            </w:r>
            <w:r>
              <w:rPr>
                <w:sz w:val="24"/>
                <w:szCs w:val="24"/>
              </w:rPr>
              <w:t>__</w:t>
            </w:r>
            <w:r>
              <w:rPr>
                <w:rFonts w:hint="eastAsia"/>
                <w:sz w:val="24"/>
                <w:szCs w:val="24"/>
              </w:rPr>
              <w:t>时</w:t>
            </w:r>
            <w:r>
              <w:rPr>
                <w:sz w:val="24"/>
                <w:szCs w:val="24"/>
              </w:rPr>
              <w:t>__</w:t>
            </w:r>
            <w:r>
              <w:rPr>
                <w:rFonts w:hint="eastAsia"/>
                <w:sz w:val="24"/>
                <w:szCs w:val="24"/>
              </w:rPr>
              <w:t>分。</w:t>
            </w:r>
          </w:p>
          <w:p>
            <w:pPr>
              <w:spacing w:before="156" w:beforeLines="50" w:line="400" w:lineRule="exact"/>
              <w:contextualSpacing/>
              <w:rPr>
                <w:rFonts w:hint="eastAsia"/>
                <w:sz w:val="24"/>
                <w:szCs w:val="24"/>
              </w:rPr>
            </w:pPr>
            <w:r>
              <w:rPr>
                <w:rFonts w:hint="eastAsia"/>
                <w:sz w:val="24"/>
                <w:szCs w:val="24"/>
              </w:rPr>
              <w:t>2、地点：</w:t>
            </w:r>
            <w:r>
              <w:rPr>
                <w:rFonts w:hint="eastAsia"/>
                <w:sz w:val="24"/>
                <w:szCs w:val="24"/>
                <w:u w:val="single"/>
              </w:rPr>
              <w:t>广州公共资源交易中心增城交易部开标  室</w:t>
            </w:r>
            <w:r>
              <w:rPr>
                <w:rFonts w:hint="eastAsia"/>
                <w:sz w:val="24"/>
                <w:szCs w:val="24"/>
              </w:rPr>
              <w:t>。</w:t>
            </w:r>
          </w:p>
          <w:p>
            <w:pPr>
              <w:pStyle w:val="6"/>
              <w:spacing w:line="400" w:lineRule="exact"/>
              <w:rPr>
                <w:rFonts w:hint="eastAsia" w:eastAsia="宋体"/>
                <w:sz w:val="24"/>
                <w:szCs w:val="24"/>
              </w:rPr>
            </w:pPr>
            <w:r>
              <w:rPr>
                <w:rFonts w:hint="eastAsia" w:hAnsi="宋体" w:eastAsia="宋体" w:cs="宋体"/>
                <w:sz w:val="24"/>
                <w:szCs w:val="24"/>
              </w:rPr>
              <w:t>3</w:t>
            </w:r>
            <w:r>
              <w:rPr>
                <w:rFonts w:hint="eastAsia"/>
                <w:sz w:val="24"/>
                <w:szCs w:val="24"/>
              </w:rPr>
              <w:t>、</w:t>
            </w:r>
            <w:r>
              <w:rPr>
                <w:rFonts w:hint="eastAsia" w:hAnsi="宋体" w:eastAsia="宋体" w:cs="宋体"/>
                <w:sz w:val="24"/>
                <w:szCs w:val="24"/>
                <w:u w:val="single"/>
              </w:rPr>
              <w:t>递交投标文件备用光盘时间： 2023年   月    日     时   分至2023年   月   日   时   分；递交地点：广州公共资源交易中心增城交易部开标  室</w:t>
            </w:r>
            <w:r>
              <w:rPr>
                <w:rFonts w:hint="eastAsia" w:hAnsi="宋体" w:eastAsia="宋体" w:cs="宋体"/>
                <w:sz w:val="24"/>
                <w:szCs w:val="24"/>
              </w:rPr>
              <w:t>。</w:t>
            </w:r>
          </w:p>
          <w:p>
            <w:pPr>
              <w:widowControl/>
              <w:snapToGrid w:val="0"/>
              <w:spacing w:line="400" w:lineRule="exact"/>
              <w:jc w:val="left"/>
              <w:rPr>
                <w:rFonts w:hint="eastAsia"/>
                <w:sz w:val="24"/>
                <w:szCs w:val="24"/>
              </w:rPr>
            </w:pPr>
            <w:r>
              <w:rPr>
                <w:rFonts w:hint="eastAsia"/>
                <w:sz w:val="24"/>
                <w:szCs w:val="24"/>
              </w:rPr>
              <w:t>4、上述时间及地点是否有改变，请密切留意招标答疑纪要的相关信息。</w:t>
            </w:r>
          </w:p>
          <w:p>
            <w:pPr>
              <w:widowControl/>
              <w:snapToGrid w:val="0"/>
              <w:spacing w:line="400" w:lineRule="exact"/>
              <w:jc w:val="left"/>
              <w:rPr>
                <w:rFonts w:hint="eastAsia" w:ascii="宋体" w:hAnsi="宋体" w:cs="宋体"/>
                <w:b/>
                <w:bCs/>
                <w:sz w:val="24"/>
                <w:szCs w:val="24"/>
                <w:u w:val="single"/>
              </w:rPr>
            </w:pPr>
            <w:r>
              <w:rPr>
                <w:rFonts w:hint="eastAsia" w:ascii="宋体" w:hAnsi="宋体" w:cs="宋体"/>
                <w:b/>
                <w:bCs/>
                <w:sz w:val="24"/>
                <w:szCs w:val="24"/>
                <w:u w:val="single"/>
              </w:rPr>
              <w:t>注：若投标人代表对开标过程有异议的，参加现场开标的应当在开标现场提出，同时出示本人身份证原件，招标人应当当场作出答复，并制作记录；参加在线开标的，投标人应通过广交易建设工程电子交易系统在线提出，招标人应通过广交易建设工程电子交易系统答复，答复后方可结束开标。</w:t>
            </w:r>
          </w:p>
          <w:p>
            <w:pPr>
              <w:widowControl/>
              <w:snapToGrid w:val="0"/>
              <w:spacing w:line="400" w:lineRule="exact"/>
              <w:jc w:val="left"/>
              <w:rPr>
                <w:rFonts w:hint="eastAsia" w:ascii="宋体" w:hAnsi="宋体" w:cs="宋体"/>
                <w:b/>
                <w:bCs/>
                <w:sz w:val="24"/>
                <w:szCs w:val="24"/>
                <w:u w:val="single"/>
              </w:rPr>
            </w:pPr>
            <w:r>
              <w:rPr>
                <w:rFonts w:hint="eastAsia" w:ascii="宋体" w:hAnsi="宋体" w:cs="宋体"/>
                <w:b/>
                <w:bCs/>
                <w:sz w:val="24"/>
                <w:szCs w:val="24"/>
                <w:u w:val="single"/>
              </w:rPr>
              <w:t>1.具体操作详见“广州交易集团有限公司（广州公共资源交易中心）门户网站首页-&gt;服务指南-&gt;系统帮助-&gt;操作手册-&gt;发起及受理异议操作指引”。</w:t>
            </w:r>
          </w:p>
          <w:p>
            <w:pPr>
              <w:widowControl/>
              <w:snapToGrid w:val="0"/>
              <w:spacing w:line="400" w:lineRule="exact"/>
              <w:jc w:val="left"/>
              <w:rPr>
                <w:rFonts w:hint="eastAsia" w:ascii="宋体" w:hAnsi="宋体" w:cs="宋体"/>
                <w:sz w:val="24"/>
                <w:szCs w:val="24"/>
              </w:rPr>
            </w:pPr>
            <w:r>
              <w:rPr>
                <w:rFonts w:hint="eastAsia" w:ascii="宋体" w:hAnsi="宋体" w:cs="宋体"/>
                <w:b/>
                <w:bCs/>
                <w:sz w:val="24"/>
                <w:szCs w:val="24"/>
                <w:u w:val="single"/>
              </w:rPr>
              <w:t>2.投标人可登录交易平台网站向招标人提出异议申请，招标人在线处理完异议后，提出异议的投标人可以在线查询处理结果。异议处理结果仅对提出异议的投标人开放查询。投标人登录广交易平台进入“我是投标人”-选择“新建设工程交易平台”-“异议管理”-点击“新增异议”-选择要发起异议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1688" w:type="dxa"/>
            <w:noWrap w:val="0"/>
            <w:vAlign w:val="center"/>
          </w:tcPr>
          <w:p>
            <w:pPr>
              <w:spacing w:line="400" w:lineRule="exact"/>
              <w:jc w:val="center"/>
              <w:rPr>
                <w:rFonts w:hint="eastAsia" w:ascii="宋体" w:hAnsi="宋体" w:cs="宋体"/>
                <w:sz w:val="24"/>
                <w:szCs w:val="24"/>
              </w:rPr>
            </w:pPr>
            <w:r>
              <w:rPr>
                <w:rFonts w:hint="eastAsia" w:ascii="宋体" w:hAnsi="宋体" w:cs="宋体"/>
                <w:sz w:val="24"/>
                <w:szCs w:val="24"/>
              </w:rPr>
              <w:t>招标文件</w:t>
            </w:r>
            <w:r>
              <w:rPr>
                <w:rFonts w:hint="eastAsia" w:ascii="宋体" w:hAnsi="宋体" w:cs="宋体"/>
                <w:sz w:val="24"/>
                <w:szCs w:val="24"/>
                <w:lang w:eastAsia="zh-CN"/>
              </w:rPr>
              <w:t>第二章</w:t>
            </w:r>
            <w:r>
              <w:rPr>
                <w:rFonts w:hint="eastAsia" w:ascii="宋体" w:hAnsi="宋体" w:cs="宋体"/>
                <w:sz w:val="24"/>
                <w:szCs w:val="24"/>
              </w:rPr>
              <w:t>《投标须知通用条款》第3.1</w:t>
            </w:r>
            <w:r>
              <w:rPr>
                <w:rFonts w:hint="eastAsia" w:ascii="宋体" w:hAnsi="宋体"/>
                <w:sz w:val="24"/>
                <w:szCs w:val="24"/>
              </w:rPr>
              <w:t>（6）</w:t>
            </w:r>
            <w:r>
              <w:rPr>
                <w:rFonts w:hint="eastAsia" w:ascii="宋体" w:hAnsi="宋体" w:cs="宋体"/>
                <w:sz w:val="24"/>
                <w:szCs w:val="24"/>
              </w:rPr>
              <w:t>条款</w:t>
            </w:r>
          </w:p>
        </w:tc>
        <w:tc>
          <w:tcPr>
            <w:tcW w:w="3604" w:type="dxa"/>
            <w:noWrap w:val="0"/>
            <w:vAlign w:val="center"/>
          </w:tcPr>
          <w:p>
            <w:pPr>
              <w:spacing w:line="400" w:lineRule="exact"/>
              <w:rPr>
                <w:rFonts w:hint="eastAsia"/>
                <w:sz w:val="24"/>
                <w:szCs w:val="24"/>
              </w:rPr>
            </w:pPr>
            <w:r>
              <w:rPr>
                <w:rFonts w:hint="eastAsia" w:ascii="宋体" w:hAnsi="宋体" w:cs="宋体"/>
                <w:sz w:val="24"/>
                <w:szCs w:val="24"/>
              </w:rPr>
              <w:t>3.1</w:t>
            </w:r>
            <w:r>
              <w:rPr>
                <w:rFonts w:hint="eastAsia" w:ascii="宋体" w:hAnsi="宋体"/>
                <w:sz w:val="24"/>
                <w:szCs w:val="24"/>
              </w:rPr>
              <w:t>（6）</w:t>
            </w:r>
            <w:r>
              <w:rPr>
                <w:rFonts w:hint="eastAsia" w:ascii="宋体" w:hAnsi="宋体" w:cs="宋体"/>
                <w:sz w:val="24"/>
                <w:szCs w:val="24"/>
              </w:rPr>
              <w:t>响应招标文件所附施工组织设计要点的承诺书；</w:t>
            </w:r>
          </w:p>
        </w:tc>
        <w:tc>
          <w:tcPr>
            <w:tcW w:w="4592" w:type="dxa"/>
            <w:noWrap w:val="0"/>
            <w:vAlign w:val="center"/>
          </w:tcPr>
          <w:p>
            <w:pPr>
              <w:pStyle w:val="4"/>
              <w:spacing w:line="400" w:lineRule="exact"/>
              <w:ind w:firstLine="420" w:firstLineChars="0"/>
              <w:rPr>
                <w:rFonts w:hint="eastAsia" w:ascii="宋体" w:hAnsi="宋体" w:cs="宋体"/>
                <w:sz w:val="24"/>
                <w:szCs w:val="24"/>
              </w:rPr>
            </w:pPr>
            <w:r>
              <w:rPr>
                <w:rFonts w:hint="eastAsia" w:ascii="宋体" w:hAnsi="宋体" w:cs="宋体"/>
                <w:sz w:val="24"/>
                <w:szCs w:val="24"/>
              </w:rPr>
              <w:t>3.1</w:t>
            </w:r>
            <w:r>
              <w:rPr>
                <w:rFonts w:hint="eastAsia" w:ascii="宋体" w:hAnsi="宋体"/>
                <w:sz w:val="24"/>
                <w:szCs w:val="24"/>
              </w:rPr>
              <w:t>（6）</w:t>
            </w:r>
            <w:r>
              <w:rPr>
                <w:rFonts w:hint="eastAsia" w:ascii="宋体" w:hAnsi="宋体"/>
                <w:sz w:val="24"/>
                <w:szCs w:val="24"/>
                <w:u w:val="single"/>
              </w:rPr>
              <w:t>施工组织设计；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1688" w:type="dxa"/>
            <w:noWrap w:val="0"/>
            <w:vAlign w:val="center"/>
          </w:tcPr>
          <w:p>
            <w:pPr>
              <w:spacing w:line="400" w:lineRule="exact"/>
              <w:jc w:val="center"/>
              <w:rPr>
                <w:rFonts w:hint="eastAsia" w:ascii="宋体" w:hAnsi="宋体" w:cs="宋体"/>
                <w:sz w:val="24"/>
                <w:szCs w:val="24"/>
              </w:rPr>
            </w:pPr>
            <w:r>
              <w:rPr>
                <w:rFonts w:hint="eastAsia" w:ascii="宋体" w:hAnsi="宋体" w:cs="宋体"/>
                <w:sz w:val="24"/>
                <w:szCs w:val="24"/>
              </w:rPr>
              <w:t>招标文件</w:t>
            </w:r>
            <w:r>
              <w:rPr>
                <w:rFonts w:hint="eastAsia" w:ascii="宋体" w:hAnsi="宋体" w:cs="宋体"/>
                <w:sz w:val="24"/>
                <w:szCs w:val="24"/>
                <w:lang w:eastAsia="zh-CN"/>
              </w:rPr>
              <w:t>第二章</w:t>
            </w:r>
            <w:r>
              <w:rPr>
                <w:rFonts w:hint="eastAsia" w:ascii="宋体" w:hAnsi="宋体" w:cs="宋体"/>
                <w:sz w:val="24"/>
                <w:szCs w:val="24"/>
              </w:rPr>
              <w:t>《投标须知通用条款》第</w:t>
            </w:r>
            <w:r>
              <w:rPr>
                <w:rFonts w:hint="eastAsia" w:ascii="宋体" w:hAnsi="宋体" w:cs="宋体"/>
                <w:sz w:val="24"/>
                <w:szCs w:val="24"/>
                <w:lang w:val="en-US" w:eastAsia="zh-CN"/>
              </w:rPr>
              <w:t>3.5.7</w:t>
            </w:r>
            <w:r>
              <w:rPr>
                <w:rFonts w:hint="eastAsia" w:ascii="宋体" w:hAnsi="宋体" w:cs="宋体"/>
                <w:sz w:val="24"/>
                <w:szCs w:val="24"/>
              </w:rPr>
              <w:t>条款</w:t>
            </w:r>
          </w:p>
        </w:tc>
        <w:tc>
          <w:tcPr>
            <w:tcW w:w="3604" w:type="dxa"/>
            <w:noWrap w:val="0"/>
            <w:vAlign w:val="center"/>
          </w:tcPr>
          <w:p>
            <w:pPr>
              <w:pStyle w:val="10"/>
              <w:spacing w:after="0" w:line="360" w:lineRule="auto"/>
              <w:ind w:firstLine="480" w:firstLineChars="200"/>
              <w:rPr>
                <w:rFonts w:ascii="宋体" w:hAnsi="宋体" w:eastAsia="宋体"/>
                <w:sz w:val="24"/>
              </w:rPr>
            </w:pPr>
            <w:r>
              <w:rPr>
                <w:rFonts w:hint="eastAsia" w:ascii="宋体" w:hAnsi="宋体" w:eastAsia="宋体"/>
                <w:sz w:val="24"/>
              </w:rPr>
              <w:t>3.5.7授权的委托代理人及项目部主要组成人员（项目负责人、技术负责人（如有）、专职安全员）在本单位交纳的社保证明文件（以加盖社会保险基金管理中心印章的《投保单》或《社会保险参保人员证明》资料为准）。</w:t>
            </w:r>
          </w:p>
          <w:p>
            <w:pPr>
              <w:spacing w:line="400" w:lineRule="exact"/>
              <w:rPr>
                <w:rFonts w:hint="eastAsia" w:ascii="宋体" w:hAnsi="宋体" w:cs="宋体"/>
                <w:sz w:val="24"/>
                <w:szCs w:val="24"/>
              </w:rPr>
            </w:pPr>
          </w:p>
        </w:tc>
        <w:tc>
          <w:tcPr>
            <w:tcW w:w="4592" w:type="dxa"/>
            <w:noWrap w:val="0"/>
            <w:vAlign w:val="center"/>
          </w:tcPr>
          <w:p>
            <w:pPr>
              <w:pStyle w:val="4"/>
              <w:spacing w:line="400" w:lineRule="exact"/>
              <w:ind w:firstLine="420" w:firstLineChars="0"/>
              <w:rPr>
                <w:rFonts w:hint="eastAsia" w:ascii="宋体" w:hAnsi="宋体" w:cs="宋体"/>
                <w:sz w:val="24"/>
                <w:szCs w:val="24"/>
              </w:rPr>
            </w:pPr>
            <w:r>
              <w:rPr>
                <w:rFonts w:hint="eastAsia" w:ascii="宋体" w:hAnsi="宋体" w:eastAsia="宋体"/>
                <w:sz w:val="24"/>
              </w:rPr>
              <w:t>3.5.7</w:t>
            </w:r>
            <w:r>
              <w:rPr>
                <w:rFonts w:hint="eastAsia" w:ascii="宋体" w:hAnsi="宋体" w:cs="宋体"/>
                <w:kern w:val="0"/>
                <w:sz w:val="24"/>
                <w:szCs w:val="24"/>
              </w:rPr>
              <w:t>授权的委托代理人及项目部主要组成人员（项目负责人、技术负责人（如有）、专职安全员）</w:t>
            </w:r>
            <w:r>
              <w:rPr>
                <w:rFonts w:hint="eastAsia" w:ascii="宋体" w:hAnsi="宋体" w:cs="宋体"/>
                <w:b/>
                <w:bCs/>
                <w:kern w:val="0"/>
                <w:sz w:val="24"/>
                <w:szCs w:val="24"/>
                <w:u w:val="single"/>
              </w:rPr>
              <w:t>均为本单位的正式职工，必须具有离投标截止时间最近6个月（时间为：202</w:t>
            </w:r>
            <w:r>
              <w:rPr>
                <w:rFonts w:hint="eastAsia" w:ascii="宋体" w:hAnsi="宋体" w:cs="宋体"/>
                <w:b/>
                <w:bCs/>
                <w:kern w:val="0"/>
                <w:sz w:val="24"/>
                <w:szCs w:val="24"/>
                <w:u w:val="single"/>
                <w:lang w:val="en-US" w:eastAsia="zh-CN"/>
              </w:rPr>
              <w:t>3</w:t>
            </w:r>
            <w:r>
              <w:rPr>
                <w:rFonts w:hint="eastAsia" w:ascii="宋体" w:hAnsi="宋体" w:cs="宋体"/>
                <w:b/>
                <w:bCs/>
                <w:kern w:val="0"/>
                <w:sz w:val="24"/>
                <w:szCs w:val="24"/>
                <w:u w:val="single"/>
              </w:rPr>
              <w:t>年</w:t>
            </w:r>
            <w:r>
              <w:rPr>
                <w:rFonts w:hint="eastAsia" w:ascii="宋体" w:hAnsi="宋体" w:cs="宋体"/>
                <w:b/>
                <w:bCs/>
                <w:kern w:val="0"/>
                <w:sz w:val="24"/>
                <w:szCs w:val="24"/>
                <w:u w:val="single"/>
                <w:lang w:val="en-US" w:eastAsia="zh-CN"/>
              </w:rPr>
              <w:t>1</w:t>
            </w:r>
            <w:r>
              <w:rPr>
                <w:rFonts w:hint="eastAsia" w:ascii="宋体" w:hAnsi="宋体" w:cs="宋体"/>
                <w:b/>
                <w:bCs/>
                <w:kern w:val="0"/>
                <w:sz w:val="24"/>
                <w:szCs w:val="24"/>
                <w:u w:val="single"/>
              </w:rPr>
              <w:t>月至2023年</w:t>
            </w:r>
            <w:r>
              <w:rPr>
                <w:rFonts w:hint="eastAsia" w:ascii="宋体" w:hAnsi="宋体" w:cs="宋体"/>
                <w:b/>
                <w:bCs/>
                <w:kern w:val="0"/>
                <w:sz w:val="24"/>
                <w:szCs w:val="24"/>
                <w:u w:val="single"/>
                <w:lang w:val="en-US" w:eastAsia="zh-CN"/>
              </w:rPr>
              <w:t>6</w:t>
            </w:r>
            <w:r>
              <w:rPr>
                <w:rFonts w:hint="eastAsia" w:ascii="宋体" w:hAnsi="宋体" w:cs="宋体"/>
                <w:b/>
                <w:bCs/>
                <w:kern w:val="0"/>
                <w:sz w:val="24"/>
                <w:szCs w:val="24"/>
                <w:u w:val="single"/>
              </w:rPr>
              <w:t>月）</w:t>
            </w:r>
            <w:r>
              <w:rPr>
                <w:rFonts w:hint="eastAsia" w:ascii="宋体" w:hAnsi="宋体" w:cs="宋体"/>
                <w:kern w:val="0"/>
                <w:sz w:val="24"/>
                <w:szCs w:val="24"/>
              </w:rPr>
              <w:t>在本单位交纳的社保证明文件（以加盖社会保险基金管理中心印章的《投保单》或《社会保险参保人员证明》资料为准）。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1688" w:type="dxa"/>
            <w:noWrap w:val="0"/>
            <w:vAlign w:val="center"/>
          </w:tcPr>
          <w:p>
            <w:pPr>
              <w:spacing w:line="400" w:lineRule="exact"/>
              <w:jc w:val="center"/>
              <w:rPr>
                <w:rFonts w:hint="eastAsia" w:ascii="宋体" w:hAnsi="宋体" w:cs="宋体"/>
                <w:sz w:val="24"/>
                <w:szCs w:val="24"/>
              </w:rPr>
            </w:pPr>
            <w:r>
              <w:rPr>
                <w:rFonts w:hint="eastAsia" w:ascii="宋体" w:hAnsi="宋体" w:cs="宋体"/>
                <w:sz w:val="24"/>
                <w:szCs w:val="24"/>
              </w:rPr>
              <w:t>招标文件</w:t>
            </w:r>
            <w:r>
              <w:rPr>
                <w:rFonts w:hint="eastAsia" w:ascii="宋体" w:hAnsi="宋体" w:cs="宋体"/>
                <w:sz w:val="24"/>
                <w:szCs w:val="24"/>
                <w:lang w:eastAsia="zh-CN"/>
              </w:rPr>
              <w:t>第二章</w:t>
            </w:r>
            <w:r>
              <w:rPr>
                <w:rFonts w:hint="eastAsia" w:ascii="宋体" w:hAnsi="宋体" w:cs="宋体"/>
                <w:sz w:val="24"/>
                <w:szCs w:val="24"/>
              </w:rPr>
              <w:t>《投标须知通用条款》第</w:t>
            </w:r>
            <w:r>
              <w:rPr>
                <w:rFonts w:hint="eastAsia" w:ascii="宋体" w:hAnsi="宋体" w:cs="宋体"/>
                <w:sz w:val="24"/>
                <w:szCs w:val="24"/>
                <w:lang w:val="en-US" w:eastAsia="zh-CN"/>
              </w:rPr>
              <w:t>5.3.1</w:t>
            </w:r>
            <w:r>
              <w:rPr>
                <w:rFonts w:hint="eastAsia" w:ascii="宋体" w:hAnsi="宋体" w:cs="宋体"/>
                <w:sz w:val="24"/>
                <w:szCs w:val="24"/>
              </w:rPr>
              <w:t>条款</w:t>
            </w:r>
          </w:p>
        </w:tc>
        <w:tc>
          <w:tcPr>
            <w:tcW w:w="3604" w:type="dxa"/>
            <w:noWrap w:val="0"/>
            <w:vAlign w:val="center"/>
          </w:tcPr>
          <w:p>
            <w:pPr>
              <w:spacing w:line="400" w:lineRule="exact"/>
              <w:rPr>
                <w:rFonts w:hint="eastAsia" w:ascii="宋体" w:hAnsi="宋体" w:cs="宋体"/>
                <w:sz w:val="24"/>
                <w:szCs w:val="24"/>
              </w:rPr>
            </w:pPr>
            <w:r>
              <w:rPr>
                <w:rFonts w:hint="eastAsia"/>
                <w:sz w:val="24"/>
              </w:rPr>
              <w:t>5.3.1投标人代表对开标有异议的，应当在开标现场提出，招标人当场作出答复，并制作记录。该投标人代表须同时出示本人身份证原件。</w:t>
            </w:r>
          </w:p>
        </w:tc>
        <w:tc>
          <w:tcPr>
            <w:tcW w:w="4592" w:type="dxa"/>
            <w:noWrap w:val="0"/>
            <w:vAlign w:val="center"/>
          </w:tcPr>
          <w:p>
            <w:pPr>
              <w:keepNext w:val="0"/>
              <w:keepLines w:val="0"/>
              <w:pageBreakBefore w:val="0"/>
              <w:kinsoku/>
              <w:wordWrap/>
              <w:overflowPunct/>
              <w:topLinePunct w:val="0"/>
              <w:autoSpaceDE/>
              <w:autoSpaceDN/>
              <w:bidi w:val="0"/>
              <w:adjustRightInd/>
              <w:snapToGrid/>
              <w:spacing w:line="560" w:lineRule="exact"/>
              <w:ind w:firstLine="480" w:firstLineChars="200"/>
              <w:contextualSpacing/>
              <w:textAlignment w:val="auto"/>
              <w:rPr>
                <w:rFonts w:hint="eastAsia" w:ascii="宋体" w:hAnsi="宋体" w:eastAsia="宋体" w:cs="宋体"/>
                <w:b/>
                <w:bCs/>
                <w:color w:val="auto"/>
                <w:sz w:val="24"/>
                <w:szCs w:val="24"/>
                <w:highlight w:val="none"/>
                <w:u w:val="single"/>
                <w:lang w:val="en-US" w:eastAsia="zh-CN"/>
              </w:rPr>
            </w:pPr>
            <w:r>
              <w:rPr>
                <w:rFonts w:hint="eastAsia" w:ascii="宋体" w:hAnsi="宋体"/>
                <w:color w:val="auto"/>
                <w:sz w:val="24"/>
                <w:highlight w:val="none"/>
              </w:rPr>
              <w:t>5.3.1投标人代表对开标有异议的，应当在开标现场提出，</w:t>
            </w:r>
            <w:r>
              <w:rPr>
                <w:rFonts w:hint="eastAsia" w:ascii="宋体" w:hAnsi="宋体" w:eastAsia="宋体" w:cs="宋体"/>
                <w:b/>
                <w:bCs/>
                <w:color w:val="auto"/>
                <w:sz w:val="24"/>
                <w:szCs w:val="24"/>
                <w:highlight w:val="none"/>
                <w:u w:val="single"/>
                <w:lang w:val="en-US" w:eastAsia="zh-CN"/>
              </w:rPr>
              <w:t>同时出示本人身份证原件，招标人应当当场作出答复，并制作记录</w:t>
            </w:r>
            <w:r>
              <w:rPr>
                <w:rFonts w:hint="eastAsia" w:ascii="宋体" w:hAnsi="宋体"/>
                <w:b/>
                <w:bCs/>
                <w:color w:val="auto"/>
                <w:sz w:val="24"/>
                <w:highlight w:val="none"/>
              </w:rPr>
              <w:t>。</w:t>
            </w:r>
            <w:r>
              <w:rPr>
                <w:rFonts w:hint="eastAsia" w:ascii="宋体" w:hAnsi="宋体" w:eastAsia="宋体" w:cs="宋体"/>
                <w:b/>
                <w:bCs/>
                <w:color w:val="auto"/>
                <w:sz w:val="24"/>
                <w:szCs w:val="24"/>
                <w:highlight w:val="none"/>
                <w:u w:val="single"/>
                <w:lang w:val="en-US" w:eastAsia="zh-CN"/>
              </w:rPr>
              <w:t>参加在线开标的，投标人应通过广交易建设工程电子交易系统在线提出，招标人应通过广交易建设工程电子交易系统答复，答复后方可结束开标。</w:t>
            </w:r>
          </w:p>
          <w:p>
            <w:pPr>
              <w:keepNext w:val="0"/>
              <w:keepLines w:val="0"/>
              <w:pageBreakBefore w:val="0"/>
              <w:kinsoku/>
              <w:wordWrap/>
              <w:overflowPunct/>
              <w:topLinePunct w:val="0"/>
              <w:autoSpaceDE/>
              <w:autoSpaceDN/>
              <w:bidi w:val="0"/>
              <w:adjustRightInd/>
              <w:snapToGrid/>
              <w:spacing w:line="560" w:lineRule="exact"/>
              <w:ind w:firstLine="482" w:firstLineChars="200"/>
              <w:contextualSpacing/>
              <w:textAlignment w:val="auto"/>
              <w:rPr>
                <w:rFonts w:hint="eastAsia" w:ascii="宋体" w:hAnsi="宋体" w:eastAsia="宋体" w:cs="宋体"/>
                <w:b/>
                <w:bCs/>
                <w:color w:val="auto"/>
                <w:sz w:val="24"/>
                <w:szCs w:val="24"/>
                <w:highlight w:val="none"/>
                <w:u w:val="single"/>
                <w:lang w:val="en-US" w:eastAsia="zh-CN"/>
              </w:rPr>
            </w:pPr>
            <w:r>
              <w:rPr>
                <w:rFonts w:hint="eastAsia" w:ascii="宋体" w:hAnsi="宋体" w:eastAsia="宋体" w:cs="宋体"/>
                <w:b/>
                <w:bCs/>
                <w:color w:val="auto"/>
                <w:sz w:val="24"/>
                <w:szCs w:val="24"/>
                <w:highlight w:val="none"/>
                <w:u w:val="single"/>
                <w:lang w:val="en-US" w:eastAsia="zh-CN"/>
              </w:rPr>
              <w:t>1.具体操作详见“广州交易集团有限公司（广州公共资源交易中心）门户网站首页-&gt;服务指南-&gt;系统帮助-&gt;操作手册-&gt;发起及受理异议操作指引”。</w:t>
            </w:r>
          </w:p>
          <w:p>
            <w:pPr>
              <w:keepNext w:val="0"/>
              <w:keepLines w:val="0"/>
              <w:pageBreakBefore w:val="0"/>
              <w:kinsoku/>
              <w:wordWrap/>
              <w:overflowPunct/>
              <w:topLinePunct w:val="0"/>
              <w:autoSpaceDE/>
              <w:autoSpaceDN/>
              <w:bidi w:val="0"/>
              <w:adjustRightInd/>
              <w:snapToGrid/>
              <w:spacing w:line="560" w:lineRule="exact"/>
              <w:ind w:firstLine="482" w:firstLineChars="200"/>
              <w:contextualSpacing/>
              <w:textAlignment w:val="auto"/>
              <w:rPr>
                <w:rFonts w:hint="eastAsia" w:ascii="宋体" w:hAnsi="宋体" w:eastAsia="宋体"/>
                <w:sz w:val="24"/>
              </w:rPr>
            </w:pPr>
            <w:r>
              <w:rPr>
                <w:rFonts w:hint="eastAsia" w:ascii="宋体" w:hAnsi="宋体" w:eastAsia="宋体" w:cs="宋体"/>
                <w:b/>
                <w:bCs/>
                <w:color w:val="auto"/>
                <w:sz w:val="24"/>
                <w:szCs w:val="24"/>
                <w:highlight w:val="none"/>
                <w:u w:val="single"/>
                <w:lang w:val="en-US" w:eastAsia="zh-CN"/>
              </w:rPr>
              <w:t>2.投标人可登录交易平台网站向招标人提出异议申请，招标人在线处理完异议后，提出异议的投标人可以在线查询处理结果。异议处理结果仅对提出异议的投标人开放查询。投标人登录广交易平台进入“我是投标人”-选择“新建设工程交易平台”-“异议管理”-点击“新增异议”-选择要发起异议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4" w:hRule="atLeast"/>
        </w:trPr>
        <w:tc>
          <w:tcPr>
            <w:tcW w:w="1688" w:type="dxa"/>
            <w:noWrap w:val="0"/>
            <w:vAlign w:val="center"/>
          </w:tcPr>
          <w:p>
            <w:pPr>
              <w:spacing w:line="400" w:lineRule="exact"/>
              <w:jc w:val="center"/>
              <w:rPr>
                <w:rFonts w:hint="eastAsia" w:ascii="宋体" w:hAnsi="宋体" w:cs="宋体"/>
                <w:bCs/>
                <w:sz w:val="24"/>
                <w:szCs w:val="24"/>
              </w:rPr>
            </w:pPr>
            <w:r>
              <w:rPr>
                <w:rFonts w:hint="eastAsia" w:ascii="宋体" w:hAnsi="宋体" w:cs="宋体"/>
                <w:sz w:val="24"/>
                <w:szCs w:val="24"/>
              </w:rPr>
              <w:t>招标文件</w:t>
            </w:r>
            <w:r>
              <w:rPr>
                <w:rFonts w:hint="eastAsia" w:ascii="宋体" w:hAnsi="宋体" w:cs="宋体"/>
                <w:sz w:val="24"/>
                <w:szCs w:val="24"/>
                <w:lang w:eastAsia="zh-CN"/>
              </w:rPr>
              <w:t>第二章</w:t>
            </w:r>
            <w:r>
              <w:rPr>
                <w:rFonts w:hint="eastAsia" w:ascii="宋体" w:hAnsi="宋体" w:cs="宋体"/>
                <w:sz w:val="24"/>
                <w:szCs w:val="24"/>
              </w:rPr>
              <w:t>《</w:t>
            </w:r>
            <w:bookmarkStart w:id="1" w:name="_Toc61543594"/>
            <w:r>
              <w:rPr>
                <w:rFonts w:hint="eastAsia" w:ascii="宋体" w:hAnsi="宋体" w:cs="宋体"/>
                <w:sz w:val="24"/>
                <w:szCs w:val="24"/>
              </w:rPr>
              <w:t>投标须知通用条款</w:t>
            </w:r>
            <w:bookmarkEnd w:id="1"/>
            <w:r>
              <w:rPr>
                <w:rFonts w:hint="eastAsia" w:ascii="宋体" w:hAnsi="宋体" w:cs="宋体"/>
                <w:sz w:val="24"/>
                <w:szCs w:val="24"/>
              </w:rPr>
              <w:t>》第7.1.1条款</w:t>
            </w:r>
          </w:p>
        </w:tc>
        <w:tc>
          <w:tcPr>
            <w:tcW w:w="3604" w:type="dxa"/>
            <w:noWrap w:val="0"/>
            <w:vAlign w:val="center"/>
          </w:tcPr>
          <w:p>
            <w:pPr>
              <w:spacing w:line="400" w:lineRule="exact"/>
              <w:jc w:val="left"/>
              <w:rPr>
                <w:sz w:val="24"/>
                <w:szCs w:val="24"/>
              </w:rPr>
            </w:pPr>
            <w:r>
              <w:rPr>
                <w:rFonts w:hint="eastAsia"/>
                <w:sz w:val="24"/>
                <w:szCs w:val="24"/>
              </w:rPr>
              <w:t>7.1.1招标人在《投标人须知前附表》规定的媒介公示中标候选人，公示期为三天，最后一天应为工作日。</w:t>
            </w:r>
          </w:p>
          <w:p>
            <w:pPr>
              <w:spacing w:line="400" w:lineRule="exact"/>
              <w:rPr>
                <w:rFonts w:hint="eastAsia" w:ascii="宋体" w:hAnsi="宋体" w:cs="宋体"/>
                <w:bCs/>
                <w:sz w:val="24"/>
                <w:szCs w:val="24"/>
              </w:rPr>
            </w:pPr>
          </w:p>
        </w:tc>
        <w:tc>
          <w:tcPr>
            <w:tcW w:w="4592" w:type="dxa"/>
            <w:noWrap w:val="0"/>
            <w:vAlign w:val="center"/>
          </w:tcPr>
          <w:p>
            <w:pPr>
              <w:snapToGrid w:val="0"/>
              <w:spacing w:line="400" w:lineRule="exact"/>
              <w:rPr>
                <w:rFonts w:hint="eastAsia" w:ascii="宋体" w:hAnsi="宋体" w:cs="宋体"/>
                <w:b/>
                <w:bCs/>
                <w:sz w:val="24"/>
                <w:szCs w:val="24"/>
              </w:rPr>
            </w:pPr>
            <w:r>
              <w:rPr>
                <w:rFonts w:hint="eastAsia"/>
                <w:sz w:val="24"/>
                <w:szCs w:val="24"/>
              </w:rPr>
              <w:t>7.1.1招标人在《投标人须知前附表》规定的媒介公示中标候选人，公示期为三天，最后一天应为工作日。</w:t>
            </w:r>
          </w:p>
          <w:p>
            <w:pPr>
              <w:widowControl/>
              <w:snapToGrid w:val="0"/>
              <w:spacing w:line="400" w:lineRule="exact"/>
              <w:jc w:val="left"/>
              <w:rPr>
                <w:rFonts w:hint="eastAsia" w:ascii="宋体" w:hAnsi="宋体" w:cs="宋体"/>
                <w:b/>
                <w:bCs/>
                <w:sz w:val="24"/>
                <w:szCs w:val="24"/>
                <w:u w:val="single"/>
              </w:rPr>
            </w:pPr>
            <w:r>
              <w:rPr>
                <w:rFonts w:hint="eastAsia" w:ascii="宋体" w:hAnsi="宋体" w:cs="宋体"/>
                <w:b/>
                <w:bCs/>
                <w:sz w:val="24"/>
                <w:szCs w:val="24"/>
                <w:u w:val="single"/>
              </w:rPr>
              <w:t>注：投标人或其他利害关系人对评标结果有异议的，应当在中标候选人公示期间提出，可以通过线下或线上的形式提出异议。线上提交的，应通过广交易建设工程电子交易系统进行，招标人也应通过广交易建设工程电子交易系统答复线上提交的异议。作出答复前，应当暂停招标投标活动。</w:t>
            </w:r>
          </w:p>
          <w:p>
            <w:pPr>
              <w:snapToGrid w:val="0"/>
              <w:spacing w:line="400" w:lineRule="exact"/>
              <w:rPr>
                <w:rFonts w:hint="eastAsia" w:ascii="宋体" w:hAnsi="宋体" w:cs="宋体"/>
                <w:b/>
                <w:bCs/>
                <w:sz w:val="24"/>
                <w:szCs w:val="24"/>
                <w:u w:val="single"/>
              </w:rPr>
            </w:pPr>
            <w:r>
              <w:rPr>
                <w:rFonts w:hint="eastAsia" w:ascii="宋体" w:hAnsi="宋体" w:cs="宋体"/>
                <w:b/>
                <w:bCs/>
                <w:sz w:val="24"/>
                <w:szCs w:val="24"/>
                <w:u w:val="single"/>
              </w:rPr>
              <w:t>1.具体操作详见“广州交易集团有限公司（广州公共资源交易中心）门户网站首页-&gt;服务指南-&gt;系统帮助-&gt;操作手册-&gt;发起及受理异议操作指引”。</w:t>
            </w:r>
          </w:p>
          <w:p>
            <w:pPr>
              <w:snapToGrid w:val="0"/>
              <w:spacing w:line="400" w:lineRule="exact"/>
              <w:rPr>
                <w:rFonts w:hint="eastAsia" w:ascii="宋体" w:hAnsi="宋体" w:cs="宋体"/>
                <w:sz w:val="24"/>
                <w:szCs w:val="24"/>
              </w:rPr>
            </w:pPr>
            <w:r>
              <w:rPr>
                <w:rFonts w:hint="eastAsia" w:ascii="宋体" w:hAnsi="宋体" w:cs="宋体"/>
                <w:b/>
                <w:bCs/>
                <w:sz w:val="24"/>
                <w:szCs w:val="24"/>
                <w:u w:val="single"/>
              </w:rPr>
              <w:t>2.投标人可登录交易平台网站向招标人提出异议申请，招标人在线处理完异议后，提出异议的投标人可以在线查询处理结果。异议处理结果仅对提出异议的投标人开放查询。投标人登录广交易平台进入“我是投标人”-选择“新建设工程交易平台”-“异议管理”-点击“新增异议”-选择要发起异议的项目</w:t>
            </w:r>
            <w:r>
              <w:rPr>
                <w:rFonts w:hint="eastAsia" w:ascii="宋体" w:hAnsi="宋体" w:cs="宋体"/>
                <w:b/>
                <w:bCs/>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4" w:hRule="atLeast"/>
        </w:trPr>
        <w:tc>
          <w:tcPr>
            <w:tcW w:w="1688" w:type="dxa"/>
            <w:noWrap w:val="0"/>
            <w:vAlign w:val="center"/>
          </w:tcPr>
          <w:p>
            <w:pPr>
              <w:spacing w:line="400" w:lineRule="exact"/>
              <w:jc w:val="center"/>
              <w:rPr>
                <w:rFonts w:hint="eastAsia" w:ascii="宋体" w:hAnsi="宋体" w:cs="宋体"/>
                <w:sz w:val="24"/>
                <w:szCs w:val="24"/>
              </w:rPr>
            </w:pPr>
            <w:r>
              <w:rPr>
                <w:rFonts w:hint="eastAsia" w:ascii="宋体" w:hAnsi="宋体" w:cs="宋体"/>
                <w:sz w:val="24"/>
                <w:szCs w:val="24"/>
              </w:rPr>
              <w:t>招标文件</w:t>
            </w:r>
            <w:r>
              <w:rPr>
                <w:rFonts w:hint="eastAsia" w:ascii="宋体" w:hAnsi="宋体" w:cs="宋体"/>
                <w:sz w:val="24"/>
                <w:szCs w:val="24"/>
                <w:lang w:eastAsia="zh-CN"/>
              </w:rPr>
              <w:t>第三章</w:t>
            </w:r>
            <w:r>
              <w:rPr>
                <w:rFonts w:hint="eastAsia" w:ascii="宋体" w:hAnsi="宋体" w:cs="宋体"/>
                <w:sz w:val="24"/>
                <w:szCs w:val="24"/>
              </w:rPr>
              <w:t>《评标办法前附表》</w:t>
            </w:r>
          </w:p>
        </w:tc>
        <w:tc>
          <w:tcPr>
            <w:tcW w:w="3604" w:type="dxa"/>
            <w:noWrap w:val="0"/>
            <w:vAlign w:val="center"/>
          </w:tcPr>
          <w:p>
            <w:pPr>
              <w:spacing w:line="400" w:lineRule="exact"/>
              <w:jc w:val="center"/>
              <w:rPr>
                <w:rFonts w:hint="eastAsia" w:ascii="宋体" w:hAnsi="宋体" w:cs="宋体"/>
                <w:bCs/>
                <w:sz w:val="24"/>
                <w:szCs w:val="24"/>
              </w:rPr>
            </w:pPr>
            <w:r>
              <w:rPr>
                <w:rFonts w:hint="eastAsia" w:ascii="宋体" w:hAnsi="宋体"/>
                <w:sz w:val="24"/>
                <w:szCs w:val="24"/>
              </w:rPr>
              <w:t>见原</w:t>
            </w:r>
            <w:r>
              <w:rPr>
                <w:rFonts w:ascii="宋体" w:hAnsi="宋体"/>
                <w:sz w:val="24"/>
                <w:szCs w:val="24"/>
              </w:rPr>
              <w:t>招标文件</w:t>
            </w:r>
            <w:r>
              <w:rPr>
                <w:rFonts w:hint="eastAsia" w:ascii="宋体" w:hAnsi="宋体"/>
                <w:sz w:val="24"/>
                <w:szCs w:val="24"/>
                <w:lang w:eastAsia="zh-CN"/>
              </w:rPr>
              <w:t>第三章</w:t>
            </w:r>
            <w:r>
              <w:rPr>
                <w:rFonts w:hint="eastAsia" w:ascii="宋体" w:hAnsi="宋体" w:cs="宋体"/>
                <w:sz w:val="24"/>
                <w:szCs w:val="24"/>
              </w:rPr>
              <w:t>《评标办法前附表》</w:t>
            </w:r>
          </w:p>
        </w:tc>
        <w:tc>
          <w:tcPr>
            <w:tcW w:w="4592" w:type="dxa"/>
            <w:noWrap w:val="0"/>
            <w:vAlign w:val="center"/>
          </w:tcPr>
          <w:p>
            <w:pPr>
              <w:pStyle w:val="4"/>
              <w:spacing w:line="400" w:lineRule="exact"/>
              <w:ind w:firstLine="420" w:firstLineChars="0"/>
              <w:rPr>
                <w:rFonts w:hint="eastAsia" w:ascii="宋体" w:hAnsi="宋体" w:cs="宋体"/>
                <w:b/>
                <w:bCs/>
                <w:sz w:val="24"/>
                <w:szCs w:val="24"/>
                <w:u w:val="single"/>
              </w:rPr>
            </w:pPr>
            <w:r>
              <w:rPr>
                <w:rFonts w:hint="eastAsia" w:ascii="Calibri" w:hAnsi="Calibri"/>
                <w:b/>
                <w:bCs/>
                <w:sz w:val="24"/>
                <w:szCs w:val="24"/>
                <w:lang w:eastAsia="zh-CN"/>
              </w:rPr>
              <w:t>具体</w:t>
            </w:r>
            <w:r>
              <w:rPr>
                <w:rFonts w:hint="eastAsia" w:ascii="Calibri" w:hAnsi="Calibri"/>
                <w:b/>
                <w:bCs/>
                <w:sz w:val="24"/>
                <w:szCs w:val="24"/>
              </w:rPr>
              <w:t>详见修改后的招标文件（本</w:t>
            </w:r>
            <w:r>
              <w:rPr>
                <w:rFonts w:hint="eastAsia" w:ascii="Calibri" w:hAnsi="Calibri"/>
                <w:b/>
                <w:bCs/>
                <w:sz w:val="24"/>
                <w:szCs w:val="24"/>
                <w:lang w:eastAsia="zh-CN"/>
              </w:rPr>
              <w:t>补充公告</w:t>
            </w:r>
            <w:r>
              <w:rPr>
                <w:rFonts w:hint="eastAsia" w:ascii="Calibri" w:hAnsi="Calibri"/>
                <w:b/>
                <w:bCs/>
                <w:sz w:val="24"/>
                <w:szCs w:val="24"/>
              </w:rPr>
              <w:t>附件</w:t>
            </w:r>
            <w:r>
              <w:rPr>
                <w:rFonts w:hint="eastAsia" w:ascii="Calibri" w:hAnsi="Calibri"/>
                <w:b/>
                <w:bCs/>
                <w:sz w:val="24"/>
                <w:szCs w:val="24"/>
                <w:lang w:eastAsia="zh-CN"/>
              </w:rPr>
              <w:t>一、附件二</w:t>
            </w:r>
            <w:r>
              <w:rPr>
                <w:rFonts w:hint="eastAsia" w:ascii="Calibri" w:hAnsi="Calibri"/>
                <w:b/>
                <w:bCs/>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7" w:hRule="atLeast"/>
        </w:trPr>
        <w:tc>
          <w:tcPr>
            <w:tcW w:w="1688" w:type="dxa"/>
            <w:noWrap w:val="0"/>
            <w:vAlign w:val="center"/>
          </w:tcPr>
          <w:p>
            <w:pPr>
              <w:spacing w:line="400" w:lineRule="exact"/>
              <w:rPr>
                <w:rFonts w:hint="eastAsia" w:ascii="宋体" w:hAnsi="宋体" w:cs="宋体"/>
                <w:bCs/>
                <w:sz w:val="24"/>
                <w:szCs w:val="24"/>
              </w:rPr>
            </w:pPr>
            <w:r>
              <w:rPr>
                <w:rFonts w:hint="eastAsia" w:ascii="宋体" w:hAnsi="宋体" w:cs="宋体"/>
                <w:sz w:val="24"/>
                <w:szCs w:val="24"/>
              </w:rPr>
              <w:t>招标文件</w:t>
            </w:r>
            <w:r>
              <w:rPr>
                <w:rFonts w:hint="eastAsia" w:ascii="宋体" w:hAnsi="宋体" w:cs="宋体"/>
                <w:sz w:val="24"/>
                <w:szCs w:val="24"/>
                <w:lang w:eastAsia="zh-CN"/>
              </w:rPr>
              <w:t>第四章</w:t>
            </w:r>
            <w:r>
              <w:rPr>
                <w:rFonts w:hint="eastAsia" w:ascii="宋体" w:hAnsi="宋体" w:cs="宋体"/>
                <w:sz w:val="24"/>
                <w:szCs w:val="24"/>
              </w:rPr>
              <w:t>合同条款《建设工程施工合同-专用合同条款》4.2.1条款</w:t>
            </w:r>
          </w:p>
        </w:tc>
        <w:tc>
          <w:tcPr>
            <w:tcW w:w="3604" w:type="dxa"/>
            <w:noWrap w:val="0"/>
            <w:vAlign w:val="center"/>
          </w:tcPr>
          <w:p>
            <w:pPr>
              <w:snapToGrid w:val="0"/>
              <w:spacing w:line="400" w:lineRule="exact"/>
              <w:rPr>
                <w:rFonts w:ascii="宋体" w:hAnsi="宋体" w:cs="宋体"/>
                <w:sz w:val="24"/>
                <w:szCs w:val="24"/>
              </w:rPr>
            </w:pPr>
            <w:bookmarkStart w:id="2" w:name="_Toc367280733"/>
            <w:bookmarkStart w:id="3" w:name="_Toc354050701"/>
            <w:r>
              <w:rPr>
                <w:rFonts w:hint="eastAsia" w:ascii="宋体" w:hAnsi="宋体" w:cs="宋体"/>
                <w:sz w:val="24"/>
                <w:szCs w:val="24"/>
              </w:rPr>
              <w:t>4.2.1履约担保的格式和金额</w:t>
            </w:r>
            <w:bookmarkEnd w:id="2"/>
            <w:bookmarkEnd w:id="3"/>
          </w:p>
          <w:p>
            <w:pPr>
              <w:snapToGrid w:val="0"/>
              <w:spacing w:line="400" w:lineRule="exact"/>
              <w:ind w:firstLine="480"/>
              <w:rPr>
                <w:rFonts w:hint="eastAsia" w:ascii="宋体" w:hAnsi="宋体" w:cs="宋体"/>
                <w:bCs/>
                <w:sz w:val="24"/>
                <w:szCs w:val="24"/>
              </w:rPr>
            </w:pPr>
            <w:r>
              <w:rPr>
                <w:rFonts w:hint="eastAsia" w:ascii="宋体" w:hAnsi="宋体" w:cs="宋体"/>
                <w:sz w:val="24"/>
                <w:szCs w:val="24"/>
              </w:rPr>
              <w:t>承包人应在签订合同前，按照发包人在招标文件中规定的格式或者其他经过发包人认可的格式向发包人递交一份履约担保</w:t>
            </w:r>
            <w:r>
              <w:rPr>
                <w:rFonts w:hint="eastAsia" w:ascii="宋体" w:hAnsi="宋体" w:cs="宋体"/>
                <w:b/>
                <w:bCs/>
                <w:sz w:val="24"/>
                <w:szCs w:val="24"/>
              </w:rPr>
              <w:t>（国内商业银行出具的履约保函）</w:t>
            </w:r>
            <w:r>
              <w:rPr>
                <w:rFonts w:hint="eastAsia" w:ascii="宋体" w:hAnsi="宋体" w:cs="宋体"/>
                <w:sz w:val="24"/>
                <w:szCs w:val="24"/>
              </w:rPr>
              <w:t>。经过发包人事先书面认可的其他格式的履约担保，其担保条款的实质性内容应当与发包人在招标文件中规定的格式内容保持一致。履约担保的金按照中标合同额的</w:t>
            </w:r>
            <w:r>
              <w:rPr>
                <w:rFonts w:hint="eastAsia" w:ascii="宋体" w:hAnsi="宋体" w:cs="宋体"/>
                <w:b/>
                <w:bCs/>
                <w:sz w:val="24"/>
                <w:szCs w:val="24"/>
                <w:u w:val="single"/>
              </w:rPr>
              <w:t>10%</w:t>
            </w:r>
            <w:r>
              <w:rPr>
                <w:rFonts w:hint="eastAsia" w:ascii="宋体" w:hAnsi="宋体" w:cs="宋体"/>
                <w:sz w:val="24"/>
                <w:szCs w:val="24"/>
              </w:rPr>
              <w:t>提交（由业主单位视工程重要性、合同金额等情况确定，但不得高于中标合同额的10%）。履约担保是本合同的附件。</w:t>
            </w:r>
          </w:p>
        </w:tc>
        <w:tc>
          <w:tcPr>
            <w:tcW w:w="4592" w:type="dxa"/>
            <w:noWrap w:val="0"/>
            <w:vAlign w:val="center"/>
          </w:tcPr>
          <w:p>
            <w:pPr>
              <w:spacing w:line="400" w:lineRule="exact"/>
              <w:rPr>
                <w:rFonts w:hint="eastAsia" w:ascii="宋体" w:hAnsi="宋体" w:cs="宋体"/>
                <w:sz w:val="24"/>
                <w:szCs w:val="24"/>
              </w:rPr>
            </w:pPr>
            <w:r>
              <w:rPr>
                <w:rFonts w:hint="eastAsia" w:ascii="宋体" w:hAnsi="宋体" w:cs="宋体"/>
                <w:sz w:val="24"/>
                <w:szCs w:val="24"/>
              </w:rPr>
              <w:t>4.2.1履约担保的格式和金额</w:t>
            </w:r>
          </w:p>
          <w:p>
            <w:pPr>
              <w:spacing w:line="400" w:lineRule="exact"/>
              <w:ind w:firstLine="480" w:firstLineChars="200"/>
              <w:rPr>
                <w:rFonts w:hint="eastAsia" w:ascii="宋体" w:hAnsi="宋体" w:cs="宋体"/>
                <w:b/>
                <w:sz w:val="24"/>
                <w:szCs w:val="24"/>
                <w:u w:val="single"/>
              </w:rPr>
            </w:pPr>
            <w:r>
              <w:rPr>
                <w:rFonts w:hint="eastAsia" w:ascii="宋体" w:hAnsi="宋体" w:cs="宋体"/>
                <w:sz w:val="24"/>
                <w:szCs w:val="24"/>
              </w:rPr>
              <w:t>承包人应在签订合同前，按照发包人在招标文件中规定的格式或者其他经过发包人认可的格式向发包人递交一份履约担保</w:t>
            </w:r>
            <w:r>
              <w:rPr>
                <w:rFonts w:hint="eastAsia" w:ascii="宋体" w:hAnsi="宋体" w:cs="宋体"/>
                <w:b/>
                <w:bCs/>
                <w:sz w:val="24"/>
                <w:szCs w:val="24"/>
                <w:u w:val="single"/>
              </w:rPr>
              <w:t>（履约担保形式包含担保保函、银行保函以及保证保险，具备使用电子保函条件的承包人可优先选择使用电子保函）</w:t>
            </w:r>
            <w:r>
              <w:rPr>
                <w:rFonts w:hint="eastAsia" w:ascii="宋体" w:hAnsi="宋体" w:cs="宋体"/>
                <w:sz w:val="24"/>
                <w:szCs w:val="24"/>
              </w:rPr>
              <w:t>。经过发包人事先书面认可的其他格式的履约担保，其担保条款的实质性内容应当与发包人在招标文件中规定的格式内容保持一致。履约担保的金按照中标合同额的</w:t>
            </w:r>
            <w:r>
              <w:rPr>
                <w:rFonts w:hint="eastAsia" w:ascii="宋体" w:hAnsi="宋体" w:cs="宋体"/>
                <w:b/>
                <w:bCs/>
                <w:sz w:val="24"/>
                <w:szCs w:val="24"/>
                <w:u w:val="single"/>
              </w:rPr>
              <w:t>10%</w:t>
            </w:r>
            <w:r>
              <w:rPr>
                <w:rFonts w:hint="eastAsia" w:ascii="宋体" w:hAnsi="宋体" w:cs="宋体"/>
                <w:sz w:val="24"/>
                <w:szCs w:val="24"/>
              </w:rPr>
              <w:t>提交（由业主单位视工程重要性、合同金额等情况确定，但不得高于中标合同额的10%）。履约担保是本合同的附件。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88" w:type="dxa"/>
            <w:noWrap w:val="0"/>
            <w:vAlign w:val="center"/>
          </w:tcPr>
          <w:p>
            <w:pPr>
              <w:spacing w:line="400" w:lineRule="exact"/>
              <w:jc w:val="center"/>
              <w:rPr>
                <w:rFonts w:ascii="宋体" w:hAnsi="宋体" w:cs="宋体"/>
                <w:bCs/>
                <w:sz w:val="24"/>
                <w:szCs w:val="24"/>
              </w:rPr>
            </w:pPr>
            <w:r>
              <w:rPr>
                <w:rFonts w:hint="eastAsia" w:ascii="宋体" w:hAnsi="宋体" w:cs="宋体"/>
                <w:sz w:val="24"/>
                <w:szCs w:val="24"/>
              </w:rPr>
              <w:t>招标文件</w:t>
            </w:r>
            <w:r>
              <w:rPr>
                <w:rFonts w:hint="eastAsia" w:ascii="宋体" w:hAnsi="宋体" w:cs="宋体"/>
                <w:sz w:val="24"/>
                <w:szCs w:val="24"/>
                <w:lang w:eastAsia="zh-CN"/>
              </w:rPr>
              <w:t>第四章</w:t>
            </w:r>
            <w:r>
              <w:rPr>
                <w:rFonts w:hint="eastAsia" w:ascii="宋体" w:hAnsi="宋体" w:cs="宋体"/>
                <w:sz w:val="24"/>
                <w:szCs w:val="24"/>
              </w:rPr>
              <w:t>合同条款《建设工程施工合同-合同附件格式-合同协议书（格式）》</w:t>
            </w:r>
          </w:p>
        </w:tc>
        <w:tc>
          <w:tcPr>
            <w:tcW w:w="3604" w:type="dxa"/>
            <w:noWrap w:val="0"/>
            <w:vAlign w:val="center"/>
          </w:tcPr>
          <w:p>
            <w:pPr>
              <w:spacing w:line="400" w:lineRule="exact"/>
              <w:ind w:firstLine="480" w:firstLineChars="200"/>
              <w:rPr>
                <w:rFonts w:hint="eastAsia" w:ascii="宋体" w:hAnsi="宋体" w:cs="宋体"/>
                <w:bCs/>
                <w:sz w:val="24"/>
                <w:szCs w:val="24"/>
              </w:rPr>
            </w:pPr>
            <w:r>
              <w:rPr>
                <w:rFonts w:hint="eastAsia" w:ascii="宋体" w:hAnsi="宋体"/>
                <w:sz w:val="24"/>
                <w:szCs w:val="24"/>
              </w:rPr>
              <w:t>本合同自双方签字盖章、递交</w:t>
            </w:r>
            <w:r>
              <w:rPr>
                <w:rFonts w:hint="eastAsia" w:ascii="宋体" w:hAnsi="宋体"/>
                <w:b/>
                <w:bCs/>
                <w:sz w:val="24"/>
                <w:szCs w:val="24"/>
              </w:rPr>
              <w:t>履约保函</w:t>
            </w:r>
            <w:r>
              <w:rPr>
                <w:rFonts w:hint="eastAsia" w:ascii="宋体" w:hAnsi="宋体"/>
                <w:sz w:val="24"/>
                <w:szCs w:val="24"/>
              </w:rPr>
              <w:t>之日起生效，至本工程保修期届满且完工结算满60日并同时双方的责任、义务履行完毕时终止。</w:t>
            </w:r>
          </w:p>
        </w:tc>
        <w:tc>
          <w:tcPr>
            <w:tcW w:w="4592" w:type="dxa"/>
            <w:noWrap w:val="0"/>
            <w:vAlign w:val="center"/>
          </w:tcPr>
          <w:p>
            <w:pPr>
              <w:spacing w:line="400" w:lineRule="exact"/>
              <w:ind w:firstLine="480" w:firstLineChars="200"/>
              <w:rPr>
                <w:rFonts w:hint="eastAsia" w:ascii="宋体" w:hAnsi="宋体" w:cs="宋体"/>
                <w:sz w:val="24"/>
                <w:szCs w:val="24"/>
              </w:rPr>
            </w:pPr>
            <w:r>
              <w:rPr>
                <w:rFonts w:hint="eastAsia" w:ascii="宋体" w:hAnsi="宋体"/>
                <w:sz w:val="24"/>
                <w:szCs w:val="24"/>
              </w:rPr>
              <w:t>本合同自双方签字盖章、递交</w:t>
            </w:r>
            <w:r>
              <w:rPr>
                <w:rFonts w:hint="eastAsia" w:ascii="宋体" w:hAnsi="宋体"/>
                <w:b/>
                <w:bCs/>
                <w:sz w:val="24"/>
                <w:szCs w:val="24"/>
                <w:u w:val="single"/>
              </w:rPr>
              <w:t>履约担保</w:t>
            </w:r>
            <w:r>
              <w:rPr>
                <w:rFonts w:hint="eastAsia" w:ascii="宋体" w:hAnsi="宋体"/>
                <w:sz w:val="24"/>
                <w:szCs w:val="24"/>
              </w:rPr>
              <w:t>之日起生效，至本工程保修期届满且完工结算满60日并同时双方的责任、义务履行完毕时终止</w:t>
            </w:r>
            <w:r>
              <w:rPr>
                <w:rFonts w:hint="eastAsia" w:ascii="宋体" w:hAnsi="宋体" w:cs="宋体"/>
                <w:sz w:val="24"/>
                <w:szCs w:val="24"/>
              </w:rPr>
              <w:t>。</w:t>
            </w:r>
          </w:p>
          <w:p>
            <w:pPr>
              <w:pStyle w:val="4"/>
              <w:spacing w:line="400" w:lineRule="exact"/>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88" w:type="dxa"/>
            <w:noWrap w:val="0"/>
            <w:vAlign w:val="center"/>
          </w:tcPr>
          <w:p>
            <w:pPr>
              <w:spacing w:line="400" w:lineRule="exact"/>
              <w:jc w:val="center"/>
              <w:rPr>
                <w:rFonts w:hint="eastAsia" w:ascii="宋体" w:hAnsi="宋体" w:cs="宋体"/>
                <w:sz w:val="24"/>
                <w:szCs w:val="24"/>
              </w:rPr>
            </w:pPr>
            <w:r>
              <w:rPr>
                <w:rFonts w:hint="eastAsia" w:ascii="宋体" w:hAnsi="宋体" w:cs="宋体"/>
                <w:sz w:val="24"/>
                <w:szCs w:val="24"/>
              </w:rPr>
              <w:t>招标文件第八章《投标文件格式》</w:t>
            </w:r>
          </w:p>
        </w:tc>
        <w:tc>
          <w:tcPr>
            <w:tcW w:w="3604" w:type="dxa"/>
            <w:noWrap w:val="0"/>
            <w:vAlign w:val="center"/>
          </w:tcPr>
          <w:p>
            <w:pPr>
              <w:spacing w:line="360" w:lineRule="auto"/>
              <w:jc w:val="center"/>
              <w:rPr>
                <w:rFonts w:hint="eastAsia"/>
                <w:sz w:val="24"/>
                <w:szCs w:val="24"/>
              </w:rPr>
            </w:pPr>
            <w:r>
              <w:rPr>
                <w:rFonts w:hint="eastAsia" w:ascii="宋体" w:hAnsi="宋体"/>
                <w:sz w:val="24"/>
                <w:szCs w:val="24"/>
              </w:rPr>
              <w:t>见原</w:t>
            </w:r>
            <w:r>
              <w:rPr>
                <w:rFonts w:ascii="宋体" w:hAnsi="宋体"/>
                <w:sz w:val="24"/>
                <w:szCs w:val="24"/>
              </w:rPr>
              <w:t>招标文件</w:t>
            </w:r>
            <w:r>
              <w:rPr>
                <w:rFonts w:hint="eastAsia" w:ascii="宋体" w:hAnsi="宋体" w:cs="宋体"/>
                <w:sz w:val="24"/>
                <w:szCs w:val="24"/>
              </w:rPr>
              <w:t>第八章《投标文件格式》</w:t>
            </w:r>
          </w:p>
        </w:tc>
        <w:tc>
          <w:tcPr>
            <w:tcW w:w="4592" w:type="dxa"/>
            <w:noWrap w:val="0"/>
            <w:vAlign w:val="center"/>
          </w:tcPr>
          <w:p>
            <w:pPr>
              <w:pStyle w:val="4"/>
              <w:spacing w:line="400" w:lineRule="exact"/>
              <w:rPr>
                <w:rFonts w:hint="eastAsia" w:ascii="Calibri" w:hAnsi="Calibri"/>
                <w:b/>
                <w:bCs/>
                <w:sz w:val="24"/>
                <w:szCs w:val="24"/>
              </w:rPr>
            </w:pPr>
            <w:r>
              <w:rPr>
                <w:rFonts w:hint="eastAsia" w:ascii="Calibri" w:hAnsi="Calibri"/>
                <w:b/>
                <w:bCs/>
                <w:sz w:val="24"/>
                <w:szCs w:val="24"/>
                <w:lang w:eastAsia="zh-CN"/>
              </w:rPr>
              <w:t>具体</w:t>
            </w:r>
            <w:r>
              <w:rPr>
                <w:rFonts w:hint="eastAsia" w:ascii="Calibri" w:hAnsi="Calibri"/>
                <w:b/>
                <w:bCs/>
                <w:sz w:val="24"/>
                <w:szCs w:val="24"/>
              </w:rPr>
              <w:t>详见修改后的招标文件（本</w:t>
            </w:r>
            <w:r>
              <w:rPr>
                <w:rFonts w:hint="eastAsia" w:ascii="Calibri" w:hAnsi="Calibri"/>
                <w:b/>
                <w:bCs/>
                <w:sz w:val="24"/>
                <w:szCs w:val="24"/>
                <w:lang w:eastAsia="zh-CN"/>
              </w:rPr>
              <w:t>补充公告</w:t>
            </w:r>
            <w:r>
              <w:rPr>
                <w:rFonts w:hint="eastAsia" w:ascii="Calibri" w:hAnsi="Calibri"/>
                <w:b/>
                <w:bCs/>
                <w:sz w:val="24"/>
                <w:szCs w:val="24"/>
              </w:rPr>
              <w:t>附件</w:t>
            </w:r>
            <w:r>
              <w:rPr>
                <w:rFonts w:hint="eastAsia" w:ascii="Calibri" w:hAnsi="Calibri"/>
                <w:b/>
                <w:bCs/>
                <w:sz w:val="24"/>
                <w:szCs w:val="24"/>
                <w:lang w:eastAsia="zh-CN"/>
              </w:rPr>
              <w:t>一、附件二</w:t>
            </w:r>
            <w:r>
              <w:rPr>
                <w:rFonts w:hint="eastAsia" w:ascii="Calibri" w:hAnsi="Calibri"/>
                <w:b/>
                <w:bCs/>
                <w:sz w:val="24"/>
                <w:szCs w:val="24"/>
              </w:rPr>
              <w:t>）。</w:t>
            </w:r>
          </w:p>
        </w:tc>
      </w:tr>
    </w:tbl>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bCs/>
          <w:sz w:val="24"/>
          <w:szCs w:val="24"/>
        </w:rPr>
      </w:pPr>
      <w:r>
        <w:rPr>
          <w:rFonts w:hint="eastAsia" w:ascii="宋体" w:hAnsi="宋体" w:cs="宋体"/>
          <w:b/>
          <w:bCs/>
          <w:sz w:val="24"/>
          <w:szCs w:val="24"/>
        </w:rPr>
        <w:t>原2023年</w:t>
      </w:r>
      <w:r>
        <w:rPr>
          <w:rFonts w:hint="eastAsia" w:ascii="宋体" w:hAnsi="宋体" w:cs="宋体"/>
          <w:b/>
          <w:bCs/>
          <w:sz w:val="24"/>
          <w:szCs w:val="24"/>
          <w:lang w:val="en-US" w:eastAsia="zh-CN"/>
        </w:rPr>
        <w:t>6</w:t>
      </w:r>
      <w:r>
        <w:rPr>
          <w:rFonts w:hint="eastAsia" w:ascii="宋体" w:hAnsi="宋体" w:cs="宋体"/>
          <w:b/>
          <w:bCs/>
          <w:sz w:val="24"/>
          <w:szCs w:val="24"/>
        </w:rPr>
        <w:t>月</w:t>
      </w:r>
      <w:r>
        <w:rPr>
          <w:rFonts w:hint="default" w:ascii="宋体" w:hAnsi="宋体" w:cs="宋体"/>
          <w:b/>
          <w:bCs/>
          <w:sz w:val="24"/>
          <w:szCs w:val="24"/>
        </w:rPr>
        <w:t>2</w:t>
      </w:r>
      <w:r>
        <w:rPr>
          <w:rFonts w:hint="eastAsia" w:ascii="宋体" w:hAnsi="宋体" w:cs="宋体"/>
          <w:b/>
          <w:bCs/>
          <w:sz w:val="24"/>
          <w:szCs w:val="24"/>
        </w:rPr>
        <w:t>日发布的电子招标文件</w:t>
      </w:r>
      <w:r>
        <w:rPr>
          <w:rFonts w:hint="eastAsia" w:ascii="宋体" w:hAnsi="宋体" w:cs="宋体"/>
          <w:b/>
          <w:bCs/>
          <w:sz w:val="24"/>
          <w:szCs w:val="24"/>
          <w:lang w:eastAsia="zh-CN"/>
        </w:rPr>
        <w:t>（</w:t>
      </w:r>
      <w:r>
        <w:rPr>
          <w:rFonts w:hint="default" w:ascii="宋体" w:hAnsi="宋体" w:cs="宋体"/>
          <w:b/>
          <w:bCs/>
          <w:sz w:val="24"/>
          <w:szCs w:val="24"/>
        </w:rPr>
        <w:t>GZZB</w:t>
      </w:r>
      <w:r>
        <w:rPr>
          <w:rFonts w:hint="eastAsia" w:ascii="宋体" w:hAnsi="宋体" w:cs="宋体"/>
          <w:b/>
          <w:sz w:val="24"/>
        </w:rPr>
        <w:t>文件</w:t>
      </w:r>
      <w:r>
        <w:rPr>
          <w:rFonts w:hint="eastAsia" w:ascii="宋体" w:hAnsi="宋体" w:cs="宋体"/>
          <w:b/>
          <w:bCs/>
          <w:sz w:val="24"/>
          <w:szCs w:val="24"/>
          <w:lang w:eastAsia="zh-CN"/>
        </w:rPr>
        <w:t>）</w:t>
      </w:r>
      <w:r>
        <w:rPr>
          <w:rFonts w:hint="eastAsia" w:ascii="宋体" w:hAnsi="宋体" w:cs="宋体"/>
          <w:b/>
          <w:bCs/>
          <w:sz w:val="24"/>
          <w:szCs w:val="24"/>
        </w:rPr>
        <w:t>有修改，</w:t>
      </w:r>
      <w:r>
        <w:rPr>
          <w:rFonts w:hint="eastAsia" w:ascii="宋体" w:hAnsi="宋体" w:cs="宋体"/>
          <w:b/>
          <w:sz w:val="24"/>
        </w:rPr>
        <w:t>现重新</w:t>
      </w:r>
      <w:r>
        <w:rPr>
          <w:rFonts w:hint="eastAsia" w:ascii="宋体" w:hAnsi="宋体" w:cs="宋体"/>
          <w:b/>
          <w:sz w:val="24"/>
          <w:lang w:eastAsia="zh-CN"/>
        </w:rPr>
        <w:t>发布</w:t>
      </w:r>
      <w:r>
        <w:rPr>
          <w:rFonts w:hint="eastAsia" w:ascii="宋体" w:hAnsi="宋体" w:cs="宋体"/>
          <w:b/>
          <w:sz w:val="24"/>
        </w:rPr>
        <w:t>电子招标文件（GZZ</w:t>
      </w:r>
      <w:r>
        <w:rPr>
          <w:rFonts w:ascii="宋体" w:hAnsi="宋体" w:cs="宋体"/>
          <w:b/>
          <w:sz w:val="24"/>
        </w:rPr>
        <w:t>B</w:t>
      </w:r>
      <w:r>
        <w:rPr>
          <w:rFonts w:hint="eastAsia" w:ascii="宋体" w:hAnsi="宋体" w:cs="宋体"/>
          <w:b/>
          <w:sz w:val="24"/>
        </w:rPr>
        <w:t>文件）</w:t>
      </w:r>
      <w:r>
        <w:rPr>
          <w:rFonts w:hint="eastAsia" w:ascii="宋体" w:hAnsi="宋体" w:cs="宋体"/>
          <w:b/>
          <w:bCs/>
          <w:sz w:val="24"/>
          <w:szCs w:val="24"/>
          <w:lang w:eastAsia="zh-CN"/>
        </w:rPr>
        <w:t>及</w:t>
      </w:r>
      <w:r>
        <w:rPr>
          <w:rFonts w:hint="eastAsia" w:ascii="宋体" w:hAnsi="宋体" w:cs="宋体"/>
          <w:b/>
          <w:bCs/>
          <w:sz w:val="24"/>
          <w:szCs w:val="24"/>
        </w:rPr>
        <w:t>招标文件</w:t>
      </w:r>
      <w:r>
        <w:rPr>
          <w:rFonts w:hint="eastAsia" w:ascii="宋体" w:hAnsi="宋体" w:cs="宋体"/>
          <w:b/>
          <w:bCs/>
          <w:sz w:val="24"/>
          <w:szCs w:val="24"/>
          <w:lang w:eastAsia="zh-CN"/>
        </w:rPr>
        <w:t>（</w:t>
      </w:r>
      <w:r>
        <w:rPr>
          <w:rFonts w:hint="eastAsia" w:ascii="宋体" w:hAnsi="宋体"/>
          <w:b/>
          <w:bCs/>
          <w:kern w:val="2"/>
          <w:sz w:val="24"/>
        </w:rPr>
        <w:t>WORD</w:t>
      </w:r>
      <w:r>
        <w:rPr>
          <w:rFonts w:hint="eastAsia" w:ascii="宋体" w:hAnsi="宋体" w:cs="宋体"/>
          <w:b/>
          <w:sz w:val="24"/>
        </w:rPr>
        <w:t>文件</w:t>
      </w:r>
      <w:r>
        <w:rPr>
          <w:rFonts w:hint="eastAsia" w:ascii="宋体" w:hAnsi="宋体" w:cs="宋体"/>
          <w:b/>
          <w:bCs/>
          <w:sz w:val="24"/>
          <w:szCs w:val="24"/>
          <w:lang w:eastAsia="zh-CN"/>
        </w:rPr>
        <w:t>）</w:t>
      </w:r>
      <w:r>
        <w:rPr>
          <w:rFonts w:hint="eastAsia" w:ascii="宋体" w:hAnsi="宋体" w:cs="宋体"/>
          <w:b/>
          <w:sz w:val="24"/>
        </w:rPr>
        <w:t>，请各投标人以最新公布的</w:t>
      </w:r>
      <w:r>
        <w:rPr>
          <w:rFonts w:hint="eastAsia" w:ascii="宋体" w:hAnsi="宋体" w:cs="宋体"/>
          <w:b/>
          <w:bCs/>
          <w:sz w:val="24"/>
          <w:szCs w:val="24"/>
        </w:rPr>
        <w:t>招标文件</w:t>
      </w:r>
      <w:r>
        <w:rPr>
          <w:rFonts w:hint="eastAsia" w:ascii="宋体" w:hAnsi="宋体" w:cs="宋体"/>
          <w:b/>
          <w:bCs/>
          <w:sz w:val="24"/>
          <w:szCs w:val="24"/>
          <w:lang w:eastAsia="zh-CN"/>
        </w:rPr>
        <w:t>（</w:t>
      </w:r>
      <w:r>
        <w:rPr>
          <w:rFonts w:hint="default" w:ascii="宋体" w:hAnsi="宋体" w:cs="宋体"/>
          <w:b/>
          <w:bCs/>
          <w:sz w:val="24"/>
          <w:szCs w:val="24"/>
        </w:rPr>
        <w:t>GZZB</w:t>
      </w:r>
      <w:r>
        <w:rPr>
          <w:rFonts w:hint="eastAsia" w:ascii="宋体" w:hAnsi="宋体" w:cs="宋体"/>
          <w:b/>
          <w:sz w:val="24"/>
        </w:rPr>
        <w:t>文件</w:t>
      </w:r>
      <w:r>
        <w:rPr>
          <w:rFonts w:hint="eastAsia" w:ascii="宋体" w:hAnsi="宋体" w:cs="宋体"/>
          <w:b/>
          <w:bCs/>
          <w:sz w:val="24"/>
          <w:szCs w:val="24"/>
          <w:lang w:eastAsia="zh-CN"/>
        </w:rPr>
        <w:t>）</w:t>
      </w:r>
      <w:r>
        <w:rPr>
          <w:rFonts w:hint="eastAsia" w:ascii="宋体" w:hAnsi="宋体" w:cs="宋体"/>
          <w:b/>
          <w:sz w:val="24"/>
        </w:rPr>
        <w:t>为准编制投标文件，详见本</w:t>
      </w:r>
      <w:r>
        <w:rPr>
          <w:rFonts w:hint="eastAsia" w:ascii="宋体" w:hAnsi="宋体" w:cs="宋体"/>
          <w:b/>
          <w:sz w:val="24"/>
          <w:lang w:eastAsia="zh-CN"/>
        </w:rPr>
        <w:t>补充公告</w:t>
      </w:r>
      <w:r>
        <w:rPr>
          <w:rFonts w:hint="eastAsia" w:ascii="宋体" w:hAnsi="宋体" w:cs="宋体"/>
          <w:b/>
          <w:sz w:val="24"/>
        </w:rPr>
        <w:t>附件</w:t>
      </w:r>
      <w:r>
        <w:rPr>
          <w:rFonts w:hint="eastAsia" w:ascii="宋体" w:hAnsi="宋体" w:cs="宋体"/>
          <w:b/>
          <w:sz w:val="24"/>
          <w:lang w:eastAsia="zh-CN"/>
        </w:rPr>
        <w:t>一、附件二</w:t>
      </w:r>
      <w:r>
        <w:rPr>
          <w:rFonts w:hint="eastAsia" w:ascii="宋体" w:hAnsi="宋体" w:cs="宋体"/>
          <w:b/>
          <w:bCs/>
          <w:sz w:val="24"/>
          <w:szCs w:val="24"/>
        </w:rPr>
        <w:t>。</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bCs/>
          <w:sz w:val="24"/>
          <w:szCs w:val="24"/>
        </w:rPr>
      </w:pPr>
      <w:r>
        <w:rPr>
          <w:rFonts w:hint="eastAsia" w:ascii="宋体" w:hAnsi="宋体" w:cs="宋体"/>
          <w:b/>
          <w:bCs/>
          <w:sz w:val="24"/>
          <w:szCs w:val="24"/>
        </w:rPr>
        <w:t>本补充公告为招标文件的组成部分，</w:t>
      </w:r>
      <w:r>
        <w:rPr>
          <w:rFonts w:hint="eastAsia" w:ascii="宋体" w:hAnsi="宋体" w:eastAsia="宋体" w:cs="宋体"/>
          <w:b/>
          <w:bCs/>
          <w:sz w:val="24"/>
          <w:szCs w:val="24"/>
        </w:rPr>
        <w:t>原招标公告，招标文件的内容与本补充公告发布的内容不一致之处的，</w:t>
      </w:r>
      <w:r>
        <w:rPr>
          <w:rFonts w:hint="eastAsia" w:ascii="宋体" w:hAnsi="宋体" w:eastAsia="宋体" w:cs="宋体"/>
          <w:b/>
          <w:bCs/>
          <w:sz w:val="24"/>
          <w:szCs w:val="24"/>
          <w:lang w:eastAsia="zh-CN"/>
        </w:rPr>
        <w:t>则</w:t>
      </w:r>
      <w:r>
        <w:rPr>
          <w:rFonts w:hint="eastAsia" w:ascii="宋体" w:hAnsi="宋体" w:eastAsia="宋体" w:cs="宋体"/>
          <w:b/>
          <w:bCs/>
          <w:sz w:val="24"/>
          <w:szCs w:val="24"/>
        </w:rPr>
        <w:t>以本补充公告内容为准</w:t>
      </w:r>
      <w:r>
        <w:rPr>
          <w:rFonts w:hint="eastAsia" w:ascii="宋体" w:hAnsi="宋体" w:cs="宋体"/>
          <w:b/>
          <w:bCs/>
          <w:sz w:val="24"/>
          <w:szCs w:val="24"/>
        </w:rPr>
        <w:t>。</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bCs/>
          <w:sz w:val="24"/>
          <w:szCs w:val="24"/>
        </w:rPr>
      </w:pPr>
      <w:r>
        <w:rPr>
          <w:rFonts w:hint="eastAsia" w:ascii="宋体" w:hAnsi="宋体" w:cs="宋体"/>
          <w:b/>
          <w:bCs/>
          <w:sz w:val="24"/>
          <w:szCs w:val="24"/>
          <w:lang w:val="zh-CN" w:eastAsia="zh-CN"/>
        </w:rPr>
        <w:t>本项目原定招投标活动日程安排等作相应调整</w:t>
      </w:r>
      <w:r>
        <w:rPr>
          <w:rFonts w:hint="eastAsia" w:ascii="宋体" w:hAnsi="宋体" w:cs="宋体"/>
          <w:b/>
          <w:bCs/>
          <w:sz w:val="24"/>
          <w:szCs w:val="24"/>
        </w:rPr>
        <w:t>，具体时间和场地安排请各投标人密切留意广州公共资源交易中心公布的本项目的日程安排，投标人可登录广州公共资源交易中心网站首页，点击“交易业务</w:t>
      </w:r>
      <w:r>
        <w:rPr>
          <w:rFonts w:hint="default" w:ascii="宋体" w:hAnsi="宋体" w:cs="宋体"/>
          <w:b/>
          <w:bCs/>
          <w:sz w:val="24"/>
          <w:szCs w:val="24"/>
        </w:rPr>
        <w:t>-</w:t>
      </w:r>
      <w:r>
        <w:rPr>
          <w:rFonts w:hint="eastAsia" w:ascii="宋体" w:hAnsi="宋体" w:cs="宋体"/>
          <w:b/>
          <w:bCs/>
          <w:sz w:val="24"/>
          <w:szCs w:val="24"/>
        </w:rPr>
        <w:t>建设工程”专栏中的“项目查询（日程安排、答疑纪要）”，输入项目编号或项目名称查询最新信息。</w:t>
      </w:r>
    </w:p>
    <w:p>
      <w:pPr>
        <w:spacing w:line="600" w:lineRule="auto"/>
        <w:jc w:val="both"/>
        <w:rPr>
          <w:rFonts w:hint="eastAsia" w:ascii="宋体" w:hAnsi="宋体"/>
          <w:sz w:val="24"/>
          <w:szCs w:val="24"/>
          <w:lang w:val="en-US" w:eastAsia="zh-CN"/>
        </w:rPr>
      </w:pPr>
      <w:r>
        <w:rPr>
          <w:rFonts w:hint="eastAsia" w:ascii="宋体" w:hAnsi="宋体"/>
          <w:sz w:val="24"/>
          <w:szCs w:val="24"/>
          <w:lang w:val="en-US" w:eastAsia="zh-CN"/>
        </w:rPr>
        <w:t xml:space="preserve">                                       </w:t>
      </w:r>
    </w:p>
    <w:p>
      <w:pPr>
        <w:pStyle w:val="2"/>
        <w:spacing w:line="360" w:lineRule="auto"/>
        <w:ind w:firstLine="482"/>
        <w:rPr>
          <w:rFonts w:hint="eastAsia" w:ascii="宋体" w:hAnsi="宋体"/>
          <w:b/>
          <w:bCs/>
          <w:kern w:val="2"/>
          <w:sz w:val="24"/>
        </w:rPr>
      </w:pPr>
      <w:r>
        <w:rPr>
          <w:rFonts w:hint="eastAsia" w:ascii="宋体" w:hAnsi="宋体"/>
          <w:b/>
          <w:bCs/>
          <w:kern w:val="2"/>
          <w:sz w:val="24"/>
        </w:rPr>
        <w:t>附件一：</w:t>
      </w:r>
      <w:r>
        <w:rPr>
          <w:rFonts w:hint="eastAsia" w:ascii="宋体" w:hAnsi="宋体" w:cs="宋体"/>
          <w:b/>
          <w:sz w:val="24"/>
        </w:rPr>
        <w:t>重新打包的电子招标文件（GZZ</w:t>
      </w:r>
      <w:r>
        <w:rPr>
          <w:rFonts w:ascii="宋体" w:hAnsi="宋体" w:cs="宋体"/>
          <w:b/>
          <w:sz w:val="24"/>
        </w:rPr>
        <w:t>B</w:t>
      </w:r>
      <w:r>
        <w:rPr>
          <w:rFonts w:hint="eastAsia" w:ascii="宋体" w:hAnsi="宋体" w:cs="宋体"/>
          <w:b/>
          <w:sz w:val="24"/>
        </w:rPr>
        <w:t>文件）</w:t>
      </w:r>
    </w:p>
    <w:p>
      <w:pPr>
        <w:pStyle w:val="2"/>
        <w:spacing w:line="360" w:lineRule="auto"/>
        <w:ind w:firstLine="482"/>
        <w:rPr>
          <w:rFonts w:hint="eastAsia" w:ascii="宋体" w:hAnsi="宋体"/>
          <w:b/>
          <w:bCs/>
          <w:kern w:val="2"/>
          <w:sz w:val="24"/>
        </w:rPr>
      </w:pPr>
      <w:r>
        <w:rPr>
          <w:rFonts w:hint="eastAsia" w:ascii="宋体" w:hAnsi="宋体"/>
          <w:b/>
          <w:bCs/>
          <w:kern w:val="2"/>
          <w:sz w:val="24"/>
        </w:rPr>
        <w:t>附件二：招标文件(含招标公告)（WORD版）</w:t>
      </w:r>
    </w:p>
    <w:p>
      <w:pPr>
        <w:spacing w:line="600" w:lineRule="auto"/>
        <w:jc w:val="center"/>
        <w:rPr>
          <w:rFonts w:hint="eastAsia" w:ascii="宋体" w:hAnsi="宋体"/>
          <w:sz w:val="24"/>
          <w:szCs w:val="24"/>
          <w:lang w:val="en-US" w:eastAsia="zh-CN"/>
        </w:rPr>
      </w:pPr>
      <w:r>
        <w:rPr>
          <w:rFonts w:hint="eastAsia" w:ascii="宋体" w:hAnsi="宋体"/>
          <w:sz w:val="24"/>
          <w:szCs w:val="24"/>
          <w:lang w:val="en-US" w:eastAsia="zh-CN"/>
        </w:rPr>
        <w:t xml:space="preserve">                                    </w:t>
      </w:r>
    </w:p>
    <w:p>
      <w:pPr>
        <w:spacing w:line="600" w:lineRule="auto"/>
        <w:jc w:val="center"/>
        <w:rPr>
          <w:rFonts w:hint="eastAsia" w:ascii="宋体" w:hAnsi="宋体"/>
          <w:sz w:val="24"/>
          <w:szCs w:val="24"/>
          <w:lang w:val="en-US" w:eastAsia="zh-CN"/>
        </w:rPr>
      </w:pPr>
    </w:p>
    <w:p>
      <w:pPr>
        <w:spacing w:line="600" w:lineRule="auto"/>
        <w:jc w:val="center"/>
        <w:rPr>
          <w:rFonts w:hint="eastAsia" w:ascii="宋体" w:hAnsi="宋体"/>
          <w:sz w:val="24"/>
          <w:szCs w:val="24"/>
        </w:rPr>
      </w:pPr>
      <w:r>
        <w:rPr>
          <w:rFonts w:hint="eastAsia" w:ascii="宋体" w:hAnsi="宋体"/>
          <w:sz w:val="24"/>
          <w:szCs w:val="24"/>
          <w:lang w:val="en-US" w:eastAsia="zh-CN"/>
        </w:rPr>
        <w:t xml:space="preserve">                                       </w:t>
      </w:r>
      <w:r>
        <w:rPr>
          <w:rFonts w:hint="eastAsia" w:ascii="宋体" w:hAnsi="宋体"/>
          <w:sz w:val="24"/>
          <w:szCs w:val="24"/>
        </w:rPr>
        <w:t>招</w:t>
      </w:r>
      <w:r>
        <w:rPr>
          <w:rFonts w:hint="eastAsia" w:ascii="宋体" w:hAnsi="宋体"/>
          <w:sz w:val="24"/>
          <w:szCs w:val="24"/>
          <w:lang w:val="en-US" w:eastAsia="zh-CN"/>
        </w:rPr>
        <w:t xml:space="preserve">   </w:t>
      </w:r>
      <w:r>
        <w:rPr>
          <w:rFonts w:hint="eastAsia" w:ascii="宋体" w:hAnsi="宋体"/>
          <w:sz w:val="24"/>
          <w:szCs w:val="24"/>
        </w:rPr>
        <w:t>标</w:t>
      </w:r>
      <w:r>
        <w:rPr>
          <w:rFonts w:hint="eastAsia" w:ascii="宋体" w:hAnsi="宋体"/>
          <w:sz w:val="24"/>
          <w:szCs w:val="24"/>
          <w:lang w:val="en-US" w:eastAsia="zh-CN"/>
        </w:rPr>
        <w:t xml:space="preserve">   </w:t>
      </w:r>
      <w:r>
        <w:rPr>
          <w:rFonts w:hint="eastAsia" w:ascii="宋体" w:hAnsi="宋体"/>
          <w:sz w:val="24"/>
          <w:szCs w:val="24"/>
        </w:rPr>
        <w:t>人：广州市增城区仙村镇人民政府</w:t>
      </w:r>
    </w:p>
    <w:p>
      <w:pPr>
        <w:pStyle w:val="2"/>
        <w:ind w:firstLine="4320" w:firstLineChars="1800"/>
        <w:rPr>
          <w:rFonts w:hint="eastAsia" w:ascii="宋体" w:hAnsi="宋体" w:eastAsiaTheme="minorEastAsia" w:cstheme="minorBidi"/>
          <w:kern w:val="2"/>
          <w:sz w:val="24"/>
          <w:szCs w:val="24"/>
          <w:lang w:val="en-US" w:eastAsia="zh-CN" w:bidi="ar-SA"/>
        </w:rPr>
      </w:pPr>
      <w:r>
        <w:rPr>
          <w:rFonts w:hint="eastAsia" w:ascii="宋体" w:hAnsi="宋体" w:eastAsiaTheme="minorEastAsia" w:cstheme="minorBidi"/>
          <w:kern w:val="2"/>
          <w:sz w:val="24"/>
          <w:szCs w:val="24"/>
          <w:lang w:val="en-US" w:eastAsia="zh-CN" w:bidi="ar-SA"/>
        </w:rPr>
        <w:t>招标代理机构：中通建设工程管理有限公司</w:t>
      </w:r>
    </w:p>
    <w:p>
      <w:pPr>
        <w:spacing w:line="600" w:lineRule="auto"/>
        <w:jc w:val="right"/>
        <w:rPr>
          <w:rFonts w:hint="eastAsia" w:ascii="宋体" w:hAnsi="宋体"/>
          <w:sz w:val="24"/>
          <w:szCs w:val="24"/>
        </w:rPr>
      </w:pPr>
      <w:r>
        <w:rPr>
          <w:rFonts w:hint="eastAsia" w:ascii="宋体" w:hAnsi="宋体"/>
          <w:sz w:val="24"/>
          <w:szCs w:val="24"/>
        </w:rPr>
        <w:t>2023年06月12日</w:t>
      </w:r>
    </w:p>
    <w:p>
      <w:pPr>
        <w:pStyle w:val="2"/>
        <w:ind w:firstLine="480"/>
        <w:rPr>
          <w:rFonts w:hint="eastAsia" w:ascii="宋体" w:hAnsi="宋体"/>
          <w:kern w:val="2"/>
          <w:sz w:val="24"/>
        </w:rPr>
      </w:pPr>
    </w:p>
    <w:p>
      <w:pPr>
        <w:pStyle w:val="2"/>
        <w:ind w:firstLine="482"/>
        <w:rPr>
          <w:rFonts w:hint="eastAsia" w:ascii="宋体" w:hAnsi="宋体"/>
          <w:b/>
          <w:bCs/>
          <w:kern w:val="2"/>
          <w:sz w:val="24"/>
        </w:rPr>
      </w:pPr>
    </w:p>
    <w:p>
      <w:pPr>
        <w:pStyle w:val="2"/>
        <w:ind w:firstLine="482"/>
        <w:rPr>
          <w:rFonts w:hint="eastAsia" w:ascii="宋体" w:hAnsi="宋体"/>
          <w:b/>
          <w:bCs/>
          <w:kern w:val="2"/>
          <w:sz w:val="24"/>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0" w:afterAutospacing="0" w:line="360" w:lineRule="auto"/>
        <w:ind w:left="0" w:right="0" w:firstLine="0"/>
        <w:jc w:val="both"/>
        <w:rPr>
          <w:rFonts w:hint="eastAsia" w:ascii="宋体" w:hAnsi="宋体" w:eastAsia="宋体" w:cs="宋体"/>
          <w:sz w:val="28"/>
          <w:szCs w:val="28"/>
        </w:rPr>
      </w:pPr>
      <w:bookmarkStart w:id="4" w:name="_GoBack"/>
      <w:bookmarkEnd w:id="4"/>
    </w:p>
    <w:sectPr>
      <w:footerReference r:id="rId3" w:type="default"/>
      <w:pgSz w:w="11906" w:h="16838"/>
      <w:pgMar w:top="1191" w:right="1191" w:bottom="1191" w:left="119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Consolas">
    <w:panose1 w:val="020B0609020204030204"/>
    <w:charset w:val="00"/>
    <w:family w:val="auto"/>
    <w:pitch w:val="default"/>
    <w:sig w:usb0="E10002FF" w:usb1="4000FCFF" w:usb2="00000009" w:usb3="00000000" w:csb0="600001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DB35FE"/>
    <w:multiLevelType w:val="singleLevel"/>
    <w:tmpl w:val="89DB35F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yMDUyMGQwYzg1OGM4NmJhZDRhMTlhZDE5ODdiZTcifQ=="/>
  </w:docVars>
  <w:rsids>
    <w:rsidRoot w:val="00000000"/>
    <w:rsid w:val="00FB179F"/>
    <w:rsid w:val="01D46B46"/>
    <w:rsid w:val="020C62E0"/>
    <w:rsid w:val="02306473"/>
    <w:rsid w:val="02B50726"/>
    <w:rsid w:val="03082F4B"/>
    <w:rsid w:val="03373831"/>
    <w:rsid w:val="037D5F80"/>
    <w:rsid w:val="03E72B61"/>
    <w:rsid w:val="04A66578"/>
    <w:rsid w:val="04E84DE3"/>
    <w:rsid w:val="05E57574"/>
    <w:rsid w:val="07247C28"/>
    <w:rsid w:val="09440A55"/>
    <w:rsid w:val="0969226A"/>
    <w:rsid w:val="0BFA53FB"/>
    <w:rsid w:val="0C3C04B3"/>
    <w:rsid w:val="0C7E7DDA"/>
    <w:rsid w:val="0C8278CB"/>
    <w:rsid w:val="0CFF716D"/>
    <w:rsid w:val="0DB717F6"/>
    <w:rsid w:val="0E87741A"/>
    <w:rsid w:val="0FC14BAE"/>
    <w:rsid w:val="101051ED"/>
    <w:rsid w:val="1045133B"/>
    <w:rsid w:val="10C34956"/>
    <w:rsid w:val="13257202"/>
    <w:rsid w:val="13AF4D1D"/>
    <w:rsid w:val="140E413A"/>
    <w:rsid w:val="1437543F"/>
    <w:rsid w:val="146B333A"/>
    <w:rsid w:val="15751294"/>
    <w:rsid w:val="15B8610B"/>
    <w:rsid w:val="16842491"/>
    <w:rsid w:val="169721C5"/>
    <w:rsid w:val="16B84434"/>
    <w:rsid w:val="172C56B1"/>
    <w:rsid w:val="17B31280"/>
    <w:rsid w:val="17D9680D"/>
    <w:rsid w:val="181674CA"/>
    <w:rsid w:val="1867206B"/>
    <w:rsid w:val="186E33F9"/>
    <w:rsid w:val="1B416BA3"/>
    <w:rsid w:val="1B7927E1"/>
    <w:rsid w:val="1D5801D4"/>
    <w:rsid w:val="1DAF24EA"/>
    <w:rsid w:val="1DBF3C91"/>
    <w:rsid w:val="1E0344C3"/>
    <w:rsid w:val="1EB31B66"/>
    <w:rsid w:val="1F093390"/>
    <w:rsid w:val="213A031C"/>
    <w:rsid w:val="21A47E8B"/>
    <w:rsid w:val="21AD478D"/>
    <w:rsid w:val="21D267A7"/>
    <w:rsid w:val="22804455"/>
    <w:rsid w:val="23144B9D"/>
    <w:rsid w:val="23164DB9"/>
    <w:rsid w:val="23B56380"/>
    <w:rsid w:val="23D762F6"/>
    <w:rsid w:val="241100FB"/>
    <w:rsid w:val="24390D5F"/>
    <w:rsid w:val="244D480A"/>
    <w:rsid w:val="24C04FDC"/>
    <w:rsid w:val="24DC16EA"/>
    <w:rsid w:val="26146B0C"/>
    <w:rsid w:val="26881B2A"/>
    <w:rsid w:val="26DB60FD"/>
    <w:rsid w:val="270C4509"/>
    <w:rsid w:val="278C564A"/>
    <w:rsid w:val="28247630"/>
    <w:rsid w:val="2835183D"/>
    <w:rsid w:val="2927562A"/>
    <w:rsid w:val="292F0982"/>
    <w:rsid w:val="29A70519"/>
    <w:rsid w:val="2A474DE1"/>
    <w:rsid w:val="2AAC6188"/>
    <w:rsid w:val="2C1B0D4A"/>
    <w:rsid w:val="2C4464F3"/>
    <w:rsid w:val="2CEB4BC0"/>
    <w:rsid w:val="2D1265F1"/>
    <w:rsid w:val="2D594220"/>
    <w:rsid w:val="2D5E35E4"/>
    <w:rsid w:val="2E156399"/>
    <w:rsid w:val="2E6C1D31"/>
    <w:rsid w:val="2FBE480E"/>
    <w:rsid w:val="30711881"/>
    <w:rsid w:val="319E0626"/>
    <w:rsid w:val="31A041CB"/>
    <w:rsid w:val="33813B89"/>
    <w:rsid w:val="33AB50A9"/>
    <w:rsid w:val="3442156A"/>
    <w:rsid w:val="344F3C87"/>
    <w:rsid w:val="34D523DE"/>
    <w:rsid w:val="34E02B31"/>
    <w:rsid w:val="351D3D85"/>
    <w:rsid w:val="355377A7"/>
    <w:rsid w:val="359978AF"/>
    <w:rsid w:val="35FA7C22"/>
    <w:rsid w:val="3619454C"/>
    <w:rsid w:val="364B3093"/>
    <w:rsid w:val="37060F75"/>
    <w:rsid w:val="37C91FA2"/>
    <w:rsid w:val="382C339F"/>
    <w:rsid w:val="38547ABE"/>
    <w:rsid w:val="38683569"/>
    <w:rsid w:val="39557F91"/>
    <w:rsid w:val="398D772B"/>
    <w:rsid w:val="39BF540B"/>
    <w:rsid w:val="3A282FB0"/>
    <w:rsid w:val="3A8A3559"/>
    <w:rsid w:val="3B247C1B"/>
    <w:rsid w:val="3B286FE0"/>
    <w:rsid w:val="3BD333EF"/>
    <w:rsid w:val="3C8F5568"/>
    <w:rsid w:val="3CD64F45"/>
    <w:rsid w:val="3D001FC2"/>
    <w:rsid w:val="3D3E0D3C"/>
    <w:rsid w:val="3D4218E5"/>
    <w:rsid w:val="3DB334D8"/>
    <w:rsid w:val="3ECB4852"/>
    <w:rsid w:val="3F584337"/>
    <w:rsid w:val="400E0E9A"/>
    <w:rsid w:val="401A15ED"/>
    <w:rsid w:val="409745AE"/>
    <w:rsid w:val="40F05018"/>
    <w:rsid w:val="427F607F"/>
    <w:rsid w:val="43236A0A"/>
    <w:rsid w:val="44E26451"/>
    <w:rsid w:val="455E1F7C"/>
    <w:rsid w:val="45DE11BC"/>
    <w:rsid w:val="46050649"/>
    <w:rsid w:val="476B6BD2"/>
    <w:rsid w:val="48306690"/>
    <w:rsid w:val="48997B05"/>
    <w:rsid w:val="49156DF5"/>
    <w:rsid w:val="4A783AE0"/>
    <w:rsid w:val="4BCE14DD"/>
    <w:rsid w:val="4C547C35"/>
    <w:rsid w:val="4C612351"/>
    <w:rsid w:val="4D6A57E3"/>
    <w:rsid w:val="4E481A1B"/>
    <w:rsid w:val="4EDD03B5"/>
    <w:rsid w:val="4F0F2539"/>
    <w:rsid w:val="4F675ED1"/>
    <w:rsid w:val="505521CD"/>
    <w:rsid w:val="50811214"/>
    <w:rsid w:val="5176064D"/>
    <w:rsid w:val="52750D5F"/>
    <w:rsid w:val="533662E6"/>
    <w:rsid w:val="536C7F5A"/>
    <w:rsid w:val="537E739A"/>
    <w:rsid w:val="53940983"/>
    <w:rsid w:val="54DB5397"/>
    <w:rsid w:val="55B07EC1"/>
    <w:rsid w:val="58490869"/>
    <w:rsid w:val="58B02697"/>
    <w:rsid w:val="58B8154B"/>
    <w:rsid w:val="5C6E6AF1"/>
    <w:rsid w:val="5C950521"/>
    <w:rsid w:val="5CFF338A"/>
    <w:rsid w:val="5D137698"/>
    <w:rsid w:val="5DCF7A63"/>
    <w:rsid w:val="5E27164D"/>
    <w:rsid w:val="5E2D4789"/>
    <w:rsid w:val="5E5D506F"/>
    <w:rsid w:val="5EBA426F"/>
    <w:rsid w:val="5EF77271"/>
    <w:rsid w:val="601C6864"/>
    <w:rsid w:val="60343BAD"/>
    <w:rsid w:val="6098413C"/>
    <w:rsid w:val="614918DA"/>
    <w:rsid w:val="61783E1E"/>
    <w:rsid w:val="61946FF9"/>
    <w:rsid w:val="61C176C2"/>
    <w:rsid w:val="621E2D67"/>
    <w:rsid w:val="62516C98"/>
    <w:rsid w:val="626D784A"/>
    <w:rsid w:val="62E278F0"/>
    <w:rsid w:val="63536A40"/>
    <w:rsid w:val="63A948B2"/>
    <w:rsid w:val="63B079EF"/>
    <w:rsid w:val="63C80BB9"/>
    <w:rsid w:val="640D4E41"/>
    <w:rsid w:val="6468651B"/>
    <w:rsid w:val="647A5AB5"/>
    <w:rsid w:val="651B358E"/>
    <w:rsid w:val="655F16CC"/>
    <w:rsid w:val="66E04A8F"/>
    <w:rsid w:val="678371C8"/>
    <w:rsid w:val="67BD092C"/>
    <w:rsid w:val="67E660D5"/>
    <w:rsid w:val="697D65C5"/>
    <w:rsid w:val="69881641"/>
    <w:rsid w:val="6AE10DD5"/>
    <w:rsid w:val="6AF9611F"/>
    <w:rsid w:val="6B9B0F84"/>
    <w:rsid w:val="6BA75B7B"/>
    <w:rsid w:val="6BE741CA"/>
    <w:rsid w:val="6DA90639"/>
    <w:rsid w:val="6DDE1315"/>
    <w:rsid w:val="6E4C2A0A"/>
    <w:rsid w:val="6E861409"/>
    <w:rsid w:val="6F2D6397"/>
    <w:rsid w:val="6FA36659"/>
    <w:rsid w:val="6FCD36D6"/>
    <w:rsid w:val="708A15C7"/>
    <w:rsid w:val="71BF04AE"/>
    <w:rsid w:val="71CA25C3"/>
    <w:rsid w:val="72477770"/>
    <w:rsid w:val="733E5017"/>
    <w:rsid w:val="73487C44"/>
    <w:rsid w:val="739357C1"/>
    <w:rsid w:val="74013A92"/>
    <w:rsid w:val="74C6415A"/>
    <w:rsid w:val="756B7C19"/>
    <w:rsid w:val="75750A98"/>
    <w:rsid w:val="75FA2D4B"/>
    <w:rsid w:val="761E3B1A"/>
    <w:rsid w:val="76DD68F5"/>
    <w:rsid w:val="77444BC6"/>
    <w:rsid w:val="777F79AC"/>
    <w:rsid w:val="77B37656"/>
    <w:rsid w:val="77C47AB5"/>
    <w:rsid w:val="780D6D66"/>
    <w:rsid w:val="78104AA8"/>
    <w:rsid w:val="78EF290F"/>
    <w:rsid w:val="794F04F8"/>
    <w:rsid w:val="79825532"/>
    <w:rsid w:val="7ABE4881"/>
    <w:rsid w:val="7B3A2568"/>
    <w:rsid w:val="7B582C81"/>
    <w:rsid w:val="7BDA78A7"/>
    <w:rsid w:val="7C464F3C"/>
    <w:rsid w:val="7E5C27F5"/>
    <w:rsid w:val="7F15557D"/>
    <w:rsid w:val="7F4F5EB6"/>
    <w:rsid w:val="7F7D0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style>
  <w:style w:type="paragraph" w:styleId="3">
    <w:name w:val="Body Text Indent"/>
    <w:basedOn w:val="1"/>
    <w:qFormat/>
    <w:uiPriority w:val="0"/>
    <w:pPr>
      <w:spacing w:after="120"/>
      <w:ind w:left="420" w:leftChars="200"/>
    </w:pPr>
    <w:rPr>
      <w:rFonts w:ascii="Times New Roman" w:hAnsi="Times New Roman"/>
      <w:kern w:val="0"/>
      <w:sz w:val="20"/>
      <w:szCs w:val="24"/>
    </w:rPr>
  </w:style>
  <w:style w:type="paragraph" w:styleId="4">
    <w:name w:val="Normal Indent"/>
    <w:basedOn w:val="1"/>
    <w:next w:val="1"/>
    <w:qFormat/>
    <w:uiPriority w:val="0"/>
    <w:pPr>
      <w:ind w:firstLine="420"/>
    </w:pPr>
    <w:rPr>
      <w:rFonts w:ascii="Times New Roman" w:hAnsi="Times New Roman"/>
      <w:szCs w:val="20"/>
    </w:rPr>
  </w:style>
  <w:style w:type="paragraph" w:styleId="5">
    <w:name w:val="Body Text"/>
    <w:basedOn w:val="1"/>
    <w:next w:val="1"/>
    <w:unhideWhenUsed/>
    <w:qFormat/>
    <w:uiPriority w:val="99"/>
    <w:pPr>
      <w:spacing w:after="120"/>
    </w:pPr>
    <w:rPr>
      <w:kern w:val="0"/>
      <w:sz w:val="20"/>
      <w:szCs w:val="20"/>
    </w:rPr>
  </w:style>
  <w:style w:type="paragraph" w:styleId="6">
    <w:name w:val="Plain Text"/>
    <w:basedOn w:val="1"/>
    <w:next w:val="1"/>
    <w:qFormat/>
    <w:uiPriority w:val="0"/>
    <w:rPr>
      <w:rFonts w:ascii="宋体" w:hAnsi="Courier New" w:eastAsia="楷体_GB2312"/>
      <w:kern w:val="0"/>
      <w:sz w:val="20"/>
      <w:szCs w:val="24"/>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微软雅黑" w:hAnsi="微软雅黑" w:eastAsia="微软雅黑" w:cs="微软雅黑"/>
      <w:kern w:val="0"/>
      <w:sz w:val="24"/>
      <w:lang w:val="en-US" w:eastAsia="zh-CN" w:bidi="ar"/>
    </w:rPr>
  </w:style>
  <w:style w:type="paragraph" w:styleId="10">
    <w:name w:val="Body Text First Indent"/>
    <w:basedOn w:val="5"/>
    <w:qFormat/>
    <w:uiPriority w:val="0"/>
    <w:pPr>
      <w:ind w:firstLine="420"/>
    </w:pPr>
    <w:rPr>
      <w:rFonts w:ascii="Times New Roman" w:hAnsi="Times New Roman" w:eastAsia="楷体_GB2312"/>
    </w:rPr>
  </w:style>
  <w:style w:type="character" w:styleId="13">
    <w:name w:val="Strong"/>
    <w:basedOn w:val="12"/>
    <w:qFormat/>
    <w:uiPriority w:val="0"/>
    <w:rPr>
      <w:b/>
      <w:bCs/>
    </w:rPr>
  </w:style>
  <w:style w:type="character" w:styleId="14">
    <w:name w:val="FollowedHyperlink"/>
    <w:basedOn w:val="12"/>
    <w:uiPriority w:val="0"/>
    <w:rPr>
      <w:rFonts w:hint="eastAsia" w:ascii="微软雅黑" w:hAnsi="微软雅黑" w:eastAsia="微软雅黑" w:cs="微软雅黑"/>
      <w:color w:val="337AB7"/>
      <w:u w:val="none"/>
    </w:rPr>
  </w:style>
  <w:style w:type="character" w:styleId="15">
    <w:name w:val="HTML Definition"/>
    <w:basedOn w:val="12"/>
    <w:uiPriority w:val="0"/>
    <w:rPr>
      <w:i/>
      <w:iCs/>
    </w:rPr>
  </w:style>
  <w:style w:type="character" w:styleId="16">
    <w:name w:val="Hyperlink"/>
    <w:basedOn w:val="12"/>
    <w:qFormat/>
    <w:uiPriority w:val="0"/>
    <w:rPr>
      <w:rFonts w:hint="eastAsia" w:ascii="微软雅黑" w:hAnsi="微软雅黑" w:eastAsia="微软雅黑" w:cs="微软雅黑"/>
      <w:color w:val="337AB7"/>
      <w:u w:val="none"/>
    </w:rPr>
  </w:style>
  <w:style w:type="character" w:styleId="17">
    <w:name w:val="HTML Code"/>
    <w:basedOn w:val="12"/>
    <w:qFormat/>
    <w:uiPriority w:val="0"/>
    <w:rPr>
      <w:rFonts w:hint="default" w:ascii="Consolas" w:hAnsi="Consolas" w:eastAsia="Consolas" w:cs="Consolas"/>
      <w:color w:val="C7254E"/>
      <w:sz w:val="21"/>
      <w:szCs w:val="21"/>
      <w:bdr w:val="single" w:color="E1E1E1" w:sz="6" w:space="0"/>
      <w:shd w:val="clear" w:fill="F9F2F4"/>
    </w:rPr>
  </w:style>
  <w:style w:type="character" w:styleId="18">
    <w:name w:val="HTML Keyboard"/>
    <w:basedOn w:val="12"/>
    <w:qFormat/>
    <w:uiPriority w:val="0"/>
    <w:rPr>
      <w:rFonts w:ascii="Consolas" w:hAnsi="Consolas" w:eastAsia="Consolas" w:cs="Consolas"/>
      <w:color w:val="FFFFFF"/>
      <w:sz w:val="21"/>
      <w:szCs w:val="21"/>
      <w:shd w:val="clear" w:fill="333333"/>
    </w:rPr>
  </w:style>
  <w:style w:type="character" w:styleId="19">
    <w:name w:val="HTML Sample"/>
    <w:basedOn w:val="12"/>
    <w:qFormat/>
    <w:uiPriority w:val="0"/>
    <w:rPr>
      <w:rFonts w:hint="default" w:ascii="Consolas" w:hAnsi="Consolas" w:eastAsia="Consolas" w:cs="Consolas"/>
      <w:sz w:val="21"/>
      <w:szCs w:val="21"/>
    </w:rPr>
  </w:style>
  <w:style w:type="character" w:customStyle="1" w:styleId="20">
    <w:name w:val="username"/>
    <w:basedOn w:val="12"/>
    <w:qFormat/>
    <w:uiPriority w:val="0"/>
  </w:style>
  <w:style w:type="character" w:customStyle="1" w:styleId="21">
    <w:name w:val="title24"/>
    <w:basedOn w:val="12"/>
    <w:qFormat/>
    <w:uiPriority w:val="0"/>
  </w:style>
  <w:style w:type="character" w:customStyle="1" w:styleId="22">
    <w:name w:val="title2"/>
    <w:basedOn w:val="12"/>
    <w:uiPriority w:val="0"/>
  </w:style>
  <w:style w:type="character" w:customStyle="1" w:styleId="23">
    <w:name w:val="title26"/>
    <w:basedOn w:val="12"/>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3952</Words>
  <Characters>4150</Characters>
  <Lines>0</Lines>
  <Paragraphs>0</Paragraphs>
  <TotalTime>62</TotalTime>
  <ScaleCrop>false</ScaleCrop>
  <LinksUpToDate>false</LinksUpToDate>
  <CharactersWithSpaces>4343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2023-06-12T07:41:00Z</dcterms:created>
  <dc:creator>Administrator</dc:creator>
  <cp:lastModifiedBy>Administrator</cp:lastModifiedBy>
  <dcterms:modified xsi:type="dcterms:W3CDTF">2023-06-13T02:43:16Z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1D54EFE1A18445EA9FF0B892B3F2FCBE</vt:lpwstr>
  </property>
</Properties>
</file>