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spacing w:after="0" w:line="360" w:lineRule="auto"/>
        <w:ind w:leftChars="200" w:right="497" w:rightChars="226"/>
        <w:jc w:val="center"/>
        <w:rPr>
          <w:rFonts w:hint="eastAsia" w:ascii="宋体" w:hAnsi="宋体" w:eastAsia="宋体" w:cs="Times New Roman"/>
          <w:b/>
          <w:bCs/>
          <w:color w:val="auto"/>
          <w:sz w:val="50"/>
          <w:szCs w:val="50"/>
          <w:highlight w:val="none"/>
          <w:lang w:eastAsia="zh-CN"/>
        </w:rPr>
      </w:pPr>
    </w:p>
    <w:p>
      <w:pPr>
        <w:widowControl w:val="0"/>
        <w:shd w:val="clear"/>
        <w:spacing w:after="0" w:line="360" w:lineRule="auto"/>
        <w:ind w:leftChars="200" w:right="497" w:rightChars="226"/>
        <w:jc w:val="center"/>
        <w:rPr>
          <w:rFonts w:hint="eastAsia" w:ascii="宋体" w:hAnsi="宋体" w:eastAsia="宋体" w:cs="Times New Roman"/>
          <w:b/>
          <w:bCs/>
          <w:color w:val="auto"/>
          <w:sz w:val="50"/>
          <w:szCs w:val="50"/>
          <w:highlight w:val="none"/>
          <w:lang w:eastAsia="zh-CN"/>
        </w:rPr>
      </w:pPr>
      <w:r>
        <w:rPr>
          <w:rFonts w:hint="eastAsia" w:ascii="宋体" w:hAnsi="宋体" w:eastAsia="宋体" w:cs="Times New Roman"/>
          <w:b/>
          <w:bCs/>
          <w:color w:val="auto"/>
          <w:sz w:val="50"/>
          <w:szCs w:val="50"/>
          <w:highlight w:val="none"/>
          <w:lang w:eastAsia="zh-CN"/>
        </w:rPr>
        <w:t>广州市黄埔区长岭居CPPQ-A4-4地块超前钻服务</w:t>
      </w:r>
    </w:p>
    <w:p>
      <w:pPr>
        <w:widowControl w:val="0"/>
        <w:shd w:val="clear"/>
        <w:spacing w:after="0" w:line="240" w:lineRule="auto"/>
        <w:jc w:val="both"/>
        <w:rPr>
          <w:rFonts w:ascii="黑体" w:hAnsi="Calibri" w:eastAsia="黑体" w:cs="Times New Roman"/>
          <w:color w:val="auto"/>
          <w:sz w:val="36"/>
          <w:szCs w:val="36"/>
          <w:highlight w:val="none"/>
        </w:rPr>
      </w:pPr>
    </w:p>
    <w:p>
      <w:pPr>
        <w:widowControl w:val="0"/>
        <w:shd w:val="clear"/>
        <w:spacing w:after="0" w:line="240" w:lineRule="auto"/>
        <w:jc w:val="both"/>
        <w:rPr>
          <w:rFonts w:ascii="黑体" w:hAnsi="Calibri" w:eastAsia="黑体" w:cs="Times New Roman"/>
          <w:color w:val="auto"/>
          <w:sz w:val="36"/>
          <w:szCs w:val="36"/>
          <w:highlight w:val="none"/>
        </w:rPr>
      </w:pPr>
    </w:p>
    <w:p>
      <w:pPr>
        <w:widowControl w:val="0"/>
        <w:shd w:val="clear"/>
        <w:spacing w:after="0" w:line="240" w:lineRule="auto"/>
        <w:jc w:val="both"/>
        <w:rPr>
          <w:rStyle w:val="40"/>
          <w:rFonts w:ascii="Calibri" w:hAnsi="Calibri" w:eastAsia="宋体" w:cs="Times New Roman"/>
          <w:b/>
          <w:i w:val="0"/>
          <w:color w:val="auto"/>
          <w:sz w:val="84"/>
          <w:szCs w:val="20"/>
          <w:highlight w:val="none"/>
        </w:rPr>
      </w:pPr>
      <w:bookmarkStart w:id="0" w:name="_资格预审文件"/>
      <w:bookmarkEnd w:id="0"/>
      <w:bookmarkStart w:id="1" w:name="_Toc536411629"/>
      <w:bookmarkStart w:id="2" w:name="_Toc5875285"/>
    </w:p>
    <w:p>
      <w:pPr>
        <w:widowControl w:val="0"/>
        <w:shd w:val="clear"/>
        <w:spacing w:after="0" w:line="360" w:lineRule="auto"/>
        <w:jc w:val="center"/>
        <w:rPr>
          <w:rFonts w:hint="eastAsia" w:ascii="宋体" w:hAnsi="宋体" w:eastAsia="宋体" w:cs="宋体"/>
          <w:b/>
          <w:bCs/>
          <w:color w:val="auto"/>
          <w:spacing w:val="26"/>
          <w:sz w:val="110"/>
          <w:szCs w:val="110"/>
          <w:highlight w:val="none"/>
        </w:rPr>
      </w:pPr>
      <w:r>
        <w:rPr>
          <w:rFonts w:hint="eastAsia" w:ascii="宋体" w:hAnsi="宋体" w:eastAsia="宋体" w:cs="宋体"/>
          <w:b/>
          <w:bCs/>
          <w:color w:val="auto"/>
          <w:spacing w:val="26"/>
          <w:sz w:val="110"/>
          <w:szCs w:val="110"/>
          <w:highlight w:val="none"/>
        </w:rPr>
        <w:t>招标文件</w:t>
      </w:r>
      <w:bookmarkEnd w:id="1"/>
      <w:bookmarkEnd w:id="2"/>
    </w:p>
    <w:p>
      <w:pPr>
        <w:widowControl w:val="0"/>
        <w:shd w:val="clear"/>
        <w:spacing w:after="0" w:line="240" w:lineRule="auto"/>
        <w:jc w:val="both"/>
        <w:rPr>
          <w:rFonts w:ascii="宋体" w:hAnsi="宋体" w:eastAsia="宋体" w:cs="Times New Roman"/>
          <w:b/>
          <w:color w:val="auto"/>
          <w:sz w:val="32"/>
          <w:highlight w:val="none"/>
        </w:rPr>
      </w:pPr>
    </w:p>
    <w:p>
      <w:pPr>
        <w:widowControl w:val="0"/>
        <w:shd w:val="clear"/>
        <w:spacing w:after="0" w:line="240" w:lineRule="auto"/>
        <w:jc w:val="both"/>
        <w:rPr>
          <w:rFonts w:ascii="宋体" w:hAnsi="宋体" w:eastAsia="宋体" w:cs="Times New Roman"/>
          <w:b/>
          <w:color w:val="auto"/>
          <w:sz w:val="32"/>
          <w:highlight w:val="none"/>
        </w:rPr>
      </w:pPr>
    </w:p>
    <w:p>
      <w:pPr>
        <w:widowControl w:val="0"/>
        <w:shd w:val="clear"/>
        <w:spacing w:after="0" w:line="240" w:lineRule="auto"/>
        <w:jc w:val="both"/>
        <w:rPr>
          <w:rFonts w:ascii="宋体" w:hAnsi="宋体" w:eastAsia="宋体" w:cs="Times New Roman"/>
          <w:b/>
          <w:color w:val="auto"/>
          <w:sz w:val="32"/>
          <w:highlight w:val="none"/>
        </w:rPr>
      </w:pPr>
    </w:p>
    <w:p>
      <w:pPr>
        <w:widowControl w:val="0"/>
        <w:shd w:val="clear"/>
        <w:spacing w:after="0" w:line="240" w:lineRule="auto"/>
        <w:jc w:val="both"/>
        <w:rPr>
          <w:rFonts w:ascii="宋体" w:hAnsi="宋体" w:eastAsia="宋体" w:cs="Times New Roman"/>
          <w:b/>
          <w:color w:val="auto"/>
          <w:sz w:val="32"/>
          <w:highlight w:val="none"/>
        </w:rPr>
      </w:pPr>
    </w:p>
    <w:p>
      <w:pPr>
        <w:widowControl w:val="0"/>
        <w:shd w:val="clear"/>
        <w:spacing w:after="0" w:line="240" w:lineRule="auto"/>
        <w:jc w:val="both"/>
        <w:rPr>
          <w:rFonts w:ascii="宋体" w:hAnsi="宋体" w:eastAsia="宋体" w:cs="Times New Roman"/>
          <w:b/>
          <w:color w:val="auto"/>
          <w:sz w:val="32"/>
          <w:highlight w:val="none"/>
        </w:rPr>
      </w:pPr>
    </w:p>
    <w:p>
      <w:pPr>
        <w:widowControl w:val="0"/>
        <w:shd w:val="clear"/>
        <w:spacing w:after="0" w:line="240" w:lineRule="auto"/>
        <w:jc w:val="both"/>
        <w:rPr>
          <w:rFonts w:ascii="宋体" w:hAnsi="宋体" w:eastAsia="宋体" w:cs="Times New Roman"/>
          <w:b/>
          <w:color w:val="auto"/>
          <w:sz w:val="32"/>
          <w:highlight w:val="none"/>
        </w:rPr>
      </w:pPr>
    </w:p>
    <w:p>
      <w:pPr>
        <w:widowControl w:val="0"/>
        <w:shd w:val="clear"/>
        <w:spacing w:after="0" w:line="240" w:lineRule="auto"/>
        <w:jc w:val="both"/>
        <w:rPr>
          <w:rFonts w:ascii="宋体" w:hAnsi="宋体" w:eastAsia="宋体" w:cs="Times New Roman"/>
          <w:b/>
          <w:color w:val="auto"/>
          <w:sz w:val="32"/>
          <w:highlight w:val="none"/>
        </w:rPr>
      </w:pPr>
    </w:p>
    <w:p>
      <w:pPr>
        <w:widowControl w:val="0"/>
        <w:shd w:val="clear"/>
        <w:spacing w:after="0" w:line="240" w:lineRule="auto"/>
        <w:jc w:val="both"/>
        <w:rPr>
          <w:rFonts w:ascii="宋体" w:hAnsi="宋体" w:eastAsia="宋体" w:cs="Times New Roman"/>
          <w:b/>
          <w:color w:val="auto"/>
          <w:sz w:val="32"/>
          <w:highlight w:val="none"/>
        </w:rPr>
      </w:pPr>
    </w:p>
    <w:p>
      <w:pPr>
        <w:widowControl w:val="0"/>
        <w:shd w:val="clear"/>
        <w:snapToGrid w:val="0"/>
        <w:spacing w:after="0" w:line="360" w:lineRule="auto"/>
        <w:ind w:firstLine="1485" w:firstLineChars="493"/>
        <w:jc w:val="both"/>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rPr>
        <w:t>招   标   人：</w:t>
      </w:r>
      <w:r>
        <w:rPr>
          <w:rFonts w:hint="eastAsia" w:ascii="宋体" w:hAnsi="宋体" w:eastAsia="宋体" w:cs="Times New Roman"/>
          <w:b/>
          <w:color w:val="auto"/>
          <w:sz w:val="30"/>
          <w:szCs w:val="30"/>
          <w:highlight w:val="none"/>
          <w:lang w:eastAsia="zh-CN"/>
        </w:rPr>
        <w:t>广州厦广仕有限责任公司</w:t>
      </w:r>
    </w:p>
    <w:p>
      <w:pPr>
        <w:widowControl w:val="0"/>
        <w:shd w:val="clear"/>
        <w:spacing w:after="0" w:line="360" w:lineRule="auto"/>
        <w:ind w:firstLine="1485" w:firstLineChars="493"/>
        <w:jc w:val="both"/>
        <w:rPr>
          <w:rFonts w:hint="eastAsia" w:ascii="宋体" w:hAnsi="宋体" w:eastAsia="宋体" w:cs="宋体"/>
          <w:color w:val="auto"/>
          <w:sz w:val="30"/>
          <w:szCs w:val="30"/>
          <w:highlight w:val="none"/>
        </w:rPr>
      </w:pPr>
      <w:r>
        <w:rPr>
          <w:rFonts w:hint="eastAsia" w:ascii="宋体" w:hAnsi="宋体" w:eastAsia="宋体" w:cs="Times New Roman"/>
          <w:b/>
          <w:color w:val="auto"/>
          <w:sz w:val="30"/>
          <w:szCs w:val="30"/>
          <w:highlight w:val="none"/>
        </w:rPr>
        <w:t>招标代理机构：</w:t>
      </w:r>
      <w:r>
        <w:rPr>
          <w:rFonts w:hint="eastAsia" w:ascii="宋体" w:hAnsi="宋体" w:eastAsia="宋体" w:cs="Times New Roman"/>
          <w:b/>
          <w:color w:val="auto"/>
          <w:sz w:val="30"/>
          <w:szCs w:val="30"/>
          <w:highlight w:val="none"/>
          <w:lang w:eastAsia="zh-CN"/>
        </w:rPr>
        <w:t>广东省机电设备招标有限公司</w:t>
      </w:r>
    </w:p>
    <w:p>
      <w:pPr>
        <w:widowControl w:val="0"/>
        <w:shd w:val="clear"/>
        <w:spacing w:after="0" w:line="360" w:lineRule="auto"/>
        <w:ind w:firstLine="1506" w:firstLineChars="500"/>
        <w:jc w:val="left"/>
        <w:rPr>
          <w:rFonts w:hint="eastAsia" w:ascii="宋体" w:hAnsi="宋体" w:eastAsia="宋体" w:cs="宋体"/>
          <w:b/>
          <w:bCs/>
          <w:color w:val="auto"/>
          <w:spacing w:val="40"/>
          <w:sz w:val="40"/>
          <w:szCs w:val="40"/>
          <w:highlight w:val="none"/>
          <w:lang w:eastAsia="zh-CN"/>
        </w:rPr>
      </w:pPr>
      <w:r>
        <w:rPr>
          <w:rFonts w:hint="eastAsia" w:ascii="宋体" w:hAnsi="宋体" w:eastAsia="宋体" w:cs="Times New Roman"/>
          <w:b/>
          <w:color w:val="auto"/>
          <w:sz w:val="30"/>
          <w:szCs w:val="30"/>
          <w:highlight w:val="none"/>
        </w:rPr>
        <w:t>日        期：</w:t>
      </w:r>
      <w:r>
        <w:rPr>
          <w:rFonts w:ascii="宋体" w:hAnsi="宋体" w:eastAsia="宋体" w:cs="Times New Roman"/>
          <w:b/>
          <w:color w:val="auto"/>
          <w:sz w:val="30"/>
          <w:szCs w:val="30"/>
          <w:highlight w:val="none"/>
        </w:rPr>
        <w:t>202</w:t>
      </w:r>
      <w:r>
        <w:rPr>
          <w:rFonts w:hint="eastAsia" w:ascii="宋体" w:hAnsi="宋体" w:eastAsia="宋体" w:cs="Times New Roman"/>
          <w:b/>
          <w:color w:val="auto"/>
          <w:sz w:val="30"/>
          <w:szCs w:val="30"/>
          <w:highlight w:val="none"/>
          <w:lang w:val="en-US" w:eastAsia="zh-CN"/>
        </w:rPr>
        <w:t>3</w:t>
      </w:r>
      <w:r>
        <w:rPr>
          <w:rFonts w:ascii="宋体" w:hAnsi="宋体" w:eastAsia="宋体" w:cs="Times New Roman"/>
          <w:b/>
          <w:color w:val="auto"/>
          <w:sz w:val="30"/>
          <w:szCs w:val="30"/>
          <w:highlight w:val="none"/>
        </w:rPr>
        <w:t>年</w:t>
      </w:r>
      <w:r>
        <w:rPr>
          <w:rFonts w:hint="eastAsia" w:ascii="宋体" w:hAnsi="宋体" w:eastAsia="宋体" w:cs="Times New Roman"/>
          <w:b/>
          <w:color w:val="auto"/>
          <w:sz w:val="30"/>
          <w:szCs w:val="30"/>
          <w:highlight w:val="none"/>
          <w:lang w:val="en-US" w:eastAsia="zh-CN"/>
        </w:rPr>
        <w:t>6</w:t>
      </w:r>
      <w:r>
        <w:rPr>
          <w:rFonts w:ascii="宋体" w:hAnsi="宋体" w:eastAsia="宋体" w:cs="Times New Roman"/>
          <w:b/>
          <w:color w:val="auto"/>
          <w:sz w:val="30"/>
          <w:szCs w:val="30"/>
          <w:highlight w:val="none"/>
        </w:rPr>
        <w:t>月</w:t>
      </w:r>
    </w:p>
    <w:p>
      <w:pPr>
        <w:pStyle w:val="34"/>
        <w:shd w:val="clear"/>
        <w:rPr>
          <w:rFonts w:hint="eastAsia"/>
          <w:color w:val="auto"/>
          <w:highlight w:val="none"/>
        </w:rPr>
      </w:pPr>
    </w:p>
    <w:p>
      <w:pPr>
        <w:shd w:val="clear"/>
        <w:spacing w:after="0" w:line="265" w:lineRule="auto"/>
        <w:ind w:left="10" w:right="119" w:hanging="10"/>
        <w:jc w:val="center"/>
        <w:rPr>
          <w:rFonts w:hint="eastAsia" w:ascii="宋体" w:hAnsi="宋体" w:eastAsia="宋体" w:cs="黑体"/>
          <w:color w:val="auto"/>
          <w:sz w:val="28"/>
          <w:highlight w:val="none"/>
        </w:rPr>
        <w:sectPr>
          <w:footerReference r:id="rId5" w:type="even"/>
          <w:pgSz w:w="11907" w:h="16840"/>
          <w:pgMar w:top="1361" w:right="1304" w:bottom="1361" w:left="1304" w:header="720" w:footer="720" w:gutter="0"/>
          <w:cols w:space="720" w:num="1"/>
        </w:sectPr>
      </w:pPr>
    </w:p>
    <w:p>
      <w:pPr>
        <w:shd w:val="clear"/>
        <w:spacing w:after="0" w:line="265" w:lineRule="auto"/>
        <w:ind w:left="10" w:right="119" w:hanging="10"/>
        <w:jc w:val="center"/>
        <w:rPr>
          <w:rFonts w:ascii="宋体" w:hAnsi="宋体" w:eastAsia="宋体"/>
          <w:color w:val="auto"/>
          <w:highlight w:val="none"/>
        </w:rPr>
      </w:pPr>
      <w:r>
        <w:rPr>
          <w:rFonts w:hint="eastAsia" w:ascii="宋体" w:hAnsi="宋体" w:eastAsia="宋体" w:cs="黑体"/>
          <w:color w:val="auto"/>
          <w:sz w:val="28"/>
          <w:highlight w:val="none"/>
        </w:rPr>
        <w:t>目</w:t>
      </w:r>
      <w:r>
        <w:rPr>
          <w:rFonts w:ascii="宋体" w:hAnsi="宋体" w:eastAsia="宋体"/>
          <w:color w:val="auto"/>
          <w:sz w:val="28"/>
          <w:highlight w:val="none"/>
        </w:rPr>
        <w:t xml:space="preserve">  </w:t>
      </w:r>
      <w:r>
        <w:rPr>
          <w:rFonts w:hint="eastAsia" w:ascii="宋体" w:hAnsi="宋体" w:eastAsia="宋体" w:cs="黑体"/>
          <w:color w:val="auto"/>
          <w:sz w:val="28"/>
          <w:highlight w:val="none"/>
        </w:rPr>
        <w:t>录</w:t>
      </w:r>
      <w:r>
        <w:rPr>
          <w:rFonts w:ascii="宋体" w:hAnsi="宋体" w:eastAsia="宋体"/>
          <w:color w:val="auto"/>
          <w:sz w:val="28"/>
          <w:highlight w:val="none"/>
        </w:rPr>
        <w:t xml:space="preserve"> </w:t>
      </w:r>
    </w:p>
    <w:p>
      <w:pPr>
        <w:pStyle w:val="25"/>
        <w:shd w:val="clear"/>
        <w:tabs>
          <w:tab w:val="right" w:leader="dot" w:pos="8835"/>
        </w:tabs>
        <w:spacing w:line="360" w:lineRule="auto"/>
        <w:ind w:right="59"/>
        <w:rPr>
          <w:rFonts w:ascii="宋体" w:hAnsi="宋体" w:eastAsia="宋体"/>
          <w:color w:val="auto"/>
          <w:sz w:val="24"/>
          <w:szCs w:val="24"/>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TOC \o "1-3" \h \z \u </w:instrText>
      </w:r>
      <w:r>
        <w:rPr>
          <w:rFonts w:ascii="宋体" w:hAnsi="宋体" w:eastAsia="宋体"/>
          <w:color w:val="auto"/>
          <w:highlight w:val="none"/>
        </w:rPr>
        <w:fldChar w:fldCharType="separate"/>
      </w: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"_Toc508788600"</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s="宋体"/>
          <w:color w:val="auto"/>
          <w:sz w:val="24"/>
          <w:szCs w:val="24"/>
          <w:highlight w:val="none"/>
        </w:rPr>
        <w:t>第一卷</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_Toc508788600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2</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5"/>
        <w:shd w:val="clear"/>
        <w:tabs>
          <w:tab w:val="right" w:leader="dot" w:pos="8835"/>
        </w:tabs>
        <w:spacing w:line="360" w:lineRule="auto"/>
        <w:ind w:right="59"/>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"_Toc508788601"</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s="宋体"/>
          <w:color w:val="auto"/>
          <w:sz w:val="24"/>
          <w:szCs w:val="24"/>
          <w:highlight w:val="none"/>
        </w:rPr>
        <w:t>第一章</w:t>
      </w:r>
      <w:r>
        <w:rPr>
          <w:rStyle w:val="41"/>
          <w:rFonts w:hint="eastAsia" w:ascii="宋体" w:hAnsi="宋体" w:eastAsia="宋体" w:cs="宋体"/>
          <w:color w:val="auto"/>
          <w:sz w:val="24"/>
          <w:szCs w:val="24"/>
          <w:highlight w:val="none"/>
          <w:lang w:val="en-US" w:eastAsia="zh-CN"/>
        </w:rPr>
        <w:t xml:space="preserve">  </w:t>
      </w:r>
      <w:r>
        <w:rPr>
          <w:rStyle w:val="41"/>
          <w:rFonts w:hint="eastAsia" w:ascii="宋体" w:hAnsi="宋体" w:eastAsia="宋体" w:cs="宋体"/>
          <w:color w:val="auto"/>
          <w:sz w:val="24"/>
          <w:szCs w:val="24"/>
          <w:highlight w:val="none"/>
        </w:rPr>
        <w:t>招标公告（适用于公开招标）</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_Toc508788601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2</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5"/>
        <w:shd w:val="clear"/>
        <w:tabs>
          <w:tab w:val="right" w:leader="dot" w:pos="8835"/>
        </w:tabs>
        <w:spacing w:line="360" w:lineRule="auto"/>
        <w:ind w:right="59"/>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"_Toc508788609"</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s="宋体"/>
          <w:color w:val="auto"/>
          <w:sz w:val="24"/>
          <w:szCs w:val="24"/>
          <w:highlight w:val="none"/>
        </w:rPr>
        <w:t>第二章</w:t>
      </w:r>
      <w:r>
        <w:rPr>
          <w:rStyle w:val="41"/>
          <w:rFonts w:hint="eastAsia" w:ascii="宋体" w:hAnsi="宋体" w:eastAsia="宋体" w:cs="宋体"/>
          <w:color w:val="auto"/>
          <w:sz w:val="24"/>
          <w:szCs w:val="24"/>
          <w:highlight w:val="none"/>
          <w:lang w:val="en-US" w:eastAsia="zh-CN"/>
        </w:rPr>
        <w:t xml:space="preserve">  </w:t>
      </w:r>
      <w:r>
        <w:rPr>
          <w:rStyle w:val="41"/>
          <w:rFonts w:hint="eastAsia" w:ascii="宋体" w:hAnsi="宋体" w:eastAsia="宋体" w:cs="宋体"/>
          <w:color w:val="auto"/>
          <w:sz w:val="24"/>
          <w:szCs w:val="24"/>
          <w:highlight w:val="none"/>
        </w:rPr>
        <w:t>投标人须知</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_Toc508788609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3</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"_Toc508788610"</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olor w:val="auto"/>
          <w:sz w:val="24"/>
          <w:szCs w:val="24"/>
          <w:highlight w:val="none"/>
        </w:rPr>
        <w:t>投标人须知前附表</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_Toc508788610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3</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"_Toc508788611"</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1. </w:t>
      </w:r>
      <w:r>
        <w:rPr>
          <w:rStyle w:val="41"/>
          <w:rFonts w:hint="eastAsia" w:ascii="宋体" w:hAnsi="宋体" w:eastAsia="宋体"/>
          <w:color w:val="auto"/>
          <w:sz w:val="24"/>
          <w:szCs w:val="24"/>
          <w:highlight w:val="none"/>
        </w:rPr>
        <w:t>总则</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_Toc508788611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12</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"_Toc508788624"</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2. </w:t>
      </w:r>
      <w:r>
        <w:rPr>
          <w:rStyle w:val="41"/>
          <w:rFonts w:hint="eastAsia" w:ascii="宋体" w:hAnsi="宋体" w:eastAsia="宋体"/>
          <w:color w:val="auto"/>
          <w:sz w:val="24"/>
          <w:szCs w:val="24"/>
          <w:highlight w:val="none"/>
        </w:rPr>
        <w:t>招标文件</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_Toc508788624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15</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"_Toc508788629"</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3. </w:t>
      </w:r>
      <w:r>
        <w:rPr>
          <w:rStyle w:val="41"/>
          <w:rFonts w:hint="eastAsia" w:ascii="宋体" w:hAnsi="宋体" w:eastAsia="宋体"/>
          <w:color w:val="auto"/>
          <w:sz w:val="24"/>
          <w:szCs w:val="24"/>
          <w:highlight w:val="none"/>
        </w:rPr>
        <w:t>投标文件</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_Toc508788629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17</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"_Toc508788637"</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4. </w:t>
      </w:r>
      <w:r>
        <w:rPr>
          <w:rStyle w:val="41"/>
          <w:rFonts w:hint="eastAsia" w:ascii="宋体" w:hAnsi="宋体" w:eastAsia="宋体"/>
          <w:color w:val="auto"/>
          <w:sz w:val="24"/>
          <w:szCs w:val="24"/>
          <w:highlight w:val="none"/>
        </w:rPr>
        <w:t>投标</w:t>
      </w:r>
      <w:r>
        <w:rPr>
          <w:rFonts w:ascii="宋体" w:hAnsi="宋体" w:eastAsia="宋体"/>
          <w:color w:val="auto"/>
          <w:sz w:val="24"/>
          <w:szCs w:val="24"/>
          <w:highlight w:val="none"/>
        </w:rPr>
        <w:tab/>
      </w:r>
      <w:r>
        <w:rPr>
          <w:rFonts w:hint="eastAsia" w:ascii="宋体" w:hAnsi="宋体" w:eastAsia="宋体"/>
          <w:color w:val="auto"/>
          <w:sz w:val="24"/>
          <w:szCs w:val="24"/>
          <w:highlight w:val="none"/>
        </w:rPr>
        <w:t>1</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8</w:t>
      </w:r>
    </w:p>
    <w:p>
      <w:pPr>
        <w:pStyle w:val="28"/>
        <w:shd w:val="clear"/>
        <w:tabs>
          <w:tab w:val="right" w:leader="dot" w:pos="9240"/>
        </w:tabs>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"_Toc508788641"</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5. </w:t>
      </w:r>
      <w:r>
        <w:rPr>
          <w:rStyle w:val="41"/>
          <w:rFonts w:hint="eastAsia" w:ascii="宋体" w:hAnsi="宋体" w:eastAsia="宋体"/>
          <w:color w:val="auto"/>
          <w:sz w:val="24"/>
          <w:szCs w:val="24"/>
          <w:highlight w:val="none"/>
        </w:rPr>
        <w:t>开标</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_Toc508788641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21</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"_Toc508788645"</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6. </w:t>
      </w:r>
      <w:r>
        <w:rPr>
          <w:rStyle w:val="41"/>
          <w:rFonts w:hint="eastAsia" w:ascii="宋体" w:hAnsi="宋体" w:eastAsia="宋体"/>
          <w:color w:val="auto"/>
          <w:sz w:val="24"/>
          <w:szCs w:val="24"/>
          <w:highlight w:val="none"/>
        </w:rPr>
        <w:t>评标</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_Toc508788645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23</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"_Toc508788649"</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7. </w:t>
      </w:r>
      <w:r>
        <w:rPr>
          <w:rStyle w:val="41"/>
          <w:rFonts w:hint="eastAsia" w:ascii="宋体" w:hAnsi="宋体" w:eastAsia="宋体"/>
          <w:color w:val="auto"/>
          <w:sz w:val="24"/>
          <w:szCs w:val="24"/>
          <w:highlight w:val="none"/>
        </w:rPr>
        <w:t>合同授予</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_Toc508788649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24</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"_Toc508788657"</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8.</w:t>
      </w:r>
      <w:r>
        <w:rPr>
          <w:rStyle w:val="41"/>
          <w:rFonts w:hint="eastAsia" w:ascii="宋体" w:hAnsi="宋体" w:eastAsia="宋体"/>
          <w:color w:val="auto"/>
          <w:sz w:val="24"/>
          <w:szCs w:val="24"/>
          <w:highlight w:val="none"/>
        </w:rPr>
        <w:t>纪律和监督</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_Toc508788657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25</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"_Toc508788663"</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9. </w:t>
      </w:r>
      <w:r>
        <w:rPr>
          <w:rStyle w:val="41"/>
          <w:rFonts w:hint="eastAsia" w:ascii="宋体" w:hAnsi="宋体" w:eastAsia="宋体"/>
          <w:color w:val="auto"/>
          <w:sz w:val="24"/>
          <w:szCs w:val="24"/>
          <w:highlight w:val="none"/>
        </w:rPr>
        <w:t>是否采用电子招标投标</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_Toc508788663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26</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8"/>
        <w:shd w:val="clear"/>
        <w:tabs>
          <w:tab w:val="right" w:leader="dot" w:pos="9240"/>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"_Toc508788664"</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10. </w:t>
      </w:r>
      <w:r>
        <w:rPr>
          <w:rStyle w:val="41"/>
          <w:rFonts w:hint="eastAsia" w:ascii="宋体" w:hAnsi="宋体" w:eastAsia="宋体"/>
          <w:color w:val="auto"/>
          <w:sz w:val="24"/>
          <w:szCs w:val="24"/>
          <w:highlight w:val="none"/>
        </w:rPr>
        <w:t>需要补充的其他内容</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_Toc508788664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26</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5"/>
        <w:shd w:val="clear"/>
        <w:tabs>
          <w:tab w:val="right" w:leader="dot" w:pos="8835"/>
        </w:tabs>
        <w:spacing w:line="360" w:lineRule="auto"/>
        <w:ind w:right="59"/>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"_Toc508788671"</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s="宋体"/>
          <w:color w:val="auto"/>
          <w:sz w:val="24"/>
          <w:szCs w:val="24"/>
          <w:highlight w:val="none"/>
        </w:rPr>
        <w:t>第三章</w:t>
      </w:r>
      <w:r>
        <w:rPr>
          <w:rStyle w:val="41"/>
          <w:rFonts w:hint="eastAsia" w:ascii="宋体" w:hAnsi="宋体" w:eastAsia="宋体" w:cs="宋体"/>
          <w:color w:val="auto"/>
          <w:sz w:val="24"/>
          <w:szCs w:val="24"/>
          <w:highlight w:val="none"/>
          <w:lang w:val="en-US" w:eastAsia="zh-CN"/>
        </w:rPr>
        <w:t xml:space="preserve">  </w:t>
      </w:r>
      <w:r>
        <w:rPr>
          <w:rStyle w:val="41"/>
          <w:rFonts w:hint="eastAsia" w:ascii="宋体" w:hAnsi="宋体" w:eastAsia="宋体" w:cs="宋体"/>
          <w:color w:val="auto"/>
          <w:sz w:val="24"/>
          <w:szCs w:val="24"/>
          <w:highlight w:val="none"/>
        </w:rPr>
        <w:t>评标办法（综合评估法）</w:t>
      </w:r>
      <w:r>
        <w:rPr>
          <w:rFonts w:ascii="宋体" w:hAnsi="宋体" w:eastAsia="宋体"/>
          <w:color w:val="auto"/>
          <w:sz w:val="24"/>
          <w:szCs w:val="24"/>
          <w:highlight w:val="none"/>
        </w:rPr>
        <w:tab/>
      </w:r>
      <w:r>
        <w:rPr>
          <w:rFonts w:hint="eastAsia" w:ascii="宋体" w:hAnsi="宋体" w:eastAsia="宋体"/>
          <w:color w:val="auto"/>
          <w:sz w:val="24"/>
          <w:szCs w:val="24"/>
          <w:highlight w:val="none"/>
        </w:rPr>
        <w:t>2</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7</w:t>
      </w:r>
    </w:p>
    <w:p>
      <w:pPr>
        <w:pStyle w:val="28"/>
        <w:shd w:val="clear"/>
        <w:tabs>
          <w:tab w:val="right" w:leader="dot" w:pos="9240"/>
        </w:tabs>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"_Toc508788672"</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olor w:val="auto"/>
          <w:sz w:val="24"/>
          <w:szCs w:val="24"/>
          <w:highlight w:val="none"/>
        </w:rPr>
        <w:t>评标办法前附表</w:t>
      </w:r>
      <w:r>
        <w:rPr>
          <w:rFonts w:ascii="宋体" w:hAnsi="宋体" w:eastAsia="宋体"/>
          <w:color w:val="auto"/>
          <w:sz w:val="24"/>
          <w:szCs w:val="24"/>
          <w:highlight w:val="none"/>
        </w:rPr>
        <w:tab/>
      </w:r>
      <w:r>
        <w:rPr>
          <w:rFonts w:hint="eastAsia" w:ascii="宋体" w:hAnsi="宋体" w:eastAsia="宋体"/>
          <w:color w:val="auto"/>
          <w:sz w:val="24"/>
          <w:szCs w:val="24"/>
          <w:highlight w:val="none"/>
        </w:rPr>
        <w:t>2</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7</w:t>
      </w:r>
    </w:p>
    <w:p>
      <w:pPr>
        <w:pStyle w:val="28"/>
        <w:shd w:val="clear"/>
        <w:tabs>
          <w:tab w:val="right" w:leader="dot" w:pos="9240"/>
        </w:tabs>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"_Toc508788673"</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1. </w:t>
      </w:r>
      <w:r>
        <w:rPr>
          <w:rStyle w:val="41"/>
          <w:rFonts w:hint="eastAsia" w:ascii="宋体" w:hAnsi="宋体" w:eastAsia="宋体"/>
          <w:color w:val="auto"/>
          <w:sz w:val="24"/>
          <w:szCs w:val="24"/>
          <w:highlight w:val="none"/>
        </w:rPr>
        <w:t>评标方法</w:t>
      </w:r>
      <w:r>
        <w:rPr>
          <w:rFonts w:ascii="宋体" w:hAnsi="宋体" w:eastAsia="宋体"/>
          <w:color w:val="auto"/>
          <w:sz w:val="24"/>
          <w:szCs w:val="24"/>
          <w:highlight w:val="none"/>
        </w:rPr>
        <w:tab/>
      </w:r>
      <w:r>
        <w:rPr>
          <w:rFonts w:hint="eastAsia" w:ascii="宋体" w:hAnsi="宋体" w:eastAsia="宋体"/>
          <w:color w:val="auto"/>
          <w:sz w:val="24"/>
          <w:szCs w:val="24"/>
          <w:highlight w:val="none"/>
        </w:rPr>
        <w:t>3</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3</w:t>
      </w:r>
    </w:p>
    <w:p>
      <w:pPr>
        <w:pStyle w:val="28"/>
        <w:shd w:val="clear"/>
        <w:tabs>
          <w:tab w:val="right" w:leader="dot" w:pos="9240"/>
        </w:tabs>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"_Toc508788674"</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2. </w:t>
      </w:r>
      <w:r>
        <w:rPr>
          <w:rStyle w:val="41"/>
          <w:rFonts w:hint="eastAsia" w:ascii="宋体" w:hAnsi="宋体" w:eastAsia="宋体"/>
          <w:color w:val="auto"/>
          <w:sz w:val="24"/>
          <w:szCs w:val="24"/>
          <w:highlight w:val="none"/>
        </w:rPr>
        <w:t>评审标准</w:t>
      </w:r>
      <w:r>
        <w:rPr>
          <w:rFonts w:ascii="宋体" w:hAnsi="宋体" w:eastAsia="宋体"/>
          <w:color w:val="auto"/>
          <w:sz w:val="24"/>
          <w:szCs w:val="24"/>
          <w:highlight w:val="none"/>
        </w:rPr>
        <w:tab/>
      </w:r>
      <w:r>
        <w:rPr>
          <w:rFonts w:hint="eastAsia" w:ascii="宋体" w:hAnsi="宋体" w:eastAsia="宋体"/>
          <w:color w:val="auto"/>
          <w:sz w:val="24"/>
          <w:szCs w:val="24"/>
          <w:highlight w:val="none"/>
        </w:rPr>
        <w:t>3</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3</w:t>
      </w:r>
    </w:p>
    <w:p>
      <w:pPr>
        <w:pStyle w:val="28"/>
        <w:shd w:val="clear"/>
        <w:tabs>
          <w:tab w:val="right" w:leader="dot" w:pos="9240"/>
        </w:tabs>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"_Toc508788677"</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ascii="宋体" w:hAnsi="宋体" w:eastAsia="宋体"/>
          <w:b/>
          <w:color w:val="auto"/>
          <w:sz w:val="24"/>
          <w:szCs w:val="24"/>
          <w:highlight w:val="none"/>
        </w:rPr>
        <w:t xml:space="preserve">3. </w:t>
      </w:r>
      <w:r>
        <w:rPr>
          <w:rStyle w:val="41"/>
          <w:rFonts w:hint="eastAsia" w:ascii="宋体" w:hAnsi="宋体" w:eastAsia="宋体"/>
          <w:color w:val="auto"/>
          <w:sz w:val="24"/>
          <w:szCs w:val="24"/>
          <w:highlight w:val="none"/>
        </w:rPr>
        <w:t>评标程序</w:t>
      </w:r>
      <w:r>
        <w:rPr>
          <w:rFonts w:ascii="宋体" w:hAnsi="宋体" w:eastAsia="宋体"/>
          <w:color w:val="auto"/>
          <w:sz w:val="24"/>
          <w:szCs w:val="24"/>
          <w:highlight w:val="none"/>
        </w:rPr>
        <w:tab/>
      </w:r>
      <w:r>
        <w:rPr>
          <w:rFonts w:hint="eastAsia" w:ascii="宋体" w:hAnsi="宋体" w:eastAsia="宋体"/>
          <w:color w:val="auto"/>
          <w:sz w:val="24"/>
          <w:szCs w:val="24"/>
          <w:highlight w:val="none"/>
        </w:rPr>
        <w:t>3</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4</w:t>
      </w:r>
    </w:p>
    <w:p>
      <w:pPr>
        <w:pStyle w:val="25"/>
        <w:shd w:val="clear"/>
        <w:tabs>
          <w:tab w:val="right" w:leader="dot" w:pos="8835"/>
        </w:tabs>
        <w:spacing w:line="360" w:lineRule="auto"/>
        <w:ind w:right="59"/>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"_Toc508788682"</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s="宋体"/>
          <w:color w:val="auto"/>
          <w:sz w:val="24"/>
          <w:szCs w:val="24"/>
          <w:highlight w:val="none"/>
        </w:rPr>
        <w:t>第四章</w:t>
      </w:r>
      <w:r>
        <w:rPr>
          <w:rStyle w:val="41"/>
          <w:rFonts w:hint="eastAsia" w:ascii="宋体" w:hAnsi="宋体" w:eastAsia="宋体" w:cs="宋体"/>
          <w:color w:val="auto"/>
          <w:sz w:val="24"/>
          <w:szCs w:val="24"/>
          <w:highlight w:val="none"/>
          <w:lang w:val="en-US" w:eastAsia="zh-CN"/>
        </w:rPr>
        <w:t xml:space="preserve">  </w:t>
      </w:r>
      <w:r>
        <w:rPr>
          <w:rStyle w:val="41"/>
          <w:rFonts w:hint="eastAsia" w:ascii="宋体" w:hAnsi="宋体" w:eastAsia="宋体" w:cs="宋体"/>
          <w:color w:val="auto"/>
          <w:sz w:val="24"/>
          <w:szCs w:val="24"/>
          <w:highlight w:val="none"/>
        </w:rPr>
        <w:t>合同条款及格式</w:t>
      </w:r>
      <w:r>
        <w:rPr>
          <w:rFonts w:ascii="宋体" w:hAnsi="宋体" w:eastAsia="宋体"/>
          <w:color w:val="auto"/>
          <w:sz w:val="24"/>
          <w:szCs w:val="24"/>
          <w:highlight w:val="none"/>
        </w:rPr>
        <w:tab/>
      </w:r>
      <w:r>
        <w:rPr>
          <w:rFonts w:hint="eastAsia" w:ascii="宋体" w:hAnsi="宋体" w:eastAsia="宋体"/>
          <w:color w:val="auto"/>
          <w:sz w:val="24"/>
          <w:szCs w:val="24"/>
          <w:highlight w:val="none"/>
        </w:rPr>
        <w:t>3</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6</w:t>
      </w:r>
    </w:p>
    <w:p>
      <w:pPr>
        <w:pStyle w:val="25"/>
        <w:shd w:val="clear"/>
        <w:tabs>
          <w:tab w:val="right" w:leader="dot" w:pos="8835"/>
        </w:tabs>
        <w:spacing w:line="360" w:lineRule="auto"/>
        <w:ind w:right="59"/>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"_Toc508788683"</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s="宋体"/>
          <w:color w:val="auto"/>
          <w:sz w:val="24"/>
          <w:szCs w:val="24"/>
          <w:highlight w:val="none"/>
        </w:rPr>
        <w:t>第二卷</w:t>
      </w:r>
      <w:r>
        <w:rPr>
          <w:rFonts w:ascii="宋体" w:hAnsi="宋体" w:eastAsia="宋体"/>
          <w:color w:val="auto"/>
          <w:sz w:val="24"/>
          <w:szCs w:val="24"/>
          <w:highlight w:val="none"/>
        </w:rPr>
        <w:tab/>
      </w:r>
      <w:r>
        <w:rPr>
          <w:rFonts w:hint="eastAsia" w:ascii="宋体" w:hAnsi="宋体" w:eastAsia="宋体"/>
          <w:color w:val="auto"/>
          <w:sz w:val="24"/>
          <w:szCs w:val="24"/>
          <w:highlight w:val="none"/>
        </w:rPr>
        <w:t>3</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7</w:t>
      </w:r>
    </w:p>
    <w:p>
      <w:pPr>
        <w:pStyle w:val="25"/>
        <w:shd w:val="clear"/>
        <w:tabs>
          <w:tab w:val="right" w:leader="dot" w:pos="8835"/>
        </w:tabs>
        <w:spacing w:line="360" w:lineRule="auto"/>
        <w:ind w:right="59"/>
        <w:rPr>
          <w:rFonts w:hint="eastAsia"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"_Toc508788684"</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s="宋体"/>
          <w:color w:val="auto"/>
          <w:sz w:val="24"/>
          <w:szCs w:val="24"/>
          <w:highlight w:val="none"/>
        </w:rPr>
        <w:t>第五章</w:t>
      </w:r>
      <w:r>
        <w:rPr>
          <w:rStyle w:val="41"/>
          <w:rFonts w:hint="eastAsia" w:ascii="宋体" w:hAnsi="宋体" w:eastAsia="宋体" w:cs="宋体"/>
          <w:color w:val="auto"/>
          <w:sz w:val="24"/>
          <w:szCs w:val="24"/>
          <w:highlight w:val="none"/>
          <w:lang w:val="en-US" w:eastAsia="zh-CN"/>
        </w:rPr>
        <w:t xml:space="preserve">  </w:t>
      </w:r>
      <w:r>
        <w:rPr>
          <w:rStyle w:val="41"/>
          <w:rFonts w:hint="eastAsia" w:ascii="宋体" w:hAnsi="宋体" w:eastAsia="宋体" w:cs="宋体"/>
          <w:color w:val="auto"/>
          <w:sz w:val="24"/>
          <w:szCs w:val="24"/>
          <w:highlight w:val="none"/>
        </w:rPr>
        <w:t>超前钻技术要求</w:t>
      </w:r>
      <w:r>
        <w:rPr>
          <w:rFonts w:ascii="宋体" w:hAnsi="宋体" w:eastAsia="宋体"/>
          <w:color w:val="auto"/>
          <w:sz w:val="24"/>
          <w:szCs w:val="24"/>
          <w:highlight w:val="none"/>
        </w:rPr>
        <w:tab/>
      </w:r>
      <w:r>
        <w:rPr>
          <w:rFonts w:hint="eastAsia" w:ascii="宋体" w:hAnsi="宋体" w:eastAsia="宋体"/>
          <w:color w:val="auto"/>
          <w:sz w:val="24"/>
          <w:szCs w:val="24"/>
          <w:highlight w:val="none"/>
        </w:rPr>
        <w:t>3</w:t>
      </w:r>
      <w:r>
        <w:rPr>
          <w:rFonts w:ascii="宋体" w:hAnsi="宋体" w:eastAsia="宋体"/>
          <w:color w:val="auto"/>
          <w:sz w:val="24"/>
          <w:szCs w:val="24"/>
          <w:highlight w:val="none"/>
        </w:rPr>
        <w:fldChar w:fldCharType="end"/>
      </w:r>
      <w:r>
        <w:rPr>
          <w:rFonts w:hint="eastAsia" w:ascii="宋体" w:hAnsi="宋体" w:eastAsia="宋体"/>
          <w:color w:val="auto"/>
          <w:sz w:val="24"/>
          <w:szCs w:val="24"/>
          <w:highlight w:val="none"/>
        </w:rPr>
        <w:t>8</w:t>
      </w:r>
    </w:p>
    <w:p>
      <w:pPr>
        <w:pStyle w:val="25"/>
        <w:shd w:val="clear"/>
        <w:tabs>
          <w:tab w:val="right" w:leader="dot" w:pos="8835"/>
        </w:tabs>
        <w:spacing w:line="360" w:lineRule="auto"/>
        <w:ind w:right="59"/>
        <w:rPr>
          <w:rFonts w:ascii="宋体" w:hAnsi="宋体" w:eastAsia="宋体"/>
          <w:color w:val="auto"/>
          <w:sz w:val="24"/>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"_Toc508788695"</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s="宋体"/>
          <w:color w:val="auto"/>
          <w:sz w:val="24"/>
          <w:szCs w:val="24"/>
          <w:highlight w:val="none"/>
        </w:rPr>
        <w:t>第三卷</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_Toc508788695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45</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5"/>
        <w:shd w:val="clear"/>
        <w:tabs>
          <w:tab w:val="right" w:leader="dot" w:pos="8835"/>
        </w:tabs>
        <w:spacing w:line="360" w:lineRule="auto"/>
        <w:ind w:right="59"/>
        <w:rPr>
          <w:rFonts w:ascii="宋体" w:hAnsi="宋体" w:eastAsia="宋体"/>
          <w:color w:val="auto"/>
          <w:szCs w:val="24"/>
          <w:highlight w:val="none"/>
        </w:rPr>
      </w:pPr>
      <w:r>
        <w:rPr>
          <w:rFonts w:ascii="宋体" w:hAnsi="宋体" w:eastAsia="宋体"/>
          <w:color w:val="auto"/>
          <w:sz w:val="24"/>
          <w:szCs w:val="24"/>
          <w:highlight w:val="none"/>
        </w:rPr>
        <w:fldChar w:fldCharType="begin"/>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instrText xml:space="preserve">HYPERLINK \l "_Toc508788696"</w:instrText>
      </w:r>
      <w:r>
        <w:rPr>
          <w:rStyle w:val="41"/>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41"/>
          <w:rFonts w:hint="eastAsia" w:ascii="宋体" w:hAnsi="宋体" w:eastAsia="宋体" w:cs="宋体"/>
          <w:color w:val="auto"/>
          <w:sz w:val="24"/>
          <w:szCs w:val="24"/>
          <w:highlight w:val="none"/>
        </w:rPr>
        <w:t>第六章</w:t>
      </w:r>
      <w:r>
        <w:rPr>
          <w:rStyle w:val="41"/>
          <w:rFonts w:hint="eastAsia" w:ascii="宋体" w:hAnsi="宋体" w:eastAsia="宋体" w:cs="宋体"/>
          <w:color w:val="auto"/>
          <w:sz w:val="24"/>
          <w:szCs w:val="24"/>
          <w:highlight w:val="none"/>
          <w:lang w:val="en-US" w:eastAsia="zh-CN"/>
        </w:rPr>
        <w:t xml:space="preserve">  </w:t>
      </w:r>
      <w:r>
        <w:rPr>
          <w:rStyle w:val="41"/>
          <w:rFonts w:hint="eastAsia" w:ascii="宋体" w:hAnsi="宋体" w:eastAsia="宋体" w:cs="宋体"/>
          <w:color w:val="auto"/>
          <w:sz w:val="24"/>
          <w:szCs w:val="24"/>
          <w:highlight w:val="none"/>
        </w:rPr>
        <w:t>投标文件格式</w:t>
      </w:r>
      <w:r>
        <w:rPr>
          <w:rFonts w:ascii="宋体" w:hAnsi="宋体" w:eastAsia="宋体"/>
          <w:color w:val="auto"/>
          <w:sz w:val="24"/>
          <w:szCs w:val="24"/>
          <w:highlight w:val="none"/>
        </w:rPr>
        <w:tab/>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PAGEREF _Toc508788696 \h </w:instrText>
      </w:r>
      <w:r>
        <w:rPr>
          <w:rFonts w:ascii="宋体" w:hAnsi="宋体" w:eastAsia="宋体"/>
          <w:color w:val="auto"/>
          <w:sz w:val="24"/>
          <w:szCs w:val="24"/>
          <w:highlight w:val="none"/>
        </w:rPr>
        <w:fldChar w:fldCharType="separate"/>
      </w:r>
      <w:r>
        <w:rPr>
          <w:rFonts w:ascii="宋体" w:hAnsi="宋体" w:eastAsia="宋体"/>
          <w:color w:val="auto"/>
          <w:sz w:val="24"/>
          <w:szCs w:val="24"/>
          <w:highlight w:val="none"/>
        </w:rPr>
        <w:t>45</w:t>
      </w:r>
      <w:r>
        <w:rPr>
          <w:rFonts w:ascii="宋体" w:hAnsi="宋体" w:eastAsia="宋体"/>
          <w:color w:val="auto"/>
          <w:sz w:val="24"/>
          <w:szCs w:val="24"/>
          <w:highlight w:val="none"/>
        </w:rPr>
        <w:fldChar w:fldCharType="end"/>
      </w:r>
      <w:r>
        <w:rPr>
          <w:rFonts w:ascii="宋体" w:hAnsi="宋体" w:eastAsia="宋体"/>
          <w:color w:val="auto"/>
          <w:sz w:val="24"/>
          <w:szCs w:val="24"/>
          <w:highlight w:val="none"/>
        </w:rPr>
        <w:fldChar w:fldCharType="end"/>
      </w:r>
    </w:p>
    <w:p>
      <w:pPr>
        <w:pStyle w:val="25"/>
        <w:shd w:val="clear"/>
        <w:tabs>
          <w:tab w:val="right" w:leader="dot" w:pos="8835"/>
        </w:tabs>
        <w:spacing w:line="360" w:lineRule="auto"/>
        <w:jc w:val="both"/>
        <w:rPr>
          <w:rFonts w:ascii="宋体" w:hAnsi="宋体" w:eastAsia="宋体"/>
          <w:color w:val="auto"/>
          <w:szCs w:val="24"/>
          <w:highlight w:val="none"/>
        </w:rPr>
      </w:pPr>
    </w:p>
    <w:p>
      <w:pPr>
        <w:pStyle w:val="25"/>
        <w:shd w:val="clear"/>
        <w:tabs>
          <w:tab w:val="right" w:leader="dot" w:pos="8750"/>
        </w:tabs>
        <w:spacing w:line="360" w:lineRule="auto"/>
        <w:rPr>
          <w:rFonts w:ascii="宋体" w:hAnsi="宋体" w:eastAsia="宋体"/>
          <w:color w:val="auto"/>
          <w:highlight w:val="none"/>
        </w:rPr>
        <w:sectPr>
          <w:footerReference r:id="rId6" w:type="default"/>
          <w:pgSz w:w="11907" w:h="16840"/>
          <w:pgMar w:top="1361" w:right="1304" w:bottom="1361" w:left="1304" w:header="720" w:footer="720" w:gutter="0"/>
          <w:pgNumType w:start="1"/>
          <w:cols w:space="720" w:num="1"/>
        </w:sectPr>
      </w:pPr>
      <w:r>
        <w:rPr>
          <w:rFonts w:ascii="宋体" w:hAnsi="宋体" w:eastAsia="宋体"/>
          <w:color w:val="auto"/>
          <w:highlight w:val="none"/>
        </w:rPr>
        <w:fldChar w:fldCharType="end"/>
      </w:r>
    </w:p>
    <w:p>
      <w:pPr>
        <w:pStyle w:val="3"/>
        <w:shd w:val="clear"/>
        <w:spacing w:after="914" w:line="240" w:lineRule="auto"/>
        <w:ind w:right="0"/>
        <w:rPr>
          <w:rFonts w:ascii="宋体" w:hAnsi="宋体" w:eastAsia="宋体" w:cs="宋体"/>
          <w:color w:val="auto"/>
          <w:sz w:val="44"/>
          <w:highlight w:val="none"/>
        </w:rPr>
      </w:pPr>
      <w:bookmarkStart w:id="3" w:name="_Toc508788600"/>
      <w:bookmarkStart w:id="4" w:name="_Toc508382083"/>
      <w:r>
        <w:rPr>
          <w:rFonts w:hint="eastAsia" w:ascii="宋体" w:hAnsi="宋体" w:eastAsia="宋体" w:cs="宋体"/>
          <w:color w:val="auto"/>
          <w:sz w:val="44"/>
          <w:highlight w:val="none"/>
        </w:rPr>
        <w:t>第一卷</w:t>
      </w:r>
      <w:bookmarkEnd w:id="3"/>
      <w:bookmarkEnd w:id="4"/>
    </w:p>
    <w:p>
      <w:pPr>
        <w:pStyle w:val="3"/>
        <w:shd w:val="clear"/>
        <w:spacing w:after="224" w:line="240" w:lineRule="auto"/>
        <w:ind w:left="0" w:right="0" w:firstLine="0"/>
        <w:rPr>
          <w:rFonts w:hint="eastAsia" w:ascii="宋体" w:hAnsi="宋体" w:eastAsia="宋体" w:cs="宋体"/>
          <w:color w:val="auto"/>
          <w:sz w:val="44"/>
          <w:highlight w:val="none"/>
        </w:rPr>
      </w:pPr>
      <w:bookmarkStart w:id="5" w:name="_Toc508382084"/>
      <w:bookmarkStart w:id="6" w:name="_Toc508788601"/>
      <w:r>
        <w:rPr>
          <w:rFonts w:hint="eastAsia" w:ascii="宋体" w:hAnsi="宋体" w:eastAsia="宋体" w:cs="宋体"/>
          <w:color w:val="auto"/>
          <w:sz w:val="44"/>
          <w:highlight w:val="none"/>
        </w:rPr>
        <w:t>第一章</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招标公告</w:t>
      </w:r>
      <w:bookmarkEnd w:id="5"/>
      <w:bookmarkEnd w:id="6"/>
    </w:p>
    <w:p>
      <w:pPr>
        <w:shd w:val="clear"/>
        <w:jc w:val="center"/>
        <w:rPr>
          <w:rFonts w:eastAsia="宋体"/>
          <w:color w:val="auto"/>
          <w:sz w:val="24"/>
          <w:szCs w:val="24"/>
          <w:highlight w:val="none"/>
        </w:rPr>
      </w:pPr>
      <w:r>
        <w:rPr>
          <w:rFonts w:hint="eastAsia" w:eastAsia="宋体"/>
          <w:color w:val="auto"/>
          <w:sz w:val="24"/>
          <w:szCs w:val="24"/>
          <w:highlight w:val="none"/>
        </w:rPr>
        <w:t>（另附）</w:t>
      </w:r>
    </w:p>
    <w:p>
      <w:pPr>
        <w:pStyle w:val="3"/>
        <w:shd w:val="clear"/>
        <w:adjustRightInd w:val="0"/>
        <w:spacing w:after="850" w:line="360" w:lineRule="auto"/>
        <w:ind w:right="2770" w:hanging="11"/>
        <w:jc w:val="right"/>
        <w:rPr>
          <w:rFonts w:ascii="宋体" w:hAnsi="宋体" w:eastAsia="宋体"/>
          <w:color w:val="auto"/>
          <w:highlight w:val="none"/>
        </w:rPr>
      </w:pPr>
      <w:bookmarkStart w:id="7" w:name="_Toc508788609"/>
      <w:bookmarkStart w:id="8" w:name="_Toc508382092"/>
      <w:r>
        <w:rPr>
          <w:rFonts w:ascii="宋体" w:hAnsi="宋体" w:eastAsia="宋体" w:cs="宋体"/>
          <w:color w:val="auto"/>
          <w:sz w:val="44"/>
          <w:highlight w:val="none"/>
        </w:rPr>
        <w:br w:type="page"/>
      </w:r>
      <w:r>
        <w:rPr>
          <w:rFonts w:hint="eastAsia" w:ascii="宋体" w:hAnsi="宋体" w:eastAsia="宋体" w:cs="宋体"/>
          <w:b/>
          <w:bCs/>
          <w:color w:val="auto"/>
          <w:sz w:val="44"/>
          <w:highlight w:val="none"/>
        </w:rPr>
        <w:t>第二章</w:t>
      </w:r>
      <w:r>
        <w:rPr>
          <w:rFonts w:hint="eastAsia" w:ascii="宋体" w:hAnsi="宋体" w:eastAsia="宋体" w:cs="宋体"/>
          <w:b/>
          <w:bCs/>
          <w:color w:val="auto"/>
          <w:sz w:val="44"/>
          <w:highlight w:val="none"/>
          <w:lang w:val="en-US" w:eastAsia="zh-CN"/>
        </w:rPr>
        <w:t xml:space="preserve">  </w:t>
      </w:r>
      <w:r>
        <w:rPr>
          <w:rFonts w:hint="eastAsia" w:ascii="宋体" w:hAnsi="宋体" w:eastAsia="宋体" w:cs="宋体"/>
          <w:b/>
          <w:bCs/>
          <w:color w:val="auto"/>
          <w:sz w:val="44"/>
          <w:highlight w:val="none"/>
        </w:rPr>
        <w:t>投标人须知</w:t>
      </w:r>
      <w:bookmarkEnd w:id="7"/>
      <w:bookmarkEnd w:id="8"/>
    </w:p>
    <w:p>
      <w:pPr>
        <w:pStyle w:val="2"/>
        <w:shd w:val="clear"/>
        <w:spacing w:after="155" w:line="360" w:lineRule="auto"/>
        <w:ind w:left="-5" w:right="0" w:hanging="11"/>
        <w:jc w:val="center"/>
        <w:rPr>
          <w:rFonts w:ascii="宋体" w:hAnsi="宋体" w:eastAsia="宋体"/>
          <w:b/>
          <w:bCs/>
          <w:color w:val="auto"/>
          <w:highlight w:val="none"/>
        </w:rPr>
      </w:pPr>
      <w:bookmarkStart w:id="9" w:name="_Toc508382093"/>
      <w:bookmarkStart w:id="10" w:name="_Toc508788610"/>
      <w:r>
        <w:rPr>
          <w:rFonts w:hint="eastAsia" w:ascii="宋体" w:hAnsi="宋体" w:eastAsia="宋体"/>
          <w:b/>
          <w:bCs/>
          <w:color w:val="auto"/>
          <w:sz w:val="32"/>
          <w:highlight w:val="none"/>
        </w:rPr>
        <w:t>投标人须知前附表</w:t>
      </w:r>
      <w:bookmarkEnd w:id="9"/>
      <w:bookmarkEnd w:id="10"/>
    </w:p>
    <w:tbl>
      <w:tblPr>
        <w:tblStyle w:val="35"/>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
      <w:tblGrid>
        <w:gridCol w:w="1390"/>
        <w:gridCol w:w="1981"/>
        <w:gridCol w:w="6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71" w:hRule="atLeast"/>
          <w:jc w:val="center"/>
        </w:trPr>
        <w:tc>
          <w:tcPr>
            <w:tcW w:w="1390" w:type="dxa"/>
            <w:noWrap w:val="0"/>
            <w:vAlign w:val="center"/>
          </w:tcPr>
          <w:p>
            <w:pPr>
              <w:keepNext w:val="0"/>
              <w:keepLines w:val="0"/>
              <w:widowControl/>
              <w:suppressLineNumbers w:val="0"/>
              <w:shd w:val="clear"/>
              <w:spacing w:before="0" w:beforeAutospacing="0" w:after="0" w:afterAutospacing="0" w:line="240" w:lineRule="auto"/>
              <w:ind w:left="156"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r>
              <w:rPr>
                <w:rFonts w:hint="eastAsia" w:ascii="宋体" w:hAnsi="宋体" w:eastAsia="宋体" w:cs="宋体"/>
                <w:b/>
                <w:color w:val="auto"/>
                <w:sz w:val="24"/>
                <w:szCs w:val="24"/>
                <w:highlight w:val="none"/>
              </w:rPr>
              <w:t xml:space="preserve"> </w:t>
            </w:r>
          </w:p>
        </w:tc>
        <w:tc>
          <w:tcPr>
            <w:tcW w:w="1981" w:type="dxa"/>
            <w:noWrap w:val="0"/>
            <w:vAlign w:val="center"/>
          </w:tcPr>
          <w:p>
            <w:pPr>
              <w:keepNext w:val="0"/>
              <w:keepLines w:val="0"/>
              <w:widowControl/>
              <w:suppressLineNumbers w:val="0"/>
              <w:shd w:val="clear"/>
              <w:spacing w:before="0" w:beforeAutospacing="0" w:after="0" w:afterAutospacing="0" w:line="240" w:lineRule="auto"/>
              <w:ind w:left="1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r>
              <w:rPr>
                <w:rFonts w:hint="eastAsia" w:ascii="宋体" w:hAnsi="宋体" w:eastAsia="宋体" w:cs="宋体"/>
                <w:b/>
                <w:color w:val="auto"/>
                <w:sz w:val="24"/>
                <w:szCs w:val="24"/>
                <w:highlight w:val="none"/>
              </w:rPr>
              <w:t xml:space="preserve"> </w:t>
            </w:r>
          </w:p>
        </w:tc>
        <w:tc>
          <w:tcPr>
            <w:tcW w:w="6738" w:type="dxa"/>
            <w:noWrap w:val="0"/>
            <w:vAlign w:val="center"/>
          </w:tcPr>
          <w:p>
            <w:pPr>
              <w:keepNext w:val="0"/>
              <w:keepLines w:val="0"/>
              <w:widowControl/>
              <w:suppressLineNumbers w:val="0"/>
              <w:shd w:val="clear"/>
              <w:spacing w:before="0" w:beforeAutospacing="0" w:after="0" w:afterAutospacing="0" w:line="240" w:lineRule="auto"/>
              <w:ind w:left="11"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r>
              <w:rPr>
                <w:rFonts w:hint="eastAsia" w:ascii="宋体" w:hAnsi="宋体" w:eastAsia="宋体" w:cs="宋体"/>
                <w:b/>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115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招标人 </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名称：广州厦广仕有限责任公司</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地址：广州市黄埔区摇田河大街79号1101房自编1108室</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联系人：陈工</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电话：020-31702012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944"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招标代理机构 </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招标代理机构：广东省机电设备招标有限公司</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地址：广州市越秀区环市中路316号金鹰大厦10楼</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联系人：张工</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sz w:val="24"/>
                <w:szCs w:val="24"/>
                <w:highlight w:val="none"/>
              </w:rPr>
            </w:pPr>
            <w:r>
              <w:rPr>
                <w:rFonts w:hint="eastAsia" w:ascii="宋体" w:hAnsi="宋体" w:cs="宋体"/>
                <w:color w:val="auto"/>
                <w:kern w:val="2"/>
                <w:sz w:val="24"/>
                <w:szCs w:val="24"/>
                <w:highlight w:val="none"/>
              </w:rPr>
              <w:t>电话：18578637372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03"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招标项目名称 </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sz w:val="24"/>
                <w:szCs w:val="24"/>
                <w:highlight w:val="none"/>
                <w:u w:val="single"/>
              </w:rPr>
            </w:pPr>
            <w:r>
              <w:rPr>
                <w:rFonts w:hint="eastAsia" w:ascii="宋体" w:hAnsi="宋体" w:cs="宋体"/>
                <w:color w:val="auto"/>
                <w:kern w:val="2"/>
                <w:sz w:val="24"/>
                <w:szCs w:val="24"/>
                <w:highlight w:val="none"/>
              </w:rPr>
              <w:t>广州市黄埔区长岭居CPPQ-A4-4地块超前钻服务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90"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项目建设地点 </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sz w:val="24"/>
                <w:szCs w:val="24"/>
                <w:highlight w:val="none"/>
                <w:u w:val="single"/>
              </w:rPr>
            </w:pPr>
            <w:r>
              <w:rPr>
                <w:rFonts w:hint="eastAsia" w:ascii="宋体" w:hAnsi="宋体" w:cs="宋体"/>
                <w:color w:val="auto"/>
                <w:kern w:val="2"/>
                <w:sz w:val="24"/>
                <w:szCs w:val="24"/>
                <w:highlight w:val="none"/>
                <w:lang w:bidi="ar"/>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90"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1.1.6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项目建设规模 </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sz w:val="24"/>
                <w:szCs w:val="24"/>
                <w:highlight w:val="none"/>
                <w:u w:val="single"/>
              </w:rPr>
            </w:pPr>
            <w:r>
              <w:rPr>
                <w:rFonts w:hint="eastAsia" w:ascii="宋体" w:hAnsi="宋体" w:cs="宋体"/>
                <w:color w:val="auto"/>
                <w:kern w:val="2"/>
                <w:sz w:val="24"/>
                <w:szCs w:val="24"/>
                <w:highlight w:val="none"/>
                <w:lang w:bidi="ar"/>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720"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1.1.7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工程项目施工预计开工日期和建设周期</w:t>
            </w:r>
          </w:p>
        </w:tc>
        <w:tc>
          <w:tcPr>
            <w:tcW w:w="6738" w:type="dxa"/>
            <w:noWrap w:val="0"/>
            <w:vAlign w:val="center"/>
          </w:tcPr>
          <w:p>
            <w:pPr>
              <w:keepNext w:val="0"/>
              <w:keepLines w:val="0"/>
              <w:widowControl/>
              <w:suppressLineNumbers w:val="0"/>
              <w:shd w:val="clear"/>
              <w:spacing w:before="0" w:beforeAutospacing="0" w:after="0" w:afterAutospacing="0" w:line="240" w:lineRule="auto"/>
              <w:ind w:left="0" w:right="154"/>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bidi="ar"/>
              </w:rPr>
              <w:t>详见施工合同。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9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1.1.8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建筑安装工程费/工程概算</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bidi="ar"/>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03"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资金来源及比例</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bidi="ar"/>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03"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资金落实情况</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03"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招标范围</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bidi="ar"/>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31"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服务工期</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bidi="ar"/>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374"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1.3.3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质量标准</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满足现行相关规范要求.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767"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投标人资质条件、能力、信誉</w:t>
            </w:r>
          </w:p>
        </w:tc>
        <w:tc>
          <w:tcPr>
            <w:tcW w:w="6738" w:type="dxa"/>
            <w:noWrap w:val="0"/>
            <w:vAlign w:val="center"/>
          </w:tcPr>
          <w:p>
            <w:pPr>
              <w:pStyle w:val="72"/>
              <w:keepNext w:val="0"/>
              <w:keepLines w:val="0"/>
              <w:suppressLineNumbers w:val="0"/>
              <w:shd w:val="clear"/>
              <w:snapToGrid w:val="0"/>
              <w:spacing w:before="0" w:beforeAutospacing="0" w:afterAutospacing="0" w:line="360" w:lineRule="exact"/>
              <w:ind w:left="142" w:right="106"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（1）资质要求：</w:t>
            </w:r>
            <w:r>
              <w:rPr>
                <w:rFonts w:hint="eastAsia" w:ascii="宋体" w:hAnsi="宋体" w:cs="宋体"/>
                <w:color w:val="auto"/>
                <w:sz w:val="24"/>
                <w:szCs w:val="24"/>
                <w:highlight w:val="none"/>
                <w:u w:val="single"/>
              </w:rPr>
              <w:t>见招标公告投标人资格要求</w:t>
            </w:r>
          </w:p>
          <w:p>
            <w:pPr>
              <w:pStyle w:val="72"/>
              <w:keepNext w:val="0"/>
              <w:keepLines w:val="0"/>
              <w:suppressLineNumbers w:val="0"/>
              <w:shd w:val="clear"/>
              <w:snapToGrid w:val="0"/>
              <w:spacing w:before="0" w:beforeAutospacing="0" w:afterAutospacing="0" w:line="360" w:lineRule="exact"/>
              <w:ind w:left="142" w:right="106"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（2）财务要求：</w:t>
            </w:r>
            <w:r>
              <w:rPr>
                <w:rFonts w:hint="eastAsia" w:ascii="宋体" w:hAnsi="宋体" w:cs="宋体"/>
                <w:color w:val="auto"/>
                <w:sz w:val="24"/>
                <w:szCs w:val="24"/>
                <w:highlight w:val="none"/>
                <w:u w:val="single"/>
              </w:rPr>
              <w:t xml:space="preserve">/ </w:t>
            </w:r>
          </w:p>
          <w:p>
            <w:pPr>
              <w:pStyle w:val="72"/>
              <w:keepNext w:val="0"/>
              <w:keepLines w:val="0"/>
              <w:suppressLineNumbers w:val="0"/>
              <w:shd w:val="clear"/>
              <w:snapToGrid w:val="0"/>
              <w:spacing w:before="0" w:beforeAutospacing="0" w:afterAutospacing="0" w:line="360" w:lineRule="exact"/>
              <w:ind w:left="142" w:right="106"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（3）业绩要求：</w:t>
            </w:r>
            <w:r>
              <w:rPr>
                <w:rFonts w:hint="eastAsia" w:ascii="宋体" w:hAnsi="宋体" w:cs="宋体"/>
                <w:color w:val="auto"/>
                <w:sz w:val="24"/>
                <w:szCs w:val="24"/>
                <w:highlight w:val="none"/>
                <w:u w:val="single"/>
              </w:rPr>
              <w:t xml:space="preserve">/ </w:t>
            </w:r>
          </w:p>
          <w:p>
            <w:pPr>
              <w:pStyle w:val="72"/>
              <w:keepNext w:val="0"/>
              <w:keepLines w:val="0"/>
              <w:suppressLineNumbers w:val="0"/>
              <w:shd w:val="clear"/>
              <w:snapToGrid w:val="0"/>
              <w:spacing w:before="0" w:beforeAutospacing="0" w:afterAutospacing="0" w:line="360" w:lineRule="exact"/>
              <w:ind w:left="142" w:right="106"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（4）信誉要求：</w:t>
            </w:r>
            <w:r>
              <w:rPr>
                <w:rFonts w:hint="eastAsia" w:ascii="宋体" w:hAnsi="宋体" w:cs="宋体"/>
                <w:color w:val="auto"/>
                <w:sz w:val="24"/>
                <w:szCs w:val="24"/>
                <w:highlight w:val="none"/>
                <w:u w:val="single"/>
              </w:rPr>
              <w:t xml:space="preserve">见招标公告投标人资格要求 </w:t>
            </w:r>
          </w:p>
          <w:p>
            <w:pPr>
              <w:pStyle w:val="72"/>
              <w:keepNext w:val="0"/>
              <w:keepLines w:val="0"/>
              <w:suppressLineNumbers w:val="0"/>
              <w:shd w:val="clear"/>
              <w:snapToGrid w:val="0"/>
              <w:spacing w:before="0" w:beforeAutospacing="0" w:afterAutospacing="0" w:line="360" w:lineRule="exact"/>
              <w:ind w:left="142" w:right="106"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（5）项目负责人的资格要求：</w:t>
            </w:r>
            <w:r>
              <w:rPr>
                <w:rFonts w:hint="eastAsia" w:ascii="宋体" w:hAnsi="宋体" w:cs="宋体"/>
                <w:color w:val="auto"/>
                <w:sz w:val="24"/>
                <w:szCs w:val="24"/>
                <w:highlight w:val="none"/>
                <w:u w:val="single"/>
              </w:rPr>
              <w:t>见招标公告投标人资格要求</w:t>
            </w:r>
          </w:p>
          <w:p>
            <w:pPr>
              <w:pStyle w:val="72"/>
              <w:keepNext w:val="0"/>
              <w:keepLines w:val="0"/>
              <w:suppressLineNumbers w:val="0"/>
              <w:shd w:val="clear"/>
              <w:snapToGrid w:val="0"/>
              <w:spacing w:before="0" w:beforeAutospacing="0" w:afterAutospacing="0" w:line="360" w:lineRule="exact"/>
              <w:ind w:left="142" w:right="106"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（6）其他主要人员要求：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pStyle w:val="72"/>
              <w:keepNext w:val="0"/>
              <w:keepLines w:val="0"/>
              <w:suppressLineNumbers w:val="0"/>
              <w:shd w:val="clear"/>
              <w:snapToGrid w:val="0"/>
              <w:spacing w:before="0" w:beforeAutospacing="0" w:afterAutospacing="0" w:line="360" w:lineRule="exact"/>
              <w:ind w:left="142" w:right="106"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（7）试验检测仪器设备要求：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pStyle w:val="72"/>
              <w:keepNext w:val="0"/>
              <w:keepLines w:val="0"/>
              <w:suppressLineNumbers w:val="0"/>
              <w:shd w:val="clear"/>
              <w:snapToGrid w:val="0"/>
              <w:spacing w:before="0" w:beforeAutospacing="0" w:afterAutospacing="0" w:line="360" w:lineRule="exact"/>
              <w:ind w:left="142" w:right="106" w:firstLine="0" w:firstLineChars="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（8）其他要求：</w:t>
            </w:r>
            <w:r>
              <w:rPr>
                <w:rFonts w:hint="eastAsia" w:ascii="宋体" w:hAnsi="宋体" w:cs="宋体"/>
                <w:color w:val="auto"/>
                <w:sz w:val="24"/>
                <w:szCs w:val="24"/>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是否接受联合体投标</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■不接受 </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□接受，应满足下列要求：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390"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1.4.3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投标人不得存在的其他情形</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u w:val="single"/>
              </w:rPr>
              <w:t>见招标文件第1.4.3条。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踏勘现场</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■不组织。自行踏勘。投标人自行实地了解、勘察现场情况，投标人不进行踏勘的，视为已熟知现场条件，自行承担相关风险，中标后不得以对现场不熟悉而提出增加费用。</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□组织，踏勘时间：</w:t>
            </w:r>
          </w:p>
          <w:p>
            <w:pPr>
              <w:pStyle w:val="33"/>
              <w:keepNext w:val="0"/>
              <w:keepLines w:val="0"/>
              <w:suppressLineNumbers w:val="0"/>
              <w:shd w:val="clear"/>
              <w:spacing w:before="0" w:beforeAutospacing="0" w:after="0" w:afterAutospacing="0"/>
              <w:ind w:left="0" w:right="0" w:firstLine="960" w:firstLineChars="40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踏勘集中地点：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47"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1.10.1 </w:t>
            </w:r>
          </w:p>
        </w:tc>
        <w:tc>
          <w:tcPr>
            <w:tcW w:w="1981" w:type="dxa"/>
            <w:noWrap w:val="0"/>
            <w:vAlign w:val="center"/>
          </w:tcPr>
          <w:p>
            <w:pPr>
              <w:keepNext w:val="0"/>
              <w:keepLines w:val="0"/>
              <w:widowControl/>
              <w:suppressLineNumbers w:val="0"/>
              <w:shd w:val="clear"/>
              <w:spacing w:before="0" w:beforeAutospacing="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■不召开 </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□召开，召开时间：召开地点：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14" w:hRule="atLeast"/>
          <w:jc w:val="center"/>
        </w:trPr>
        <w:tc>
          <w:tcPr>
            <w:tcW w:w="1390" w:type="dxa"/>
            <w:vMerge w:val="restart"/>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1.10.2 </w:t>
            </w:r>
          </w:p>
        </w:tc>
        <w:tc>
          <w:tcPr>
            <w:tcW w:w="1981" w:type="dxa"/>
            <w:vMerge w:val="restart"/>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投标人在投标预备会前提出问题</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14" w:hRule="atLeast"/>
          <w:jc w:val="center"/>
        </w:trPr>
        <w:tc>
          <w:tcPr>
            <w:tcW w:w="1390" w:type="dxa"/>
            <w:vMerge w:val="continue"/>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p>
        </w:tc>
        <w:tc>
          <w:tcPr>
            <w:tcW w:w="1981" w:type="dxa"/>
            <w:vMerge w:val="continue"/>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1.10.3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招标文件澄清发出的形式</w:t>
            </w:r>
          </w:p>
        </w:tc>
        <w:tc>
          <w:tcPr>
            <w:tcW w:w="6738"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4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实质性要求和条件</w:t>
            </w:r>
          </w:p>
        </w:tc>
        <w:tc>
          <w:tcPr>
            <w:tcW w:w="6738"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4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1.12.3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偏差</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构成招标文件的其他资料</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见投标文件组成。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20" w:hRule="atLeast"/>
          <w:jc w:val="center"/>
        </w:trPr>
        <w:tc>
          <w:tcPr>
            <w:tcW w:w="1390" w:type="dxa"/>
            <w:vMerge w:val="restart"/>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p>
        </w:tc>
        <w:tc>
          <w:tcPr>
            <w:tcW w:w="1981" w:type="dxa"/>
            <w:vMerge w:val="restart"/>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投标人要求澄清招标文件</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时间：在提交投标文件截止时间前18天提出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557" w:hRule="atLeast"/>
          <w:jc w:val="center"/>
        </w:trPr>
        <w:tc>
          <w:tcPr>
            <w:tcW w:w="1390" w:type="dxa"/>
            <w:vMerge w:val="continue"/>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p>
        </w:tc>
        <w:tc>
          <w:tcPr>
            <w:tcW w:w="1981" w:type="dxa"/>
            <w:vMerge w:val="continue"/>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1.形式：网上答疑：</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2.招标人澄清、修补或答疑期限：在递交投标文件截止日期前15 日</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3.答疑纪要在广州公共资源交易中心网站“招标答疑”专区发布。 </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4.招标答疑纪要一经在广州公共资源交易中心网站发布，视作已发放给所有投标人。具体要求：操作详见广州公共资源交易中心网站发布的《</w:t>
            </w:r>
            <w:r>
              <w:rPr>
                <w:rFonts w:hint="eastAsia" w:ascii="宋体" w:hAnsi="宋体" w:cs="宋体"/>
                <w:color w:val="auto"/>
                <w:kern w:val="2"/>
                <w:sz w:val="24"/>
                <w:szCs w:val="24"/>
                <w:highlight w:val="none"/>
                <w:lang w:eastAsia="zh-CN"/>
              </w:rPr>
              <w:t>建设工程全流程电子化项目操作指南（适用于投标人）</w:t>
            </w:r>
            <w:r>
              <w:rPr>
                <w:rFonts w:hint="eastAsia" w:ascii="宋体" w:hAnsi="宋体" w:cs="宋体"/>
                <w:color w:val="auto"/>
                <w:kern w:val="2"/>
                <w:sz w:val="24"/>
                <w:szCs w:val="24"/>
                <w:highlight w:val="none"/>
              </w:rPr>
              <w:t>》。提问一律不得署名。</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5.招标答疑纪要为招标文件的一部分。投标人可在广州公资源交易中心网站浏览、下载招标答疑纪要。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763"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2.2.2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招标文件澄清发出的形式</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本项目的招标文件澄清及答疑文件将在广州公共资源交易中心网上发布，投标人自行下载。从招标文件澄清及答疑文件发布之日起即视为投标人已确认收到。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14" w:hRule="atLeast"/>
          <w:jc w:val="center"/>
        </w:trPr>
        <w:tc>
          <w:tcPr>
            <w:tcW w:w="1390" w:type="dxa"/>
            <w:vMerge w:val="restart"/>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2.2.3 </w:t>
            </w:r>
          </w:p>
        </w:tc>
        <w:tc>
          <w:tcPr>
            <w:tcW w:w="1981" w:type="dxa"/>
            <w:vMerge w:val="restart"/>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投标人确认收到招标文件澄清</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390" w:type="dxa"/>
            <w:vMerge w:val="continue"/>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p>
        </w:tc>
        <w:tc>
          <w:tcPr>
            <w:tcW w:w="1981" w:type="dxa"/>
            <w:vMerge w:val="continue"/>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形式：</w:t>
            </w:r>
            <w:r>
              <w:rPr>
                <w:rFonts w:hint="eastAsia" w:ascii="宋体" w:hAnsi="宋体" w:cs="宋体"/>
                <w:color w:val="auto"/>
                <w:sz w:val="24"/>
                <w:szCs w:val="24"/>
                <w:highlight w:val="none"/>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763"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招标文件修改发出的形式</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■以补充公告或项目答疑澄清的方式在广州公共资源交易中心网站发布</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□以电子邮件方式通知所有获取招标文件的潜在投标人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12"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投标人确认收到招标文件修改</w:t>
            </w:r>
          </w:p>
        </w:tc>
        <w:tc>
          <w:tcPr>
            <w:tcW w:w="6738" w:type="dxa"/>
            <w:noWrap w:val="0"/>
            <w:vAlign w:val="center"/>
          </w:tcPr>
          <w:p>
            <w:pPr>
              <w:pStyle w:val="33"/>
              <w:keepNext w:val="0"/>
              <w:keepLines w:val="0"/>
              <w:suppressLineNumbers w:val="0"/>
              <w:shd w:val="clear"/>
              <w:spacing w:before="0" w:beforeAutospacing="0" w:after="0" w:afterAutospacing="0"/>
              <w:ind w:left="0" w:right="132" w:rightChars="6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招标文件修改一经在广州公共资源交易中心网站发布，视作已发放给所有投标人，无需确认。潜在投标人应自行关注招标公告发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03"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构成投标文件的其他资料</w:t>
            </w:r>
          </w:p>
        </w:tc>
        <w:tc>
          <w:tcPr>
            <w:tcW w:w="6738" w:type="dxa"/>
            <w:noWrap w:val="0"/>
            <w:vAlign w:val="center"/>
          </w:tcPr>
          <w:p>
            <w:pPr>
              <w:pStyle w:val="33"/>
              <w:keepNext w:val="0"/>
              <w:keepLines w:val="0"/>
              <w:suppressLineNumbers w:val="0"/>
              <w:shd w:val="clear"/>
              <w:spacing w:before="0" w:beforeAutospacing="0" w:after="0" w:afterAutospacing="0"/>
              <w:ind w:left="0" w:right="132" w:rightChars="6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47"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报价方式</w:t>
            </w:r>
          </w:p>
        </w:tc>
        <w:tc>
          <w:tcPr>
            <w:tcW w:w="6738" w:type="dxa"/>
            <w:noWrap w:val="0"/>
            <w:vAlign w:val="center"/>
          </w:tcPr>
          <w:p>
            <w:pPr>
              <w:pStyle w:val="33"/>
              <w:keepNext w:val="0"/>
              <w:keepLines w:val="0"/>
              <w:suppressLineNumbers w:val="0"/>
              <w:shd w:val="clear"/>
              <w:spacing w:before="0" w:beforeAutospacing="0" w:after="0" w:afterAutospacing="0"/>
              <w:ind w:left="0" w:right="132" w:rightChars="6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各投标单位在招标控制价内根据企业自身实力进行勘察费单价报价及勘察费总价报价（以元为单位，保留两位小数，第三位小数四舍五入）。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742"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3.2.4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最高投标限价</w:t>
            </w:r>
          </w:p>
        </w:tc>
        <w:tc>
          <w:tcPr>
            <w:tcW w:w="6738" w:type="dxa"/>
            <w:noWrap w:val="0"/>
            <w:vAlign w:val="center"/>
          </w:tcPr>
          <w:p>
            <w:pPr>
              <w:pStyle w:val="33"/>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□无 </w:t>
            </w:r>
          </w:p>
          <w:p>
            <w:pPr>
              <w:pStyle w:val="7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■有，最高投标限价：综合包干单价不得高于</w:t>
            </w:r>
            <w:r>
              <w:rPr>
                <w:rFonts w:hint="eastAsia" w:ascii="宋体" w:hAnsi="宋体" w:eastAsia="宋体" w:cs="宋体"/>
                <w:color w:val="auto"/>
                <w:kern w:val="2"/>
                <w:sz w:val="24"/>
                <w:szCs w:val="24"/>
                <w:highlight w:val="none"/>
                <w:u w:val="single"/>
                <w:lang w:eastAsia="zh-CN"/>
              </w:rPr>
              <w:t>90.00</w:t>
            </w:r>
            <w:r>
              <w:rPr>
                <w:rFonts w:hint="eastAsia" w:ascii="宋体" w:hAnsi="宋体" w:eastAsia="宋体" w:cs="宋体"/>
                <w:color w:val="auto"/>
                <w:kern w:val="2"/>
                <w:sz w:val="24"/>
                <w:szCs w:val="24"/>
                <w:highlight w:val="none"/>
              </w:rPr>
              <w:t>元/米， 暂定工程量为：</w:t>
            </w:r>
            <w:r>
              <w:rPr>
                <w:rFonts w:hint="eastAsia" w:ascii="宋体" w:hAnsi="宋体" w:eastAsia="宋体" w:cs="宋体"/>
                <w:color w:val="auto"/>
                <w:kern w:val="2"/>
                <w:sz w:val="24"/>
                <w:szCs w:val="24"/>
                <w:highlight w:val="none"/>
                <w:u w:val="single"/>
                <w:lang w:eastAsia="zh-CN"/>
              </w:rPr>
              <w:t>94500</w:t>
            </w:r>
            <w:r>
              <w:rPr>
                <w:rFonts w:hint="eastAsia" w:ascii="宋体" w:hAnsi="宋体" w:eastAsia="宋体" w:cs="宋体"/>
                <w:color w:val="auto"/>
                <w:kern w:val="2"/>
                <w:sz w:val="24"/>
                <w:szCs w:val="24"/>
                <w:highlight w:val="none"/>
              </w:rPr>
              <w:t>米，最高投标总限价为人民币</w:t>
            </w:r>
            <w:r>
              <w:rPr>
                <w:rFonts w:hint="eastAsia" w:ascii="宋体" w:hAnsi="宋体" w:eastAsia="宋体" w:cs="宋体"/>
                <w:color w:val="auto"/>
                <w:kern w:val="2"/>
                <w:sz w:val="24"/>
                <w:szCs w:val="24"/>
                <w:highlight w:val="none"/>
                <w:u w:val="single"/>
                <w:lang w:eastAsia="zh-CN"/>
              </w:rPr>
              <w:t>8505000.00</w:t>
            </w:r>
            <w:r>
              <w:rPr>
                <w:rFonts w:hint="eastAsia" w:ascii="宋体" w:hAnsi="宋体" w:eastAsia="宋体" w:cs="宋体"/>
                <w:color w:val="auto"/>
                <w:kern w:val="2"/>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2"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3.2.5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投标报价的其他要求</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投标单位根据企业情况自行填报投标报价及投标单价，投标报价或投标单价超过相应的投标限价的均为无效标。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03"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投标有效期</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b/>
                <w:bCs/>
                <w:color w:val="auto"/>
                <w:kern w:val="2"/>
                <w:sz w:val="24"/>
                <w:szCs w:val="24"/>
                <w:highlight w:val="none"/>
              </w:rPr>
              <w:t>120日历天（从提交投标截止之日起计算。如出现异议或投诉，则投标有效期自动延长至异议或投诉处理结束）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56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投标保证金</w:t>
            </w:r>
          </w:p>
        </w:tc>
        <w:tc>
          <w:tcPr>
            <w:tcW w:w="6738" w:type="dxa"/>
            <w:noWrap w:val="0"/>
            <w:vAlign w:val="center"/>
          </w:tcPr>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是否要求投标人递交投标保证金：</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■要求，投标保证金的形式：</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投标保证金的金额：</w:t>
            </w:r>
            <w:r>
              <w:rPr>
                <w:rFonts w:hint="default" w:ascii="宋体" w:hAnsi="宋体" w:cs="宋体"/>
                <w:color w:val="auto"/>
                <w:kern w:val="2"/>
                <w:sz w:val="24"/>
                <w:szCs w:val="24"/>
                <w:highlight w:val="none"/>
                <w:u w:val="single"/>
              </w:rPr>
              <w:t>10</w:t>
            </w:r>
            <w:r>
              <w:rPr>
                <w:rFonts w:hint="eastAsia" w:ascii="宋体" w:hAnsi="宋体" w:cs="宋体"/>
                <w:color w:val="auto"/>
                <w:kern w:val="2"/>
                <w:sz w:val="24"/>
                <w:szCs w:val="24"/>
                <w:highlight w:val="none"/>
                <w:u w:val="single"/>
              </w:rPr>
              <w:t>万</w:t>
            </w:r>
            <w:r>
              <w:rPr>
                <w:rFonts w:hint="eastAsia" w:ascii="宋体" w:hAnsi="宋体" w:cs="宋体"/>
                <w:color w:val="auto"/>
                <w:kern w:val="2"/>
                <w:sz w:val="24"/>
                <w:szCs w:val="24"/>
                <w:highlight w:val="none"/>
              </w:rPr>
              <w:t>元人民币。</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1、投标保证金的有效期：应长于或等于投标有效期。</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2、缴纳时间：递交投标文件截止时间前。</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3、投标保证金的形式：投标保证金可采用现金、银行汇票、银行本票、银行电汇、支票（现金支票、转账支票）、银行保函、保证保险、专业担保公司担保等形式。</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4、递交方式：</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（1）如采用现金、银行汇票、银行本票、银行电汇、支票（现金支票、转账支票）形式提交的，由广州交易集团有限公司（广州公共资源交易中心）代收，投标保证金须从投标人的银行基本账户转出。</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①具体要求详见广州交易集团有限公司（广州公共资源交易中心）有关指引。</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②投标人必须提前办理缴纳投标保证金的事宜，且在缴纳保证金之前必须先咨询广州交易集团有限公司（广州公共资源交易中心）详细缴纳方法，否则需自行承担保证金无法成功缴纳的风险。</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pPr>
              <w:pStyle w:val="33"/>
              <w:keepNext w:val="0"/>
              <w:keepLines w:val="0"/>
              <w:numPr>
                <w:ilvl w:val="0"/>
                <w:numId w:val="1"/>
              </w:numPr>
              <w:suppressLineNumbers w:val="0"/>
              <w:shd w:val="clear"/>
              <w:spacing w:before="0" w:beforeAutospacing="0" w:after="0" w:afterAutospacing="0"/>
              <w:ind w:left="0" w:right="77" w:rightChars="35"/>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(3)如采用电子保函形式递交投标保证金，按广州公共资源交易中心发布的《广州公共资源交易中心关于开通电子保函服务功能的通知》操作。详见：http://www.gzggzy.cn/jtgg/822128.jhtml。到账情况以开标时广州公共资源交易中心数据库查询信息为准。</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5、开标时投标人没有按要求提供投标保证金的，其投标文件将被否决。</w:t>
            </w:r>
          </w:p>
          <w:p>
            <w:pPr>
              <w:pStyle w:val="33"/>
              <w:keepNext w:val="0"/>
              <w:keepLines w:val="0"/>
              <w:suppressLineNumbers w:val="0"/>
              <w:shd w:val="clear"/>
              <w:spacing w:before="0" w:beforeAutospacing="0" w:after="0" w:afterAutospacing="0"/>
              <w:ind w:left="0" w:right="77" w:rightChars="35"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6、投标保证金依据法律法规的相关规定退还。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67"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3.4.4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sz w:val="24"/>
                <w:szCs w:val="24"/>
                <w:highlight w:val="none"/>
              </w:rPr>
            </w:pPr>
            <w:r>
              <w:rPr>
                <w:rFonts w:hint="eastAsia" w:ascii="宋体" w:hAnsi="宋体" w:cs="宋体"/>
                <w:color w:val="auto"/>
                <w:kern w:val="2"/>
                <w:sz w:val="24"/>
                <w:szCs w:val="24"/>
                <w:highlight w:val="none"/>
              </w:rPr>
              <w:t>其他可以不予退还投标保证金的情形</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投标人采用不正当的手段骗取中标经查实的，不予退还投标保证金。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12"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资格审查资料的特殊要求</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■无 </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□有，具体要求：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90"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3.5.2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近年财务状况的年份要求</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837"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3.5.3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近年完成的类似项目情况的时间要求</w:t>
            </w:r>
          </w:p>
        </w:tc>
        <w:tc>
          <w:tcPr>
            <w:tcW w:w="6738" w:type="dxa"/>
            <w:noWrap w:val="0"/>
            <w:vAlign w:val="center"/>
          </w:tcPr>
          <w:p>
            <w:pPr>
              <w:pStyle w:val="33"/>
              <w:keepNext w:val="0"/>
              <w:keepLines w:val="0"/>
              <w:suppressLineNumbers w:val="0"/>
              <w:shd w:val="clear"/>
              <w:spacing w:before="0" w:beforeAutospacing="0" w:after="0" w:afterAutospacing="0"/>
              <w:ind w:left="0" w:right="132" w:rightChars="6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82"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3.5.5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近年发生的诉讼及仲裁情况的时间要求</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12"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是否允许递交备选投标方案</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■不允许 </w:t>
            </w:r>
          </w:p>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91"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3.7.3A（2）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投标文件副本份数及其他要求</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3.7.3A（3）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投标文件是否需分册装订</w:t>
            </w:r>
          </w:p>
        </w:tc>
        <w:tc>
          <w:tcPr>
            <w:tcW w:w="6738" w:type="dxa"/>
            <w:noWrap w:val="0"/>
            <w:vAlign w:val="center"/>
          </w:tcPr>
          <w:p>
            <w:pPr>
              <w:pStyle w:val="33"/>
              <w:keepNext w:val="0"/>
              <w:keepLines w:val="0"/>
              <w:suppressLineNumbers w:val="0"/>
              <w:shd w:val="clear"/>
              <w:spacing w:before="0" w:beforeAutospacing="0" w:after="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761" w:hRule="atLeast"/>
          <w:jc w:val="center"/>
        </w:trPr>
        <w:tc>
          <w:tcPr>
            <w:tcW w:w="1390" w:type="dxa"/>
            <w:noWrap w:val="0"/>
            <w:vAlign w:val="top"/>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w:t>
            </w:r>
          </w:p>
        </w:tc>
        <w:tc>
          <w:tcPr>
            <w:tcW w:w="1981" w:type="dxa"/>
            <w:noWrap w:val="0"/>
            <w:vAlign w:val="center"/>
          </w:tcPr>
          <w:p>
            <w:pPr>
              <w:pStyle w:val="33"/>
              <w:keepNext w:val="0"/>
              <w:keepLines w:val="0"/>
              <w:suppressLineNumbers w:val="0"/>
              <w:shd w:val="clear"/>
              <w:spacing w:before="0" w:beforeAutospacing="0" w:after="0" w:afterAutospacing="0"/>
              <w:ind w:left="106" w:leftChars="48"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投标文件所附证书证件要求</w:t>
            </w:r>
          </w:p>
        </w:tc>
        <w:tc>
          <w:tcPr>
            <w:tcW w:w="6738" w:type="dxa"/>
            <w:noWrap w:val="0"/>
            <w:vAlign w:val="center"/>
          </w:tcPr>
          <w:p>
            <w:pPr>
              <w:pStyle w:val="33"/>
              <w:keepNext w:val="0"/>
              <w:keepLines w:val="0"/>
              <w:suppressLineNumbers w:val="0"/>
              <w:shd w:val="clear"/>
              <w:spacing w:before="0" w:beforeAutospacing="0" w:after="0" w:afterAutospacing="0"/>
              <w:ind w:left="0" w:right="33" w:rightChars="15"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1209" w:hRule="atLeast"/>
          <w:jc w:val="center"/>
        </w:trPr>
        <w:tc>
          <w:tcPr>
            <w:tcW w:w="1390" w:type="dxa"/>
            <w:noWrap w:val="0"/>
            <w:vAlign w:val="top"/>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投标文件签字或盖章要求</w:t>
            </w:r>
          </w:p>
        </w:tc>
        <w:tc>
          <w:tcPr>
            <w:tcW w:w="6738" w:type="dxa"/>
            <w:noWrap w:val="0"/>
            <w:vAlign w:val="center"/>
          </w:tcPr>
          <w:p>
            <w:pPr>
              <w:pStyle w:val="33"/>
              <w:keepNext w:val="0"/>
              <w:keepLines w:val="0"/>
              <w:suppressLineNumbers w:val="0"/>
              <w:shd w:val="clear"/>
              <w:spacing w:before="0" w:beforeAutospacing="0" w:after="0" w:afterAutospacing="0"/>
              <w:ind w:left="0" w:right="20" w:rightChars="9"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文件全部采用电子文档，投标文件所附证书证件均为清晰扫描件，并采用单位数字证书，按招标文件要求在相应位置加盖电子印章。投标文件中需个人签字或盖章的，应加盖个人电子印章或在线下完成后扫描上传。具体操作详见《</w:t>
            </w:r>
            <w:r>
              <w:rPr>
                <w:rFonts w:hint="eastAsia" w:ascii="宋体" w:hAnsi="宋体" w:cs="宋体"/>
                <w:color w:val="auto"/>
                <w:kern w:val="2"/>
                <w:sz w:val="24"/>
                <w:szCs w:val="24"/>
                <w:highlight w:val="none"/>
                <w:lang w:eastAsia="zh-CN"/>
              </w:rPr>
              <w:t>建设工程全流程电子化项目操作指南（适用于投标人）</w:t>
            </w: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390" w:type="dxa"/>
            <w:noWrap w:val="0"/>
            <w:vAlign w:val="top"/>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B</w:t>
            </w:r>
            <w:r>
              <w:rPr>
                <w:rFonts w:hint="eastAsia" w:ascii="宋体" w:hAnsi="宋体" w:eastAsia="宋体" w:cs="宋体"/>
                <w:color w:val="auto"/>
                <w:sz w:val="24"/>
                <w:szCs w:val="24"/>
                <w:highlight w:val="none"/>
              </w:rPr>
              <w:t>）</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投标文件加密要求</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网上递交的电子投标文件须进行加密。具体操作详见附件《</w:t>
            </w:r>
            <w:r>
              <w:rPr>
                <w:rFonts w:hint="eastAsia" w:ascii="宋体" w:hAnsi="宋体" w:cs="宋体"/>
                <w:color w:val="auto"/>
                <w:kern w:val="2"/>
                <w:sz w:val="24"/>
                <w:szCs w:val="24"/>
                <w:highlight w:val="none"/>
                <w:lang w:eastAsia="zh-CN"/>
              </w:rPr>
              <w:t>建设工程全流程电子化项目操作指南（适用于投标人）</w:t>
            </w: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07"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封套上应载明的信息</w:t>
            </w:r>
          </w:p>
        </w:tc>
        <w:tc>
          <w:tcPr>
            <w:tcW w:w="6738" w:type="dxa"/>
            <w:noWrap w:val="0"/>
            <w:vAlign w:val="center"/>
          </w:tcPr>
          <w:p>
            <w:pPr>
              <w:pStyle w:val="13"/>
              <w:keepNext w:val="0"/>
              <w:keepLines w:val="0"/>
              <w:widowControl/>
              <w:suppressLineNumbers w:val="0"/>
              <w:shd w:val="clear"/>
              <w:topLinePunct/>
              <w:spacing w:before="0" w:beforeAutospacing="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如有提交投标文件光盘或U盘备用，封套上应注明如下信息：</w:t>
            </w:r>
          </w:p>
          <w:p>
            <w:pPr>
              <w:pStyle w:val="13"/>
              <w:keepNext w:val="0"/>
              <w:keepLines w:val="0"/>
              <w:widowControl/>
              <w:suppressLineNumbers w:val="0"/>
              <w:shd w:val="clear"/>
              <w:topLinePunct/>
              <w:spacing w:before="0" w:beforeAutospacing="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pPr>
              <w:pStyle w:val="13"/>
              <w:keepNext w:val="0"/>
              <w:keepLines w:val="0"/>
              <w:widowControl/>
              <w:suppressLineNumbers w:val="0"/>
              <w:shd w:val="clear"/>
              <w:topLinePunct/>
              <w:spacing w:before="0" w:beforeAutospacing="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招标人地址：</w:t>
            </w:r>
          </w:p>
          <w:p>
            <w:pPr>
              <w:pStyle w:val="13"/>
              <w:keepNext w:val="0"/>
              <w:keepLines w:val="0"/>
              <w:widowControl/>
              <w:suppressLineNumbers w:val="0"/>
              <w:shd w:val="clear"/>
              <w:topLinePunct/>
              <w:spacing w:before="0" w:beforeAutospacing="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投标文件</w:t>
            </w:r>
          </w:p>
          <w:p>
            <w:pPr>
              <w:pStyle w:val="13"/>
              <w:keepNext w:val="0"/>
              <w:keepLines w:val="0"/>
              <w:widowControl/>
              <w:suppressLineNumbers w:val="0"/>
              <w:shd w:val="clear"/>
              <w:topLinePunct/>
              <w:spacing w:before="0" w:beforeAutospacing="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招标项目编号：</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4.2.1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投标截止时间</w:t>
            </w:r>
          </w:p>
        </w:tc>
        <w:tc>
          <w:tcPr>
            <w:tcW w:w="6738" w:type="dxa"/>
            <w:noWrap w:val="0"/>
            <w:vAlign w:val="center"/>
          </w:tcPr>
          <w:p>
            <w:pPr>
              <w:pStyle w:val="33"/>
              <w:keepNext w:val="0"/>
              <w:keepLines w:val="0"/>
              <w:suppressLineNumbers w:val="0"/>
              <w:shd w:val="clear"/>
              <w:spacing w:before="0" w:beforeAutospacing="0" w:after="0" w:afterAutospacing="0"/>
              <w:ind w:left="0" w:right="33" w:rightChars="15"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详见</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广州公共资源交易中心网站→建设工程→项目查询（日程安排、答疑纪要）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0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4.2.2（A）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递交投标文件地点</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投标人应在投标截止时间前通过广州公共资源交易中心交易平台网站递交电子投标文件。投标人可登录广州公共资源交易中心网站首页查询，点击</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建设工程→项目查询（日程安排、答疑纪要），输入项目编号或项目名称查询最新信息。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4.2.3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投标文件是否退还</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■否 </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□是，退还时间：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44"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5.1（A）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开标时间和地点</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90"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5.1（B）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开标时间和地点</w:t>
            </w:r>
          </w:p>
        </w:tc>
        <w:tc>
          <w:tcPr>
            <w:tcW w:w="6738" w:type="dxa"/>
            <w:noWrap w:val="0"/>
            <w:vAlign w:val="center"/>
          </w:tcPr>
          <w:p>
            <w:pPr>
              <w:keepNext w:val="0"/>
              <w:keepLines w:val="0"/>
              <w:widowControl/>
              <w:suppressLineNumbers w:val="0"/>
              <w:shd w:val="clear"/>
              <w:snapToGrid w:val="0"/>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开标地点：本项目具体的招投标活动日程安排及场地安排以广州公共资源交易中心网站中“建设工程→项目查询（日程安排、答疑纪要）”公布的为准。</w:t>
            </w:r>
          </w:p>
          <w:p>
            <w:pPr>
              <w:pStyle w:val="14"/>
              <w:keepNext w:val="0"/>
              <w:keepLines w:val="0"/>
              <w:widowControl/>
              <w:suppressLineNumbers w:val="0"/>
              <w:shd w:val="clear"/>
              <w:spacing w:before="0" w:beforeAutospacing="0" w:afterAutospacing="0"/>
              <w:ind w:left="0" w:right="0"/>
              <w:rPr>
                <w:rFonts w:hint="eastAsia" w:ascii="Calibri" w:hAnsi="Calibri" w:cs="Times New Roman"/>
                <w:color w:val="auto"/>
                <w:highlight w:val="none"/>
              </w:rPr>
            </w:pPr>
            <w:r>
              <w:rPr>
                <w:rFonts w:hint="eastAsia" w:ascii="宋体" w:hAnsi="宋体" w:eastAsia="宋体" w:cs="宋体"/>
                <w:color w:val="auto"/>
                <w:sz w:val="24"/>
                <w:szCs w:val="24"/>
                <w:highlight w:val="none"/>
              </w:rPr>
              <w:t>投标人也可选择参加在线开标，具体按照交易平台相关指南进行操作。详见：广州公共资源交易中心网站。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5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5.2（4）（A）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开标程序</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127"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5.2（B）</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开标程序</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电子招投标项目开标按下列程序进行：</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5.2.1主持人按下列程序进行开标：</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（1）宣布开标纪律；</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（2）公布在投标截止时间前递交投标文件的投标人名称；</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（3）宣布开标人、唱标人、记录人、监标人等有关人员姓名；</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（4）（B）投标人通过电子招标投标交易平台对已递交的电子投标文件进行解密，公布招标项目名称、投标人名称、投标保证金的递交情况、投标报价、勘察技术服务工期及其他内容，并记录在案；</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（5）（B）投标人代表、招标人代表、监标人、记录人等有关人员在开标记录上签字确认；若有关人员不签字的，不影响开标程序；</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（6）投标人未参加开标或在规定的时间内未提出异议的，视为对开标无异议。</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（7）开标结束。</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5.2.2投标截止时间前未完成投标文件传输的或因投标人之外原因解密失败且未递交电子光盘或递交的电子光盘不能读取的，视为投标人撤回投标文件。因投标人原因造成投标文件未解密的或未在投标截止时间后半小时内解密的，视为撤销其投标文件。</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5.2.3投标人与其他投标人加密打包投标文件电脑机器特征码一致的(以广州公共资源交易中心评标系统的检索信息为准)，不参与下一程序，并由评标委员会否决其投标。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19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开标异议</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761"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6.1.1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评标委员会的组建</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97"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6.3.2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评标委员会推荐中标候选人的人数</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 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90"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eastAsia="Times New Roman" w:cs="宋体"/>
                <w:color w:val="auto"/>
                <w:kern w:val="2"/>
                <w:sz w:val="24"/>
                <w:szCs w:val="24"/>
                <w:highlight w:val="none"/>
              </w:rPr>
            </w:pPr>
            <w:r>
              <w:rPr>
                <w:rFonts w:hint="eastAsia" w:ascii="宋体" w:hAnsi="宋体" w:eastAsia="Times New Roman" w:cs="宋体"/>
                <w:color w:val="auto"/>
                <w:kern w:val="2"/>
                <w:sz w:val="24"/>
                <w:szCs w:val="24"/>
                <w:highlight w:val="none"/>
              </w:rPr>
              <w:t>中标候选人公示媒介及期限</w:t>
            </w:r>
          </w:p>
        </w:tc>
        <w:tc>
          <w:tcPr>
            <w:tcW w:w="6738" w:type="dxa"/>
            <w:noWrap w:val="0"/>
            <w:vAlign w:val="center"/>
          </w:tcPr>
          <w:p>
            <w:pPr>
              <w:keepNext w:val="0"/>
              <w:keepLines w:val="0"/>
              <w:widowControl/>
              <w:suppressLineNumbers w:val="0"/>
              <w:shd w:val="clear"/>
              <w:spacing w:before="0" w:beforeAutospacing="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公示媒介：广州公共资源交易中心、广东省招标投标监管网、中国招标投标公共服务平台、广州国企阳光采购信息发布平台网站。</w:t>
            </w:r>
          </w:p>
          <w:p>
            <w:pPr>
              <w:keepNext w:val="0"/>
              <w:keepLines w:val="0"/>
              <w:widowControl/>
              <w:suppressLineNumbers w:val="0"/>
              <w:shd w:val="clear"/>
              <w:spacing w:before="0" w:beforeAutospacing="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公示期限：3日</w:t>
            </w:r>
          </w:p>
          <w:p>
            <w:pPr>
              <w:keepNext w:val="0"/>
              <w:keepLines w:val="0"/>
              <w:widowControl/>
              <w:suppressLineNumbers w:val="0"/>
              <w:shd w:val="clear"/>
              <w:spacing w:before="0" w:beforeAutospacing="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72"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7.4 </w:t>
            </w:r>
          </w:p>
        </w:tc>
        <w:tc>
          <w:tcPr>
            <w:tcW w:w="1981" w:type="dxa"/>
            <w:noWrap w:val="0"/>
            <w:vAlign w:val="center"/>
          </w:tcPr>
          <w:p>
            <w:pPr>
              <w:pStyle w:val="33"/>
              <w:keepNext w:val="0"/>
              <w:keepLines w:val="0"/>
              <w:suppressLineNumbers w:val="0"/>
              <w:shd w:val="clear"/>
              <w:spacing w:before="0" w:beforeAutospacing="0" w:after="0" w:afterAutospacing="0"/>
              <w:ind w:left="0" w:right="0" w:firstLine="120" w:firstLineChars="5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是否授权评标委员会确定中标人</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 xml:space="preserve">是 </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1149"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7.6.1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履约保证金</w:t>
            </w:r>
          </w:p>
        </w:tc>
        <w:tc>
          <w:tcPr>
            <w:tcW w:w="6738" w:type="dxa"/>
            <w:noWrap w:val="0"/>
            <w:vAlign w:val="center"/>
          </w:tcPr>
          <w:p>
            <w:pPr>
              <w:keepNext w:val="0"/>
              <w:keepLines w:val="0"/>
              <w:widowControl/>
              <w:suppressLineNumbers w:val="0"/>
              <w:shd w:val="clear"/>
              <w:topLinePunct/>
              <w:snapToGrid w:val="0"/>
              <w:spacing w:before="0" w:beforeAutospacing="0" w:afterAutospacing="0" w:line="240" w:lineRule="auto"/>
              <w:ind w:left="0" w:right="183" w:rightChars="83"/>
              <w:rPr>
                <w:rFonts w:hint="default" w:ascii="宋体" w:hAnsi="宋体" w:cs="宋体"/>
                <w:color w:val="auto"/>
                <w:sz w:val="24"/>
                <w:szCs w:val="24"/>
                <w:highlight w:val="none"/>
              </w:rPr>
            </w:pPr>
            <w:r>
              <w:rPr>
                <w:rFonts w:hint="default" w:ascii="宋体" w:hAnsi="宋体" w:cs="宋体"/>
                <w:color w:val="auto"/>
                <w:sz w:val="24"/>
                <w:szCs w:val="24"/>
                <w:highlight w:val="none"/>
              </w:rPr>
              <w:t>是否要求中标人提交履约保证金：</w:t>
            </w:r>
          </w:p>
          <w:p>
            <w:pPr>
              <w:keepNext w:val="0"/>
              <w:keepLines w:val="0"/>
              <w:widowControl/>
              <w:suppressLineNumbers w:val="0"/>
              <w:shd w:val="clear"/>
              <w:topLinePunct/>
              <w:spacing w:before="0" w:beforeAutospacing="0" w:afterAutospacing="0" w:line="240" w:lineRule="auto"/>
              <w:ind w:left="42" w:leftChars="19" w:right="112" w:rightChars="51"/>
              <w:rPr>
                <w:rFonts w:hint="eastAsia" w:ascii="宋体" w:hAnsi="宋体" w:cs="Times New Roman"/>
                <w:color w:val="auto"/>
                <w:sz w:val="24"/>
                <w:szCs w:val="24"/>
                <w:highlight w:val="none"/>
              </w:rPr>
            </w:pPr>
            <w:r>
              <w:rPr>
                <w:rFonts w:hint="eastAsia" w:ascii="宋体" w:hAnsi="宋体" w:cs="宋体"/>
                <w:color w:val="auto"/>
                <w:sz w:val="24"/>
                <w:szCs w:val="24"/>
                <w:highlight w:val="none"/>
              </w:rPr>
              <w:sym w:font="Wingdings" w:char="00A8"/>
            </w:r>
            <w:r>
              <w:rPr>
                <w:rFonts w:hint="default" w:ascii="宋体" w:hAnsi="宋体" w:cs="宋体"/>
                <w:color w:val="auto"/>
                <w:sz w:val="24"/>
                <w:szCs w:val="24"/>
                <w:highlight w:val="none"/>
              </w:rPr>
              <w:t>要求：</w:t>
            </w:r>
            <w:r>
              <w:rPr>
                <w:rFonts w:hint="eastAsia" w:ascii="宋体" w:hAnsi="宋体" w:cs="宋体"/>
                <w:color w:val="auto"/>
                <w:sz w:val="24"/>
                <w:szCs w:val="24"/>
                <w:highlight w:val="none"/>
              </w:rPr>
              <w:t>履约保证金的形式：</w:t>
            </w:r>
          </w:p>
          <w:p>
            <w:pPr>
              <w:keepNext w:val="0"/>
              <w:keepLines w:val="0"/>
              <w:widowControl/>
              <w:suppressLineNumbers w:val="0"/>
              <w:shd w:val="clear"/>
              <w:spacing w:before="0" w:beforeAutospacing="0" w:afterAutospacing="0" w:line="240" w:lineRule="auto"/>
              <w:ind w:left="42" w:leftChars="19" w:right="112" w:rightChars="51" w:firstLine="960" w:firstLineChars="4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履约担保的金额：</w:t>
            </w:r>
          </w:p>
          <w:p>
            <w:pPr>
              <w:pStyle w:val="33"/>
              <w:keepNext w:val="0"/>
              <w:keepLines w:val="0"/>
              <w:suppressLineNumbers w:val="0"/>
              <w:shd w:val="clear"/>
              <w:spacing w:before="0" w:beforeAutospacing="0" w:afterAutospacing="0"/>
              <w:ind w:left="0" w:right="0" w:firstLine="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default" w:ascii="宋体" w:hAnsi="宋体" w:cs="宋体"/>
                <w:color w:val="auto"/>
                <w:sz w:val="24"/>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1254"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是否采用电子招标投标</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 xml:space="preserve">□否 </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■是，具体要求：</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投标文件形式：投标文件全部采用电子文档，投标文件应按广州公共资源交易中心数字交易平台相关操作指南编制。如不按上述要求编制引起系统无法检索、读取相关信息的，其后果由投标人承担。投标文件所附证书证件均为清晰扫描件，并采用单位数字证书，按招标文件要求在相应位置加盖电子印章。投标文件中需个人签字或盖章的，应加盖个人电子印章或在线下完成后扫描上传。具体操作详见交易平台相关操作指南。</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投标文件的修改与撤回：投标人修改或撤回已递交的投标文件，需在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按投标人须知前附表第4.1.2条标注相关信息。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4、投标文件的递交：</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①投标文件递交的截止时间（投标截止时间，下同）为  年  月  日  时  分，投标人应在截止时间前通过广州公共资源交易中心交易平台网站递交电子投标文件；</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②提交投标文件备用光盘或u盘：</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投标文件光盘或u盘(备用)递交时间</w:t>
            </w:r>
            <w:r>
              <w:rPr>
                <w:rFonts w:hint="eastAsia" w:ascii="宋体" w:hAnsi="宋体" w:cs="宋体"/>
                <w:color w:val="auto"/>
                <w:kern w:val="2"/>
                <w:sz w:val="24"/>
                <w:szCs w:val="24"/>
                <w:highlight w:val="none"/>
                <w:lang w:val="en-US" w:eastAsia="zh-CN"/>
              </w:rPr>
              <w:t>和</w:t>
            </w:r>
            <w:r>
              <w:rPr>
                <w:rFonts w:hint="eastAsia" w:ascii="宋体" w:hAnsi="宋体" w:cs="宋体"/>
                <w:color w:val="auto"/>
                <w:kern w:val="2"/>
                <w:sz w:val="24"/>
                <w:szCs w:val="24"/>
                <w:highlight w:val="none"/>
              </w:rPr>
              <w:t>地点：</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本项目具体的招投标活动日程安排及场地安排以广州公共资源交易中心网站中“建设工程→项目查询（日程安排、答疑纪要）”公布的为准。</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③投标人完成电子投标上传后，电子招标投标交易平台即时向投标人发出递交回执通知。递交时间以递交回执通知载明的传输时间为准；</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④逾期送达的投标文件，电子招标投标交易平台将予以拒收。</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5、投标文件加密要求：</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①网上递交的电子投标文件须进行加密。具体操作详见交易平台相关操作指南。</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②未按要求加密的投标文件，招标人将予以拒收。</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6、投标文件解密失败的补救方案：</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除发生上述情况外，开标评标均以投标人通过广州公共资源交易中心交易平台网上递交的电子投标文件为准。</w:t>
            </w:r>
          </w:p>
          <w:p>
            <w:pPr>
              <w:pStyle w:val="33"/>
              <w:keepNext w:val="0"/>
              <w:keepLines w:val="0"/>
              <w:suppressLineNumbers w:val="0"/>
              <w:shd w:val="clear"/>
              <w:spacing w:before="0" w:beforeAutospacing="0" w:after="0" w:afterAutospacing="0"/>
              <w:ind w:left="0" w:right="0" w:firstLine="0"/>
              <w:jc w:val="left"/>
              <w:rPr>
                <w:rFonts w:hint="default" w:ascii="宋体"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5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981" w:type="dxa"/>
            <w:noWrap w:val="0"/>
            <w:vAlign w:val="center"/>
          </w:tcPr>
          <w:p>
            <w:pPr>
              <w:keepNext w:val="0"/>
              <w:keepLines w:val="0"/>
              <w:widowControl/>
              <w:suppressLineNumbers w:val="0"/>
              <w:shd w:val="clear"/>
              <w:spacing w:before="0" w:beforeAutospacing="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投标人在本项目招标人的工程项目中存在下列行为的，将被拒绝一年内参与我单位后续工程投标。（注：拒绝投标时限由招标人视严重程度确定，最低三个月起，自招标人发出通知之日起计）：</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（1）将中标工程转包或者违法分包的；</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（2）在中标工程中不执行质量、安全生产相关规定的，造成质量或安全事故的；</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（3）存在围标或串标情形的；</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（4）存在弄虚作假骗取中标情形的；</w:t>
            </w:r>
          </w:p>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u w:val="single"/>
              </w:rPr>
            </w:pPr>
            <w:r>
              <w:rPr>
                <w:rFonts w:hint="eastAsia" w:ascii="宋体" w:hAnsi="宋体" w:cs="宋体"/>
                <w:color w:val="auto"/>
                <w:kern w:val="2"/>
                <w:sz w:val="24"/>
                <w:szCs w:val="24"/>
                <w:highlight w:val="none"/>
              </w:rPr>
              <w:t>（5）存在因过错行为被生效法律文书认定承担违约或侵权责任的。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其他费用</w:t>
            </w:r>
          </w:p>
        </w:tc>
        <w:tc>
          <w:tcPr>
            <w:tcW w:w="6738" w:type="dxa"/>
            <w:noWrap w:val="0"/>
            <w:vAlign w:val="center"/>
          </w:tcPr>
          <w:p>
            <w:pPr>
              <w:pStyle w:val="33"/>
              <w:keepNext w:val="0"/>
              <w:keepLines w:val="0"/>
              <w:suppressLineNumbers w:val="0"/>
              <w:shd w:val="clear"/>
              <w:spacing w:before="0" w:beforeAutospacing="0" w:afterAutospacing="0"/>
              <w:ind w:left="0" w:right="0"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中标人应根据政府有关规定，向广州公共资源交易中心缴纳交易服务费，并在投标报价中考虑此项费用。</w:t>
            </w:r>
          </w:p>
          <w:p>
            <w:pPr>
              <w:pStyle w:val="33"/>
              <w:keepNext w:val="0"/>
              <w:keepLines w:val="0"/>
              <w:suppressLineNumbers w:val="0"/>
              <w:shd w:val="clear"/>
              <w:spacing w:before="0" w:beforeAutospacing="0" w:after="0" w:afterAutospacing="0"/>
              <w:ind w:left="0" w:right="0" w:firstLine="0"/>
              <w:jc w:val="left"/>
              <w:rPr>
                <w:rFonts w:hint="eastAsia" w:ascii="Calibri" w:hAnsi="Calibri" w:cs="Times New Roman"/>
                <w:color w:val="auto"/>
                <w:highlight w:val="none"/>
              </w:rPr>
            </w:pPr>
            <w:r>
              <w:rPr>
                <w:rFonts w:hint="eastAsia" w:ascii="宋体" w:hAnsi="宋体" w:eastAsia="宋体" w:cs="宋体"/>
                <w:color w:val="auto"/>
                <w:kern w:val="2"/>
                <w:sz w:val="24"/>
                <w:szCs w:val="24"/>
                <w:highlight w:val="none"/>
                <w:lang w:val="en-US" w:eastAsia="zh-CN"/>
              </w:rPr>
              <w:t>2、招标代理服务费：招标代理机构参照《招标代理服务收费管理暂行办法》(计价格[2002]1980号)、国家发改委发布的《国家发展改革委办公厅关于招标代理服务收费有关问题的通知》（发改办价格[2003]857号）和《国家发展改革委关于降低部分建设项目收费标准规范收费行为等有关问题的通知》（发改价格〔2011〕534号）的相关规定，以中标金额为基数，按差额定率累进法计算后下浮30%向中标人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80"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送达</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《投诉处理决定书》和《行政处理决定书》在广州市住房和城乡建设局网站上公布的，视为送达其他与决定书有关的当事人。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985"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招标失败的情形</w:t>
            </w:r>
          </w:p>
        </w:tc>
        <w:tc>
          <w:tcPr>
            <w:tcW w:w="6738" w:type="dxa"/>
            <w:noWrap w:val="0"/>
            <w:vAlign w:val="center"/>
          </w:tcPr>
          <w:p>
            <w:pPr>
              <w:pStyle w:val="33"/>
              <w:keepNext w:val="0"/>
              <w:keepLines w:val="0"/>
              <w:suppressLineNumbers w:val="0"/>
              <w:shd w:val="clear"/>
              <w:spacing w:before="0" w:beforeAutospacing="0" w:after="0" w:afterAutospacing="0"/>
              <w:ind w:left="0" w:right="0" w:firstLine="0"/>
              <w:jc w:val="left"/>
              <w:rPr>
                <w:rFonts w:hint="eastAsia" w:ascii="宋体" w:hAnsi="宋体" w:cs="宋体"/>
                <w:color w:val="auto"/>
                <w:kern w:val="2"/>
                <w:sz w:val="24"/>
                <w:szCs w:val="24"/>
                <w:highlight w:val="none"/>
              </w:rPr>
            </w:pPr>
            <w:r>
              <w:rPr>
                <w:rFonts w:hint="eastAsia" w:ascii="Calibri" w:hAnsi="宋体" w:cs="宋体"/>
                <w:color w:val="auto"/>
                <w:sz w:val="24"/>
                <w:szCs w:val="24"/>
                <w:highlight w:val="none"/>
              </w:rPr>
              <w:t>本项目采用资格后审方式。</w:t>
            </w:r>
            <w:r>
              <w:rPr>
                <w:rFonts w:hint="eastAsia" w:ascii="Calibri" w:hAnsi="宋体" w:cs="宋体"/>
                <w:color w:val="auto"/>
                <w:sz w:val="24"/>
                <w:szCs w:val="24"/>
                <w:highlight w:val="none"/>
                <w:u w:val="single"/>
              </w:rPr>
              <w:t>若本次投标登记或递交投标文件的投标人数量或通过初步评审（含形式评审、资格评审、响应性评审）的合格投标人家数不足3家的，则该次招标失败。</w:t>
            </w:r>
            <w:r>
              <w:rPr>
                <w:rFonts w:hint="eastAsia" w:ascii="Calibri" w:hAnsi="宋体" w:cs="宋体"/>
                <w:color w:val="auto"/>
                <w:sz w:val="24"/>
                <w:szCs w:val="24"/>
                <w:highlight w:val="none"/>
              </w:rPr>
              <w:t>对于招标失败的项目，招标人分析招标失败原因，修正招标方案，报有关管理部门核准后，重新组织招标。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1812" w:hRule="atLeast"/>
          <w:jc w:val="center"/>
        </w:trPr>
        <w:tc>
          <w:tcPr>
            <w:tcW w:w="1390" w:type="dxa"/>
            <w:noWrap w:val="0"/>
            <w:vAlign w:val="center"/>
          </w:tcPr>
          <w:p>
            <w:pPr>
              <w:keepNext w:val="0"/>
              <w:keepLines w:val="0"/>
              <w:widowControl/>
              <w:suppressLineNumbers w:val="0"/>
              <w:shd w:val="clear"/>
              <w:spacing w:before="0" w:beforeAutospacing="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1981" w:type="dxa"/>
            <w:noWrap w:val="0"/>
            <w:vAlign w:val="center"/>
          </w:tcPr>
          <w:p>
            <w:pPr>
              <w:pStyle w:val="33"/>
              <w:keepNext w:val="0"/>
              <w:keepLines w:val="0"/>
              <w:suppressLineNumbers w:val="0"/>
              <w:shd w:val="clear"/>
              <w:spacing w:before="0" w:beforeAutospacing="0" w:after="0" w:afterAutospacing="0"/>
              <w:ind w:left="0" w:right="0" w:firstLine="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其他</w:t>
            </w:r>
          </w:p>
        </w:tc>
        <w:tc>
          <w:tcPr>
            <w:tcW w:w="6738" w:type="dxa"/>
            <w:noWrap w:val="0"/>
            <w:vAlign w:val="center"/>
          </w:tcPr>
          <w:p>
            <w:pPr>
              <w:pStyle w:val="33"/>
              <w:keepNext w:val="0"/>
              <w:keepLines w:val="0"/>
              <w:suppressLineNumbers w:val="0"/>
              <w:shd w:val="clear"/>
              <w:spacing w:before="0" w:beforeAutospacing="0" w:after="0" w:afterAutospacing="0"/>
              <w:ind w:left="0" w:leftChars="0" w:right="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在产生中标候选人后，中标候选人后须同意并授权招标人将我司投标文件资信业绩部分的人员、业绩、奖项等资料进行公示，并去掉或遮盖报价清单、方案等涉及商业秘密的内容。</w:t>
            </w:r>
          </w:p>
          <w:p>
            <w:pPr>
              <w:pStyle w:val="33"/>
              <w:keepNext w:val="0"/>
              <w:keepLines w:val="0"/>
              <w:suppressLineNumbers w:val="0"/>
              <w:shd w:val="clear"/>
              <w:spacing w:before="0" w:beforeAutospacing="0" w:after="0" w:afterAutospacing="0"/>
              <w:ind w:left="0" w:leftChars="0" w:right="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确定中标人后，中标人须提交一正一副与交易平台网上递交的电子投标文件一致的书面投标文件（加盖公章）给招标人。</w:t>
            </w:r>
          </w:p>
        </w:tc>
      </w:tr>
    </w:tbl>
    <w:p>
      <w:pPr>
        <w:shd w:val="clear"/>
        <w:rPr>
          <w:rFonts w:ascii="宋体" w:hAnsi="宋体" w:eastAsia="宋体"/>
          <w:color w:val="auto"/>
          <w:highlight w:val="none"/>
        </w:rPr>
      </w:pPr>
    </w:p>
    <w:p>
      <w:pPr>
        <w:pStyle w:val="2"/>
        <w:shd w:val="clear"/>
        <w:spacing w:after="500" w:line="262" w:lineRule="auto"/>
        <w:ind w:left="0" w:right="0" w:firstLine="0"/>
        <w:rPr>
          <w:rFonts w:hint="eastAsia" w:ascii="宋体" w:hAnsi="宋体" w:eastAsia="宋体"/>
          <w:b/>
          <w:color w:val="auto"/>
          <w:sz w:val="32"/>
          <w:highlight w:val="none"/>
        </w:rPr>
        <w:sectPr>
          <w:footerReference r:id="rId7" w:type="default"/>
          <w:pgSz w:w="11907" w:h="16840"/>
          <w:pgMar w:top="1446" w:right="1134" w:bottom="1469" w:left="1134" w:header="720" w:footer="720" w:gutter="0"/>
          <w:cols w:space="720" w:num="1"/>
        </w:sectPr>
      </w:pPr>
      <w:bookmarkStart w:id="11" w:name="_Toc508382094"/>
      <w:bookmarkStart w:id="12" w:name="_Toc508788611"/>
    </w:p>
    <w:p>
      <w:pPr>
        <w:pStyle w:val="2"/>
        <w:shd w:val="clear"/>
        <w:spacing w:after="500" w:line="262" w:lineRule="auto"/>
        <w:ind w:left="-5" w:right="0"/>
        <w:rPr>
          <w:rFonts w:ascii="宋体" w:hAnsi="宋体" w:eastAsia="宋体"/>
          <w:color w:val="auto"/>
          <w:highlight w:val="none"/>
        </w:rPr>
      </w:pPr>
      <w:r>
        <w:rPr>
          <w:rFonts w:ascii="宋体" w:hAnsi="宋体" w:eastAsia="宋体"/>
          <w:b/>
          <w:color w:val="auto"/>
          <w:sz w:val="32"/>
          <w:highlight w:val="none"/>
        </w:rPr>
        <w:t xml:space="preserve">1. </w:t>
      </w:r>
      <w:r>
        <w:rPr>
          <w:rFonts w:hint="eastAsia" w:ascii="宋体" w:hAnsi="宋体" w:eastAsia="宋体"/>
          <w:color w:val="auto"/>
          <w:sz w:val="32"/>
          <w:highlight w:val="none"/>
        </w:rPr>
        <w:t>总则</w:t>
      </w:r>
      <w:bookmarkEnd w:id="11"/>
      <w:bookmarkEnd w:id="12"/>
      <w:r>
        <w:rPr>
          <w:rFonts w:ascii="宋体" w:hAnsi="宋体" w:eastAsia="宋体"/>
          <w:b/>
          <w:color w:val="auto"/>
          <w:sz w:val="32"/>
          <w:highlight w:val="none"/>
        </w:rPr>
        <w:t xml:space="preserve"> </w:t>
      </w:r>
    </w:p>
    <w:p>
      <w:pPr>
        <w:pStyle w:val="4"/>
        <w:shd w:val="clear"/>
        <w:spacing w:after="283"/>
        <w:ind w:left="132" w:right="0"/>
        <w:rPr>
          <w:rFonts w:ascii="宋体" w:hAnsi="宋体" w:eastAsia="宋体"/>
          <w:color w:val="auto"/>
          <w:sz w:val="24"/>
          <w:szCs w:val="24"/>
          <w:highlight w:val="none"/>
        </w:rPr>
      </w:pPr>
      <w:bookmarkStart w:id="13" w:name="_Toc508382095"/>
      <w:bookmarkStart w:id="14" w:name="_Toc508788612"/>
      <w:r>
        <w:rPr>
          <w:rFonts w:ascii="宋体" w:hAnsi="宋体" w:eastAsia="宋体"/>
          <w:color w:val="auto"/>
          <w:sz w:val="24"/>
          <w:szCs w:val="24"/>
          <w:highlight w:val="none"/>
        </w:rPr>
        <w:t xml:space="preserve">1.1 </w:t>
      </w:r>
      <w:r>
        <w:rPr>
          <w:rFonts w:hint="eastAsia" w:ascii="宋体" w:hAnsi="宋体" w:eastAsia="宋体"/>
          <w:color w:val="auto"/>
          <w:sz w:val="24"/>
          <w:szCs w:val="24"/>
          <w:highlight w:val="none"/>
        </w:rPr>
        <w:t>招标项目概况</w:t>
      </w:r>
      <w:bookmarkEnd w:id="13"/>
      <w:bookmarkEnd w:id="14"/>
      <w:r>
        <w:rPr>
          <w:rFonts w:ascii="宋体" w:hAnsi="宋体" w:eastAsia="宋体"/>
          <w:color w:val="auto"/>
          <w:sz w:val="24"/>
          <w:szCs w:val="24"/>
          <w:highlight w:val="none"/>
        </w:rPr>
        <w:t xml:space="preserve"> </w:t>
      </w:r>
    </w:p>
    <w:p>
      <w:pPr>
        <w:shd w:val="clear"/>
        <w:spacing w:after="0" w:line="372"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1.1.1 </w:t>
      </w:r>
      <w:r>
        <w:rPr>
          <w:rFonts w:hint="eastAsia" w:ascii="宋体" w:hAnsi="宋体" w:eastAsia="宋体" w:cs="宋体"/>
          <w:color w:val="auto"/>
          <w:sz w:val="24"/>
          <w:szCs w:val="24"/>
          <w:highlight w:val="none"/>
        </w:rPr>
        <w:t>根据《中华人民共和国招标投标法》、《中华人民共和国招标投标法实施条例》等有关法律、法规和规章的规定，本招标项目已具备招标条件，现对超前钻勘察技术服务进行招标。</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1.1.2 </w:t>
      </w:r>
      <w:r>
        <w:rPr>
          <w:rFonts w:hint="eastAsia" w:ascii="宋体" w:hAnsi="宋体" w:eastAsia="宋体" w:cs="宋体"/>
          <w:color w:val="auto"/>
          <w:sz w:val="24"/>
          <w:szCs w:val="24"/>
          <w:highlight w:val="none"/>
        </w:rPr>
        <w:t>招标人：见投标人须知前附表。</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1.1.3 </w:t>
      </w:r>
      <w:r>
        <w:rPr>
          <w:rFonts w:hint="eastAsia" w:ascii="宋体" w:hAnsi="宋体" w:eastAsia="宋体" w:cs="宋体"/>
          <w:color w:val="auto"/>
          <w:sz w:val="24"/>
          <w:szCs w:val="24"/>
          <w:highlight w:val="none"/>
        </w:rPr>
        <w:t>招标代理机构：见投标人须知前附表。</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1.1.4 </w:t>
      </w:r>
      <w:r>
        <w:rPr>
          <w:rFonts w:hint="eastAsia" w:ascii="宋体" w:hAnsi="宋体" w:eastAsia="宋体" w:cs="宋体"/>
          <w:color w:val="auto"/>
          <w:sz w:val="24"/>
          <w:szCs w:val="24"/>
          <w:highlight w:val="none"/>
        </w:rPr>
        <w:t>招标项目名称：见投标人须知前附表。</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1.1.5 </w:t>
      </w:r>
      <w:r>
        <w:rPr>
          <w:rFonts w:hint="eastAsia" w:ascii="宋体" w:hAnsi="宋体" w:eastAsia="宋体" w:cs="宋体"/>
          <w:color w:val="auto"/>
          <w:sz w:val="24"/>
          <w:szCs w:val="24"/>
          <w:highlight w:val="none"/>
        </w:rPr>
        <w:t>项目建设地点：见投标人须知前附表。</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1.1.6 </w:t>
      </w:r>
      <w:r>
        <w:rPr>
          <w:rFonts w:hint="eastAsia" w:ascii="宋体" w:hAnsi="宋体" w:eastAsia="宋体" w:cs="宋体"/>
          <w:color w:val="auto"/>
          <w:sz w:val="24"/>
          <w:szCs w:val="24"/>
          <w:highlight w:val="none"/>
        </w:rPr>
        <w:t>项目建设规模：见投标人须知前附表。</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1.1.7 </w:t>
      </w:r>
      <w:r>
        <w:rPr>
          <w:rFonts w:hint="eastAsia" w:ascii="宋体" w:hAnsi="宋体" w:eastAsia="宋体" w:cs="宋体"/>
          <w:color w:val="auto"/>
          <w:sz w:val="24"/>
          <w:szCs w:val="24"/>
          <w:highlight w:val="none"/>
        </w:rPr>
        <w:t>工程项目施工预计开工日期和建设周期：见投标人须知前附表。</w:t>
      </w:r>
      <w:r>
        <w:rPr>
          <w:rFonts w:ascii="宋体" w:hAnsi="宋体" w:eastAsia="宋体"/>
          <w:color w:val="auto"/>
          <w:sz w:val="24"/>
          <w:szCs w:val="24"/>
          <w:highlight w:val="none"/>
        </w:rPr>
        <w:t xml:space="preserve"> </w:t>
      </w:r>
    </w:p>
    <w:p>
      <w:pPr>
        <w:shd w:val="clear"/>
        <w:spacing w:after="342"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1.1.8 </w:t>
      </w:r>
      <w:r>
        <w:rPr>
          <w:rFonts w:hint="eastAsia" w:ascii="宋体" w:hAnsi="宋体" w:eastAsia="宋体" w:cs="宋体"/>
          <w:color w:val="auto"/>
          <w:sz w:val="24"/>
          <w:szCs w:val="24"/>
          <w:highlight w:val="none"/>
        </w:rPr>
        <w:t>建筑安装工程费</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工程概算：见投标人须知前附表。</w:t>
      </w:r>
      <w:r>
        <w:rPr>
          <w:rFonts w:ascii="宋体" w:hAnsi="宋体" w:eastAsia="宋体"/>
          <w:color w:val="auto"/>
          <w:sz w:val="24"/>
          <w:szCs w:val="24"/>
          <w:highlight w:val="none"/>
        </w:rPr>
        <w:t xml:space="preserve"> </w:t>
      </w:r>
    </w:p>
    <w:p>
      <w:pPr>
        <w:pStyle w:val="4"/>
        <w:shd w:val="clear"/>
        <w:spacing w:after="286"/>
        <w:ind w:left="132" w:right="0"/>
        <w:rPr>
          <w:rFonts w:ascii="宋体" w:hAnsi="宋体" w:eastAsia="宋体"/>
          <w:color w:val="auto"/>
          <w:sz w:val="24"/>
          <w:szCs w:val="24"/>
          <w:highlight w:val="none"/>
        </w:rPr>
      </w:pPr>
      <w:bookmarkStart w:id="15" w:name="_Toc508788613"/>
      <w:bookmarkStart w:id="16" w:name="_Toc508382096"/>
      <w:r>
        <w:rPr>
          <w:rFonts w:ascii="宋体" w:hAnsi="宋体" w:eastAsia="宋体"/>
          <w:color w:val="auto"/>
          <w:sz w:val="24"/>
          <w:szCs w:val="24"/>
          <w:highlight w:val="none"/>
        </w:rPr>
        <w:t xml:space="preserve">1.2 </w:t>
      </w:r>
      <w:r>
        <w:rPr>
          <w:rFonts w:hint="eastAsia" w:ascii="宋体" w:hAnsi="宋体" w:eastAsia="宋体"/>
          <w:color w:val="auto"/>
          <w:sz w:val="24"/>
          <w:szCs w:val="24"/>
          <w:highlight w:val="none"/>
        </w:rPr>
        <w:t>招标项目的资金来源和落实情况</w:t>
      </w:r>
      <w:bookmarkEnd w:id="15"/>
      <w:bookmarkEnd w:id="16"/>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1.2.1 </w:t>
      </w:r>
      <w:r>
        <w:rPr>
          <w:rFonts w:hint="eastAsia" w:ascii="宋体" w:hAnsi="宋体" w:eastAsia="宋体" w:cs="宋体"/>
          <w:color w:val="auto"/>
          <w:sz w:val="24"/>
          <w:szCs w:val="24"/>
          <w:highlight w:val="none"/>
        </w:rPr>
        <w:t>资金来源及比例：见投标人须知前附表。</w:t>
      </w:r>
      <w:r>
        <w:rPr>
          <w:rFonts w:ascii="宋体" w:hAnsi="宋体" w:eastAsia="宋体"/>
          <w:color w:val="auto"/>
          <w:sz w:val="24"/>
          <w:szCs w:val="24"/>
          <w:highlight w:val="none"/>
        </w:rPr>
        <w:t xml:space="preserve"> </w:t>
      </w:r>
    </w:p>
    <w:p>
      <w:pPr>
        <w:shd w:val="clear"/>
        <w:spacing w:after="342"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1.2.2 </w:t>
      </w:r>
      <w:r>
        <w:rPr>
          <w:rFonts w:hint="eastAsia" w:ascii="宋体" w:hAnsi="宋体" w:eastAsia="宋体" w:cs="宋体"/>
          <w:color w:val="auto"/>
          <w:sz w:val="24"/>
          <w:szCs w:val="24"/>
          <w:highlight w:val="none"/>
        </w:rPr>
        <w:t>资金落实情况：见投标人须知前附表。</w:t>
      </w:r>
      <w:r>
        <w:rPr>
          <w:rFonts w:ascii="宋体" w:hAnsi="宋体" w:eastAsia="宋体"/>
          <w:color w:val="auto"/>
          <w:sz w:val="24"/>
          <w:szCs w:val="24"/>
          <w:highlight w:val="none"/>
        </w:rPr>
        <w:t xml:space="preserve"> </w:t>
      </w:r>
    </w:p>
    <w:p>
      <w:pPr>
        <w:pStyle w:val="4"/>
        <w:shd w:val="clear"/>
        <w:spacing w:after="293"/>
        <w:ind w:left="132" w:right="0"/>
        <w:rPr>
          <w:rFonts w:ascii="宋体" w:hAnsi="宋体" w:eastAsia="宋体"/>
          <w:color w:val="auto"/>
          <w:sz w:val="24"/>
          <w:szCs w:val="24"/>
          <w:highlight w:val="none"/>
        </w:rPr>
      </w:pPr>
      <w:bookmarkStart w:id="17" w:name="_Toc508382097"/>
      <w:bookmarkStart w:id="18" w:name="_Toc508788614"/>
      <w:r>
        <w:rPr>
          <w:rFonts w:ascii="宋体" w:hAnsi="宋体" w:eastAsia="宋体"/>
          <w:color w:val="auto"/>
          <w:sz w:val="24"/>
          <w:szCs w:val="24"/>
          <w:highlight w:val="none"/>
        </w:rPr>
        <w:t xml:space="preserve">1.3 </w:t>
      </w:r>
      <w:r>
        <w:rPr>
          <w:rFonts w:hint="eastAsia" w:ascii="宋体" w:hAnsi="宋体" w:eastAsia="宋体"/>
          <w:color w:val="auto"/>
          <w:sz w:val="24"/>
          <w:szCs w:val="24"/>
          <w:highlight w:val="none"/>
        </w:rPr>
        <w:t>招标范围、服务工期和质量标准</w:t>
      </w:r>
      <w:bookmarkEnd w:id="17"/>
      <w:bookmarkEnd w:id="18"/>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1.3.1 </w:t>
      </w:r>
      <w:r>
        <w:rPr>
          <w:rFonts w:hint="eastAsia" w:ascii="宋体" w:hAnsi="宋体" w:eastAsia="宋体" w:cs="宋体"/>
          <w:color w:val="auto"/>
          <w:sz w:val="24"/>
          <w:szCs w:val="24"/>
          <w:highlight w:val="none"/>
        </w:rPr>
        <w:t>招标范围：见投标人须知前附表。</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1.3.2 </w:t>
      </w:r>
      <w:r>
        <w:rPr>
          <w:rFonts w:hint="eastAsia" w:ascii="宋体" w:hAnsi="宋体" w:eastAsia="宋体"/>
          <w:color w:val="auto"/>
          <w:sz w:val="24"/>
          <w:szCs w:val="24"/>
          <w:highlight w:val="none"/>
        </w:rPr>
        <w:t>超前钻勘察技术服务工期</w:t>
      </w:r>
      <w:r>
        <w:rPr>
          <w:rFonts w:hint="eastAsia" w:ascii="宋体" w:hAnsi="宋体" w:eastAsia="宋体" w:cs="宋体"/>
          <w:color w:val="auto"/>
          <w:sz w:val="24"/>
          <w:szCs w:val="24"/>
          <w:highlight w:val="none"/>
        </w:rPr>
        <w:t>：见投标人须知前附表。</w:t>
      </w:r>
      <w:r>
        <w:rPr>
          <w:rFonts w:ascii="宋体" w:hAnsi="宋体" w:eastAsia="宋体"/>
          <w:color w:val="auto"/>
          <w:sz w:val="24"/>
          <w:szCs w:val="24"/>
          <w:highlight w:val="none"/>
        </w:rPr>
        <w:t xml:space="preserve"> </w:t>
      </w:r>
    </w:p>
    <w:p>
      <w:pPr>
        <w:shd w:val="clear"/>
        <w:spacing w:after="341"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1.3.3 </w:t>
      </w:r>
      <w:r>
        <w:rPr>
          <w:rFonts w:hint="eastAsia" w:ascii="宋体" w:hAnsi="宋体" w:eastAsia="宋体" w:cs="宋体"/>
          <w:color w:val="auto"/>
          <w:sz w:val="24"/>
          <w:szCs w:val="24"/>
          <w:highlight w:val="none"/>
        </w:rPr>
        <w:t>质量标准：见投标人须知前附表。</w:t>
      </w:r>
      <w:r>
        <w:rPr>
          <w:rFonts w:ascii="宋体" w:hAnsi="宋体" w:eastAsia="宋体"/>
          <w:color w:val="auto"/>
          <w:sz w:val="24"/>
          <w:szCs w:val="24"/>
          <w:highlight w:val="none"/>
        </w:rPr>
        <w:t xml:space="preserve"> </w:t>
      </w:r>
    </w:p>
    <w:p>
      <w:pPr>
        <w:pStyle w:val="4"/>
        <w:shd w:val="clear"/>
        <w:spacing w:after="292"/>
        <w:ind w:left="132" w:right="0"/>
        <w:rPr>
          <w:rFonts w:ascii="宋体" w:hAnsi="宋体" w:eastAsia="宋体"/>
          <w:color w:val="auto"/>
          <w:sz w:val="24"/>
          <w:szCs w:val="24"/>
          <w:highlight w:val="none"/>
        </w:rPr>
      </w:pPr>
      <w:bookmarkStart w:id="19" w:name="_Toc508382098"/>
      <w:bookmarkStart w:id="20" w:name="_Toc508788615"/>
      <w:r>
        <w:rPr>
          <w:rFonts w:ascii="宋体" w:hAnsi="宋体" w:eastAsia="宋体"/>
          <w:color w:val="auto"/>
          <w:sz w:val="24"/>
          <w:szCs w:val="24"/>
          <w:highlight w:val="none"/>
        </w:rPr>
        <w:t xml:space="preserve">1.4 </w:t>
      </w:r>
      <w:r>
        <w:rPr>
          <w:rFonts w:hint="eastAsia" w:ascii="宋体" w:hAnsi="宋体" w:eastAsia="宋体"/>
          <w:color w:val="auto"/>
          <w:sz w:val="24"/>
          <w:szCs w:val="24"/>
          <w:highlight w:val="none"/>
        </w:rPr>
        <w:t>投标人资格要求</w:t>
      </w:r>
      <w:bookmarkEnd w:id="19"/>
      <w:bookmarkEnd w:id="20"/>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1.4.1 </w:t>
      </w:r>
      <w:r>
        <w:rPr>
          <w:rFonts w:hint="eastAsia" w:ascii="宋体" w:hAnsi="宋体" w:eastAsia="宋体" w:cs="宋体"/>
          <w:color w:val="auto"/>
          <w:sz w:val="24"/>
          <w:szCs w:val="24"/>
          <w:highlight w:val="none"/>
        </w:rPr>
        <w:t>投标人应具备承担本招标项目资质条件、能力和信誉：</w:t>
      </w:r>
      <w:r>
        <w:rPr>
          <w:rFonts w:ascii="宋体" w:hAnsi="宋体" w:eastAsia="宋体"/>
          <w:color w:val="auto"/>
          <w:sz w:val="24"/>
          <w:szCs w:val="24"/>
          <w:highlight w:val="none"/>
        </w:rPr>
        <w:t xml:space="preserve"> </w:t>
      </w:r>
    </w:p>
    <w:p>
      <w:pPr>
        <w:numPr>
          <w:ilvl w:val="0"/>
          <w:numId w:val="2"/>
        </w:numPr>
        <w:shd w:val="clear"/>
        <w:spacing w:after="123" w:line="265" w:lineRule="auto"/>
        <w:ind w:right="103" w:firstLine="314"/>
        <w:rPr>
          <w:rFonts w:ascii="宋体" w:hAnsi="宋体" w:eastAsia="宋体"/>
          <w:color w:val="auto"/>
          <w:sz w:val="24"/>
          <w:szCs w:val="24"/>
          <w:highlight w:val="none"/>
        </w:rPr>
      </w:pPr>
      <w:r>
        <w:rPr>
          <w:rFonts w:hint="eastAsia" w:ascii="宋体" w:hAnsi="宋体" w:eastAsia="宋体" w:cs="宋体"/>
          <w:color w:val="auto"/>
          <w:sz w:val="24"/>
          <w:szCs w:val="24"/>
          <w:highlight w:val="none"/>
        </w:rPr>
        <w:t>资质要求：见投标人须知前附表；</w:t>
      </w:r>
      <w:r>
        <w:rPr>
          <w:rFonts w:ascii="宋体" w:hAnsi="宋体" w:eastAsia="宋体"/>
          <w:color w:val="auto"/>
          <w:sz w:val="24"/>
          <w:szCs w:val="24"/>
          <w:highlight w:val="none"/>
        </w:rPr>
        <w:t xml:space="preserve"> </w:t>
      </w:r>
    </w:p>
    <w:p>
      <w:pPr>
        <w:numPr>
          <w:ilvl w:val="0"/>
          <w:numId w:val="2"/>
        </w:numPr>
        <w:shd w:val="clear"/>
        <w:spacing w:after="123" w:line="265" w:lineRule="auto"/>
        <w:ind w:right="103" w:firstLine="314"/>
        <w:rPr>
          <w:rFonts w:ascii="宋体" w:hAnsi="宋体" w:eastAsia="宋体"/>
          <w:color w:val="auto"/>
          <w:sz w:val="24"/>
          <w:szCs w:val="24"/>
          <w:highlight w:val="none"/>
        </w:rPr>
      </w:pPr>
      <w:r>
        <w:rPr>
          <w:rFonts w:hint="eastAsia" w:ascii="宋体" w:hAnsi="宋体" w:eastAsia="宋体" w:cs="宋体"/>
          <w:color w:val="auto"/>
          <w:sz w:val="24"/>
          <w:szCs w:val="24"/>
          <w:highlight w:val="none"/>
        </w:rPr>
        <w:t>财务要求：见投标人须知前附表；</w:t>
      </w:r>
      <w:r>
        <w:rPr>
          <w:rFonts w:ascii="宋体" w:hAnsi="宋体" w:eastAsia="宋体"/>
          <w:color w:val="auto"/>
          <w:sz w:val="24"/>
          <w:szCs w:val="24"/>
          <w:highlight w:val="none"/>
        </w:rPr>
        <w:t xml:space="preserve"> </w:t>
      </w:r>
    </w:p>
    <w:p>
      <w:pPr>
        <w:numPr>
          <w:ilvl w:val="0"/>
          <w:numId w:val="2"/>
        </w:numPr>
        <w:shd w:val="clear"/>
        <w:spacing w:after="123" w:line="265" w:lineRule="auto"/>
        <w:ind w:right="103" w:firstLine="314"/>
        <w:rPr>
          <w:rFonts w:ascii="宋体" w:hAnsi="宋体" w:eastAsia="宋体"/>
          <w:color w:val="auto"/>
          <w:sz w:val="24"/>
          <w:szCs w:val="24"/>
          <w:highlight w:val="none"/>
        </w:rPr>
      </w:pPr>
      <w:r>
        <w:rPr>
          <w:rFonts w:hint="eastAsia" w:ascii="宋体" w:hAnsi="宋体" w:eastAsia="宋体" w:cs="宋体"/>
          <w:color w:val="auto"/>
          <w:sz w:val="24"/>
          <w:szCs w:val="24"/>
          <w:highlight w:val="none"/>
        </w:rPr>
        <w:t>业绩要求：见投标人须知前附表；</w:t>
      </w:r>
      <w:r>
        <w:rPr>
          <w:rFonts w:ascii="宋体" w:hAnsi="宋体" w:eastAsia="宋体"/>
          <w:color w:val="auto"/>
          <w:sz w:val="24"/>
          <w:szCs w:val="24"/>
          <w:highlight w:val="none"/>
        </w:rPr>
        <w:t xml:space="preserve"> </w:t>
      </w:r>
    </w:p>
    <w:p>
      <w:pPr>
        <w:numPr>
          <w:ilvl w:val="0"/>
          <w:numId w:val="2"/>
        </w:numPr>
        <w:shd w:val="clear"/>
        <w:spacing w:after="123" w:line="265" w:lineRule="auto"/>
        <w:ind w:right="103" w:firstLine="314"/>
        <w:rPr>
          <w:rFonts w:ascii="宋体" w:hAnsi="宋体" w:eastAsia="宋体"/>
          <w:color w:val="auto"/>
          <w:sz w:val="24"/>
          <w:szCs w:val="24"/>
          <w:highlight w:val="none"/>
        </w:rPr>
      </w:pPr>
      <w:r>
        <w:rPr>
          <w:rFonts w:hint="eastAsia" w:ascii="宋体" w:hAnsi="宋体" w:eastAsia="宋体" w:cs="宋体"/>
          <w:color w:val="auto"/>
          <w:sz w:val="24"/>
          <w:szCs w:val="24"/>
          <w:highlight w:val="none"/>
        </w:rPr>
        <w:t>信誉要求：见投标人须知前附表；</w:t>
      </w:r>
      <w:r>
        <w:rPr>
          <w:rFonts w:ascii="宋体" w:hAnsi="宋体" w:eastAsia="宋体"/>
          <w:color w:val="auto"/>
          <w:sz w:val="24"/>
          <w:szCs w:val="24"/>
          <w:highlight w:val="none"/>
        </w:rPr>
        <w:t xml:space="preserve"> </w:t>
      </w:r>
    </w:p>
    <w:p>
      <w:pPr>
        <w:numPr>
          <w:ilvl w:val="0"/>
          <w:numId w:val="2"/>
        </w:numPr>
        <w:shd w:val="clear"/>
        <w:spacing w:after="123" w:line="265" w:lineRule="auto"/>
        <w:ind w:right="103" w:firstLine="3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项目负责人的资格要求：见投标人须知前附表； </w:t>
      </w:r>
    </w:p>
    <w:p>
      <w:pPr>
        <w:numPr>
          <w:ilvl w:val="0"/>
          <w:numId w:val="2"/>
        </w:numPr>
        <w:shd w:val="clear"/>
        <w:spacing w:after="123" w:line="265" w:lineRule="auto"/>
        <w:ind w:right="103" w:firstLine="3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其他主要人员要求：见投标人须知前附表。 </w:t>
      </w:r>
    </w:p>
    <w:p>
      <w:pPr>
        <w:numPr>
          <w:ilvl w:val="0"/>
          <w:numId w:val="2"/>
        </w:numPr>
        <w:shd w:val="clear"/>
        <w:spacing w:after="123" w:line="265" w:lineRule="auto"/>
        <w:ind w:right="103" w:firstLine="3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试验检测仪器设备要求：见投标人须知前附表。 </w:t>
      </w:r>
    </w:p>
    <w:p>
      <w:pPr>
        <w:numPr>
          <w:ilvl w:val="0"/>
          <w:numId w:val="2"/>
        </w:numPr>
        <w:shd w:val="clear"/>
        <w:spacing w:after="123" w:line="265" w:lineRule="auto"/>
        <w:ind w:right="103" w:firstLine="314"/>
        <w:rPr>
          <w:rFonts w:ascii="宋体" w:hAnsi="宋体" w:eastAsia="宋体"/>
          <w:color w:val="auto"/>
          <w:sz w:val="24"/>
          <w:szCs w:val="24"/>
          <w:highlight w:val="none"/>
        </w:rPr>
      </w:pPr>
      <w:r>
        <w:rPr>
          <w:rFonts w:hint="eastAsia" w:ascii="宋体" w:hAnsi="宋体" w:eastAsia="宋体" w:cs="宋体"/>
          <w:color w:val="auto"/>
          <w:sz w:val="24"/>
          <w:szCs w:val="24"/>
          <w:highlight w:val="none"/>
        </w:rPr>
        <w:t>其他要求：见投标人须知前附表。</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需要提交的相关证明材料见本章第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3.5 </w:t>
      </w:r>
      <w:r>
        <w:rPr>
          <w:rFonts w:hint="eastAsia" w:ascii="宋体" w:hAnsi="宋体" w:eastAsia="宋体" w:cs="宋体"/>
          <w:color w:val="auto"/>
          <w:sz w:val="24"/>
          <w:szCs w:val="24"/>
          <w:highlight w:val="none"/>
        </w:rPr>
        <w:t>款的规定。</w:t>
      </w:r>
      <w:r>
        <w:rPr>
          <w:rFonts w:ascii="宋体" w:hAnsi="宋体" w:eastAsia="宋体"/>
          <w:color w:val="auto"/>
          <w:sz w:val="24"/>
          <w:szCs w:val="24"/>
          <w:highlight w:val="none"/>
        </w:rPr>
        <w:t xml:space="preserve"> </w:t>
      </w:r>
    </w:p>
    <w:p>
      <w:pPr>
        <w:shd w:val="clear"/>
        <w:spacing w:after="0" w:line="371" w:lineRule="auto"/>
        <w:ind w:right="103" w:firstLine="420"/>
        <w:rPr>
          <w:rFonts w:ascii="宋体" w:hAnsi="宋体" w:eastAsia="宋体"/>
          <w:strike/>
          <w:color w:val="auto"/>
          <w:sz w:val="24"/>
          <w:szCs w:val="24"/>
          <w:highlight w:val="none"/>
        </w:rPr>
      </w:pPr>
      <w:r>
        <w:rPr>
          <w:rFonts w:ascii="宋体" w:hAnsi="宋体" w:eastAsia="宋体"/>
          <w:strike/>
          <w:color w:val="auto"/>
          <w:sz w:val="24"/>
          <w:szCs w:val="24"/>
          <w:highlight w:val="none"/>
        </w:rPr>
        <w:t xml:space="preserve">1.4.2 </w:t>
      </w:r>
      <w:r>
        <w:rPr>
          <w:rFonts w:hint="eastAsia" w:ascii="宋体" w:hAnsi="宋体" w:eastAsia="宋体" w:cs="宋体"/>
          <w:strike/>
          <w:color w:val="auto"/>
          <w:sz w:val="24"/>
          <w:szCs w:val="24"/>
          <w:highlight w:val="none"/>
        </w:rPr>
        <w:t>投标人须知前附表规定接受联合体投标的，联合体除应符合本章第</w:t>
      </w:r>
      <w:r>
        <w:rPr>
          <w:rFonts w:ascii="宋体" w:hAnsi="宋体" w:eastAsia="宋体" w:cs="宋体"/>
          <w:strike/>
          <w:color w:val="auto"/>
          <w:sz w:val="24"/>
          <w:szCs w:val="24"/>
          <w:highlight w:val="none"/>
        </w:rPr>
        <w:t xml:space="preserve"> </w:t>
      </w:r>
      <w:r>
        <w:rPr>
          <w:rFonts w:ascii="宋体" w:hAnsi="宋体" w:eastAsia="宋体"/>
          <w:strike/>
          <w:color w:val="auto"/>
          <w:sz w:val="24"/>
          <w:szCs w:val="24"/>
          <w:highlight w:val="none"/>
        </w:rPr>
        <w:t xml:space="preserve">1.4.1 </w:t>
      </w:r>
      <w:r>
        <w:rPr>
          <w:rFonts w:hint="eastAsia" w:ascii="宋体" w:hAnsi="宋体" w:eastAsia="宋体" w:cs="宋体"/>
          <w:strike/>
          <w:color w:val="auto"/>
          <w:sz w:val="24"/>
          <w:szCs w:val="24"/>
          <w:highlight w:val="none"/>
        </w:rPr>
        <w:t>项和投标人须知前附表的要求外，还应遵守以下规定：</w:t>
      </w:r>
      <w:r>
        <w:rPr>
          <w:rFonts w:ascii="宋体" w:hAnsi="宋体" w:eastAsia="宋体"/>
          <w:strike/>
          <w:color w:val="auto"/>
          <w:sz w:val="24"/>
          <w:szCs w:val="24"/>
          <w:highlight w:val="none"/>
        </w:rPr>
        <w:t xml:space="preserve"> </w:t>
      </w:r>
    </w:p>
    <w:p>
      <w:pPr>
        <w:numPr>
          <w:ilvl w:val="0"/>
          <w:numId w:val="3"/>
        </w:numPr>
        <w:shd w:val="clear"/>
        <w:spacing w:after="0" w:line="370" w:lineRule="auto"/>
        <w:ind w:right="103" w:firstLine="314"/>
        <w:rPr>
          <w:rFonts w:ascii="宋体" w:hAnsi="宋体" w:eastAsia="宋体"/>
          <w:strike/>
          <w:color w:val="auto"/>
          <w:sz w:val="24"/>
          <w:szCs w:val="24"/>
          <w:highlight w:val="none"/>
        </w:rPr>
      </w:pPr>
      <w:r>
        <w:rPr>
          <w:rFonts w:hint="eastAsia" w:ascii="宋体" w:hAnsi="宋体" w:eastAsia="宋体" w:cs="宋体"/>
          <w:strike/>
          <w:color w:val="auto"/>
          <w:sz w:val="24"/>
          <w:szCs w:val="24"/>
          <w:highlight w:val="none"/>
        </w:rPr>
        <w:t>联合体各方应按招标文件提供的格式签订联合体协议书，明确联合体牵头人和各方权利义务，并承诺就中标项目向招标人承担连带责任；</w:t>
      </w:r>
      <w:r>
        <w:rPr>
          <w:rFonts w:ascii="宋体" w:hAnsi="宋体" w:eastAsia="宋体"/>
          <w:strike/>
          <w:color w:val="auto"/>
          <w:sz w:val="24"/>
          <w:szCs w:val="24"/>
          <w:highlight w:val="none"/>
        </w:rPr>
        <w:t xml:space="preserve"> </w:t>
      </w:r>
    </w:p>
    <w:p>
      <w:pPr>
        <w:numPr>
          <w:ilvl w:val="0"/>
          <w:numId w:val="3"/>
        </w:numPr>
        <w:shd w:val="clear"/>
        <w:spacing w:after="123" w:line="265" w:lineRule="auto"/>
        <w:ind w:right="103" w:firstLine="314"/>
        <w:rPr>
          <w:rFonts w:ascii="宋体" w:hAnsi="宋体" w:eastAsia="宋体"/>
          <w:strike/>
          <w:color w:val="auto"/>
          <w:sz w:val="24"/>
          <w:szCs w:val="24"/>
          <w:highlight w:val="none"/>
        </w:rPr>
      </w:pPr>
      <w:r>
        <w:rPr>
          <w:rFonts w:hint="eastAsia" w:ascii="宋体" w:hAnsi="宋体" w:eastAsia="宋体" w:cs="宋体"/>
          <w:strike/>
          <w:color w:val="auto"/>
          <w:sz w:val="24"/>
          <w:szCs w:val="24"/>
          <w:highlight w:val="none"/>
        </w:rPr>
        <w:t>由同一专业的单位组成的联合体，按照资质等级较低的单位确定资质等级；</w:t>
      </w:r>
      <w:r>
        <w:rPr>
          <w:rFonts w:ascii="宋体" w:hAnsi="宋体" w:eastAsia="宋体"/>
          <w:strike/>
          <w:color w:val="auto"/>
          <w:sz w:val="24"/>
          <w:szCs w:val="24"/>
          <w:highlight w:val="none"/>
        </w:rPr>
        <w:t xml:space="preserve"> </w:t>
      </w:r>
    </w:p>
    <w:p>
      <w:pPr>
        <w:numPr>
          <w:ilvl w:val="0"/>
          <w:numId w:val="3"/>
        </w:numPr>
        <w:shd w:val="clear"/>
        <w:spacing w:after="0" w:line="369" w:lineRule="auto"/>
        <w:ind w:right="103" w:firstLine="314"/>
        <w:rPr>
          <w:rFonts w:ascii="宋体" w:hAnsi="宋体" w:eastAsia="宋体"/>
          <w:strike/>
          <w:color w:val="auto"/>
          <w:sz w:val="24"/>
          <w:szCs w:val="24"/>
          <w:highlight w:val="none"/>
        </w:rPr>
      </w:pPr>
      <w:r>
        <w:rPr>
          <w:rFonts w:hint="eastAsia" w:ascii="宋体" w:hAnsi="宋体" w:eastAsia="宋体" w:cs="宋体"/>
          <w:strike/>
          <w:color w:val="auto"/>
          <w:sz w:val="24"/>
          <w:szCs w:val="24"/>
          <w:highlight w:val="none"/>
        </w:rPr>
        <w:t>联合体各方不得再以自己名义单独或参加其他联合体在本招标项目中投标，否则各相关投标均无效。</w:t>
      </w:r>
      <w:r>
        <w:rPr>
          <w:rFonts w:ascii="宋体" w:hAnsi="宋体" w:eastAsia="宋体"/>
          <w:strike/>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1.4.3 </w:t>
      </w:r>
      <w:r>
        <w:rPr>
          <w:rFonts w:hint="eastAsia" w:ascii="宋体" w:hAnsi="宋体" w:eastAsia="宋体" w:cs="宋体"/>
          <w:color w:val="auto"/>
          <w:sz w:val="24"/>
          <w:szCs w:val="24"/>
          <w:highlight w:val="none"/>
        </w:rPr>
        <w:t>投标人不得存在下列情形之一：</w:t>
      </w:r>
      <w:r>
        <w:rPr>
          <w:rFonts w:ascii="宋体" w:hAnsi="宋体" w:eastAsia="宋体"/>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为招标人不具有独立法人资格的附属机构（单位）；</w:t>
      </w:r>
      <w:r>
        <w:rPr>
          <w:rFonts w:ascii="宋体" w:hAnsi="宋体" w:eastAsia="宋体"/>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与招标人存在利害关系且可能影响招标公正性；</w:t>
      </w:r>
      <w:r>
        <w:rPr>
          <w:rFonts w:ascii="宋体" w:hAnsi="宋体" w:eastAsia="宋体"/>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strike/>
          <w:color w:val="auto"/>
          <w:sz w:val="24"/>
          <w:szCs w:val="24"/>
          <w:highlight w:val="none"/>
        </w:rPr>
      </w:pPr>
      <w:r>
        <w:rPr>
          <w:rFonts w:hint="eastAsia" w:ascii="宋体" w:hAnsi="宋体" w:eastAsia="宋体" w:cs="宋体"/>
          <w:strike/>
          <w:color w:val="auto"/>
          <w:sz w:val="24"/>
          <w:szCs w:val="24"/>
          <w:highlight w:val="none"/>
        </w:rPr>
        <w:t>与本招标项目的其他投标人为同一个单位负责人；</w:t>
      </w:r>
      <w:r>
        <w:rPr>
          <w:rFonts w:ascii="宋体" w:hAnsi="宋体" w:eastAsia="宋体"/>
          <w:strike/>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strike/>
          <w:color w:val="auto"/>
          <w:sz w:val="24"/>
          <w:szCs w:val="24"/>
          <w:highlight w:val="none"/>
        </w:rPr>
      </w:pPr>
      <w:r>
        <w:rPr>
          <w:rFonts w:hint="eastAsia" w:ascii="宋体" w:hAnsi="宋体" w:eastAsia="宋体" w:cs="宋体"/>
          <w:strike/>
          <w:color w:val="auto"/>
          <w:sz w:val="24"/>
          <w:szCs w:val="24"/>
          <w:highlight w:val="none"/>
        </w:rPr>
        <w:t>与本招标项目的其他投标人存在控股、管理关系；</w:t>
      </w:r>
      <w:r>
        <w:rPr>
          <w:rFonts w:ascii="宋体" w:hAnsi="宋体" w:eastAsia="宋体"/>
          <w:strike/>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为本招标项目的代建人；</w:t>
      </w:r>
      <w:r>
        <w:rPr>
          <w:rFonts w:ascii="宋体" w:hAnsi="宋体" w:eastAsia="宋体"/>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为本招标项目的招标代理机构；</w:t>
      </w:r>
      <w:r>
        <w:rPr>
          <w:rFonts w:ascii="宋体" w:hAnsi="宋体" w:eastAsia="宋体"/>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与本招标项目的代建人或招标代理机构同为一个法定代表人；</w:t>
      </w:r>
      <w:r>
        <w:rPr>
          <w:rFonts w:ascii="宋体" w:hAnsi="宋体" w:eastAsia="宋体"/>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与本招标项目的代建人或招标代理机构存在控股或参股关系；</w:t>
      </w:r>
      <w:r>
        <w:rPr>
          <w:rFonts w:ascii="宋体" w:hAnsi="宋体" w:eastAsia="宋体"/>
          <w:color w:val="auto"/>
          <w:sz w:val="24"/>
          <w:szCs w:val="24"/>
          <w:highlight w:val="none"/>
        </w:rPr>
        <w:t xml:space="preserve"> </w:t>
      </w:r>
    </w:p>
    <w:p>
      <w:pPr>
        <w:numPr>
          <w:ilvl w:val="0"/>
          <w:numId w:val="4"/>
        </w:numPr>
        <w:shd w:val="clear"/>
        <w:spacing w:after="0" w:line="369"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与本招标项目的施工承包人以及建筑材料、建筑构配件和设备供应商有隶属关系或者其他利害关系；</w:t>
      </w:r>
      <w:r>
        <w:rPr>
          <w:rFonts w:ascii="宋体" w:hAnsi="宋体" w:eastAsia="宋体"/>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被依法暂停或者取消投标资格；</w:t>
      </w:r>
      <w:r>
        <w:rPr>
          <w:rFonts w:hint="eastAsia" w:ascii="宋体" w:hAnsi="宋体" w:eastAsia="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numPr>
          <w:ilvl w:val="0"/>
          <w:numId w:val="4"/>
        </w:numPr>
        <w:shd w:val="clear"/>
        <w:spacing w:after="123" w:line="265"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被责令停产停业、暂扣或者吊销许可证、暂扣或者吊销执照；</w:t>
      </w:r>
      <w:r>
        <w:rPr>
          <w:rFonts w:hint="eastAsia" w:ascii="宋体" w:hAnsi="宋体" w:eastAsia="宋体"/>
          <w:color w:val="auto"/>
          <w:sz w:val="24"/>
          <w:szCs w:val="24"/>
          <w:highlight w:val="none"/>
          <w:u w:val="single"/>
        </w:rPr>
        <w:t>（本项事实应当以根据《中华人民共和国行政处罚法》依法作出并已经生效的行政处罚决定为认定依据。）</w:t>
      </w:r>
    </w:p>
    <w:p>
      <w:pPr>
        <w:numPr>
          <w:ilvl w:val="0"/>
          <w:numId w:val="4"/>
        </w:numPr>
        <w:shd w:val="clear"/>
        <w:spacing w:after="123" w:line="265"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进入清算程序，或被宣告破产，或其他丧失履约能力的情形；</w:t>
      </w:r>
      <w:r>
        <w:rPr>
          <w:rFonts w:ascii="宋体" w:hAnsi="宋体" w:eastAsia="宋体"/>
          <w:color w:val="auto"/>
          <w:sz w:val="24"/>
          <w:szCs w:val="24"/>
          <w:highlight w:val="none"/>
        </w:rPr>
        <w:t xml:space="preserve"> </w:t>
      </w:r>
    </w:p>
    <w:p>
      <w:pPr>
        <w:numPr>
          <w:ilvl w:val="0"/>
          <w:numId w:val="4"/>
        </w:numPr>
        <w:shd w:val="clear"/>
        <w:spacing w:after="123" w:line="265" w:lineRule="auto"/>
        <w:ind w:right="103" w:firstLine="420"/>
        <w:rPr>
          <w:rFonts w:ascii="宋体" w:hAnsi="宋体" w:eastAsia="宋体"/>
          <w:strike/>
          <w:color w:val="auto"/>
          <w:sz w:val="24"/>
          <w:szCs w:val="24"/>
          <w:highlight w:val="none"/>
        </w:rPr>
      </w:pPr>
      <w:r>
        <w:rPr>
          <w:rFonts w:hint="eastAsia" w:ascii="宋体" w:hAnsi="宋体" w:eastAsia="宋体" w:cs="宋体"/>
          <w:strike/>
          <w:color w:val="auto"/>
          <w:sz w:val="24"/>
          <w:szCs w:val="24"/>
          <w:highlight w:val="none"/>
        </w:rPr>
        <w:t>被工商行政管理机关在全国企业信用信息公示系统中列入严重违法失信企业名单；</w:t>
      </w:r>
      <w:r>
        <w:rPr>
          <w:rFonts w:ascii="宋体" w:hAnsi="宋体" w:eastAsia="宋体"/>
          <w:strike/>
          <w:color w:val="auto"/>
          <w:sz w:val="24"/>
          <w:szCs w:val="24"/>
          <w:highlight w:val="none"/>
        </w:rPr>
        <w:t xml:space="preserve"> </w:t>
      </w:r>
    </w:p>
    <w:p>
      <w:pPr>
        <w:numPr>
          <w:ilvl w:val="0"/>
          <w:numId w:val="4"/>
        </w:numPr>
        <w:shd w:val="clear"/>
        <w:spacing w:after="7" w:line="364" w:lineRule="auto"/>
        <w:ind w:right="103" w:firstLine="420"/>
        <w:rPr>
          <w:rFonts w:ascii="宋体" w:hAnsi="宋体" w:eastAsia="宋体"/>
          <w:strike/>
          <w:color w:val="auto"/>
          <w:sz w:val="24"/>
          <w:szCs w:val="24"/>
          <w:highlight w:val="none"/>
        </w:rPr>
      </w:pPr>
      <w:r>
        <w:rPr>
          <w:rFonts w:hint="eastAsia" w:ascii="宋体" w:hAnsi="宋体" w:eastAsia="宋体" w:cs="宋体"/>
          <w:strike/>
          <w:color w:val="auto"/>
          <w:sz w:val="24"/>
          <w:szCs w:val="24"/>
          <w:highlight w:val="none"/>
        </w:rPr>
        <w:t>被最高人民法院在</w:t>
      </w:r>
      <w:r>
        <w:rPr>
          <w:rFonts w:ascii="宋体" w:hAnsi="宋体" w:eastAsia="宋体"/>
          <w:strike/>
          <w:color w:val="auto"/>
          <w:sz w:val="24"/>
          <w:szCs w:val="24"/>
          <w:highlight w:val="none"/>
        </w:rPr>
        <w:t>“</w:t>
      </w:r>
      <w:r>
        <w:rPr>
          <w:rFonts w:hint="eastAsia" w:ascii="宋体" w:hAnsi="宋体" w:eastAsia="宋体" w:cs="宋体"/>
          <w:strike/>
          <w:color w:val="auto"/>
          <w:sz w:val="24"/>
          <w:szCs w:val="24"/>
          <w:highlight w:val="none"/>
        </w:rPr>
        <w:t>信用中国</w:t>
      </w:r>
      <w:r>
        <w:rPr>
          <w:rFonts w:ascii="宋体" w:hAnsi="宋体" w:eastAsia="宋体"/>
          <w:strike/>
          <w:color w:val="auto"/>
          <w:sz w:val="24"/>
          <w:szCs w:val="24"/>
          <w:highlight w:val="none"/>
        </w:rPr>
        <w:t>”</w:t>
      </w:r>
      <w:r>
        <w:rPr>
          <w:rFonts w:hint="eastAsia" w:ascii="宋体" w:hAnsi="宋体" w:eastAsia="宋体" w:cs="宋体"/>
          <w:strike/>
          <w:color w:val="auto"/>
          <w:sz w:val="24"/>
          <w:szCs w:val="24"/>
          <w:highlight w:val="none"/>
        </w:rPr>
        <w:t>网站（</w:t>
      </w:r>
      <w:r>
        <w:rPr>
          <w:rFonts w:ascii="宋体" w:hAnsi="宋体" w:eastAsia="宋体"/>
          <w:strike/>
          <w:color w:val="auto"/>
          <w:sz w:val="24"/>
          <w:szCs w:val="24"/>
          <w:highlight w:val="none"/>
        </w:rPr>
        <w:t>www.creditchina.gov.cn</w:t>
      </w:r>
      <w:r>
        <w:rPr>
          <w:rFonts w:hint="eastAsia" w:ascii="宋体" w:hAnsi="宋体" w:eastAsia="宋体" w:cs="宋体"/>
          <w:strike/>
          <w:color w:val="auto"/>
          <w:sz w:val="24"/>
          <w:szCs w:val="24"/>
          <w:highlight w:val="none"/>
        </w:rPr>
        <w:t>）或各级信用信息共享平台中列入失信被执行人名单；</w:t>
      </w:r>
    </w:p>
    <w:p>
      <w:pPr>
        <w:numPr>
          <w:ilvl w:val="0"/>
          <w:numId w:val="4"/>
        </w:numPr>
        <w:shd w:val="clear"/>
        <w:spacing w:after="7" w:line="364" w:lineRule="auto"/>
        <w:ind w:right="103" w:firstLine="420"/>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2019年1月1日至今投标人或其法定代表人、拟委任的项目负责人有行贿犯罪行为的。</w:t>
      </w:r>
    </w:p>
    <w:p>
      <w:pPr>
        <w:numPr>
          <w:ilvl w:val="0"/>
          <w:numId w:val="4"/>
        </w:numPr>
        <w:shd w:val="clear"/>
        <w:spacing w:after="7" w:line="364" w:lineRule="auto"/>
        <w:ind w:right="103"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numPr>
          <w:ilvl w:val="0"/>
          <w:numId w:val="4"/>
        </w:numPr>
        <w:shd w:val="clear"/>
        <w:spacing w:after="7" w:line="364"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法律法规规定的其他情形</w:t>
      </w:r>
      <w:r>
        <w:rPr>
          <w:rFonts w:ascii="宋体" w:hAnsi="宋体" w:eastAsia="宋体"/>
          <w:color w:val="auto"/>
          <w:sz w:val="24"/>
          <w:szCs w:val="24"/>
          <w:highlight w:val="none"/>
        </w:rPr>
        <w:t xml:space="preserve"> </w:t>
      </w:r>
    </w:p>
    <w:p>
      <w:pPr>
        <w:pStyle w:val="4"/>
        <w:shd w:val="clear"/>
        <w:tabs>
          <w:tab w:val="left" w:pos="5160"/>
        </w:tabs>
        <w:spacing w:after="282"/>
        <w:ind w:left="132" w:right="0"/>
        <w:rPr>
          <w:rFonts w:ascii="宋体" w:hAnsi="宋体" w:eastAsia="宋体"/>
          <w:color w:val="auto"/>
          <w:sz w:val="24"/>
          <w:szCs w:val="24"/>
          <w:highlight w:val="none"/>
        </w:rPr>
      </w:pPr>
      <w:bookmarkStart w:id="21" w:name="_Toc508382099"/>
      <w:bookmarkStart w:id="22" w:name="_Toc508788616"/>
      <w:r>
        <w:rPr>
          <w:rFonts w:ascii="宋体" w:hAnsi="宋体" w:eastAsia="宋体"/>
          <w:color w:val="auto"/>
          <w:sz w:val="24"/>
          <w:szCs w:val="24"/>
          <w:highlight w:val="none"/>
        </w:rPr>
        <w:t xml:space="preserve">1.5 </w:t>
      </w:r>
      <w:r>
        <w:rPr>
          <w:rFonts w:hint="eastAsia" w:ascii="宋体" w:hAnsi="宋体" w:eastAsia="宋体"/>
          <w:color w:val="auto"/>
          <w:sz w:val="24"/>
          <w:szCs w:val="24"/>
          <w:highlight w:val="none"/>
        </w:rPr>
        <w:t>费用承担</w:t>
      </w:r>
      <w:bookmarkEnd w:id="21"/>
      <w:bookmarkEnd w:id="22"/>
      <w:r>
        <w:rPr>
          <w:rFonts w:ascii="宋体" w:hAnsi="宋体" w:eastAsia="宋体"/>
          <w:color w:val="auto"/>
          <w:sz w:val="24"/>
          <w:szCs w:val="24"/>
          <w:highlight w:val="none"/>
        </w:rPr>
        <w:t xml:space="preserve"> </w:t>
      </w:r>
      <w:r>
        <w:rPr>
          <w:rFonts w:ascii="宋体" w:hAnsi="宋体" w:eastAsia="宋体"/>
          <w:color w:val="auto"/>
          <w:sz w:val="24"/>
          <w:szCs w:val="24"/>
          <w:highlight w:val="none"/>
        </w:rPr>
        <w:tab/>
      </w:r>
    </w:p>
    <w:p>
      <w:pPr>
        <w:shd w:val="clear"/>
        <w:spacing w:after="338" w:line="265" w:lineRule="auto"/>
        <w:ind w:left="417" w:right="103"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r>
        <w:rPr>
          <w:rFonts w:ascii="宋体" w:hAnsi="宋体" w:eastAsia="宋体" w:cs="宋体"/>
          <w:color w:val="auto"/>
          <w:sz w:val="24"/>
          <w:szCs w:val="24"/>
          <w:highlight w:val="none"/>
        </w:rPr>
        <w:t xml:space="preserve"> </w:t>
      </w:r>
    </w:p>
    <w:p>
      <w:pPr>
        <w:pStyle w:val="4"/>
        <w:shd w:val="clear"/>
        <w:spacing w:after="286" w:line="259" w:lineRule="auto"/>
        <w:ind w:left="132" w:right="0"/>
        <w:rPr>
          <w:rFonts w:ascii="宋体" w:hAnsi="宋体" w:eastAsia="宋体"/>
          <w:color w:val="auto"/>
          <w:sz w:val="24"/>
          <w:szCs w:val="24"/>
          <w:highlight w:val="none"/>
        </w:rPr>
      </w:pPr>
      <w:bookmarkStart w:id="23" w:name="_Toc508788617"/>
      <w:bookmarkStart w:id="24" w:name="_Toc508382100"/>
      <w:r>
        <w:rPr>
          <w:rFonts w:ascii="宋体" w:hAnsi="宋体" w:eastAsia="宋体"/>
          <w:color w:val="auto"/>
          <w:sz w:val="24"/>
          <w:szCs w:val="24"/>
          <w:highlight w:val="none"/>
        </w:rPr>
        <w:t xml:space="preserve">1.6 </w:t>
      </w:r>
      <w:r>
        <w:rPr>
          <w:rFonts w:hint="eastAsia" w:ascii="宋体" w:hAnsi="宋体" w:eastAsia="宋体"/>
          <w:color w:val="auto"/>
          <w:sz w:val="24"/>
          <w:szCs w:val="24"/>
          <w:highlight w:val="none"/>
        </w:rPr>
        <w:t>保密</w:t>
      </w:r>
      <w:bookmarkEnd w:id="23"/>
      <w:bookmarkEnd w:id="24"/>
      <w:r>
        <w:rPr>
          <w:rFonts w:ascii="宋体" w:hAnsi="宋体" w:eastAsia="宋体"/>
          <w:color w:val="auto"/>
          <w:sz w:val="24"/>
          <w:szCs w:val="24"/>
          <w:highlight w:val="none"/>
        </w:rPr>
        <w:t xml:space="preserve"> </w:t>
      </w:r>
    </w:p>
    <w:p>
      <w:pPr>
        <w:shd w:val="clear"/>
        <w:spacing w:after="235" w:line="356"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r>
        <w:rPr>
          <w:rFonts w:ascii="宋体" w:hAnsi="宋体" w:eastAsia="宋体"/>
          <w:color w:val="auto"/>
          <w:sz w:val="24"/>
          <w:szCs w:val="24"/>
          <w:highlight w:val="none"/>
        </w:rPr>
        <w:t xml:space="preserve"> </w:t>
      </w:r>
    </w:p>
    <w:p>
      <w:pPr>
        <w:pStyle w:val="4"/>
        <w:shd w:val="clear"/>
        <w:spacing w:after="282"/>
        <w:ind w:left="132" w:right="0"/>
        <w:rPr>
          <w:rFonts w:ascii="宋体" w:hAnsi="宋体" w:eastAsia="宋体"/>
          <w:color w:val="auto"/>
          <w:sz w:val="24"/>
          <w:szCs w:val="24"/>
          <w:highlight w:val="none"/>
        </w:rPr>
      </w:pPr>
      <w:bookmarkStart w:id="25" w:name="_Toc508382101"/>
      <w:bookmarkStart w:id="26" w:name="_Toc508788618"/>
      <w:r>
        <w:rPr>
          <w:rFonts w:ascii="宋体" w:hAnsi="宋体" w:eastAsia="宋体"/>
          <w:color w:val="auto"/>
          <w:sz w:val="24"/>
          <w:szCs w:val="24"/>
          <w:highlight w:val="none"/>
        </w:rPr>
        <w:t xml:space="preserve">1.7 </w:t>
      </w:r>
      <w:r>
        <w:rPr>
          <w:rFonts w:hint="eastAsia" w:ascii="宋体" w:hAnsi="宋体" w:eastAsia="宋体"/>
          <w:color w:val="auto"/>
          <w:sz w:val="24"/>
          <w:szCs w:val="24"/>
          <w:highlight w:val="none"/>
        </w:rPr>
        <w:t>语言文字</w:t>
      </w:r>
      <w:bookmarkEnd w:id="25"/>
      <w:bookmarkEnd w:id="26"/>
      <w:r>
        <w:rPr>
          <w:rFonts w:ascii="宋体" w:hAnsi="宋体" w:eastAsia="宋体"/>
          <w:color w:val="auto"/>
          <w:sz w:val="24"/>
          <w:szCs w:val="24"/>
          <w:highlight w:val="none"/>
        </w:rPr>
        <w:t xml:space="preserve"> </w:t>
      </w:r>
    </w:p>
    <w:p>
      <w:pPr>
        <w:shd w:val="clear"/>
        <w:spacing w:after="339" w:line="265" w:lineRule="auto"/>
        <w:ind w:left="417"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r>
        <w:rPr>
          <w:rFonts w:ascii="宋体" w:hAnsi="宋体" w:eastAsia="宋体"/>
          <w:color w:val="auto"/>
          <w:sz w:val="24"/>
          <w:szCs w:val="24"/>
          <w:highlight w:val="none"/>
        </w:rPr>
        <w:t xml:space="preserve"> </w:t>
      </w:r>
    </w:p>
    <w:p>
      <w:pPr>
        <w:pStyle w:val="4"/>
        <w:shd w:val="clear"/>
        <w:spacing w:after="290"/>
        <w:ind w:left="132" w:right="0"/>
        <w:rPr>
          <w:rFonts w:ascii="宋体" w:hAnsi="宋体" w:eastAsia="宋体"/>
          <w:color w:val="auto"/>
          <w:sz w:val="24"/>
          <w:szCs w:val="24"/>
          <w:highlight w:val="none"/>
        </w:rPr>
      </w:pPr>
      <w:bookmarkStart w:id="27" w:name="_Toc508382102"/>
      <w:bookmarkStart w:id="28" w:name="_Toc508788619"/>
      <w:r>
        <w:rPr>
          <w:rFonts w:ascii="宋体" w:hAnsi="宋体" w:eastAsia="宋体"/>
          <w:color w:val="auto"/>
          <w:sz w:val="24"/>
          <w:szCs w:val="24"/>
          <w:highlight w:val="none"/>
        </w:rPr>
        <w:t xml:space="preserve">1.8 </w:t>
      </w:r>
      <w:r>
        <w:rPr>
          <w:rFonts w:hint="eastAsia" w:ascii="宋体" w:hAnsi="宋体" w:eastAsia="宋体"/>
          <w:color w:val="auto"/>
          <w:sz w:val="24"/>
          <w:szCs w:val="24"/>
          <w:highlight w:val="none"/>
        </w:rPr>
        <w:t>计量单位</w:t>
      </w:r>
      <w:bookmarkEnd w:id="27"/>
      <w:bookmarkEnd w:id="28"/>
      <w:r>
        <w:rPr>
          <w:rFonts w:ascii="宋体" w:hAnsi="宋体" w:eastAsia="宋体"/>
          <w:color w:val="auto"/>
          <w:sz w:val="24"/>
          <w:szCs w:val="24"/>
          <w:highlight w:val="none"/>
        </w:rPr>
        <w:t xml:space="preserve"> </w:t>
      </w:r>
    </w:p>
    <w:p>
      <w:pPr>
        <w:shd w:val="clear"/>
        <w:spacing w:after="342" w:line="265" w:lineRule="auto"/>
        <w:ind w:left="417"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r>
        <w:rPr>
          <w:rFonts w:ascii="宋体" w:hAnsi="宋体" w:eastAsia="宋体"/>
          <w:color w:val="auto"/>
          <w:sz w:val="24"/>
          <w:szCs w:val="24"/>
          <w:highlight w:val="none"/>
        </w:rPr>
        <w:t xml:space="preserve"> </w:t>
      </w:r>
    </w:p>
    <w:p>
      <w:pPr>
        <w:pStyle w:val="4"/>
        <w:shd w:val="clear"/>
        <w:spacing w:after="282"/>
        <w:ind w:left="132" w:right="0"/>
        <w:rPr>
          <w:rFonts w:ascii="宋体" w:hAnsi="宋体" w:eastAsia="宋体"/>
          <w:color w:val="auto"/>
          <w:sz w:val="24"/>
          <w:szCs w:val="24"/>
          <w:highlight w:val="none"/>
        </w:rPr>
      </w:pPr>
      <w:bookmarkStart w:id="29" w:name="_Toc508788620"/>
      <w:bookmarkStart w:id="30" w:name="_Toc508382103"/>
      <w:r>
        <w:rPr>
          <w:rFonts w:ascii="宋体" w:hAnsi="宋体" w:eastAsia="宋体"/>
          <w:color w:val="auto"/>
          <w:sz w:val="24"/>
          <w:szCs w:val="24"/>
          <w:highlight w:val="none"/>
        </w:rPr>
        <w:t xml:space="preserve">1.9 </w:t>
      </w:r>
      <w:r>
        <w:rPr>
          <w:rFonts w:hint="eastAsia" w:ascii="宋体" w:hAnsi="宋体" w:eastAsia="宋体"/>
          <w:color w:val="auto"/>
          <w:sz w:val="24"/>
          <w:szCs w:val="24"/>
          <w:highlight w:val="none"/>
        </w:rPr>
        <w:t>踏勘现场</w:t>
      </w:r>
      <w:bookmarkEnd w:id="29"/>
      <w:bookmarkEnd w:id="30"/>
      <w:r>
        <w:rPr>
          <w:rFonts w:ascii="宋体" w:hAnsi="宋体" w:eastAsia="宋体"/>
          <w:color w:val="auto"/>
          <w:sz w:val="24"/>
          <w:szCs w:val="24"/>
          <w:highlight w:val="none"/>
        </w:rPr>
        <w:t xml:space="preserve"> </w:t>
      </w:r>
    </w:p>
    <w:p>
      <w:pPr>
        <w:shd w:val="clear"/>
        <w:spacing w:after="123" w:line="360" w:lineRule="auto"/>
        <w:ind w:right="102" w:firstLine="407"/>
        <w:rPr>
          <w:rFonts w:hint="eastAsia" w:ascii="宋体" w:hAnsi="宋体" w:eastAsia="宋体" w:cs="宋体"/>
          <w:color w:val="auto"/>
          <w:sz w:val="24"/>
          <w:szCs w:val="24"/>
          <w:highlight w:val="none"/>
        </w:rPr>
      </w:pPr>
      <w:r>
        <w:rPr>
          <w:rFonts w:ascii="宋体" w:hAnsi="宋体" w:eastAsia="宋体"/>
          <w:color w:val="auto"/>
          <w:sz w:val="24"/>
          <w:szCs w:val="24"/>
          <w:highlight w:val="none"/>
        </w:rPr>
        <w:t xml:space="preserve">1.9.1 </w:t>
      </w:r>
      <w:r>
        <w:rPr>
          <w:rFonts w:hint="eastAsia" w:ascii="宋体" w:hAnsi="宋体" w:eastAsia="宋体" w:cs="宋体"/>
          <w:color w:val="auto"/>
          <w:sz w:val="24"/>
          <w:szCs w:val="24"/>
          <w:highlight w:val="none"/>
        </w:rPr>
        <w:t xml:space="preserve">投标人须知前附表规定组织踏勘现场的，招标人按投标人须知前附表规定的时间、地点组织投标人踏勘项目现场。部分投标人未按时参加踏勘现场的，不影响踏勘现场的正常进行。 </w:t>
      </w:r>
    </w:p>
    <w:p>
      <w:pPr>
        <w:shd w:val="clear"/>
        <w:spacing w:after="123" w:line="360" w:lineRule="auto"/>
        <w:ind w:left="417" w:right="102" w:hanging="10"/>
        <w:rPr>
          <w:rFonts w:ascii="宋体" w:hAnsi="宋体" w:eastAsia="宋体"/>
          <w:color w:val="auto"/>
          <w:sz w:val="24"/>
          <w:szCs w:val="24"/>
          <w:highlight w:val="none"/>
        </w:rPr>
      </w:pPr>
      <w:r>
        <w:rPr>
          <w:rFonts w:ascii="宋体" w:hAnsi="宋体" w:eastAsia="宋体"/>
          <w:color w:val="auto"/>
          <w:sz w:val="24"/>
          <w:szCs w:val="24"/>
          <w:highlight w:val="none"/>
        </w:rPr>
        <w:t xml:space="preserve">1.9.2 </w:t>
      </w:r>
      <w:r>
        <w:rPr>
          <w:rFonts w:hint="eastAsia" w:ascii="宋体" w:hAnsi="宋体" w:eastAsia="宋体" w:cs="宋体"/>
          <w:color w:val="auto"/>
          <w:sz w:val="24"/>
          <w:szCs w:val="24"/>
          <w:highlight w:val="none"/>
        </w:rPr>
        <w:t>投标人踏勘现场发生的费用自理。</w:t>
      </w:r>
      <w:r>
        <w:rPr>
          <w:rFonts w:ascii="宋体" w:hAnsi="宋体" w:eastAsia="宋体"/>
          <w:color w:val="auto"/>
          <w:sz w:val="24"/>
          <w:szCs w:val="24"/>
          <w:highlight w:val="none"/>
        </w:rPr>
        <w:t xml:space="preserve"> </w:t>
      </w:r>
    </w:p>
    <w:p>
      <w:pPr>
        <w:shd w:val="clear"/>
        <w:spacing w:after="123" w:line="360" w:lineRule="auto"/>
        <w:ind w:right="102" w:firstLine="407"/>
        <w:rPr>
          <w:rFonts w:ascii="宋体" w:hAnsi="宋体" w:eastAsia="宋体"/>
          <w:color w:val="auto"/>
          <w:sz w:val="24"/>
          <w:szCs w:val="24"/>
          <w:highlight w:val="none"/>
        </w:rPr>
      </w:pPr>
      <w:r>
        <w:rPr>
          <w:rFonts w:ascii="宋体" w:hAnsi="宋体" w:eastAsia="宋体"/>
          <w:color w:val="auto"/>
          <w:sz w:val="24"/>
          <w:szCs w:val="24"/>
          <w:highlight w:val="none"/>
        </w:rPr>
        <w:t xml:space="preserve">1.9.3 </w:t>
      </w:r>
      <w:r>
        <w:rPr>
          <w:rFonts w:hint="eastAsia" w:ascii="宋体" w:hAnsi="宋体" w:eastAsia="宋体" w:cs="宋体"/>
          <w:color w:val="auto"/>
          <w:sz w:val="24"/>
          <w:szCs w:val="24"/>
          <w:highlight w:val="none"/>
        </w:rPr>
        <w:t>除招标人的原因外，投标人自行负责在踏勘现场中所发生的人员伤亡和财产损失。</w:t>
      </w:r>
      <w:r>
        <w:rPr>
          <w:rFonts w:ascii="宋体" w:hAnsi="宋体" w:eastAsia="宋体"/>
          <w:color w:val="auto"/>
          <w:sz w:val="24"/>
          <w:szCs w:val="24"/>
          <w:highlight w:val="none"/>
        </w:rPr>
        <w:t xml:space="preserve"> </w:t>
      </w:r>
    </w:p>
    <w:p>
      <w:pPr>
        <w:shd w:val="clear"/>
        <w:spacing w:after="223" w:line="360" w:lineRule="auto"/>
        <w:ind w:right="102"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1.9.4 </w:t>
      </w:r>
      <w:r>
        <w:rPr>
          <w:rFonts w:hint="eastAsia" w:ascii="宋体" w:hAnsi="宋体" w:eastAsia="宋体" w:cs="宋体"/>
          <w:color w:val="auto"/>
          <w:sz w:val="24"/>
          <w:szCs w:val="24"/>
          <w:highlight w:val="none"/>
        </w:rPr>
        <w:t>招标人在踏勘现场中介绍的工程场地和相关的周边环境情况，供投标人在编制投标文件时参考，招标人不对投标人据此作出的判断和决策负责。</w:t>
      </w:r>
      <w:r>
        <w:rPr>
          <w:rFonts w:ascii="宋体" w:hAnsi="宋体" w:eastAsia="宋体"/>
          <w:color w:val="auto"/>
          <w:sz w:val="24"/>
          <w:szCs w:val="24"/>
          <w:highlight w:val="none"/>
        </w:rPr>
        <w:t xml:space="preserve"> </w:t>
      </w:r>
    </w:p>
    <w:p>
      <w:pPr>
        <w:pStyle w:val="4"/>
        <w:shd w:val="clear"/>
        <w:spacing w:after="290"/>
        <w:ind w:left="132" w:right="0"/>
        <w:rPr>
          <w:rFonts w:ascii="宋体" w:hAnsi="宋体" w:eastAsia="宋体"/>
          <w:color w:val="auto"/>
          <w:sz w:val="24"/>
          <w:szCs w:val="24"/>
          <w:highlight w:val="none"/>
        </w:rPr>
      </w:pPr>
      <w:bookmarkStart w:id="31" w:name="_Toc508382104"/>
      <w:bookmarkStart w:id="32" w:name="_Toc508788621"/>
      <w:r>
        <w:rPr>
          <w:rFonts w:ascii="宋体" w:hAnsi="宋体" w:eastAsia="宋体"/>
          <w:color w:val="auto"/>
          <w:sz w:val="24"/>
          <w:szCs w:val="24"/>
          <w:highlight w:val="none"/>
        </w:rPr>
        <w:t xml:space="preserve">1.10 </w:t>
      </w:r>
      <w:r>
        <w:rPr>
          <w:rFonts w:hint="eastAsia" w:ascii="宋体" w:hAnsi="宋体" w:eastAsia="宋体"/>
          <w:color w:val="auto"/>
          <w:sz w:val="24"/>
          <w:szCs w:val="24"/>
          <w:highlight w:val="none"/>
        </w:rPr>
        <w:t>投标预备会</w:t>
      </w:r>
      <w:bookmarkEnd w:id="31"/>
      <w:bookmarkEnd w:id="32"/>
      <w:r>
        <w:rPr>
          <w:rFonts w:ascii="宋体" w:hAnsi="宋体" w:eastAsia="宋体"/>
          <w:color w:val="auto"/>
          <w:sz w:val="24"/>
          <w:szCs w:val="24"/>
          <w:highlight w:val="none"/>
        </w:rPr>
        <w:t xml:space="preserve"> </w:t>
      </w:r>
    </w:p>
    <w:p>
      <w:pPr>
        <w:shd w:val="clear"/>
        <w:spacing w:after="3" w:line="367"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1.10.1 </w:t>
      </w:r>
      <w:r>
        <w:rPr>
          <w:rFonts w:hint="eastAsia" w:ascii="宋体" w:hAnsi="宋体" w:eastAsia="宋体" w:cs="宋体"/>
          <w:color w:val="auto"/>
          <w:sz w:val="24"/>
          <w:szCs w:val="24"/>
          <w:highlight w:val="none"/>
        </w:rPr>
        <w:t>投标人须知前附表规定召开投标预备会的，招标人按投标人须知前附表规定的时间和地点召开投标预备会，澄清投标人提出的问题。</w:t>
      </w:r>
      <w:r>
        <w:rPr>
          <w:rFonts w:ascii="宋体" w:hAnsi="宋体" w:eastAsia="宋体"/>
          <w:color w:val="auto"/>
          <w:sz w:val="24"/>
          <w:szCs w:val="24"/>
          <w:highlight w:val="none"/>
        </w:rPr>
        <w:t xml:space="preserve"> </w:t>
      </w:r>
    </w:p>
    <w:p>
      <w:pPr>
        <w:shd w:val="clear"/>
        <w:spacing w:after="0" w:line="36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1.10.2 </w:t>
      </w:r>
      <w:r>
        <w:rPr>
          <w:rFonts w:hint="eastAsia" w:ascii="宋体" w:hAnsi="宋体" w:eastAsia="宋体" w:cs="宋体"/>
          <w:color w:val="auto"/>
          <w:sz w:val="24"/>
          <w:szCs w:val="24"/>
          <w:highlight w:val="none"/>
        </w:rPr>
        <w:t>投标人应按投标人须知前附表规定的时间和形式将提出的问题送达招标人，以便招标人在会议期间澄清。</w:t>
      </w:r>
      <w:r>
        <w:rPr>
          <w:rFonts w:ascii="宋体" w:hAnsi="宋体" w:eastAsia="宋体"/>
          <w:color w:val="auto"/>
          <w:sz w:val="24"/>
          <w:szCs w:val="24"/>
          <w:highlight w:val="none"/>
        </w:rPr>
        <w:t xml:space="preserve"> </w:t>
      </w:r>
    </w:p>
    <w:p>
      <w:pPr>
        <w:shd w:val="clear"/>
        <w:spacing w:after="123" w:line="36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1.10.3 </w:t>
      </w:r>
      <w:r>
        <w:rPr>
          <w:rFonts w:hint="eastAsia" w:ascii="宋体" w:hAnsi="宋体" w:eastAsia="宋体" w:cs="宋体"/>
          <w:color w:val="auto"/>
          <w:sz w:val="24"/>
          <w:szCs w:val="24"/>
          <w:highlight w:val="none"/>
        </w:rPr>
        <w:t>投标预备会后，招标人将对投标人所提问题的澄清，以投标人须知前附表规定的形式通知所有购买招标文件的投标人。该澄清内容为招标文件的组成部分。</w:t>
      </w:r>
      <w:r>
        <w:rPr>
          <w:rFonts w:ascii="宋体" w:hAnsi="宋体" w:eastAsia="宋体"/>
          <w:color w:val="auto"/>
          <w:sz w:val="24"/>
          <w:szCs w:val="24"/>
          <w:highlight w:val="none"/>
        </w:rPr>
        <w:t xml:space="preserve"> </w:t>
      </w:r>
    </w:p>
    <w:p>
      <w:pPr>
        <w:pStyle w:val="4"/>
        <w:shd w:val="clear"/>
        <w:spacing w:after="286" w:line="259" w:lineRule="auto"/>
        <w:ind w:left="132" w:right="0"/>
        <w:rPr>
          <w:rFonts w:ascii="宋体" w:hAnsi="宋体" w:eastAsia="宋体"/>
          <w:color w:val="auto"/>
          <w:sz w:val="24"/>
          <w:szCs w:val="24"/>
          <w:highlight w:val="none"/>
        </w:rPr>
      </w:pPr>
      <w:bookmarkStart w:id="33" w:name="_Toc508788622"/>
      <w:bookmarkStart w:id="34" w:name="_Toc508382105"/>
      <w:r>
        <w:rPr>
          <w:rFonts w:ascii="宋体" w:hAnsi="宋体" w:eastAsia="宋体"/>
          <w:color w:val="auto"/>
          <w:sz w:val="24"/>
          <w:szCs w:val="24"/>
          <w:highlight w:val="none"/>
        </w:rPr>
        <w:t xml:space="preserve">1.11 </w:t>
      </w:r>
      <w:r>
        <w:rPr>
          <w:rFonts w:hint="eastAsia" w:ascii="宋体" w:hAnsi="宋体" w:eastAsia="宋体"/>
          <w:color w:val="auto"/>
          <w:sz w:val="24"/>
          <w:szCs w:val="24"/>
          <w:highlight w:val="none"/>
        </w:rPr>
        <w:t>分包</w:t>
      </w:r>
      <w:bookmarkEnd w:id="33"/>
      <w:bookmarkEnd w:id="34"/>
      <w:r>
        <w:rPr>
          <w:rFonts w:ascii="宋体" w:hAnsi="宋体" w:eastAsia="宋体"/>
          <w:color w:val="auto"/>
          <w:sz w:val="24"/>
          <w:szCs w:val="24"/>
          <w:highlight w:val="none"/>
        </w:rPr>
        <w:t xml:space="preserve"> </w:t>
      </w:r>
    </w:p>
    <w:p>
      <w:pPr>
        <w:shd w:val="clear"/>
        <w:spacing w:after="339" w:line="265" w:lineRule="auto"/>
        <w:ind w:left="417"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本项目严禁分包。</w:t>
      </w:r>
      <w:r>
        <w:rPr>
          <w:rFonts w:ascii="宋体" w:hAnsi="宋体" w:eastAsia="宋体"/>
          <w:color w:val="auto"/>
          <w:sz w:val="24"/>
          <w:szCs w:val="24"/>
          <w:highlight w:val="none"/>
        </w:rPr>
        <w:t xml:space="preserve"> </w:t>
      </w:r>
    </w:p>
    <w:p>
      <w:pPr>
        <w:pStyle w:val="4"/>
        <w:shd w:val="clear"/>
        <w:spacing w:after="290"/>
        <w:ind w:left="132" w:right="0"/>
        <w:rPr>
          <w:rFonts w:ascii="宋体" w:hAnsi="宋体" w:eastAsia="宋体"/>
          <w:color w:val="auto"/>
          <w:sz w:val="24"/>
          <w:szCs w:val="24"/>
          <w:highlight w:val="none"/>
        </w:rPr>
      </w:pPr>
      <w:bookmarkStart w:id="35" w:name="_Toc508788623"/>
      <w:bookmarkStart w:id="36" w:name="_Toc508382106"/>
      <w:r>
        <w:rPr>
          <w:rFonts w:ascii="宋体" w:hAnsi="宋体" w:eastAsia="宋体"/>
          <w:color w:val="auto"/>
          <w:sz w:val="24"/>
          <w:szCs w:val="24"/>
          <w:highlight w:val="none"/>
        </w:rPr>
        <w:t xml:space="preserve">1.12 </w:t>
      </w:r>
      <w:r>
        <w:rPr>
          <w:rFonts w:hint="eastAsia" w:ascii="宋体" w:hAnsi="宋体" w:eastAsia="宋体"/>
          <w:color w:val="auto"/>
          <w:sz w:val="24"/>
          <w:szCs w:val="24"/>
          <w:highlight w:val="none"/>
        </w:rPr>
        <w:t>响应和偏差</w:t>
      </w:r>
      <w:bookmarkEnd w:id="35"/>
      <w:bookmarkEnd w:id="36"/>
      <w:r>
        <w:rPr>
          <w:rFonts w:ascii="宋体" w:hAnsi="宋体" w:eastAsia="宋体"/>
          <w:color w:val="auto"/>
          <w:sz w:val="24"/>
          <w:szCs w:val="24"/>
          <w:highlight w:val="none"/>
        </w:rPr>
        <w:t xml:space="preserve"> </w:t>
      </w:r>
    </w:p>
    <w:p>
      <w:pPr>
        <w:shd w:val="clear"/>
        <w:spacing w:after="0" w:line="36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1.12.1</w:t>
      </w:r>
      <w:r>
        <w:rPr>
          <w:rFonts w:hint="eastAsia" w:ascii="宋体" w:hAnsi="宋体" w:eastAsia="宋体" w:cs="宋体"/>
          <w:color w:val="auto"/>
          <w:sz w:val="24"/>
          <w:szCs w:val="24"/>
          <w:highlight w:val="none"/>
        </w:rPr>
        <w:t>投标文件应当对招标文件的实质性要求和条件作出满足性或更有利于招标人的响应，否则，投标人的投标将被否决。实质性要求和条件见投标人须知前附表。</w:t>
      </w:r>
      <w:r>
        <w:rPr>
          <w:rFonts w:ascii="宋体" w:hAnsi="宋体" w:eastAsia="宋体"/>
          <w:color w:val="auto"/>
          <w:sz w:val="24"/>
          <w:szCs w:val="24"/>
          <w:highlight w:val="none"/>
        </w:rPr>
        <w:t xml:space="preserve"> </w:t>
      </w:r>
    </w:p>
    <w:p>
      <w:pPr>
        <w:shd w:val="clear"/>
        <w:spacing w:after="123" w:line="265" w:lineRule="auto"/>
        <w:ind w:right="103" w:firstLine="407"/>
        <w:rPr>
          <w:rFonts w:ascii="宋体" w:hAnsi="宋体" w:eastAsia="宋体"/>
          <w:color w:val="auto"/>
          <w:sz w:val="24"/>
          <w:szCs w:val="24"/>
          <w:highlight w:val="none"/>
        </w:rPr>
      </w:pPr>
      <w:r>
        <w:rPr>
          <w:rFonts w:ascii="宋体" w:hAnsi="宋体" w:eastAsia="宋体"/>
          <w:color w:val="auto"/>
          <w:sz w:val="24"/>
          <w:szCs w:val="24"/>
          <w:highlight w:val="none"/>
        </w:rPr>
        <w:t xml:space="preserve">1.12.2 </w:t>
      </w:r>
      <w:r>
        <w:rPr>
          <w:rFonts w:hint="eastAsia" w:ascii="宋体" w:hAnsi="宋体" w:eastAsia="宋体" w:cs="宋体"/>
          <w:color w:val="auto"/>
          <w:sz w:val="24"/>
          <w:szCs w:val="24"/>
          <w:highlight w:val="none"/>
        </w:rPr>
        <w:t>投标人应根据招标文件的要求提供投标文件等内容以对招标文件作出响应。</w:t>
      </w:r>
      <w:r>
        <w:rPr>
          <w:rFonts w:ascii="宋体" w:hAnsi="宋体" w:eastAsia="宋体"/>
          <w:color w:val="auto"/>
          <w:sz w:val="24"/>
          <w:szCs w:val="24"/>
          <w:highlight w:val="none"/>
        </w:rPr>
        <w:t xml:space="preserve"> </w:t>
      </w:r>
    </w:p>
    <w:p>
      <w:pPr>
        <w:shd w:val="clear"/>
        <w:spacing w:after="258" w:line="374" w:lineRule="auto"/>
        <w:ind w:right="103" w:firstLine="434"/>
        <w:rPr>
          <w:rFonts w:ascii="宋体" w:hAnsi="宋体" w:eastAsia="宋体"/>
          <w:color w:val="auto"/>
          <w:sz w:val="24"/>
          <w:szCs w:val="24"/>
          <w:highlight w:val="none"/>
        </w:rPr>
      </w:pPr>
      <w:r>
        <w:rPr>
          <w:rFonts w:ascii="宋体" w:hAnsi="宋体" w:eastAsia="宋体"/>
          <w:color w:val="auto"/>
          <w:sz w:val="24"/>
          <w:szCs w:val="24"/>
          <w:highlight w:val="none"/>
        </w:rPr>
        <w:t xml:space="preserve">1.12.3 </w:t>
      </w:r>
      <w:r>
        <w:rPr>
          <w:rFonts w:hint="eastAsia" w:ascii="宋体" w:hAnsi="宋体" w:eastAsia="宋体" w:cs="宋体"/>
          <w:color w:val="auto"/>
          <w:sz w:val="24"/>
          <w:szCs w:val="24"/>
          <w:highlight w:val="none"/>
        </w:rPr>
        <w:t>投标人须知前附表允许投标文件偏离招标文件某些要求的，偏差应当符合招标文件规定的偏差范围和幅度。</w:t>
      </w:r>
      <w:r>
        <w:rPr>
          <w:rFonts w:ascii="宋体" w:hAnsi="宋体" w:eastAsia="宋体"/>
          <w:color w:val="auto"/>
          <w:sz w:val="24"/>
          <w:szCs w:val="24"/>
          <w:highlight w:val="none"/>
        </w:rPr>
        <w:t xml:space="preserve"> </w:t>
      </w:r>
    </w:p>
    <w:p>
      <w:pPr>
        <w:pStyle w:val="2"/>
        <w:shd w:val="clear"/>
        <w:spacing w:after="503" w:line="264" w:lineRule="auto"/>
        <w:ind w:left="-5" w:right="0"/>
        <w:rPr>
          <w:rFonts w:ascii="宋体" w:hAnsi="宋体" w:eastAsia="宋体"/>
          <w:color w:val="auto"/>
          <w:sz w:val="24"/>
          <w:szCs w:val="24"/>
          <w:highlight w:val="none"/>
        </w:rPr>
      </w:pPr>
      <w:bookmarkStart w:id="37" w:name="_Toc508788624"/>
      <w:bookmarkStart w:id="38" w:name="_Toc508382107"/>
      <w:r>
        <w:rPr>
          <w:rFonts w:ascii="宋体" w:hAnsi="宋体" w:eastAsia="宋体"/>
          <w:b/>
          <w:color w:val="auto"/>
          <w:sz w:val="24"/>
          <w:szCs w:val="24"/>
          <w:highlight w:val="none"/>
        </w:rPr>
        <w:t xml:space="preserve">2. </w:t>
      </w:r>
      <w:r>
        <w:rPr>
          <w:rFonts w:hint="eastAsia" w:ascii="宋体" w:hAnsi="宋体" w:eastAsia="宋体"/>
          <w:color w:val="auto"/>
          <w:sz w:val="24"/>
          <w:szCs w:val="24"/>
          <w:highlight w:val="none"/>
        </w:rPr>
        <w:t>招标文件</w:t>
      </w:r>
      <w:bookmarkEnd w:id="37"/>
      <w:bookmarkEnd w:id="38"/>
      <w:r>
        <w:rPr>
          <w:rFonts w:ascii="宋体" w:hAnsi="宋体" w:eastAsia="宋体"/>
          <w:b/>
          <w:color w:val="auto"/>
          <w:sz w:val="24"/>
          <w:szCs w:val="24"/>
          <w:highlight w:val="none"/>
        </w:rPr>
        <w:t xml:space="preserve"> </w:t>
      </w:r>
    </w:p>
    <w:p>
      <w:pPr>
        <w:pStyle w:val="4"/>
        <w:shd w:val="clear"/>
        <w:spacing w:after="285"/>
        <w:ind w:left="132" w:right="0"/>
        <w:rPr>
          <w:rFonts w:ascii="宋体" w:hAnsi="宋体" w:eastAsia="宋体"/>
          <w:color w:val="auto"/>
          <w:sz w:val="24"/>
          <w:szCs w:val="24"/>
          <w:highlight w:val="none"/>
        </w:rPr>
      </w:pPr>
      <w:bookmarkStart w:id="39" w:name="_Toc508382108"/>
      <w:bookmarkStart w:id="40" w:name="_Toc508788625"/>
      <w:r>
        <w:rPr>
          <w:rFonts w:ascii="宋体" w:hAnsi="宋体" w:eastAsia="宋体"/>
          <w:color w:val="auto"/>
          <w:sz w:val="24"/>
          <w:szCs w:val="24"/>
          <w:highlight w:val="none"/>
        </w:rPr>
        <w:t xml:space="preserve">2.1 </w:t>
      </w:r>
      <w:r>
        <w:rPr>
          <w:rFonts w:hint="eastAsia" w:ascii="宋体" w:hAnsi="宋体" w:eastAsia="宋体"/>
          <w:color w:val="auto"/>
          <w:sz w:val="24"/>
          <w:szCs w:val="24"/>
          <w:highlight w:val="none"/>
        </w:rPr>
        <w:t>招标文件的组成</w:t>
      </w:r>
      <w:bookmarkEnd w:id="39"/>
      <w:bookmarkEnd w:id="40"/>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本招标文件包括：</w:t>
      </w:r>
      <w:r>
        <w:rPr>
          <w:rFonts w:ascii="宋体" w:hAnsi="宋体" w:eastAsia="宋体"/>
          <w:color w:val="auto"/>
          <w:sz w:val="24"/>
          <w:szCs w:val="24"/>
          <w:highlight w:val="none"/>
        </w:rPr>
        <w:t xml:space="preserve"> </w:t>
      </w:r>
    </w:p>
    <w:p>
      <w:pPr>
        <w:numPr>
          <w:ilvl w:val="0"/>
          <w:numId w:val="5"/>
        </w:numPr>
        <w:shd w:val="clear"/>
        <w:spacing w:after="123" w:line="265" w:lineRule="auto"/>
        <w:ind w:right="103" w:hanging="526"/>
        <w:rPr>
          <w:rFonts w:ascii="宋体" w:hAnsi="宋体" w:eastAsia="宋体"/>
          <w:color w:val="auto"/>
          <w:sz w:val="24"/>
          <w:szCs w:val="24"/>
          <w:highlight w:val="none"/>
        </w:rPr>
      </w:pPr>
      <w:r>
        <w:rPr>
          <w:rFonts w:hint="eastAsia" w:ascii="宋体" w:hAnsi="宋体" w:eastAsia="宋体" w:cs="宋体"/>
          <w:color w:val="auto"/>
          <w:sz w:val="24"/>
          <w:szCs w:val="24"/>
          <w:highlight w:val="none"/>
        </w:rPr>
        <w:t>招标公告（或投标邀请书）；</w:t>
      </w:r>
      <w:r>
        <w:rPr>
          <w:rFonts w:ascii="宋体" w:hAnsi="宋体" w:eastAsia="宋体"/>
          <w:color w:val="auto"/>
          <w:sz w:val="24"/>
          <w:szCs w:val="24"/>
          <w:highlight w:val="none"/>
        </w:rPr>
        <w:t xml:space="preserve"> </w:t>
      </w:r>
    </w:p>
    <w:p>
      <w:pPr>
        <w:numPr>
          <w:ilvl w:val="0"/>
          <w:numId w:val="5"/>
        </w:numPr>
        <w:shd w:val="clear"/>
        <w:spacing w:after="123" w:line="265" w:lineRule="auto"/>
        <w:ind w:right="103" w:hanging="526"/>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投标人须知；</w:t>
      </w:r>
      <w:r>
        <w:rPr>
          <w:rFonts w:ascii="宋体" w:hAnsi="宋体" w:eastAsia="宋体"/>
          <w:color w:val="auto"/>
          <w:sz w:val="24"/>
          <w:szCs w:val="24"/>
          <w:highlight w:val="none"/>
        </w:rPr>
        <w:t xml:space="preserve"> </w:t>
      </w:r>
    </w:p>
    <w:p>
      <w:pPr>
        <w:numPr>
          <w:ilvl w:val="0"/>
          <w:numId w:val="5"/>
        </w:numPr>
        <w:shd w:val="clear"/>
        <w:spacing w:after="123" w:line="265" w:lineRule="auto"/>
        <w:ind w:right="103" w:hanging="526"/>
        <w:rPr>
          <w:rFonts w:ascii="宋体" w:hAnsi="宋体" w:eastAsia="宋体"/>
          <w:color w:val="auto"/>
          <w:sz w:val="24"/>
          <w:szCs w:val="24"/>
          <w:highlight w:val="none"/>
        </w:rPr>
      </w:pPr>
      <w:r>
        <w:rPr>
          <w:rFonts w:hint="eastAsia" w:ascii="宋体" w:hAnsi="宋体" w:eastAsia="宋体" w:cs="宋体"/>
          <w:color w:val="auto"/>
          <w:sz w:val="24"/>
          <w:szCs w:val="24"/>
          <w:highlight w:val="none"/>
        </w:rPr>
        <w:t>评标办法；</w:t>
      </w:r>
      <w:r>
        <w:rPr>
          <w:rFonts w:ascii="宋体" w:hAnsi="宋体" w:eastAsia="宋体"/>
          <w:color w:val="auto"/>
          <w:sz w:val="24"/>
          <w:szCs w:val="24"/>
          <w:highlight w:val="none"/>
        </w:rPr>
        <w:t xml:space="preserve"> </w:t>
      </w:r>
    </w:p>
    <w:p>
      <w:pPr>
        <w:numPr>
          <w:ilvl w:val="0"/>
          <w:numId w:val="5"/>
        </w:numPr>
        <w:shd w:val="clear"/>
        <w:spacing w:after="123" w:line="265" w:lineRule="auto"/>
        <w:ind w:right="103" w:hanging="526"/>
        <w:rPr>
          <w:rFonts w:ascii="宋体" w:hAnsi="宋体" w:eastAsia="宋体"/>
          <w:color w:val="auto"/>
          <w:sz w:val="24"/>
          <w:szCs w:val="24"/>
          <w:highlight w:val="none"/>
        </w:rPr>
      </w:pPr>
      <w:r>
        <w:rPr>
          <w:rFonts w:hint="eastAsia" w:ascii="宋体" w:hAnsi="宋体" w:eastAsia="宋体" w:cs="宋体"/>
          <w:color w:val="auto"/>
          <w:sz w:val="24"/>
          <w:szCs w:val="24"/>
          <w:highlight w:val="none"/>
        </w:rPr>
        <w:t>合同条款及格式（另册）；</w:t>
      </w:r>
      <w:r>
        <w:rPr>
          <w:rFonts w:ascii="宋体" w:hAnsi="宋体" w:eastAsia="宋体"/>
          <w:color w:val="auto"/>
          <w:sz w:val="24"/>
          <w:szCs w:val="24"/>
          <w:highlight w:val="none"/>
        </w:rPr>
        <w:t xml:space="preserve"> </w:t>
      </w:r>
    </w:p>
    <w:p>
      <w:pPr>
        <w:numPr>
          <w:ilvl w:val="0"/>
          <w:numId w:val="5"/>
        </w:numPr>
        <w:shd w:val="clear"/>
        <w:spacing w:after="123" w:line="265" w:lineRule="auto"/>
        <w:ind w:right="103" w:hanging="526"/>
        <w:rPr>
          <w:rFonts w:ascii="宋体" w:hAnsi="宋体" w:eastAsia="宋体"/>
          <w:color w:val="auto"/>
          <w:sz w:val="24"/>
          <w:szCs w:val="24"/>
          <w:highlight w:val="none"/>
        </w:rPr>
      </w:pPr>
      <w:r>
        <w:rPr>
          <w:rFonts w:hint="eastAsia" w:ascii="宋体" w:hAnsi="宋体" w:eastAsia="宋体" w:cs="宋体"/>
          <w:color w:val="auto"/>
          <w:sz w:val="24"/>
          <w:szCs w:val="24"/>
          <w:highlight w:val="none"/>
        </w:rPr>
        <w:t>超前钻技术要求；</w:t>
      </w:r>
      <w:r>
        <w:rPr>
          <w:rFonts w:ascii="宋体" w:hAnsi="宋体" w:eastAsia="宋体"/>
          <w:color w:val="auto"/>
          <w:sz w:val="24"/>
          <w:szCs w:val="24"/>
          <w:highlight w:val="none"/>
        </w:rPr>
        <w:t xml:space="preserve"> </w:t>
      </w:r>
    </w:p>
    <w:p>
      <w:pPr>
        <w:numPr>
          <w:ilvl w:val="0"/>
          <w:numId w:val="5"/>
        </w:numPr>
        <w:shd w:val="clear"/>
        <w:spacing w:after="123" w:line="265" w:lineRule="auto"/>
        <w:ind w:right="103" w:hanging="526"/>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投标文件格式；</w:t>
      </w:r>
      <w:r>
        <w:rPr>
          <w:rFonts w:ascii="宋体" w:hAnsi="宋体" w:eastAsia="宋体"/>
          <w:color w:val="auto"/>
          <w:sz w:val="24"/>
          <w:szCs w:val="24"/>
          <w:highlight w:val="none"/>
        </w:rPr>
        <w:t xml:space="preserve"> </w:t>
      </w:r>
    </w:p>
    <w:p>
      <w:pPr>
        <w:shd w:val="clear"/>
        <w:spacing w:after="214" w:line="373"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根据本章第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1.10 </w:t>
      </w:r>
      <w:r>
        <w:rPr>
          <w:rFonts w:hint="eastAsia" w:ascii="宋体" w:hAnsi="宋体" w:eastAsia="宋体" w:cs="宋体"/>
          <w:color w:val="auto"/>
          <w:sz w:val="24"/>
          <w:szCs w:val="24"/>
          <w:highlight w:val="none"/>
        </w:rPr>
        <w:t>款、第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2.2 </w:t>
      </w:r>
      <w:r>
        <w:rPr>
          <w:rFonts w:hint="eastAsia" w:ascii="宋体" w:hAnsi="宋体" w:eastAsia="宋体" w:cs="宋体"/>
          <w:color w:val="auto"/>
          <w:sz w:val="24"/>
          <w:szCs w:val="24"/>
          <w:highlight w:val="none"/>
        </w:rPr>
        <w:t>款和第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2.3 </w:t>
      </w:r>
      <w:r>
        <w:rPr>
          <w:rFonts w:hint="eastAsia" w:ascii="宋体" w:hAnsi="宋体" w:eastAsia="宋体" w:cs="宋体"/>
          <w:color w:val="auto"/>
          <w:sz w:val="24"/>
          <w:szCs w:val="24"/>
          <w:highlight w:val="none"/>
        </w:rPr>
        <w:t>款对招标文件所作的澄清、修改，构成招标文件的组成部分。</w:t>
      </w:r>
      <w:r>
        <w:rPr>
          <w:rFonts w:ascii="宋体" w:hAnsi="宋体" w:eastAsia="宋体"/>
          <w:color w:val="auto"/>
          <w:sz w:val="24"/>
          <w:szCs w:val="24"/>
          <w:highlight w:val="none"/>
        </w:rPr>
        <w:t xml:space="preserve"> </w:t>
      </w:r>
    </w:p>
    <w:p>
      <w:pPr>
        <w:pStyle w:val="4"/>
        <w:shd w:val="clear"/>
        <w:spacing w:after="284"/>
        <w:ind w:left="132" w:right="0"/>
        <w:rPr>
          <w:rFonts w:ascii="宋体" w:hAnsi="宋体" w:eastAsia="宋体"/>
          <w:color w:val="auto"/>
          <w:sz w:val="24"/>
          <w:szCs w:val="24"/>
          <w:highlight w:val="none"/>
        </w:rPr>
      </w:pPr>
      <w:bookmarkStart w:id="41" w:name="_Toc508382109"/>
      <w:bookmarkStart w:id="42" w:name="_Toc508788626"/>
      <w:r>
        <w:rPr>
          <w:rFonts w:ascii="宋体" w:hAnsi="宋体" w:eastAsia="宋体"/>
          <w:color w:val="auto"/>
          <w:sz w:val="24"/>
          <w:szCs w:val="24"/>
          <w:highlight w:val="none"/>
        </w:rPr>
        <w:t xml:space="preserve">2.2 </w:t>
      </w:r>
      <w:r>
        <w:rPr>
          <w:rFonts w:hint="eastAsia" w:ascii="宋体" w:hAnsi="宋体" w:eastAsia="宋体"/>
          <w:color w:val="auto"/>
          <w:sz w:val="24"/>
          <w:szCs w:val="24"/>
          <w:highlight w:val="none"/>
        </w:rPr>
        <w:t>招标文件的澄清</w:t>
      </w:r>
      <w:bookmarkEnd w:id="41"/>
      <w:bookmarkEnd w:id="42"/>
      <w:r>
        <w:rPr>
          <w:rFonts w:ascii="宋体" w:hAnsi="宋体" w:eastAsia="宋体"/>
          <w:color w:val="auto"/>
          <w:sz w:val="24"/>
          <w:szCs w:val="24"/>
          <w:highlight w:val="none"/>
        </w:rPr>
        <w:t xml:space="preserve"> </w:t>
      </w:r>
    </w:p>
    <w:p>
      <w:pPr>
        <w:shd w:val="clear"/>
        <w:spacing w:line="360" w:lineRule="auto"/>
        <w:ind w:firstLine="480" w:firstLineChars="200"/>
        <w:rPr>
          <w:rFonts w:ascii="宋体" w:hAnsi="宋体" w:cs="宋体"/>
          <w:color w:val="auto"/>
          <w:sz w:val="24"/>
          <w:szCs w:val="24"/>
          <w:highlight w:val="none"/>
        </w:rPr>
      </w:pPr>
      <w:bookmarkStart w:id="43" w:name="_Toc508788627"/>
      <w:bookmarkStart w:id="44" w:name="_Toc508382110"/>
      <w:r>
        <w:rPr>
          <w:rFonts w:hint="eastAsia" w:ascii="宋体" w:hAnsi="宋体" w:cs="宋体"/>
          <w:color w:val="auto"/>
          <w:sz w:val="24"/>
          <w:szCs w:val="24"/>
          <w:highlight w:val="none"/>
        </w:rPr>
        <w:t>投标人应仔细阅读和检查招标文件的全部内容。如发现缺页或附件不全，应及时向招标人提出，以便补齐。如有疑问，</w:t>
      </w:r>
      <w:r>
        <w:rPr>
          <w:rFonts w:hint="eastAsia" w:ascii="宋体" w:hAnsi="宋体" w:cs="宋体"/>
          <w:color w:val="auto"/>
          <w:sz w:val="24"/>
          <w:szCs w:val="24"/>
          <w:highlight w:val="none"/>
          <w:u w:val="single"/>
        </w:rPr>
        <w:t>应在投标人须知前附表规定的时间前通过广州公共资源交易中心网站进入提问区域将问题提交给招标人或招标代理人，要求招标人对招标文件予以澄清，提交问题时一律不得署名。</w:t>
      </w:r>
    </w:p>
    <w:p>
      <w:pPr>
        <w:shd w:val="clea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2.2.2招标人应在投标截止时间15日前解答投标人对招标文件提出的疑问，形成答疑纪要，方可在交易中心网站“项目答疑纪要”专区发布。</w:t>
      </w:r>
    </w:p>
    <w:p>
      <w:pPr>
        <w:shd w:val="clea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2.2.3招标答疑纪要一经在广州公共资源交易中心网站发布，视作已发放给所有投标人。</w:t>
      </w:r>
    </w:p>
    <w:p>
      <w:pPr>
        <w:shd w:val="clea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2.2.4招标答疑纪要为招标文件的一部分。投标人可在广州公共资源交易中心网站浏览、下载招标答疑纪要。</w:t>
      </w:r>
    </w:p>
    <w:p>
      <w:pPr>
        <w:shd w:val="clear"/>
        <w:spacing w:line="360" w:lineRule="auto"/>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2.2.5除非招标人认为确有必要答复，否则，招标人有权拒绝回复投标人在本章第2.2.1项规定的时间后的任何澄清要求。</w:t>
      </w:r>
    </w:p>
    <w:p>
      <w:pPr>
        <w:pStyle w:val="88"/>
        <w:shd w:val="clear"/>
        <w:spacing w:line="360" w:lineRule="auto"/>
        <w:rPr>
          <w:color w:val="auto"/>
          <w:sz w:val="24"/>
          <w:szCs w:val="24"/>
          <w:highlight w:val="none"/>
        </w:rPr>
      </w:pPr>
      <w:r>
        <w:rPr>
          <w:rFonts w:hint="eastAsia" w:ascii="宋体" w:hAnsi="宋体" w:cs="宋体"/>
          <w:color w:val="auto"/>
          <w:sz w:val="24"/>
          <w:szCs w:val="24"/>
          <w:highlight w:val="none"/>
        </w:rPr>
        <w:t xml:space="preserve">    2.2.6若招标答疑纪要与招标文件有矛盾时，以广州公共资源交易中心网站最后发布的答疑纪要为准。</w:t>
      </w:r>
    </w:p>
    <w:p>
      <w:pPr>
        <w:pStyle w:val="4"/>
        <w:shd w:val="clear"/>
        <w:spacing w:after="285"/>
        <w:ind w:left="132" w:right="0"/>
        <w:rPr>
          <w:rFonts w:ascii="宋体" w:hAnsi="宋体" w:eastAsia="宋体"/>
          <w:color w:val="auto"/>
          <w:sz w:val="24"/>
          <w:szCs w:val="24"/>
          <w:highlight w:val="none"/>
        </w:rPr>
      </w:pPr>
      <w:r>
        <w:rPr>
          <w:rFonts w:ascii="宋体" w:hAnsi="宋体" w:eastAsia="宋体"/>
          <w:color w:val="auto"/>
          <w:sz w:val="24"/>
          <w:szCs w:val="24"/>
          <w:highlight w:val="none"/>
        </w:rPr>
        <w:t xml:space="preserve">2.3 </w:t>
      </w:r>
      <w:r>
        <w:rPr>
          <w:rFonts w:hint="eastAsia" w:ascii="宋体" w:hAnsi="宋体" w:eastAsia="宋体"/>
          <w:color w:val="auto"/>
          <w:sz w:val="24"/>
          <w:szCs w:val="24"/>
          <w:highlight w:val="none"/>
        </w:rPr>
        <w:t>招标文件的修改</w:t>
      </w:r>
      <w:bookmarkEnd w:id="43"/>
      <w:bookmarkEnd w:id="44"/>
      <w:r>
        <w:rPr>
          <w:rFonts w:ascii="宋体" w:hAnsi="宋体" w:eastAsia="宋体"/>
          <w:color w:val="auto"/>
          <w:sz w:val="24"/>
          <w:szCs w:val="24"/>
          <w:highlight w:val="none"/>
        </w:rPr>
        <w:t xml:space="preserve"> </w:t>
      </w:r>
    </w:p>
    <w:p>
      <w:pPr>
        <w:shd w:val="clear"/>
        <w:spacing w:line="360" w:lineRule="auto"/>
        <w:ind w:firstLine="480" w:firstLineChars="200"/>
        <w:rPr>
          <w:rFonts w:ascii="宋体" w:hAnsi="宋体" w:cs="宋体"/>
          <w:color w:val="auto"/>
          <w:sz w:val="24"/>
          <w:szCs w:val="24"/>
          <w:highlight w:val="none"/>
          <w:u w:val="single"/>
        </w:rPr>
      </w:pPr>
      <w:bookmarkStart w:id="45" w:name="_Toc508788628"/>
      <w:bookmarkStart w:id="46" w:name="_Toc508382111"/>
      <w:r>
        <w:rPr>
          <w:rFonts w:ascii="宋体" w:hAnsi="宋体" w:cs="宋体"/>
          <w:color w:val="auto"/>
          <w:sz w:val="24"/>
          <w:szCs w:val="24"/>
          <w:highlight w:val="none"/>
          <w:u w:val="single"/>
        </w:rPr>
        <w:t>2.3.1招标文件发出后,在提交投标文件截止时间15日前，招标人可对招标文件进行必要的澄清或修改。</w:t>
      </w:r>
    </w:p>
    <w:p>
      <w:pPr>
        <w:shd w:val="clear"/>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2.3.2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shd w:val="clear"/>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2.3.3招标文件的澄清、修改均以广州公共资源交易中心网站发布的内容为准。当招标文件的澄清、修改在同一内容的表述不一致时，以广州公共资源交易中心网站最后发布的内容为准。</w:t>
      </w:r>
    </w:p>
    <w:p>
      <w:pPr>
        <w:shd w:val="clear"/>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2.3.4为使投标人在编制投标文件时有充分</w:t>
      </w:r>
      <w:r>
        <w:rPr>
          <w:rFonts w:hint="eastAsia" w:ascii="宋体" w:hAnsi="宋体" w:eastAsia="宋体" w:cs="宋体"/>
          <w:color w:val="auto"/>
          <w:sz w:val="24"/>
          <w:szCs w:val="24"/>
          <w:highlight w:val="none"/>
          <w:u w:val="single"/>
        </w:rPr>
        <w:t>的时间对招</w:t>
      </w:r>
      <w:r>
        <w:rPr>
          <w:rFonts w:ascii="宋体" w:hAnsi="宋体" w:cs="宋体"/>
          <w:color w:val="auto"/>
          <w:sz w:val="24"/>
          <w:szCs w:val="24"/>
          <w:highlight w:val="none"/>
          <w:u w:val="single"/>
        </w:rPr>
        <w:t>标文件的澄清、修改、补充等内容考虑进去，招标人将酌情延长提交投标文件的截止时间，具体时间将在招标文件的修改、补充通知中予以明确。若通知中没有明确延长时间，即表示投标时间不延长。</w:t>
      </w:r>
    </w:p>
    <w:p>
      <w:pPr>
        <w:pStyle w:val="4"/>
        <w:shd w:val="clear"/>
        <w:spacing w:after="285"/>
        <w:ind w:left="132" w:right="0"/>
        <w:rPr>
          <w:rFonts w:ascii="宋体" w:hAnsi="宋体" w:eastAsia="宋体"/>
          <w:color w:val="auto"/>
          <w:sz w:val="24"/>
          <w:szCs w:val="24"/>
          <w:highlight w:val="none"/>
        </w:rPr>
      </w:pPr>
      <w:r>
        <w:rPr>
          <w:rFonts w:ascii="宋体" w:hAnsi="宋体" w:eastAsia="宋体"/>
          <w:color w:val="auto"/>
          <w:sz w:val="24"/>
          <w:szCs w:val="24"/>
          <w:highlight w:val="none"/>
        </w:rPr>
        <w:t xml:space="preserve">2.4 </w:t>
      </w:r>
      <w:r>
        <w:rPr>
          <w:rFonts w:hint="eastAsia" w:ascii="宋体" w:hAnsi="宋体" w:eastAsia="宋体"/>
          <w:color w:val="auto"/>
          <w:sz w:val="24"/>
          <w:szCs w:val="24"/>
          <w:highlight w:val="none"/>
        </w:rPr>
        <w:t>招标文件的异议</w:t>
      </w:r>
      <w:bookmarkEnd w:id="45"/>
      <w:bookmarkEnd w:id="46"/>
      <w:r>
        <w:rPr>
          <w:rFonts w:ascii="宋体" w:hAnsi="宋体" w:eastAsia="宋体"/>
          <w:color w:val="auto"/>
          <w:sz w:val="24"/>
          <w:szCs w:val="24"/>
          <w:highlight w:val="none"/>
        </w:rPr>
        <w:t xml:space="preserve"> </w:t>
      </w:r>
    </w:p>
    <w:p>
      <w:pPr>
        <w:shd w:val="clear"/>
        <w:spacing w:after="265" w:line="372"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投标人或者其他利害关系人对招标文件有异议的，应当在投标截止时间</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10 </w:t>
      </w:r>
      <w:r>
        <w:rPr>
          <w:rFonts w:hint="eastAsia" w:ascii="宋体" w:hAnsi="宋体" w:eastAsia="宋体" w:cs="宋体"/>
          <w:color w:val="auto"/>
          <w:sz w:val="24"/>
          <w:szCs w:val="24"/>
          <w:highlight w:val="none"/>
        </w:rPr>
        <w:t>日前以书面形式提出。招标人将在收到异议之日起</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3 </w:t>
      </w:r>
      <w:r>
        <w:rPr>
          <w:rFonts w:hint="eastAsia" w:ascii="宋体" w:hAnsi="宋体" w:eastAsia="宋体" w:cs="宋体"/>
          <w:color w:val="auto"/>
          <w:sz w:val="24"/>
          <w:szCs w:val="24"/>
          <w:highlight w:val="none"/>
        </w:rPr>
        <w:t>日内作出答复；作出答复前，将暂停招标投标活动。</w:t>
      </w:r>
      <w:r>
        <w:rPr>
          <w:rFonts w:ascii="宋体" w:hAnsi="宋体" w:eastAsia="宋体"/>
          <w:color w:val="auto"/>
          <w:sz w:val="24"/>
          <w:szCs w:val="24"/>
          <w:highlight w:val="none"/>
        </w:rPr>
        <w:t xml:space="preserve"> </w:t>
      </w:r>
    </w:p>
    <w:p>
      <w:pPr>
        <w:pStyle w:val="2"/>
        <w:shd w:val="clear"/>
        <w:spacing w:after="503" w:line="264" w:lineRule="auto"/>
        <w:ind w:left="-5" w:right="0"/>
        <w:rPr>
          <w:rFonts w:ascii="宋体" w:hAnsi="宋体" w:eastAsia="宋体"/>
          <w:color w:val="auto"/>
          <w:sz w:val="24"/>
          <w:szCs w:val="24"/>
          <w:highlight w:val="none"/>
        </w:rPr>
      </w:pPr>
      <w:bookmarkStart w:id="47" w:name="_Toc508382112"/>
      <w:bookmarkStart w:id="48" w:name="_Toc508788629"/>
      <w:r>
        <w:rPr>
          <w:rFonts w:ascii="宋体" w:hAnsi="宋体" w:eastAsia="宋体"/>
          <w:b/>
          <w:color w:val="auto"/>
          <w:sz w:val="24"/>
          <w:szCs w:val="24"/>
          <w:highlight w:val="none"/>
        </w:rPr>
        <w:t xml:space="preserve">3. </w:t>
      </w:r>
      <w:r>
        <w:rPr>
          <w:rFonts w:hint="eastAsia" w:ascii="宋体" w:hAnsi="宋体" w:eastAsia="宋体"/>
          <w:color w:val="auto"/>
          <w:sz w:val="24"/>
          <w:szCs w:val="24"/>
          <w:highlight w:val="none"/>
        </w:rPr>
        <w:t>投标文件</w:t>
      </w:r>
      <w:bookmarkEnd w:id="47"/>
      <w:bookmarkEnd w:id="48"/>
      <w:r>
        <w:rPr>
          <w:rFonts w:ascii="宋体" w:hAnsi="宋体" w:eastAsia="宋体"/>
          <w:b/>
          <w:color w:val="auto"/>
          <w:sz w:val="24"/>
          <w:szCs w:val="24"/>
          <w:highlight w:val="none"/>
        </w:rPr>
        <w:t xml:space="preserve"> </w:t>
      </w:r>
    </w:p>
    <w:p>
      <w:pPr>
        <w:pStyle w:val="4"/>
        <w:shd w:val="clear"/>
        <w:spacing w:after="283"/>
        <w:ind w:left="132" w:right="0"/>
        <w:rPr>
          <w:rFonts w:hint="eastAsia" w:ascii="宋体" w:hAnsi="宋体" w:eastAsia="宋体"/>
          <w:color w:val="auto"/>
          <w:sz w:val="24"/>
          <w:szCs w:val="24"/>
          <w:highlight w:val="none"/>
        </w:rPr>
      </w:pPr>
      <w:bookmarkStart w:id="49" w:name="_Toc508382113"/>
      <w:bookmarkStart w:id="50" w:name="_Toc508788630"/>
      <w:r>
        <w:rPr>
          <w:rFonts w:ascii="宋体" w:hAnsi="宋体" w:eastAsia="宋体"/>
          <w:color w:val="auto"/>
          <w:sz w:val="24"/>
          <w:szCs w:val="24"/>
          <w:highlight w:val="none"/>
        </w:rPr>
        <w:t xml:space="preserve">3.1 </w:t>
      </w:r>
      <w:r>
        <w:rPr>
          <w:rFonts w:hint="eastAsia" w:ascii="宋体" w:hAnsi="宋体" w:eastAsia="宋体"/>
          <w:color w:val="auto"/>
          <w:sz w:val="24"/>
          <w:szCs w:val="24"/>
          <w:highlight w:val="none"/>
        </w:rPr>
        <w:t>投标文件的组成</w:t>
      </w:r>
      <w:bookmarkEnd w:id="49"/>
      <w:bookmarkEnd w:id="50"/>
    </w:p>
    <w:p>
      <w:pPr>
        <w:shd w:val="clear"/>
        <w:spacing w:after="123" w:line="265" w:lineRule="auto"/>
        <w:ind w:left="10" w:right="103" w:hanging="10"/>
        <w:rPr>
          <w:rFonts w:hint="eastAsia"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3.1.1 </w:t>
      </w:r>
      <w:r>
        <w:rPr>
          <w:rFonts w:hint="eastAsia" w:ascii="宋体" w:hAnsi="宋体" w:eastAsia="宋体" w:cs="宋体"/>
          <w:color w:val="auto"/>
          <w:sz w:val="24"/>
          <w:szCs w:val="24"/>
          <w:highlight w:val="none"/>
        </w:rPr>
        <w:t>投标文件应包括下列内容：</w:t>
      </w:r>
      <w:r>
        <w:rPr>
          <w:rFonts w:ascii="宋体" w:hAnsi="宋体" w:eastAsia="宋体"/>
          <w:color w:val="auto"/>
          <w:sz w:val="24"/>
          <w:szCs w:val="24"/>
          <w:highlight w:val="none"/>
        </w:rPr>
        <w:t xml:space="preserve"> </w:t>
      </w:r>
    </w:p>
    <w:p>
      <w:pPr>
        <w:pStyle w:val="14"/>
        <w:shd w:val="clear"/>
        <w:kinsoku w:val="0"/>
        <w:overflowPunct w:val="0"/>
        <w:spacing w:before="76"/>
        <w:rPr>
          <w:rFonts w:ascii="宋体" w:hAnsi="宋体" w:eastAsia="宋体"/>
          <w:color w:val="auto"/>
          <w:sz w:val="24"/>
          <w:szCs w:val="24"/>
          <w:highlight w:val="none"/>
        </w:rPr>
      </w:pPr>
      <w:r>
        <w:rPr>
          <w:rFonts w:ascii="宋体" w:hAnsi="宋体" w:eastAsia="宋体"/>
          <w:color w:val="auto"/>
          <w:sz w:val="24"/>
          <w:szCs w:val="24"/>
          <w:highlight w:val="none"/>
        </w:rPr>
        <w:t>（1</w:t>
      </w:r>
      <w:r>
        <w:rPr>
          <w:rFonts w:ascii="宋体" w:hAnsi="宋体" w:eastAsia="宋体"/>
          <w:color w:val="auto"/>
          <w:spacing w:val="-3"/>
          <w:sz w:val="24"/>
          <w:szCs w:val="24"/>
          <w:highlight w:val="none"/>
        </w:rPr>
        <w:t>）</w:t>
      </w:r>
      <w:r>
        <w:rPr>
          <w:rFonts w:ascii="宋体" w:hAnsi="宋体" w:eastAsia="宋体"/>
          <w:color w:val="auto"/>
          <w:sz w:val="24"/>
          <w:szCs w:val="24"/>
          <w:highlight w:val="none"/>
        </w:rPr>
        <w:t>投</w:t>
      </w:r>
      <w:r>
        <w:rPr>
          <w:rFonts w:ascii="宋体" w:hAnsi="宋体" w:eastAsia="宋体"/>
          <w:color w:val="auto"/>
          <w:spacing w:val="-3"/>
          <w:sz w:val="24"/>
          <w:szCs w:val="24"/>
          <w:highlight w:val="none"/>
        </w:rPr>
        <w:t>标</w:t>
      </w:r>
      <w:r>
        <w:rPr>
          <w:rFonts w:hint="eastAsia" w:ascii="宋体" w:hAnsi="宋体" w:eastAsia="宋体"/>
          <w:color w:val="auto"/>
          <w:sz w:val="24"/>
          <w:szCs w:val="24"/>
          <w:highlight w:val="none"/>
        </w:rPr>
        <w:t>书</w:t>
      </w:r>
      <w:r>
        <w:rPr>
          <w:rFonts w:ascii="宋体" w:hAnsi="宋体" w:eastAsia="宋体"/>
          <w:color w:val="auto"/>
          <w:spacing w:val="-3"/>
          <w:sz w:val="24"/>
          <w:szCs w:val="24"/>
          <w:highlight w:val="none"/>
        </w:rPr>
        <w:t>及</w:t>
      </w:r>
      <w:r>
        <w:rPr>
          <w:rFonts w:ascii="宋体" w:hAnsi="宋体" w:eastAsia="宋体"/>
          <w:color w:val="auto"/>
          <w:sz w:val="24"/>
          <w:szCs w:val="24"/>
          <w:highlight w:val="none"/>
        </w:rPr>
        <w:t>投</w:t>
      </w:r>
      <w:r>
        <w:rPr>
          <w:rFonts w:ascii="宋体" w:hAnsi="宋体" w:eastAsia="宋体"/>
          <w:color w:val="auto"/>
          <w:spacing w:val="-3"/>
          <w:sz w:val="24"/>
          <w:szCs w:val="24"/>
          <w:highlight w:val="none"/>
        </w:rPr>
        <w:t>标</w:t>
      </w:r>
      <w:r>
        <w:rPr>
          <w:rFonts w:hint="eastAsia" w:ascii="宋体" w:hAnsi="宋体" w:eastAsia="宋体"/>
          <w:color w:val="auto"/>
          <w:sz w:val="24"/>
          <w:szCs w:val="24"/>
          <w:highlight w:val="none"/>
        </w:rPr>
        <w:t>书</w:t>
      </w:r>
      <w:r>
        <w:rPr>
          <w:rFonts w:ascii="宋体" w:hAnsi="宋体" w:eastAsia="宋体"/>
          <w:color w:val="auto"/>
          <w:spacing w:val="-3"/>
          <w:sz w:val="24"/>
          <w:szCs w:val="24"/>
          <w:highlight w:val="none"/>
        </w:rPr>
        <w:t>附录</w:t>
      </w:r>
      <w:r>
        <w:rPr>
          <w:rFonts w:ascii="宋体" w:hAnsi="宋体" w:eastAsia="宋体"/>
          <w:color w:val="auto"/>
          <w:sz w:val="24"/>
          <w:szCs w:val="24"/>
          <w:highlight w:val="none"/>
        </w:rPr>
        <w:t>；</w:t>
      </w:r>
    </w:p>
    <w:p>
      <w:pPr>
        <w:pStyle w:val="14"/>
        <w:shd w:val="clear"/>
        <w:kinsoku w:val="0"/>
        <w:overflowPunct w:val="0"/>
        <w:spacing w:before="73"/>
        <w:rPr>
          <w:rFonts w:ascii="宋体" w:hAnsi="宋体" w:eastAsia="宋体"/>
          <w:color w:val="auto"/>
          <w:sz w:val="24"/>
          <w:szCs w:val="24"/>
          <w:highlight w:val="none"/>
        </w:rPr>
      </w:pPr>
      <w:r>
        <w:rPr>
          <w:rFonts w:ascii="宋体" w:hAnsi="宋体" w:eastAsia="宋体"/>
          <w:color w:val="auto"/>
          <w:sz w:val="24"/>
          <w:szCs w:val="24"/>
          <w:highlight w:val="none"/>
        </w:rPr>
        <w:t>（2</w:t>
      </w:r>
      <w:r>
        <w:rPr>
          <w:rFonts w:ascii="宋体" w:hAnsi="宋体" w:eastAsia="宋体"/>
          <w:color w:val="auto"/>
          <w:spacing w:val="-3"/>
          <w:sz w:val="24"/>
          <w:szCs w:val="24"/>
          <w:highlight w:val="none"/>
        </w:rPr>
        <w:t>）</w:t>
      </w:r>
      <w:r>
        <w:rPr>
          <w:rFonts w:ascii="宋体" w:hAnsi="宋体" w:eastAsia="宋体"/>
          <w:color w:val="auto"/>
          <w:sz w:val="24"/>
          <w:szCs w:val="24"/>
          <w:highlight w:val="none"/>
        </w:rPr>
        <w:t>法</w:t>
      </w:r>
      <w:r>
        <w:rPr>
          <w:rFonts w:ascii="宋体" w:hAnsi="宋体" w:eastAsia="宋体"/>
          <w:color w:val="auto"/>
          <w:spacing w:val="-3"/>
          <w:sz w:val="24"/>
          <w:szCs w:val="24"/>
          <w:highlight w:val="none"/>
        </w:rPr>
        <w:t>定</w:t>
      </w:r>
      <w:r>
        <w:rPr>
          <w:rFonts w:ascii="宋体" w:hAnsi="宋体" w:eastAsia="宋体"/>
          <w:color w:val="auto"/>
          <w:sz w:val="24"/>
          <w:szCs w:val="24"/>
          <w:highlight w:val="none"/>
        </w:rPr>
        <w:t>代</w:t>
      </w:r>
      <w:r>
        <w:rPr>
          <w:rFonts w:ascii="宋体" w:hAnsi="宋体" w:eastAsia="宋体"/>
          <w:color w:val="auto"/>
          <w:spacing w:val="-3"/>
          <w:sz w:val="24"/>
          <w:szCs w:val="24"/>
          <w:highlight w:val="none"/>
        </w:rPr>
        <w:t>表</w:t>
      </w:r>
      <w:r>
        <w:rPr>
          <w:rFonts w:ascii="宋体" w:hAnsi="宋体" w:eastAsia="宋体"/>
          <w:color w:val="auto"/>
          <w:sz w:val="24"/>
          <w:szCs w:val="24"/>
          <w:highlight w:val="none"/>
        </w:rPr>
        <w:t>人</w:t>
      </w:r>
      <w:r>
        <w:rPr>
          <w:rFonts w:ascii="宋体" w:hAnsi="宋体" w:eastAsia="宋体"/>
          <w:color w:val="auto"/>
          <w:spacing w:val="-3"/>
          <w:sz w:val="24"/>
          <w:szCs w:val="24"/>
          <w:highlight w:val="none"/>
        </w:rPr>
        <w:t>身</w:t>
      </w:r>
      <w:r>
        <w:rPr>
          <w:rFonts w:ascii="宋体" w:hAnsi="宋体" w:eastAsia="宋体"/>
          <w:color w:val="auto"/>
          <w:sz w:val="24"/>
          <w:szCs w:val="24"/>
          <w:highlight w:val="none"/>
        </w:rPr>
        <w:t>份</w:t>
      </w:r>
      <w:r>
        <w:rPr>
          <w:rFonts w:ascii="宋体" w:hAnsi="宋体" w:eastAsia="宋体"/>
          <w:color w:val="auto"/>
          <w:spacing w:val="-3"/>
          <w:sz w:val="24"/>
          <w:szCs w:val="24"/>
          <w:highlight w:val="none"/>
        </w:rPr>
        <w:t>证明</w:t>
      </w:r>
      <w:r>
        <w:rPr>
          <w:rFonts w:ascii="宋体" w:hAnsi="宋体" w:eastAsia="宋体"/>
          <w:color w:val="auto"/>
          <w:sz w:val="24"/>
          <w:szCs w:val="24"/>
          <w:highlight w:val="none"/>
        </w:rPr>
        <w:t>或授</w:t>
      </w:r>
      <w:r>
        <w:rPr>
          <w:rFonts w:ascii="宋体" w:hAnsi="宋体" w:eastAsia="宋体"/>
          <w:color w:val="auto"/>
          <w:spacing w:val="-3"/>
          <w:sz w:val="24"/>
          <w:szCs w:val="24"/>
          <w:highlight w:val="none"/>
        </w:rPr>
        <w:t>权</w:t>
      </w:r>
      <w:r>
        <w:rPr>
          <w:rFonts w:ascii="宋体" w:hAnsi="宋体" w:eastAsia="宋体"/>
          <w:color w:val="auto"/>
          <w:sz w:val="24"/>
          <w:szCs w:val="24"/>
          <w:highlight w:val="none"/>
        </w:rPr>
        <w:t>委</w:t>
      </w:r>
      <w:r>
        <w:rPr>
          <w:rFonts w:ascii="宋体" w:hAnsi="宋体" w:eastAsia="宋体"/>
          <w:color w:val="auto"/>
          <w:spacing w:val="-3"/>
          <w:sz w:val="24"/>
          <w:szCs w:val="24"/>
          <w:highlight w:val="none"/>
        </w:rPr>
        <w:t>托</w:t>
      </w:r>
      <w:r>
        <w:rPr>
          <w:rFonts w:ascii="宋体" w:hAnsi="宋体" w:eastAsia="宋体"/>
          <w:color w:val="auto"/>
          <w:sz w:val="24"/>
          <w:szCs w:val="24"/>
          <w:highlight w:val="none"/>
        </w:rPr>
        <w:t>书；</w:t>
      </w:r>
    </w:p>
    <w:p>
      <w:pPr>
        <w:pStyle w:val="14"/>
        <w:shd w:val="clear"/>
        <w:kinsoku w:val="0"/>
        <w:overflowPunct w:val="0"/>
        <w:spacing w:before="75"/>
        <w:rPr>
          <w:rFonts w:ascii="宋体" w:hAnsi="宋体" w:eastAsia="宋体"/>
          <w:strike/>
          <w:color w:val="auto"/>
          <w:sz w:val="24"/>
          <w:szCs w:val="24"/>
          <w:highlight w:val="none"/>
        </w:rPr>
      </w:pPr>
      <w:r>
        <w:rPr>
          <w:rFonts w:ascii="宋体" w:hAnsi="宋体" w:eastAsia="宋体"/>
          <w:strike/>
          <w:color w:val="auto"/>
          <w:sz w:val="24"/>
          <w:szCs w:val="24"/>
          <w:highlight w:val="none"/>
        </w:rPr>
        <w:t>（3</w:t>
      </w:r>
      <w:r>
        <w:rPr>
          <w:rFonts w:ascii="宋体" w:hAnsi="宋体" w:eastAsia="宋体"/>
          <w:strike/>
          <w:color w:val="auto"/>
          <w:spacing w:val="-3"/>
          <w:sz w:val="24"/>
          <w:szCs w:val="24"/>
          <w:highlight w:val="none"/>
        </w:rPr>
        <w:t>）</w:t>
      </w:r>
      <w:r>
        <w:rPr>
          <w:rFonts w:ascii="宋体" w:hAnsi="宋体" w:eastAsia="宋体"/>
          <w:strike/>
          <w:color w:val="auto"/>
          <w:sz w:val="24"/>
          <w:szCs w:val="24"/>
          <w:highlight w:val="none"/>
        </w:rPr>
        <w:t>联</w:t>
      </w:r>
      <w:r>
        <w:rPr>
          <w:rFonts w:ascii="宋体" w:hAnsi="宋体" w:eastAsia="宋体"/>
          <w:strike/>
          <w:color w:val="auto"/>
          <w:spacing w:val="-3"/>
          <w:sz w:val="24"/>
          <w:szCs w:val="24"/>
          <w:highlight w:val="none"/>
        </w:rPr>
        <w:t>合</w:t>
      </w:r>
      <w:r>
        <w:rPr>
          <w:rFonts w:ascii="宋体" w:hAnsi="宋体" w:eastAsia="宋体"/>
          <w:strike/>
          <w:color w:val="auto"/>
          <w:sz w:val="24"/>
          <w:szCs w:val="24"/>
          <w:highlight w:val="none"/>
        </w:rPr>
        <w:t>体</w:t>
      </w:r>
      <w:r>
        <w:rPr>
          <w:rFonts w:ascii="宋体" w:hAnsi="宋体" w:eastAsia="宋体"/>
          <w:strike/>
          <w:color w:val="auto"/>
          <w:spacing w:val="-3"/>
          <w:sz w:val="24"/>
          <w:szCs w:val="24"/>
          <w:highlight w:val="none"/>
        </w:rPr>
        <w:t>协</w:t>
      </w:r>
      <w:r>
        <w:rPr>
          <w:rFonts w:ascii="宋体" w:hAnsi="宋体" w:eastAsia="宋体"/>
          <w:strike/>
          <w:color w:val="auto"/>
          <w:sz w:val="24"/>
          <w:szCs w:val="24"/>
          <w:highlight w:val="none"/>
        </w:rPr>
        <w:t>议</w:t>
      </w:r>
      <w:r>
        <w:rPr>
          <w:rFonts w:ascii="宋体" w:hAnsi="宋体" w:eastAsia="宋体"/>
          <w:strike/>
          <w:color w:val="auto"/>
          <w:spacing w:val="-3"/>
          <w:sz w:val="24"/>
          <w:szCs w:val="24"/>
          <w:highlight w:val="none"/>
        </w:rPr>
        <w:t>书</w:t>
      </w:r>
      <w:r>
        <w:rPr>
          <w:rFonts w:ascii="宋体" w:hAnsi="宋体" w:eastAsia="宋体"/>
          <w:strike/>
          <w:color w:val="auto"/>
          <w:sz w:val="24"/>
          <w:szCs w:val="24"/>
          <w:highlight w:val="none"/>
        </w:rPr>
        <w:t>；</w:t>
      </w:r>
    </w:p>
    <w:p>
      <w:pPr>
        <w:pStyle w:val="14"/>
        <w:shd w:val="clear"/>
        <w:kinsoku w:val="0"/>
        <w:overflowPunct w:val="0"/>
        <w:spacing w:before="75"/>
        <w:rPr>
          <w:rFonts w:ascii="宋体" w:hAnsi="宋体" w:eastAsia="宋体"/>
          <w:color w:val="auto"/>
          <w:sz w:val="24"/>
          <w:szCs w:val="24"/>
          <w:highlight w:val="none"/>
        </w:rPr>
      </w:pPr>
      <w:r>
        <w:rPr>
          <w:rFonts w:ascii="宋体" w:hAnsi="宋体" w:eastAsia="宋体"/>
          <w:color w:val="auto"/>
          <w:sz w:val="24"/>
          <w:szCs w:val="24"/>
          <w:highlight w:val="none"/>
        </w:rPr>
        <w:t>（4</w:t>
      </w:r>
      <w:r>
        <w:rPr>
          <w:rFonts w:ascii="宋体" w:hAnsi="宋体" w:eastAsia="宋体"/>
          <w:color w:val="auto"/>
          <w:spacing w:val="-3"/>
          <w:sz w:val="24"/>
          <w:szCs w:val="24"/>
          <w:highlight w:val="none"/>
        </w:rPr>
        <w:t>）</w:t>
      </w:r>
      <w:r>
        <w:rPr>
          <w:rFonts w:ascii="宋体" w:hAnsi="宋体" w:eastAsia="宋体"/>
          <w:color w:val="auto"/>
          <w:sz w:val="24"/>
          <w:szCs w:val="24"/>
          <w:highlight w:val="none"/>
        </w:rPr>
        <w:t>投</w:t>
      </w:r>
      <w:r>
        <w:rPr>
          <w:rFonts w:ascii="宋体" w:hAnsi="宋体" w:eastAsia="宋体"/>
          <w:color w:val="auto"/>
          <w:spacing w:val="-3"/>
          <w:sz w:val="24"/>
          <w:szCs w:val="24"/>
          <w:highlight w:val="none"/>
        </w:rPr>
        <w:t>标</w:t>
      </w:r>
      <w:r>
        <w:rPr>
          <w:rFonts w:ascii="宋体" w:hAnsi="宋体" w:eastAsia="宋体"/>
          <w:color w:val="auto"/>
          <w:sz w:val="24"/>
          <w:szCs w:val="24"/>
          <w:highlight w:val="none"/>
        </w:rPr>
        <w:t>保</w:t>
      </w:r>
      <w:r>
        <w:rPr>
          <w:rFonts w:ascii="宋体" w:hAnsi="宋体" w:eastAsia="宋体"/>
          <w:color w:val="auto"/>
          <w:spacing w:val="-3"/>
          <w:sz w:val="24"/>
          <w:szCs w:val="24"/>
          <w:highlight w:val="none"/>
        </w:rPr>
        <w:t>证</w:t>
      </w:r>
      <w:r>
        <w:rPr>
          <w:rFonts w:ascii="宋体" w:hAnsi="宋体" w:eastAsia="宋体"/>
          <w:color w:val="auto"/>
          <w:sz w:val="24"/>
          <w:szCs w:val="24"/>
          <w:highlight w:val="none"/>
        </w:rPr>
        <w:t>金；</w:t>
      </w:r>
    </w:p>
    <w:p>
      <w:pPr>
        <w:pStyle w:val="14"/>
        <w:shd w:val="clear"/>
        <w:kinsoku w:val="0"/>
        <w:overflowPunct w:val="0"/>
        <w:spacing w:before="75"/>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pacing w:val="-3"/>
          <w:sz w:val="24"/>
          <w:szCs w:val="24"/>
          <w:highlight w:val="none"/>
        </w:rPr>
        <w:t>）</w:t>
      </w:r>
      <w:r>
        <w:rPr>
          <w:rFonts w:ascii="宋体" w:hAnsi="宋体" w:eastAsia="宋体"/>
          <w:color w:val="auto"/>
          <w:sz w:val="24"/>
          <w:szCs w:val="24"/>
          <w:highlight w:val="none"/>
        </w:rPr>
        <w:t>资</w:t>
      </w:r>
      <w:r>
        <w:rPr>
          <w:rFonts w:ascii="宋体" w:hAnsi="宋体" w:eastAsia="宋体"/>
          <w:color w:val="auto"/>
          <w:spacing w:val="-3"/>
          <w:sz w:val="24"/>
          <w:szCs w:val="24"/>
          <w:highlight w:val="none"/>
        </w:rPr>
        <w:t>格</w:t>
      </w:r>
      <w:r>
        <w:rPr>
          <w:rFonts w:ascii="宋体" w:hAnsi="宋体" w:eastAsia="宋体"/>
          <w:color w:val="auto"/>
          <w:sz w:val="24"/>
          <w:szCs w:val="24"/>
          <w:highlight w:val="none"/>
        </w:rPr>
        <w:t>审</w:t>
      </w:r>
      <w:r>
        <w:rPr>
          <w:rFonts w:ascii="宋体" w:hAnsi="宋体" w:eastAsia="宋体"/>
          <w:color w:val="auto"/>
          <w:spacing w:val="-3"/>
          <w:sz w:val="24"/>
          <w:szCs w:val="24"/>
          <w:highlight w:val="none"/>
        </w:rPr>
        <w:t>查</w:t>
      </w:r>
      <w:r>
        <w:rPr>
          <w:rFonts w:ascii="宋体" w:hAnsi="宋体" w:eastAsia="宋体"/>
          <w:color w:val="auto"/>
          <w:sz w:val="24"/>
          <w:szCs w:val="24"/>
          <w:highlight w:val="none"/>
        </w:rPr>
        <w:t>资</w:t>
      </w:r>
      <w:r>
        <w:rPr>
          <w:rFonts w:ascii="宋体" w:hAnsi="宋体" w:eastAsia="宋体"/>
          <w:color w:val="auto"/>
          <w:spacing w:val="-3"/>
          <w:sz w:val="24"/>
          <w:szCs w:val="24"/>
          <w:highlight w:val="none"/>
        </w:rPr>
        <w:t>料</w:t>
      </w:r>
      <w:r>
        <w:rPr>
          <w:rFonts w:ascii="宋体" w:hAnsi="宋体" w:eastAsia="宋体"/>
          <w:color w:val="auto"/>
          <w:sz w:val="24"/>
          <w:szCs w:val="24"/>
          <w:highlight w:val="none"/>
        </w:rPr>
        <w:t>；</w:t>
      </w:r>
    </w:p>
    <w:p>
      <w:pPr>
        <w:pStyle w:val="14"/>
        <w:shd w:val="clear"/>
        <w:kinsoku w:val="0"/>
        <w:overflowPunct w:val="0"/>
        <w:spacing w:before="75"/>
        <w:rPr>
          <w:rFonts w:hint="eastAsia" w:ascii="宋体" w:hAnsi="宋体" w:eastAsia="宋体"/>
          <w:color w:val="auto"/>
          <w:spacing w:val="-3"/>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6</w:t>
      </w:r>
      <w:r>
        <w:rPr>
          <w:rFonts w:ascii="宋体" w:hAnsi="宋体" w:eastAsia="宋体"/>
          <w:color w:val="auto"/>
          <w:spacing w:val="-3"/>
          <w:sz w:val="24"/>
          <w:szCs w:val="24"/>
          <w:highlight w:val="none"/>
        </w:rPr>
        <w:t>）</w:t>
      </w:r>
      <w:r>
        <w:rPr>
          <w:rFonts w:hint="eastAsia" w:ascii="宋体" w:hAnsi="宋体" w:eastAsia="宋体"/>
          <w:color w:val="auto"/>
          <w:spacing w:val="-3"/>
          <w:sz w:val="24"/>
          <w:szCs w:val="24"/>
          <w:highlight w:val="none"/>
        </w:rPr>
        <w:t>资信业绩部分</w:t>
      </w:r>
    </w:p>
    <w:p>
      <w:pPr>
        <w:pStyle w:val="14"/>
        <w:shd w:val="clear"/>
        <w:kinsoku w:val="0"/>
        <w:overflowPunct w:val="0"/>
        <w:spacing w:before="75"/>
        <w:rPr>
          <w:rFonts w:ascii="宋体" w:hAnsi="宋体" w:eastAsia="宋体"/>
          <w:color w:val="auto"/>
          <w:sz w:val="24"/>
          <w:szCs w:val="24"/>
          <w:highlight w:val="none"/>
        </w:rPr>
      </w:pPr>
      <w:r>
        <w:rPr>
          <w:rFonts w:hint="eastAsia" w:ascii="宋体" w:hAnsi="宋体" w:eastAsia="宋体"/>
          <w:color w:val="auto"/>
          <w:spacing w:val="-3"/>
          <w:sz w:val="24"/>
          <w:szCs w:val="24"/>
          <w:highlight w:val="none"/>
        </w:rPr>
        <w:t>（7）技术方案</w:t>
      </w:r>
      <w:r>
        <w:rPr>
          <w:rFonts w:ascii="宋体" w:hAnsi="宋体" w:eastAsia="宋体"/>
          <w:color w:val="auto"/>
          <w:sz w:val="24"/>
          <w:szCs w:val="24"/>
          <w:highlight w:val="none"/>
        </w:rPr>
        <w:t>；</w:t>
      </w:r>
    </w:p>
    <w:p>
      <w:pPr>
        <w:shd w:val="clear"/>
        <w:spacing w:after="123" w:line="265" w:lineRule="auto"/>
        <w:ind w:right="103"/>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8</w:t>
      </w:r>
      <w:r>
        <w:rPr>
          <w:rFonts w:ascii="宋体" w:hAnsi="宋体" w:eastAsia="宋体"/>
          <w:color w:val="auto"/>
          <w:spacing w:val="-3"/>
          <w:sz w:val="24"/>
          <w:szCs w:val="24"/>
          <w:highlight w:val="none"/>
        </w:rPr>
        <w:t>）</w:t>
      </w:r>
      <w:r>
        <w:rPr>
          <w:rFonts w:ascii="宋体" w:hAnsi="宋体" w:eastAsia="宋体"/>
          <w:color w:val="auto"/>
          <w:sz w:val="24"/>
          <w:szCs w:val="24"/>
          <w:highlight w:val="none"/>
        </w:rPr>
        <w:t>投</w:t>
      </w:r>
      <w:r>
        <w:rPr>
          <w:rFonts w:ascii="宋体" w:hAnsi="宋体" w:eastAsia="宋体"/>
          <w:color w:val="auto"/>
          <w:spacing w:val="-3"/>
          <w:sz w:val="24"/>
          <w:szCs w:val="24"/>
          <w:highlight w:val="none"/>
        </w:rPr>
        <w:t>标</w:t>
      </w:r>
      <w:r>
        <w:rPr>
          <w:rFonts w:ascii="宋体" w:hAnsi="宋体" w:eastAsia="宋体"/>
          <w:color w:val="auto"/>
          <w:sz w:val="24"/>
          <w:szCs w:val="24"/>
          <w:highlight w:val="none"/>
        </w:rPr>
        <w:t>人</w:t>
      </w:r>
      <w:r>
        <w:rPr>
          <w:rFonts w:ascii="宋体" w:hAnsi="宋体" w:eastAsia="宋体"/>
          <w:color w:val="auto"/>
          <w:spacing w:val="-3"/>
          <w:sz w:val="24"/>
          <w:szCs w:val="24"/>
          <w:highlight w:val="none"/>
        </w:rPr>
        <w:t>须</w:t>
      </w:r>
      <w:r>
        <w:rPr>
          <w:rFonts w:ascii="宋体" w:hAnsi="宋体" w:eastAsia="宋体"/>
          <w:color w:val="auto"/>
          <w:sz w:val="24"/>
          <w:szCs w:val="24"/>
          <w:highlight w:val="none"/>
        </w:rPr>
        <w:t>知</w:t>
      </w:r>
      <w:r>
        <w:rPr>
          <w:rFonts w:ascii="宋体" w:hAnsi="宋体" w:eastAsia="宋体"/>
          <w:color w:val="auto"/>
          <w:spacing w:val="-3"/>
          <w:sz w:val="24"/>
          <w:szCs w:val="24"/>
          <w:highlight w:val="none"/>
        </w:rPr>
        <w:t>前</w:t>
      </w:r>
      <w:r>
        <w:rPr>
          <w:rFonts w:ascii="宋体" w:hAnsi="宋体" w:eastAsia="宋体"/>
          <w:color w:val="auto"/>
          <w:sz w:val="24"/>
          <w:szCs w:val="24"/>
          <w:highlight w:val="none"/>
        </w:rPr>
        <w:t>附</w:t>
      </w:r>
      <w:r>
        <w:rPr>
          <w:rFonts w:ascii="宋体" w:hAnsi="宋体" w:eastAsia="宋体"/>
          <w:color w:val="auto"/>
          <w:spacing w:val="-3"/>
          <w:sz w:val="24"/>
          <w:szCs w:val="24"/>
          <w:highlight w:val="none"/>
        </w:rPr>
        <w:t>表规</w:t>
      </w:r>
      <w:r>
        <w:rPr>
          <w:rFonts w:ascii="宋体" w:hAnsi="宋体" w:eastAsia="宋体"/>
          <w:color w:val="auto"/>
          <w:sz w:val="24"/>
          <w:szCs w:val="24"/>
          <w:highlight w:val="none"/>
        </w:rPr>
        <w:t>定的</w:t>
      </w:r>
      <w:r>
        <w:rPr>
          <w:rFonts w:ascii="宋体" w:hAnsi="宋体" w:eastAsia="宋体"/>
          <w:color w:val="auto"/>
          <w:spacing w:val="-3"/>
          <w:sz w:val="24"/>
          <w:szCs w:val="24"/>
          <w:highlight w:val="none"/>
        </w:rPr>
        <w:t>其</w:t>
      </w:r>
      <w:r>
        <w:rPr>
          <w:rFonts w:ascii="宋体" w:hAnsi="宋体" w:eastAsia="宋体"/>
          <w:color w:val="auto"/>
          <w:sz w:val="24"/>
          <w:szCs w:val="24"/>
          <w:highlight w:val="none"/>
        </w:rPr>
        <w:t>他</w:t>
      </w:r>
      <w:r>
        <w:rPr>
          <w:rFonts w:ascii="宋体" w:hAnsi="宋体" w:eastAsia="宋体"/>
          <w:color w:val="auto"/>
          <w:spacing w:val="-3"/>
          <w:sz w:val="24"/>
          <w:szCs w:val="24"/>
          <w:highlight w:val="none"/>
        </w:rPr>
        <w:t>资</w:t>
      </w:r>
      <w:r>
        <w:rPr>
          <w:rFonts w:ascii="宋体" w:hAnsi="宋体" w:eastAsia="宋体"/>
          <w:color w:val="auto"/>
          <w:sz w:val="24"/>
          <w:szCs w:val="24"/>
          <w:highlight w:val="none"/>
        </w:rPr>
        <w:t>料。</w:t>
      </w:r>
    </w:p>
    <w:p>
      <w:pPr>
        <w:shd w:val="clear"/>
        <w:spacing w:after="123" w:line="356"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投标人在评标过程中作出的符合法律法规和招标文件规定的澄清确认，构成投标文件的组成部分。</w:t>
      </w:r>
      <w:r>
        <w:rPr>
          <w:rFonts w:ascii="宋体" w:hAnsi="宋体" w:eastAsia="宋体"/>
          <w:color w:val="auto"/>
          <w:sz w:val="24"/>
          <w:szCs w:val="24"/>
          <w:highlight w:val="none"/>
        </w:rPr>
        <w:t xml:space="preserve"> </w:t>
      </w:r>
    </w:p>
    <w:p>
      <w:pPr>
        <w:shd w:val="clear"/>
        <w:spacing w:after="2" w:line="368" w:lineRule="auto"/>
        <w:ind w:right="103" w:firstLine="360"/>
        <w:rPr>
          <w:rFonts w:ascii="宋体" w:hAnsi="宋体" w:eastAsia="宋体"/>
          <w:color w:val="auto"/>
          <w:sz w:val="24"/>
          <w:szCs w:val="24"/>
          <w:highlight w:val="none"/>
        </w:rPr>
      </w:pPr>
      <w:r>
        <w:rPr>
          <w:rFonts w:ascii="宋体" w:hAnsi="宋体" w:eastAsia="宋体"/>
          <w:color w:val="auto"/>
          <w:sz w:val="24"/>
          <w:szCs w:val="24"/>
          <w:highlight w:val="none"/>
        </w:rPr>
        <w:t xml:space="preserve">3.1.2 </w:t>
      </w:r>
      <w:r>
        <w:rPr>
          <w:rFonts w:hint="eastAsia" w:ascii="宋体" w:hAnsi="宋体" w:eastAsia="宋体" w:cs="宋体"/>
          <w:color w:val="auto"/>
          <w:sz w:val="24"/>
          <w:szCs w:val="24"/>
          <w:highlight w:val="none"/>
        </w:rPr>
        <w:t>投标人须知前附表规定不接受联合体投标的，或投标人没有组成联合体的，投标文件不包括本章第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3.1.1</w:t>
      </w: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s="宋体"/>
          <w:color w:val="auto"/>
          <w:sz w:val="24"/>
          <w:szCs w:val="24"/>
          <w:highlight w:val="none"/>
        </w:rPr>
        <w:t>）目所指的联合体协议书。</w:t>
      </w:r>
      <w:r>
        <w:rPr>
          <w:rFonts w:ascii="宋体" w:hAnsi="宋体" w:eastAsia="宋体"/>
          <w:color w:val="auto"/>
          <w:sz w:val="24"/>
          <w:szCs w:val="24"/>
          <w:highlight w:val="none"/>
        </w:rPr>
        <w:t xml:space="preserve"> </w:t>
      </w:r>
    </w:p>
    <w:p>
      <w:pPr>
        <w:shd w:val="clear"/>
        <w:spacing w:after="216" w:line="373" w:lineRule="auto"/>
        <w:ind w:right="103" w:firstLine="360"/>
        <w:rPr>
          <w:rFonts w:ascii="宋体" w:hAnsi="宋体" w:eastAsia="宋体"/>
          <w:color w:val="auto"/>
          <w:sz w:val="24"/>
          <w:szCs w:val="24"/>
          <w:highlight w:val="none"/>
        </w:rPr>
      </w:pPr>
      <w:r>
        <w:rPr>
          <w:rFonts w:ascii="宋体" w:hAnsi="宋体" w:eastAsia="宋体"/>
          <w:color w:val="auto"/>
          <w:sz w:val="24"/>
          <w:szCs w:val="24"/>
          <w:highlight w:val="none"/>
        </w:rPr>
        <w:t xml:space="preserve">3.1.3 </w:t>
      </w:r>
      <w:r>
        <w:rPr>
          <w:rFonts w:hint="eastAsia" w:ascii="宋体" w:hAnsi="宋体" w:eastAsia="宋体" w:cs="宋体"/>
          <w:color w:val="auto"/>
          <w:sz w:val="24"/>
          <w:szCs w:val="24"/>
          <w:highlight w:val="none"/>
        </w:rPr>
        <w:t>投标人须知前附表未要求提交投标保证金的，投标文件不包括本章第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3.1.1</w:t>
      </w: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4</w:t>
      </w:r>
      <w:r>
        <w:rPr>
          <w:rFonts w:hint="eastAsia" w:ascii="宋体" w:hAnsi="宋体" w:eastAsia="宋体" w:cs="宋体"/>
          <w:color w:val="auto"/>
          <w:sz w:val="24"/>
          <w:szCs w:val="24"/>
          <w:highlight w:val="none"/>
        </w:rPr>
        <w:t>）目所指的投标保证金。</w:t>
      </w:r>
      <w:r>
        <w:rPr>
          <w:rFonts w:ascii="宋体" w:hAnsi="宋体" w:eastAsia="宋体"/>
          <w:color w:val="auto"/>
          <w:sz w:val="24"/>
          <w:szCs w:val="24"/>
          <w:highlight w:val="none"/>
        </w:rPr>
        <w:t xml:space="preserve"> </w:t>
      </w:r>
      <w:bookmarkStart w:id="51" w:name="_Toc508382114"/>
      <w:bookmarkStart w:id="52" w:name="_Toc508788631"/>
    </w:p>
    <w:p>
      <w:pPr>
        <w:shd w:val="clear"/>
        <w:spacing w:after="216" w:line="373" w:lineRule="auto"/>
        <w:ind w:right="103" w:firstLine="360"/>
        <w:rPr>
          <w:rFonts w:ascii="宋体" w:hAnsi="宋体" w:eastAsia="宋体"/>
          <w:color w:val="auto"/>
          <w:sz w:val="24"/>
          <w:szCs w:val="24"/>
          <w:highlight w:val="none"/>
        </w:rPr>
      </w:pPr>
      <w:r>
        <w:rPr>
          <w:rFonts w:ascii="宋体" w:hAnsi="宋体" w:eastAsia="宋体"/>
          <w:color w:val="auto"/>
          <w:sz w:val="24"/>
          <w:szCs w:val="24"/>
          <w:highlight w:val="none"/>
        </w:rPr>
        <w:t xml:space="preserve">3.2 </w:t>
      </w:r>
      <w:r>
        <w:rPr>
          <w:rFonts w:hint="eastAsia" w:ascii="宋体" w:hAnsi="宋体" w:eastAsia="宋体"/>
          <w:color w:val="auto"/>
          <w:sz w:val="24"/>
          <w:szCs w:val="24"/>
          <w:highlight w:val="none"/>
        </w:rPr>
        <w:t>投标报价</w:t>
      </w:r>
      <w:bookmarkEnd w:id="51"/>
      <w:bookmarkEnd w:id="52"/>
      <w:r>
        <w:rPr>
          <w:rFonts w:ascii="宋体" w:hAnsi="宋体" w:eastAsia="宋体"/>
          <w:color w:val="auto"/>
          <w:sz w:val="24"/>
          <w:szCs w:val="24"/>
          <w:highlight w:val="none"/>
        </w:rPr>
        <w:t xml:space="preserve"> </w:t>
      </w:r>
    </w:p>
    <w:p>
      <w:pPr>
        <w:shd w:val="clear"/>
        <w:spacing w:after="5" w:line="369" w:lineRule="auto"/>
        <w:ind w:left="-15" w:right="197" w:firstLine="410"/>
        <w:jc w:val="both"/>
        <w:rPr>
          <w:rFonts w:ascii="宋体" w:hAnsi="宋体" w:eastAsia="宋体"/>
          <w:color w:val="auto"/>
          <w:sz w:val="24"/>
          <w:szCs w:val="24"/>
          <w:highlight w:val="none"/>
        </w:rPr>
      </w:pPr>
      <w:r>
        <w:rPr>
          <w:rFonts w:ascii="宋体" w:hAnsi="宋体" w:eastAsia="宋体"/>
          <w:color w:val="auto"/>
          <w:sz w:val="24"/>
          <w:szCs w:val="24"/>
          <w:highlight w:val="none"/>
        </w:rPr>
        <w:t xml:space="preserve">3.2.1 </w:t>
      </w:r>
      <w:r>
        <w:rPr>
          <w:rFonts w:hint="eastAsia" w:ascii="宋体" w:hAnsi="宋体" w:eastAsia="宋体" w:cs="宋体"/>
          <w:color w:val="auto"/>
          <w:sz w:val="24"/>
          <w:szCs w:val="24"/>
          <w:highlight w:val="none"/>
        </w:rPr>
        <w:t>投标报价应包括国家规定的增值税税金，除投标人须知前附表另有规定外，增值税税金按一般计税方法计算。投标人应按第六章</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投标文件格式</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的要求在投标函中进行报价并填写《超前钻勘察技术服务费计算表》。</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3.2.2 </w:t>
      </w:r>
      <w:r>
        <w:rPr>
          <w:rFonts w:hint="eastAsia" w:ascii="宋体" w:hAnsi="宋体" w:eastAsia="宋体" w:cs="宋体"/>
          <w:color w:val="auto"/>
          <w:sz w:val="24"/>
          <w:szCs w:val="24"/>
          <w:highlight w:val="none"/>
        </w:rPr>
        <w:t>投标人应充分了解该项目的总体情况以及影响投标报价的其他要素。</w:t>
      </w:r>
      <w:r>
        <w:rPr>
          <w:rFonts w:ascii="宋体" w:hAnsi="宋体" w:eastAsia="宋体"/>
          <w:color w:val="auto"/>
          <w:sz w:val="24"/>
          <w:szCs w:val="24"/>
          <w:highlight w:val="none"/>
        </w:rPr>
        <w:t xml:space="preserve"> </w:t>
      </w:r>
    </w:p>
    <w:p>
      <w:pPr>
        <w:shd w:val="clear"/>
        <w:spacing w:after="5" w:line="369" w:lineRule="auto"/>
        <w:ind w:left="-15" w:right="197" w:firstLine="410"/>
        <w:jc w:val="both"/>
        <w:rPr>
          <w:rFonts w:ascii="宋体" w:hAnsi="宋体" w:eastAsia="宋体"/>
          <w:color w:val="auto"/>
          <w:sz w:val="24"/>
          <w:szCs w:val="24"/>
          <w:highlight w:val="none"/>
        </w:rPr>
      </w:pPr>
      <w:r>
        <w:rPr>
          <w:rFonts w:ascii="宋体" w:hAnsi="宋体" w:eastAsia="宋体"/>
          <w:color w:val="auto"/>
          <w:sz w:val="24"/>
          <w:szCs w:val="24"/>
          <w:highlight w:val="none"/>
        </w:rPr>
        <w:t xml:space="preserve">3.2.3 </w:t>
      </w:r>
      <w:r>
        <w:rPr>
          <w:rFonts w:hint="eastAsia" w:ascii="宋体" w:hAnsi="宋体" w:eastAsia="宋体" w:cs="宋体"/>
          <w:color w:val="auto"/>
          <w:sz w:val="24"/>
          <w:szCs w:val="24"/>
          <w:highlight w:val="none"/>
        </w:rPr>
        <w:t>本项目的报价方式见投标人须知前附表。投标人在投标截止时间前修改投标函中的投标报价总额，应同时修改投标文件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《超前钻勘察技术服务费计算表》</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中的相应报价。此修改须符合本章第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4.3 </w:t>
      </w:r>
      <w:r>
        <w:rPr>
          <w:rFonts w:hint="eastAsia" w:ascii="宋体" w:hAnsi="宋体" w:eastAsia="宋体" w:cs="宋体"/>
          <w:color w:val="auto"/>
          <w:sz w:val="24"/>
          <w:szCs w:val="24"/>
          <w:highlight w:val="none"/>
        </w:rPr>
        <w:t>款的有关要求。</w:t>
      </w:r>
      <w:r>
        <w:rPr>
          <w:rFonts w:ascii="宋体" w:hAnsi="宋体" w:eastAsia="宋体"/>
          <w:color w:val="auto"/>
          <w:sz w:val="24"/>
          <w:szCs w:val="24"/>
          <w:highlight w:val="none"/>
        </w:rPr>
        <w:t xml:space="preserve"> </w:t>
      </w:r>
    </w:p>
    <w:p>
      <w:pPr>
        <w:shd w:val="clear"/>
        <w:spacing w:after="0" w:line="36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3.2.4 </w:t>
      </w:r>
      <w:r>
        <w:rPr>
          <w:rFonts w:hint="eastAsia" w:ascii="宋体" w:hAnsi="宋体" w:eastAsia="宋体" w:cs="宋体"/>
          <w:color w:val="auto"/>
          <w:sz w:val="24"/>
          <w:szCs w:val="24"/>
          <w:highlight w:val="none"/>
        </w:rPr>
        <w:t>招标人设有最高投标限价的，投标人的投标报价不得超过最高投标限价，最高投标限价在投标人须知前附表中载明。</w:t>
      </w:r>
      <w:r>
        <w:rPr>
          <w:rFonts w:ascii="宋体" w:hAnsi="宋体" w:eastAsia="宋体"/>
          <w:color w:val="auto"/>
          <w:sz w:val="24"/>
          <w:szCs w:val="24"/>
          <w:highlight w:val="none"/>
        </w:rPr>
        <w:t xml:space="preserve"> </w:t>
      </w:r>
    </w:p>
    <w:p>
      <w:pPr>
        <w:pStyle w:val="33"/>
        <w:shd w:val="clear"/>
        <w:snapToGrid w:val="0"/>
        <w:spacing w:after="0"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3.2.5投标报价的其他要求见投标人须知前附表。</w:t>
      </w:r>
    </w:p>
    <w:p>
      <w:pPr>
        <w:pStyle w:val="4"/>
        <w:shd w:val="clear"/>
        <w:spacing w:after="282"/>
        <w:ind w:left="132" w:right="0"/>
        <w:rPr>
          <w:rFonts w:ascii="宋体" w:hAnsi="宋体" w:eastAsia="宋体"/>
          <w:color w:val="auto"/>
          <w:sz w:val="24"/>
          <w:szCs w:val="24"/>
          <w:highlight w:val="none"/>
        </w:rPr>
      </w:pPr>
      <w:bookmarkStart w:id="53" w:name="_Toc508382115"/>
      <w:bookmarkStart w:id="54" w:name="_Toc508788632"/>
      <w:r>
        <w:rPr>
          <w:rFonts w:ascii="宋体" w:hAnsi="宋体" w:eastAsia="宋体"/>
          <w:color w:val="auto"/>
          <w:sz w:val="24"/>
          <w:szCs w:val="24"/>
          <w:highlight w:val="none"/>
        </w:rPr>
        <w:t xml:space="preserve">3.3 </w:t>
      </w:r>
      <w:r>
        <w:rPr>
          <w:rFonts w:hint="eastAsia" w:ascii="宋体" w:hAnsi="宋体" w:eastAsia="宋体"/>
          <w:color w:val="auto"/>
          <w:sz w:val="24"/>
          <w:szCs w:val="24"/>
          <w:highlight w:val="none"/>
        </w:rPr>
        <w:t>投标有效期</w:t>
      </w:r>
      <w:bookmarkEnd w:id="53"/>
      <w:bookmarkEnd w:id="54"/>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3.3.1 </w:t>
      </w:r>
      <w:r>
        <w:rPr>
          <w:rFonts w:hint="eastAsia" w:ascii="宋体" w:hAnsi="宋体" w:eastAsia="宋体" w:cs="宋体"/>
          <w:b/>
          <w:bCs/>
          <w:color w:val="auto"/>
          <w:sz w:val="24"/>
          <w:szCs w:val="24"/>
          <w:highlight w:val="none"/>
        </w:rPr>
        <w:t>除投标人须知前附表另有规定外，投标有效期为</w:t>
      </w:r>
      <w:r>
        <w:rPr>
          <w:rFonts w:hint="eastAsia" w:ascii="宋体" w:hAnsi="宋体" w:eastAsia="宋体"/>
          <w:b/>
          <w:bCs/>
          <w:color w:val="auto"/>
          <w:sz w:val="24"/>
          <w:szCs w:val="24"/>
          <w:highlight w:val="none"/>
        </w:rPr>
        <w:t>120日历天</w:t>
      </w:r>
      <w:r>
        <w:rPr>
          <w:rFonts w:hint="eastAsia" w:ascii="宋体" w:hAnsi="宋体" w:eastAsia="宋体" w:cs="宋体"/>
          <w:b/>
          <w:bCs/>
          <w:color w:val="auto"/>
          <w:sz w:val="24"/>
          <w:szCs w:val="24"/>
          <w:highlight w:val="none"/>
        </w:rPr>
        <w:t>。</w:t>
      </w:r>
      <w:r>
        <w:rPr>
          <w:rFonts w:ascii="宋体" w:hAnsi="宋体" w:eastAsia="宋体"/>
          <w:b/>
          <w:bCs/>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3.3.2 </w:t>
      </w:r>
      <w:r>
        <w:rPr>
          <w:rFonts w:hint="eastAsia" w:ascii="宋体" w:hAnsi="宋体" w:eastAsia="宋体" w:cs="宋体"/>
          <w:color w:val="auto"/>
          <w:sz w:val="24"/>
          <w:szCs w:val="24"/>
          <w:highlight w:val="none"/>
        </w:rPr>
        <w:t>在投标有效期内，投标人撤销投标文件的，应承担招标文件和法律规定的责任。</w:t>
      </w:r>
      <w:r>
        <w:rPr>
          <w:rFonts w:ascii="宋体" w:hAnsi="宋体" w:eastAsia="宋体"/>
          <w:color w:val="auto"/>
          <w:sz w:val="24"/>
          <w:szCs w:val="24"/>
          <w:highlight w:val="none"/>
        </w:rPr>
        <w:t xml:space="preserve"> </w:t>
      </w:r>
    </w:p>
    <w:p>
      <w:pPr>
        <w:shd w:val="clear"/>
        <w:spacing w:after="234" w:line="356"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3.3.3 </w:t>
      </w:r>
      <w:r>
        <w:rPr>
          <w:rFonts w:hint="eastAsia" w:ascii="宋体" w:hAnsi="宋体" w:eastAsia="宋体" w:cs="宋体"/>
          <w:color w:val="auto"/>
          <w:sz w:val="24"/>
          <w:szCs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r>
        <w:rPr>
          <w:rFonts w:ascii="宋体" w:hAnsi="宋体" w:eastAsia="宋体"/>
          <w:color w:val="auto"/>
          <w:sz w:val="24"/>
          <w:szCs w:val="24"/>
          <w:highlight w:val="none"/>
        </w:rPr>
        <w:t xml:space="preserve"> </w:t>
      </w:r>
    </w:p>
    <w:p>
      <w:pPr>
        <w:pStyle w:val="4"/>
        <w:shd w:val="clear"/>
        <w:spacing w:after="283"/>
        <w:ind w:left="132" w:right="0"/>
        <w:rPr>
          <w:rFonts w:ascii="宋体" w:hAnsi="宋体" w:eastAsia="宋体"/>
          <w:color w:val="auto"/>
          <w:sz w:val="24"/>
          <w:szCs w:val="24"/>
          <w:highlight w:val="none"/>
        </w:rPr>
      </w:pPr>
      <w:bookmarkStart w:id="55" w:name="_Toc508788633"/>
      <w:bookmarkStart w:id="56" w:name="_Toc508382116"/>
      <w:r>
        <w:rPr>
          <w:rFonts w:ascii="宋体" w:hAnsi="宋体" w:eastAsia="宋体"/>
          <w:color w:val="auto"/>
          <w:sz w:val="24"/>
          <w:szCs w:val="24"/>
          <w:highlight w:val="none"/>
        </w:rPr>
        <w:t xml:space="preserve">3.4 </w:t>
      </w:r>
      <w:r>
        <w:rPr>
          <w:rFonts w:hint="eastAsia" w:ascii="宋体" w:hAnsi="宋体" w:eastAsia="宋体"/>
          <w:color w:val="auto"/>
          <w:sz w:val="24"/>
          <w:szCs w:val="24"/>
          <w:highlight w:val="none"/>
        </w:rPr>
        <w:t>投标保证金</w:t>
      </w:r>
      <w:bookmarkEnd w:id="55"/>
      <w:bookmarkEnd w:id="56"/>
      <w:r>
        <w:rPr>
          <w:rFonts w:ascii="宋体" w:hAnsi="宋体" w:eastAsia="宋体"/>
          <w:color w:val="auto"/>
          <w:sz w:val="24"/>
          <w:szCs w:val="24"/>
          <w:highlight w:val="none"/>
        </w:rPr>
        <w:t xml:space="preserve"> </w:t>
      </w:r>
    </w:p>
    <w:p>
      <w:pPr>
        <w:shd w:val="clear"/>
        <w:spacing w:after="123" w:line="358" w:lineRule="auto"/>
        <w:ind w:right="103" w:firstLine="420"/>
        <w:rPr>
          <w:rFonts w:ascii="宋体" w:hAnsi="宋体" w:eastAsia="宋体"/>
          <w:dstrike/>
          <w:color w:val="auto"/>
          <w:sz w:val="24"/>
          <w:szCs w:val="24"/>
          <w:highlight w:val="none"/>
        </w:rPr>
      </w:pPr>
      <w:r>
        <w:rPr>
          <w:rFonts w:ascii="宋体" w:hAnsi="宋体" w:eastAsia="宋体"/>
          <w:color w:val="auto"/>
          <w:sz w:val="24"/>
          <w:szCs w:val="24"/>
          <w:highlight w:val="none"/>
        </w:rPr>
        <w:t xml:space="preserve">3.4.1 </w:t>
      </w:r>
      <w:r>
        <w:rPr>
          <w:rFonts w:hint="eastAsia" w:ascii="宋体" w:hAnsi="宋体" w:eastAsia="宋体" w:cs="宋体"/>
          <w:color w:val="auto"/>
          <w:sz w:val="24"/>
          <w:szCs w:val="24"/>
          <w:highlight w:val="none"/>
        </w:rPr>
        <w:t>投标人在递交投标文件的同时，应按投标人须知前附表规定的金额、形式和第六章</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投标文件格式</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规定的投标保证金格式递交投标保证金，并作为其投标文件的组成部分。境内投标人的</w:t>
      </w:r>
      <w:r>
        <w:rPr>
          <w:rFonts w:hint="eastAsia" w:ascii="宋体" w:hAnsi="宋体"/>
          <w:color w:val="auto"/>
          <w:sz w:val="24"/>
          <w:szCs w:val="24"/>
          <w:highlight w:val="none"/>
        </w:rPr>
        <w:t>投标保证金可采用现金、支票、汇票、银行保函、保证保险、专业担保公司等能够实现保证目的的方式提交如采用现金或者支票形式提交的，投标保证金从投标人基本账户递交，由广州公共资源交易中心代收</w:t>
      </w:r>
      <w:r>
        <w:rPr>
          <w:rFonts w:hint="eastAsia" w:ascii="宋体" w:hAnsi="宋体" w:eastAsia="宋体" w:cs="宋体"/>
          <w:color w:val="auto"/>
          <w:sz w:val="24"/>
          <w:szCs w:val="24"/>
          <w:highlight w:val="none"/>
        </w:rPr>
        <w:t>，到账情况以开标时广州公共资源交易中心数据库查询的信息为准；</w:t>
      </w:r>
      <w:r>
        <w:rPr>
          <w:rFonts w:hint="eastAsia" w:ascii="宋体" w:hAnsi="宋体"/>
          <w:color w:val="auto"/>
          <w:sz w:val="24"/>
          <w:szCs w:val="24"/>
          <w:highlight w:val="none"/>
        </w:rPr>
        <w:t>如采用非电子形式的银行保函或保证保险或专业担保公司担保的形式提交的，投标人应在投标文件中提交银行保函或保证保险或专业担保公司担保扫描件并加盖投标人印章；</w:t>
      </w:r>
      <w:r>
        <w:rPr>
          <w:rFonts w:hint="eastAsia" w:ascii="宋体" w:hAnsi="宋体" w:eastAsia="宋体" w:cs="宋体"/>
          <w:color w:val="auto"/>
          <w:sz w:val="24"/>
          <w:szCs w:val="24"/>
          <w:highlight w:val="none"/>
        </w:rPr>
        <w:t>联合体投标的，其投标保证金可以由牵头人递交，并应符合投标人须知前附表的规定。</w:t>
      </w:r>
      <w:r>
        <w:rPr>
          <w:rFonts w:ascii="宋体" w:hAnsi="宋体" w:eastAsia="宋体"/>
          <w:color w:val="auto"/>
          <w:sz w:val="24"/>
          <w:szCs w:val="24"/>
          <w:highlight w:val="none"/>
        </w:rPr>
        <w:t xml:space="preserve"> </w:t>
      </w:r>
    </w:p>
    <w:p>
      <w:pPr>
        <w:shd w:val="clear"/>
        <w:spacing w:after="123" w:line="358"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3.4.2 </w:t>
      </w:r>
      <w:r>
        <w:rPr>
          <w:rFonts w:hint="eastAsia" w:ascii="宋体" w:hAnsi="宋体" w:eastAsia="宋体" w:cs="宋体"/>
          <w:color w:val="auto"/>
          <w:sz w:val="24"/>
          <w:szCs w:val="24"/>
          <w:highlight w:val="none"/>
        </w:rPr>
        <w:t>投标人不按本章第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3.4.1 </w:t>
      </w:r>
      <w:r>
        <w:rPr>
          <w:rFonts w:hint="eastAsia" w:ascii="宋体" w:hAnsi="宋体" w:eastAsia="宋体" w:cs="宋体"/>
          <w:color w:val="auto"/>
          <w:sz w:val="24"/>
          <w:szCs w:val="24"/>
          <w:highlight w:val="none"/>
        </w:rPr>
        <w:t>项要求提交投标保证金的，评标委员会将否决其投标。</w:t>
      </w:r>
      <w:r>
        <w:rPr>
          <w:rFonts w:ascii="宋体" w:hAnsi="宋体" w:eastAsia="宋体"/>
          <w:color w:val="auto"/>
          <w:sz w:val="24"/>
          <w:szCs w:val="24"/>
          <w:highlight w:val="none"/>
        </w:rPr>
        <w:t xml:space="preserve"> </w:t>
      </w:r>
    </w:p>
    <w:p>
      <w:pPr>
        <w:shd w:val="clear"/>
        <w:spacing w:after="0" w:line="372" w:lineRule="auto"/>
        <w:ind w:right="103" w:firstLine="420"/>
        <w:rPr>
          <w:rFonts w:hint="eastAsia" w:ascii="宋体" w:hAnsi="宋体" w:eastAsia="宋体" w:cs="宋体"/>
          <w:color w:val="auto"/>
          <w:sz w:val="24"/>
          <w:szCs w:val="24"/>
          <w:highlight w:val="none"/>
        </w:rPr>
      </w:pPr>
      <w:r>
        <w:rPr>
          <w:rFonts w:ascii="宋体" w:hAnsi="宋体" w:eastAsia="宋体"/>
          <w:color w:val="auto"/>
          <w:sz w:val="24"/>
          <w:szCs w:val="24"/>
          <w:highlight w:val="none"/>
        </w:rPr>
        <w:t xml:space="preserve">3.4.3 </w:t>
      </w:r>
      <w:r>
        <w:rPr>
          <w:rFonts w:hint="eastAsia" w:ascii="宋体" w:hAnsi="宋体" w:eastAsia="宋体" w:cs="宋体"/>
          <w:color w:val="auto"/>
          <w:sz w:val="24"/>
          <w:szCs w:val="24"/>
          <w:highlight w:val="none"/>
        </w:rPr>
        <w:t>招标人最迟将在与中标人签订合同后</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5 </w:t>
      </w:r>
      <w:r>
        <w:rPr>
          <w:rFonts w:hint="eastAsia" w:ascii="宋体" w:hAnsi="宋体" w:eastAsia="宋体" w:cs="宋体"/>
          <w:color w:val="auto"/>
          <w:sz w:val="24"/>
          <w:szCs w:val="24"/>
          <w:highlight w:val="none"/>
        </w:rPr>
        <w:t xml:space="preserve">日内，向未中标的投标人和中标人退还投标保证金。投标保证金以现金或者支票形式递交的，还应退还银行同期存款利息。 </w:t>
      </w:r>
    </w:p>
    <w:p>
      <w:pPr>
        <w:shd w:val="clear"/>
        <w:spacing w:after="123" w:line="265" w:lineRule="auto"/>
        <w:ind w:left="417" w:right="103" w:hanging="1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3.4.4</w:t>
      </w:r>
      <w:r>
        <w:rPr>
          <w:rFonts w:hint="eastAsia" w:ascii="宋体" w:hAnsi="宋体" w:eastAsia="宋体" w:cs="宋体"/>
          <w:color w:val="auto"/>
          <w:kern w:val="0"/>
          <w:sz w:val="24"/>
          <w:szCs w:val="24"/>
          <w:highlight w:val="none"/>
        </w:rPr>
        <w:t>如有下列情况之一的，将不予退还投标担保：</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（1）投标人在投标有效期内撤销投标文件；</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（2）中标人在收到中标通知书后，无正当理由不与招标人订立合同，在签订合同时向招标人提出附加条件；</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（3）发生投标人须知前附表规定的其他可以不予退还投标保证金的情形。</w:t>
      </w:r>
    </w:p>
    <w:p>
      <w:pPr>
        <w:pStyle w:val="14"/>
        <w:shd w:val="clear"/>
        <w:kinsoku w:val="0"/>
        <w:overflowPunct w:val="0"/>
        <w:spacing w:line="310" w:lineRule="auto"/>
        <w:ind w:right="222"/>
        <w:jc w:val="both"/>
        <w:rPr>
          <w:rFonts w:hint="eastAsia"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3.5资格审查资料（适用于已进行资格预审的）</w:t>
      </w:r>
    </w:p>
    <w:p>
      <w:pPr>
        <w:pStyle w:val="14"/>
        <w:shd w:val="clear"/>
        <w:kinsoku w:val="0"/>
        <w:overflowPunct w:val="0"/>
        <w:spacing w:line="310" w:lineRule="auto"/>
        <w:ind w:right="222" w:firstLine="484" w:firstLineChars="202"/>
        <w:jc w:val="both"/>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投标人在递交投标文件前，发生可能影响其投标资格的新情况的，应更新或补充其在申请 资格预审时提供的资料，以证实其各项资格条件仍能继续满足资格预审文件的要求，且没有实质性降低。</w:t>
      </w:r>
    </w:p>
    <w:p>
      <w:pPr>
        <w:pStyle w:val="4"/>
        <w:shd w:val="clear"/>
        <w:spacing w:after="281"/>
        <w:ind w:left="132" w:right="0"/>
        <w:rPr>
          <w:rFonts w:hint="eastAsia" w:ascii="宋体" w:hAnsi="宋体" w:eastAsia="宋体" w:cs="宋体"/>
          <w:color w:val="auto"/>
          <w:sz w:val="24"/>
          <w:szCs w:val="24"/>
          <w:highlight w:val="none"/>
        </w:rPr>
      </w:pPr>
      <w:bookmarkStart w:id="57" w:name="_Toc508788634"/>
      <w:bookmarkStart w:id="58" w:name="_Toc508382117"/>
      <w:r>
        <w:rPr>
          <w:rFonts w:hint="eastAsia" w:ascii="宋体" w:hAnsi="宋体" w:eastAsia="宋体" w:cs="宋体"/>
          <w:color w:val="auto"/>
          <w:sz w:val="24"/>
          <w:szCs w:val="24"/>
          <w:highlight w:val="none"/>
        </w:rPr>
        <w:t>3.5 资格审查资料（适用于未进行资格预审的）</w:t>
      </w:r>
      <w:bookmarkEnd w:id="57"/>
      <w:bookmarkEnd w:id="58"/>
      <w:r>
        <w:rPr>
          <w:rFonts w:hint="eastAsia" w:ascii="宋体" w:hAnsi="宋体" w:eastAsia="宋体" w:cs="宋体"/>
          <w:color w:val="auto"/>
          <w:sz w:val="24"/>
          <w:szCs w:val="24"/>
          <w:highlight w:val="none"/>
        </w:rPr>
        <w:t xml:space="preserve"> </w:t>
      </w:r>
    </w:p>
    <w:p>
      <w:pPr>
        <w:pStyle w:val="4"/>
        <w:shd w:val="clear"/>
        <w:spacing w:after="284"/>
        <w:ind w:left="132" w:right="0"/>
        <w:rPr>
          <w:rFonts w:hint="eastAsia" w:ascii="宋体" w:hAnsi="宋体" w:eastAsia="宋体"/>
          <w:color w:val="auto"/>
          <w:sz w:val="24"/>
          <w:szCs w:val="24"/>
          <w:highlight w:val="none"/>
        </w:rPr>
      </w:pPr>
      <w:bookmarkStart w:id="59" w:name="_Toc508382118"/>
      <w:bookmarkStart w:id="60" w:name="_Toc508788635"/>
      <w:r>
        <w:rPr>
          <w:rFonts w:hint="eastAsia" w:ascii="宋体" w:hAnsi="宋体" w:eastAsia="宋体"/>
          <w:color w:val="auto"/>
          <w:sz w:val="24"/>
          <w:szCs w:val="24"/>
          <w:highlight w:val="none"/>
        </w:rPr>
        <w:t>详见本项目招标公告要求。</w:t>
      </w:r>
    </w:p>
    <w:p>
      <w:pPr>
        <w:pStyle w:val="4"/>
        <w:shd w:val="clear"/>
        <w:spacing w:after="284"/>
        <w:ind w:left="132" w:right="0"/>
        <w:rPr>
          <w:rFonts w:ascii="宋体" w:hAnsi="宋体" w:eastAsia="宋体"/>
          <w:color w:val="auto"/>
          <w:sz w:val="24"/>
          <w:szCs w:val="24"/>
          <w:highlight w:val="none"/>
        </w:rPr>
      </w:pPr>
      <w:r>
        <w:rPr>
          <w:rFonts w:ascii="宋体" w:hAnsi="宋体" w:eastAsia="宋体"/>
          <w:color w:val="auto"/>
          <w:sz w:val="24"/>
          <w:szCs w:val="24"/>
          <w:highlight w:val="none"/>
        </w:rPr>
        <w:t xml:space="preserve">3.6 </w:t>
      </w:r>
      <w:r>
        <w:rPr>
          <w:rFonts w:hint="eastAsia" w:ascii="宋体" w:hAnsi="宋体" w:eastAsia="宋体"/>
          <w:color w:val="auto"/>
          <w:sz w:val="24"/>
          <w:szCs w:val="24"/>
          <w:highlight w:val="none"/>
        </w:rPr>
        <w:t>备选投标方案</w:t>
      </w:r>
      <w:bookmarkEnd w:id="59"/>
      <w:bookmarkEnd w:id="60"/>
      <w:r>
        <w:rPr>
          <w:rFonts w:ascii="宋体" w:hAnsi="宋体" w:eastAsia="宋体"/>
          <w:color w:val="auto"/>
          <w:sz w:val="24"/>
          <w:szCs w:val="24"/>
          <w:highlight w:val="none"/>
        </w:rPr>
        <w:t xml:space="preserve"> </w:t>
      </w:r>
    </w:p>
    <w:p>
      <w:pPr>
        <w:shd w:val="clear"/>
        <w:spacing w:after="0" w:line="368"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3.6.1 </w:t>
      </w:r>
      <w:r>
        <w:rPr>
          <w:rFonts w:hint="eastAsia" w:ascii="宋体" w:hAnsi="宋体" w:eastAsia="宋体" w:cs="宋体"/>
          <w:color w:val="auto"/>
          <w:sz w:val="24"/>
          <w:szCs w:val="24"/>
          <w:highlight w:val="none"/>
        </w:rPr>
        <w:t>除投标人须知前附表规定允许外，投标人不得递交备选投标方案，否则其投标将被否决。</w:t>
      </w:r>
      <w:r>
        <w:rPr>
          <w:rFonts w:ascii="宋体" w:hAnsi="宋体" w:eastAsia="宋体"/>
          <w:color w:val="auto"/>
          <w:sz w:val="24"/>
          <w:szCs w:val="24"/>
          <w:highlight w:val="none"/>
        </w:rPr>
        <w:t xml:space="preserve"> </w:t>
      </w:r>
    </w:p>
    <w:p>
      <w:pPr>
        <w:shd w:val="clear"/>
        <w:spacing w:after="9" w:line="35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3.6.2 </w:t>
      </w:r>
      <w:r>
        <w:rPr>
          <w:rFonts w:hint="eastAsia" w:ascii="宋体" w:hAnsi="宋体" w:eastAsia="宋体" w:cs="宋体"/>
          <w:color w:val="auto"/>
          <w:sz w:val="24"/>
          <w:szCs w:val="24"/>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r>
        <w:rPr>
          <w:rFonts w:ascii="宋体" w:hAnsi="宋体" w:eastAsia="宋体"/>
          <w:color w:val="auto"/>
          <w:sz w:val="24"/>
          <w:szCs w:val="24"/>
          <w:highlight w:val="none"/>
        </w:rPr>
        <w:t xml:space="preserve"> </w:t>
      </w:r>
    </w:p>
    <w:p>
      <w:pPr>
        <w:shd w:val="clear"/>
        <w:spacing w:after="222" w:line="36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3.6.3 </w:t>
      </w:r>
      <w:r>
        <w:rPr>
          <w:rFonts w:hint="eastAsia" w:ascii="宋体" w:hAnsi="宋体" w:eastAsia="宋体" w:cs="宋体"/>
          <w:color w:val="auto"/>
          <w:sz w:val="24"/>
          <w:szCs w:val="24"/>
          <w:highlight w:val="none"/>
        </w:rPr>
        <w:t>投标人提供两个或两个以上投标报价，或者在投标文件中提供一个报价，但同时提供两个或两个以上技术方案的，视为提供备选方案。</w:t>
      </w:r>
      <w:r>
        <w:rPr>
          <w:rFonts w:ascii="宋体" w:hAnsi="宋体" w:eastAsia="宋体"/>
          <w:color w:val="auto"/>
          <w:sz w:val="24"/>
          <w:szCs w:val="24"/>
          <w:highlight w:val="none"/>
        </w:rPr>
        <w:t xml:space="preserve"> </w:t>
      </w:r>
    </w:p>
    <w:p>
      <w:pPr>
        <w:pStyle w:val="4"/>
        <w:shd w:val="clear"/>
        <w:spacing w:after="285"/>
        <w:ind w:left="132" w:right="0"/>
        <w:rPr>
          <w:rFonts w:ascii="宋体" w:hAnsi="宋体" w:eastAsia="宋体"/>
          <w:color w:val="auto"/>
          <w:sz w:val="24"/>
          <w:szCs w:val="24"/>
          <w:highlight w:val="none"/>
        </w:rPr>
      </w:pPr>
      <w:bookmarkStart w:id="61" w:name="_Toc508382119"/>
      <w:bookmarkStart w:id="62" w:name="_Toc508788636"/>
      <w:r>
        <w:rPr>
          <w:rFonts w:ascii="宋体" w:hAnsi="宋体" w:eastAsia="宋体"/>
          <w:color w:val="auto"/>
          <w:sz w:val="24"/>
          <w:szCs w:val="24"/>
          <w:highlight w:val="none"/>
        </w:rPr>
        <w:t xml:space="preserve">3.7 </w:t>
      </w:r>
      <w:r>
        <w:rPr>
          <w:rFonts w:hint="eastAsia" w:ascii="宋体" w:hAnsi="宋体" w:eastAsia="宋体"/>
          <w:color w:val="auto"/>
          <w:sz w:val="24"/>
          <w:szCs w:val="24"/>
          <w:highlight w:val="none"/>
        </w:rPr>
        <w:t>投标文件的编制</w:t>
      </w:r>
      <w:bookmarkEnd w:id="61"/>
      <w:bookmarkEnd w:id="62"/>
      <w:r>
        <w:rPr>
          <w:rFonts w:ascii="宋体" w:hAnsi="宋体" w:eastAsia="宋体"/>
          <w:color w:val="auto"/>
          <w:sz w:val="24"/>
          <w:szCs w:val="24"/>
          <w:highlight w:val="none"/>
        </w:rPr>
        <w:t xml:space="preserve"> </w:t>
      </w:r>
    </w:p>
    <w:p>
      <w:pPr>
        <w:shd w:val="clear"/>
        <w:spacing w:after="13" w:line="358"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3.7.1 </w:t>
      </w:r>
      <w:r>
        <w:rPr>
          <w:rFonts w:hint="eastAsia" w:ascii="宋体" w:hAnsi="宋体" w:eastAsia="宋体" w:cs="宋体"/>
          <w:color w:val="auto"/>
          <w:sz w:val="24"/>
          <w:szCs w:val="24"/>
          <w:highlight w:val="none"/>
        </w:rPr>
        <w:t>投标文件应按第六章</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投标文件格式</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进行编写，如有必要，可以增加附页，作为投标文件的组成部分。其中，投标函附录在满足招标文件实质性要求的基础上，可以提出比招标文件要求更有利于招标人的承诺。</w:t>
      </w:r>
      <w:r>
        <w:rPr>
          <w:rFonts w:ascii="宋体" w:hAnsi="宋体" w:eastAsia="宋体"/>
          <w:color w:val="auto"/>
          <w:sz w:val="24"/>
          <w:szCs w:val="24"/>
          <w:highlight w:val="none"/>
        </w:rPr>
        <w:t xml:space="preserve"> </w:t>
      </w:r>
    </w:p>
    <w:p>
      <w:pPr>
        <w:shd w:val="clear"/>
        <w:spacing w:after="3" w:line="367"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3.7.2 </w:t>
      </w:r>
      <w:r>
        <w:rPr>
          <w:rFonts w:hint="eastAsia" w:ascii="宋体" w:hAnsi="宋体" w:eastAsia="宋体" w:cs="宋体"/>
          <w:color w:val="auto"/>
          <w:sz w:val="24"/>
          <w:szCs w:val="24"/>
          <w:highlight w:val="none"/>
        </w:rPr>
        <w:t>投标文件应当对招标文件有关超前钻勘察技术服务工期、投标有效期、委托人要求、招标范围等实质性内容作出响应。</w:t>
      </w:r>
      <w:r>
        <w:rPr>
          <w:rFonts w:ascii="宋体" w:hAnsi="宋体" w:eastAsia="宋体"/>
          <w:color w:val="auto"/>
          <w:sz w:val="24"/>
          <w:szCs w:val="24"/>
          <w:highlight w:val="none"/>
        </w:rPr>
        <w:t xml:space="preserve"> </w:t>
      </w:r>
    </w:p>
    <w:p>
      <w:pPr>
        <w:shd w:val="clear"/>
        <w:spacing w:after="14" w:line="356" w:lineRule="auto"/>
        <w:ind w:right="103" w:firstLine="420"/>
        <w:rPr>
          <w:rFonts w:ascii="宋体" w:hAnsi="宋体" w:eastAsia="宋体"/>
          <w:strike/>
          <w:color w:val="auto"/>
          <w:sz w:val="24"/>
          <w:szCs w:val="24"/>
          <w:highlight w:val="none"/>
        </w:rPr>
      </w:pPr>
      <w:r>
        <w:rPr>
          <w:rFonts w:ascii="宋体" w:hAnsi="宋体" w:eastAsia="宋体"/>
          <w:strike/>
          <w:color w:val="auto"/>
          <w:sz w:val="24"/>
          <w:szCs w:val="24"/>
          <w:highlight w:val="none"/>
        </w:rPr>
        <w:t>3.7.3</w:t>
      </w:r>
      <w:r>
        <w:rPr>
          <w:rFonts w:hint="eastAsia" w:ascii="宋体" w:hAnsi="宋体" w:eastAsia="宋体" w:cs="宋体"/>
          <w:strike/>
          <w:color w:val="auto"/>
          <w:sz w:val="24"/>
          <w:szCs w:val="24"/>
          <w:highlight w:val="none"/>
        </w:rPr>
        <w:t>（</w:t>
      </w:r>
      <w:r>
        <w:rPr>
          <w:rFonts w:ascii="宋体" w:hAnsi="宋体" w:eastAsia="宋体"/>
          <w:strike/>
          <w:color w:val="auto"/>
          <w:sz w:val="24"/>
          <w:szCs w:val="24"/>
          <w:highlight w:val="none"/>
        </w:rPr>
        <w:t>A</w:t>
      </w:r>
      <w:r>
        <w:rPr>
          <w:rFonts w:hint="eastAsia" w:ascii="宋体" w:hAnsi="宋体" w:eastAsia="宋体" w:cs="宋体"/>
          <w:strike/>
          <w:color w:val="auto"/>
          <w:sz w:val="24"/>
          <w:szCs w:val="24"/>
          <w:highlight w:val="none"/>
        </w:rPr>
        <w:t>）（</w:t>
      </w:r>
      <w:r>
        <w:rPr>
          <w:rFonts w:ascii="宋体" w:hAnsi="宋体" w:eastAsia="宋体"/>
          <w:strike/>
          <w:color w:val="auto"/>
          <w:sz w:val="24"/>
          <w:szCs w:val="24"/>
          <w:highlight w:val="none"/>
        </w:rPr>
        <w:t>1</w:t>
      </w:r>
      <w:r>
        <w:rPr>
          <w:rFonts w:hint="eastAsia" w:ascii="宋体" w:hAnsi="宋体" w:eastAsia="宋体" w:cs="宋体"/>
          <w:strike/>
          <w:color w:val="auto"/>
          <w:sz w:val="24"/>
          <w:szCs w:val="24"/>
          <w:highlight w:val="none"/>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ascii="宋体" w:hAnsi="宋体" w:eastAsia="宋体"/>
          <w:strike/>
          <w:color w:val="auto"/>
          <w:sz w:val="24"/>
          <w:szCs w:val="24"/>
          <w:highlight w:val="none"/>
        </w:rPr>
        <w:t>“</w:t>
      </w:r>
      <w:r>
        <w:rPr>
          <w:rFonts w:hint="eastAsia" w:ascii="宋体" w:hAnsi="宋体" w:eastAsia="宋体" w:cs="宋体"/>
          <w:strike/>
          <w:color w:val="auto"/>
          <w:sz w:val="24"/>
          <w:szCs w:val="24"/>
          <w:highlight w:val="none"/>
        </w:rPr>
        <w:t>投标文件格式</w:t>
      </w:r>
      <w:r>
        <w:rPr>
          <w:rFonts w:ascii="宋体" w:hAnsi="宋体" w:eastAsia="宋体"/>
          <w:strike/>
          <w:color w:val="auto"/>
          <w:sz w:val="24"/>
          <w:szCs w:val="24"/>
          <w:highlight w:val="none"/>
        </w:rPr>
        <w:t>”</w:t>
      </w:r>
      <w:r>
        <w:rPr>
          <w:rFonts w:hint="eastAsia" w:ascii="宋体" w:hAnsi="宋体" w:eastAsia="宋体" w:cs="宋体"/>
          <w:strike/>
          <w:color w:val="auto"/>
          <w:sz w:val="24"/>
          <w:szCs w:val="24"/>
          <w:highlight w:val="none"/>
        </w:rPr>
        <w:t>的要求。投标文件应尽量避免涂改、行间插字或删除。如果出现上述情况，改动之处应由投标人的法定代表人或其授权的代理人签字或盖单位章。</w:t>
      </w:r>
      <w:r>
        <w:rPr>
          <w:rFonts w:ascii="宋体" w:hAnsi="宋体" w:eastAsia="宋体"/>
          <w:strike/>
          <w:color w:val="auto"/>
          <w:sz w:val="24"/>
          <w:szCs w:val="24"/>
          <w:highlight w:val="none"/>
        </w:rPr>
        <w:t xml:space="preserve"> </w:t>
      </w:r>
    </w:p>
    <w:p>
      <w:pPr>
        <w:shd w:val="clear"/>
        <w:spacing w:after="0" w:line="366" w:lineRule="auto"/>
        <w:ind w:right="103" w:firstLine="42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w:t>
      </w:r>
      <w:r>
        <w:rPr>
          <w:rFonts w:ascii="宋体" w:hAnsi="宋体" w:eastAsia="宋体"/>
          <w:strike/>
          <w:color w:val="auto"/>
          <w:sz w:val="24"/>
          <w:szCs w:val="24"/>
          <w:highlight w:val="none"/>
        </w:rPr>
        <w:t>2</w:t>
      </w:r>
      <w:r>
        <w:rPr>
          <w:rFonts w:hint="eastAsia" w:ascii="宋体" w:hAnsi="宋体" w:eastAsia="宋体" w:cs="宋体"/>
          <w:strike/>
          <w:color w:val="auto"/>
          <w:sz w:val="24"/>
          <w:szCs w:val="24"/>
          <w:highlight w:val="none"/>
        </w:rPr>
        <w:t>）投标文件正本一份，副本份数见投标人须知前附表。正本和副本的封面右上角上应清楚地标记</w:t>
      </w:r>
      <w:r>
        <w:rPr>
          <w:rFonts w:ascii="宋体" w:hAnsi="宋体" w:eastAsia="宋体"/>
          <w:strike/>
          <w:color w:val="auto"/>
          <w:sz w:val="24"/>
          <w:szCs w:val="24"/>
          <w:highlight w:val="none"/>
        </w:rPr>
        <w:t>“</w:t>
      </w:r>
      <w:r>
        <w:rPr>
          <w:rFonts w:hint="eastAsia" w:ascii="宋体" w:hAnsi="宋体" w:eastAsia="宋体" w:cs="宋体"/>
          <w:strike/>
          <w:color w:val="auto"/>
          <w:sz w:val="24"/>
          <w:szCs w:val="24"/>
          <w:highlight w:val="none"/>
        </w:rPr>
        <w:t>正本</w:t>
      </w:r>
      <w:r>
        <w:rPr>
          <w:rFonts w:ascii="宋体" w:hAnsi="宋体" w:eastAsia="宋体"/>
          <w:strike/>
          <w:color w:val="auto"/>
          <w:sz w:val="24"/>
          <w:szCs w:val="24"/>
          <w:highlight w:val="none"/>
        </w:rPr>
        <w:t>”</w:t>
      </w:r>
      <w:r>
        <w:rPr>
          <w:rFonts w:hint="eastAsia" w:ascii="宋体" w:hAnsi="宋体" w:eastAsia="宋体" w:cs="宋体"/>
          <w:strike/>
          <w:color w:val="auto"/>
          <w:sz w:val="24"/>
          <w:szCs w:val="24"/>
          <w:highlight w:val="none"/>
        </w:rPr>
        <w:t>或</w:t>
      </w:r>
      <w:r>
        <w:rPr>
          <w:rFonts w:ascii="宋体" w:hAnsi="宋体" w:eastAsia="宋体"/>
          <w:strike/>
          <w:color w:val="auto"/>
          <w:sz w:val="24"/>
          <w:szCs w:val="24"/>
          <w:highlight w:val="none"/>
        </w:rPr>
        <w:t>“</w:t>
      </w:r>
      <w:r>
        <w:rPr>
          <w:rFonts w:hint="eastAsia" w:ascii="宋体" w:hAnsi="宋体" w:eastAsia="宋体" w:cs="宋体"/>
          <w:strike/>
          <w:color w:val="auto"/>
          <w:sz w:val="24"/>
          <w:szCs w:val="24"/>
          <w:highlight w:val="none"/>
        </w:rPr>
        <w:t>副本</w:t>
      </w:r>
      <w:r>
        <w:rPr>
          <w:rFonts w:ascii="宋体" w:hAnsi="宋体" w:eastAsia="宋体"/>
          <w:strike/>
          <w:color w:val="auto"/>
          <w:sz w:val="24"/>
          <w:szCs w:val="24"/>
          <w:highlight w:val="none"/>
        </w:rPr>
        <w:t>”</w:t>
      </w:r>
      <w:r>
        <w:rPr>
          <w:rFonts w:hint="eastAsia" w:ascii="宋体" w:hAnsi="宋体" w:eastAsia="宋体" w:cs="宋体"/>
          <w:strike/>
          <w:color w:val="auto"/>
          <w:sz w:val="24"/>
          <w:szCs w:val="24"/>
          <w:highlight w:val="none"/>
        </w:rPr>
        <w:t>的字样。投标人应根据投标人须知前附表要求提供电子版文件。当副本和正本不一致或电子版文件和纸质正本文件不一致时，以纸质正本文件为准。</w:t>
      </w:r>
    </w:p>
    <w:p>
      <w:pPr>
        <w:shd w:val="clear"/>
        <w:spacing w:after="0" w:line="366" w:lineRule="auto"/>
        <w:ind w:right="103" w:firstLine="420"/>
        <w:rPr>
          <w:rFonts w:hint="eastAsia" w:ascii="宋体" w:hAnsi="宋体" w:eastAsia="宋体"/>
          <w:strike/>
          <w:color w:val="auto"/>
          <w:sz w:val="24"/>
          <w:szCs w:val="24"/>
          <w:highlight w:val="none"/>
        </w:rPr>
      </w:pPr>
      <w:r>
        <w:rPr>
          <w:rFonts w:hint="eastAsia" w:ascii="宋体" w:hAnsi="宋体" w:eastAsia="宋体" w:cs="宋体"/>
          <w:strike/>
          <w:color w:val="auto"/>
          <w:sz w:val="24"/>
          <w:szCs w:val="24"/>
          <w:highlight w:val="none"/>
        </w:rPr>
        <w:t>（</w:t>
      </w:r>
      <w:r>
        <w:rPr>
          <w:rFonts w:ascii="宋体" w:hAnsi="宋体" w:eastAsia="宋体"/>
          <w:strike/>
          <w:color w:val="auto"/>
          <w:sz w:val="24"/>
          <w:szCs w:val="24"/>
          <w:highlight w:val="none"/>
        </w:rPr>
        <w:t>3</w:t>
      </w:r>
      <w:r>
        <w:rPr>
          <w:rFonts w:hint="eastAsia" w:ascii="宋体" w:hAnsi="宋体" w:eastAsia="宋体" w:cs="宋体"/>
          <w:strike/>
          <w:color w:val="auto"/>
          <w:sz w:val="24"/>
          <w:szCs w:val="24"/>
          <w:highlight w:val="none"/>
        </w:rPr>
        <w:t>）投标文件的正本与副本应分别装订，并编制目录，投标文件需分册装订的，具体分册装订要求见投标人须知前附表规定。</w:t>
      </w:r>
      <w:r>
        <w:rPr>
          <w:rFonts w:ascii="宋体" w:hAnsi="宋体" w:eastAsia="宋体"/>
          <w:strike/>
          <w:color w:val="auto"/>
          <w:sz w:val="24"/>
          <w:szCs w:val="24"/>
          <w:highlight w:val="none"/>
        </w:rPr>
        <w:t xml:space="preserve"> </w:t>
      </w:r>
    </w:p>
    <w:p>
      <w:pPr>
        <w:shd w:val="clear"/>
        <w:spacing w:after="0" w:line="366" w:lineRule="auto"/>
        <w:ind w:right="103" w:firstLine="42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3.7.3</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hd w:val="clear"/>
        <w:spacing w:after="0" w:line="366" w:lineRule="auto"/>
        <w:ind w:right="103" w:firstLine="420"/>
        <w:rPr>
          <w:rFonts w:ascii="宋体" w:hAnsi="宋体" w:eastAsia="宋体"/>
          <w:color w:val="auto"/>
          <w:sz w:val="24"/>
          <w:szCs w:val="24"/>
          <w:highlight w:val="none"/>
        </w:rPr>
      </w:pPr>
    </w:p>
    <w:p>
      <w:pPr>
        <w:pStyle w:val="2"/>
        <w:shd w:val="clear"/>
        <w:spacing w:after="500" w:line="262" w:lineRule="auto"/>
        <w:ind w:left="-5" w:right="0"/>
        <w:rPr>
          <w:rFonts w:ascii="宋体" w:hAnsi="宋体" w:eastAsia="宋体"/>
          <w:color w:val="auto"/>
          <w:sz w:val="24"/>
          <w:szCs w:val="24"/>
          <w:highlight w:val="none"/>
        </w:rPr>
      </w:pPr>
      <w:bookmarkStart w:id="63" w:name="_Toc508382120"/>
      <w:bookmarkStart w:id="64" w:name="_Toc508788637"/>
      <w:r>
        <w:rPr>
          <w:rFonts w:ascii="宋体" w:hAnsi="宋体" w:eastAsia="宋体"/>
          <w:b/>
          <w:color w:val="auto"/>
          <w:sz w:val="24"/>
          <w:szCs w:val="24"/>
          <w:highlight w:val="none"/>
        </w:rPr>
        <w:t xml:space="preserve">4. </w:t>
      </w:r>
      <w:r>
        <w:rPr>
          <w:rFonts w:hint="eastAsia" w:ascii="宋体" w:hAnsi="宋体" w:eastAsia="宋体"/>
          <w:color w:val="auto"/>
          <w:sz w:val="24"/>
          <w:szCs w:val="24"/>
          <w:highlight w:val="none"/>
        </w:rPr>
        <w:t>投标</w:t>
      </w:r>
      <w:bookmarkEnd w:id="63"/>
      <w:bookmarkEnd w:id="64"/>
      <w:r>
        <w:rPr>
          <w:rFonts w:ascii="宋体" w:hAnsi="宋体" w:eastAsia="宋体"/>
          <w:b/>
          <w:color w:val="auto"/>
          <w:sz w:val="24"/>
          <w:szCs w:val="24"/>
          <w:highlight w:val="none"/>
        </w:rPr>
        <w:t xml:space="preserve"> </w:t>
      </w:r>
    </w:p>
    <w:p>
      <w:pPr>
        <w:pStyle w:val="4"/>
        <w:shd w:val="clear"/>
        <w:spacing w:after="285"/>
        <w:ind w:left="132" w:right="0"/>
        <w:rPr>
          <w:rFonts w:ascii="宋体" w:hAnsi="宋体" w:eastAsia="宋体"/>
          <w:color w:val="auto"/>
          <w:sz w:val="24"/>
          <w:szCs w:val="24"/>
          <w:highlight w:val="none"/>
        </w:rPr>
      </w:pPr>
      <w:bookmarkStart w:id="65" w:name="_Toc508788638"/>
      <w:bookmarkStart w:id="66" w:name="_Toc508382121"/>
      <w:r>
        <w:rPr>
          <w:rFonts w:ascii="宋体" w:hAnsi="宋体" w:eastAsia="宋体"/>
          <w:color w:val="auto"/>
          <w:sz w:val="24"/>
          <w:szCs w:val="24"/>
          <w:highlight w:val="none"/>
        </w:rPr>
        <w:t xml:space="preserve">4.1 </w:t>
      </w:r>
      <w:r>
        <w:rPr>
          <w:rFonts w:hint="eastAsia" w:ascii="宋体" w:hAnsi="宋体" w:eastAsia="宋体"/>
          <w:color w:val="auto"/>
          <w:sz w:val="24"/>
          <w:szCs w:val="24"/>
          <w:highlight w:val="none"/>
        </w:rPr>
        <w:t>投标文件的密封和标记</w:t>
      </w:r>
      <w:bookmarkEnd w:id="65"/>
      <w:bookmarkEnd w:id="66"/>
      <w:r>
        <w:rPr>
          <w:rFonts w:ascii="宋体" w:hAnsi="宋体" w:eastAsia="宋体"/>
          <w:color w:val="auto"/>
          <w:sz w:val="24"/>
          <w:szCs w:val="24"/>
          <w:highlight w:val="none"/>
        </w:rPr>
        <w:t xml:space="preserve"> </w:t>
      </w:r>
    </w:p>
    <w:p>
      <w:pPr>
        <w:shd w:val="clear"/>
        <w:spacing w:after="3" w:line="366" w:lineRule="auto"/>
        <w:ind w:right="103" w:firstLine="420"/>
        <w:rPr>
          <w:rFonts w:hint="eastAsia" w:ascii="宋体" w:hAnsi="宋体" w:eastAsia="宋体"/>
          <w:strike/>
          <w:color w:val="auto"/>
          <w:sz w:val="24"/>
          <w:szCs w:val="24"/>
          <w:highlight w:val="none"/>
        </w:rPr>
      </w:pPr>
      <w:r>
        <w:rPr>
          <w:rFonts w:ascii="宋体" w:hAnsi="宋体" w:eastAsia="宋体"/>
          <w:strike/>
          <w:color w:val="auto"/>
          <w:sz w:val="24"/>
          <w:szCs w:val="24"/>
          <w:highlight w:val="none"/>
        </w:rPr>
        <w:t xml:space="preserve">4.1.1 </w:t>
      </w:r>
      <w:r>
        <w:rPr>
          <w:rFonts w:hint="eastAsia" w:ascii="宋体" w:hAnsi="宋体" w:eastAsia="宋体" w:cs="宋体"/>
          <w:strike/>
          <w:color w:val="auto"/>
          <w:sz w:val="24"/>
          <w:szCs w:val="24"/>
          <w:highlight w:val="none"/>
        </w:rPr>
        <w:t>（</w:t>
      </w:r>
      <w:r>
        <w:rPr>
          <w:rFonts w:ascii="宋体" w:hAnsi="宋体" w:eastAsia="宋体"/>
          <w:strike/>
          <w:color w:val="auto"/>
          <w:sz w:val="24"/>
          <w:szCs w:val="24"/>
          <w:highlight w:val="none"/>
        </w:rPr>
        <w:t>A</w:t>
      </w:r>
      <w:r>
        <w:rPr>
          <w:rFonts w:hint="eastAsia" w:ascii="宋体" w:hAnsi="宋体" w:eastAsia="宋体" w:cs="宋体"/>
          <w:strike/>
          <w:color w:val="auto"/>
          <w:sz w:val="24"/>
          <w:szCs w:val="24"/>
          <w:highlight w:val="none"/>
        </w:rPr>
        <w:t>）投标文件应密封包装，并在封套的封口处加盖投标人单位章或由投标人的法定代表人或其授权的代理人签字。</w:t>
      </w:r>
      <w:r>
        <w:rPr>
          <w:rFonts w:ascii="宋体" w:hAnsi="宋体" w:eastAsia="宋体"/>
          <w:strike/>
          <w:color w:val="auto"/>
          <w:sz w:val="24"/>
          <w:szCs w:val="24"/>
          <w:highlight w:val="none"/>
        </w:rPr>
        <w:t xml:space="preserve"> </w:t>
      </w:r>
    </w:p>
    <w:p>
      <w:pPr>
        <w:pStyle w:val="14"/>
        <w:shd w:val="clear"/>
        <w:kinsoku w:val="0"/>
        <w:overflowPunct w:val="0"/>
        <w:spacing w:before="44" w:line="295" w:lineRule="auto"/>
        <w:ind w:left="100" w:right="113" w:firstLine="419"/>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）投标人应当按照招标文件和电子招标投标交易平台的要求加密投标文件，具体要求见投标人须知前附表。</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4.1.2 </w:t>
      </w:r>
      <w:r>
        <w:rPr>
          <w:rFonts w:hint="eastAsia" w:ascii="宋体" w:hAnsi="宋体" w:eastAsia="宋体" w:cs="宋体"/>
          <w:color w:val="auto"/>
          <w:sz w:val="24"/>
          <w:szCs w:val="24"/>
          <w:highlight w:val="none"/>
        </w:rPr>
        <w:t>投标文件封套上应写明的内容见投标人须知前附表。</w:t>
      </w:r>
      <w:r>
        <w:rPr>
          <w:rFonts w:ascii="宋体" w:hAnsi="宋体" w:eastAsia="宋体"/>
          <w:color w:val="auto"/>
          <w:sz w:val="24"/>
          <w:szCs w:val="24"/>
          <w:highlight w:val="none"/>
        </w:rPr>
        <w:t xml:space="preserve"> </w:t>
      </w:r>
    </w:p>
    <w:p>
      <w:pPr>
        <w:shd w:val="clear"/>
        <w:spacing w:after="346" w:line="265" w:lineRule="auto"/>
        <w:ind w:left="417" w:right="103" w:hanging="10"/>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4.1.3 </w:t>
      </w:r>
      <w:r>
        <w:rPr>
          <w:rFonts w:hint="eastAsia" w:ascii="宋体" w:hAnsi="宋体" w:eastAsia="宋体" w:cs="宋体"/>
          <w:color w:val="auto"/>
          <w:sz w:val="24"/>
          <w:szCs w:val="24"/>
          <w:highlight w:val="none"/>
        </w:rPr>
        <w:t>未按本章第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4.1.1 </w:t>
      </w:r>
      <w:r>
        <w:rPr>
          <w:rFonts w:hint="eastAsia" w:ascii="宋体" w:hAnsi="宋体" w:eastAsia="宋体" w:cs="宋体"/>
          <w:color w:val="auto"/>
          <w:sz w:val="24"/>
          <w:szCs w:val="24"/>
          <w:highlight w:val="none"/>
        </w:rPr>
        <w:t>项要求密封的投标文件，招标人将予以拒收。</w:t>
      </w:r>
      <w:r>
        <w:rPr>
          <w:rFonts w:ascii="宋体" w:hAnsi="宋体" w:eastAsia="宋体"/>
          <w:color w:val="auto"/>
          <w:sz w:val="24"/>
          <w:szCs w:val="24"/>
          <w:highlight w:val="none"/>
        </w:rPr>
        <w:t xml:space="preserve"> </w:t>
      </w:r>
    </w:p>
    <w:p>
      <w:pPr>
        <w:pStyle w:val="4"/>
        <w:shd w:val="clear"/>
        <w:spacing w:after="284"/>
        <w:ind w:left="132" w:right="0"/>
        <w:rPr>
          <w:rFonts w:ascii="宋体" w:hAnsi="宋体" w:eastAsia="宋体"/>
          <w:color w:val="auto"/>
          <w:sz w:val="24"/>
          <w:szCs w:val="24"/>
          <w:highlight w:val="none"/>
        </w:rPr>
      </w:pPr>
      <w:bookmarkStart w:id="67" w:name="_Toc508788639"/>
      <w:bookmarkStart w:id="68" w:name="_Toc508382122"/>
      <w:r>
        <w:rPr>
          <w:rFonts w:ascii="宋体" w:hAnsi="宋体" w:eastAsia="宋体"/>
          <w:color w:val="auto"/>
          <w:sz w:val="24"/>
          <w:szCs w:val="24"/>
          <w:highlight w:val="none"/>
        </w:rPr>
        <w:t xml:space="preserve">4.2 </w:t>
      </w:r>
      <w:r>
        <w:rPr>
          <w:rFonts w:hint="eastAsia" w:ascii="宋体" w:hAnsi="宋体" w:eastAsia="宋体"/>
          <w:color w:val="auto"/>
          <w:sz w:val="24"/>
          <w:szCs w:val="24"/>
          <w:highlight w:val="none"/>
        </w:rPr>
        <w:t>投标文件的递交</w:t>
      </w:r>
      <w:bookmarkEnd w:id="67"/>
      <w:bookmarkEnd w:id="68"/>
      <w:r>
        <w:rPr>
          <w:rFonts w:ascii="宋体" w:hAnsi="宋体" w:eastAsia="宋体"/>
          <w:color w:val="auto"/>
          <w:sz w:val="24"/>
          <w:szCs w:val="24"/>
          <w:highlight w:val="none"/>
        </w:rPr>
        <w:t xml:space="preserve"> </w:t>
      </w:r>
    </w:p>
    <w:p>
      <w:pPr>
        <w:pStyle w:val="14"/>
        <w:shd w:val="clear"/>
        <w:kinsoku w:val="0"/>
        <w:overflowPunct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4.2.1 </w:t>
      </w:r>
      <w:r>
        <w:rPr>
          <w:rFonts w:hint="eastAsia" w:ascii="宋体" w:hAnsi="宋体" w:eastAsia="宋体" w:cs="宋体"/>
          <w:color w:val="auto"/>
          <w:sz w:val="24"/>
          <w:szCs w:val="24"/>
          <w:highlight w:val="none"/>
        </w:rPr>
        <w:t>投标人应在投标人须知前附表规定的投标截止时间前递交投标文件。</w:t>
      </w:r>
    </w:p>
    <w:p>
      <w:pPr>
        <w:pStyle w:val="14"/>
        <w:shd w:val="clear"/>
        <w:kinsoku w:val="0"/>
        <w:overflowPunct w:val="0"/>
        <w:spacing w:before="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eastAsia="宋体" w:cs="宋体"/>
          <w:strike/>
          <w:color w:val="auto"/>
          <w:sz w:val="24"/>
          <w:szCs w:val="24"/>
          <w:highlight w:val="none"/>
        </w:rPr>
        <w:t xml:space="preserve">4.2.2 </w:t>
      </w:r>
      <w:r>
        <w:rPr>
          <w:rFonts w:hint="eastAsia" w:ascii="宋体" w:hAnsi="宋体" w:eastAsia="宋体" w:cs="宋体"/>
          <w:strike/>
          <w:color w:val="auto"/>
          <w:sz w:val="24"/>
          <w:szCs w:val="24"/>
          <w:highlight w:val="none"/>
        </w:rPr>
        <w:t>（</w:t>
      </w:r>
      <w:r>
        <w:rPr>
          <w:rFonts w:ascii="宋体" w:hAnsi="宋体" w:eastAsia="宋体" w:cs="宋体"/>
          <w:strike/>
          <w:color w:val="auto"/>
          <w:sz w:val="24"/>
          <w:szCs w:val="24"/>
          <w:highlight w:val="none"/>
        </w:rPr>
        <w:t>A</w:t>
      </w:r>
      <w:r>
        <w:rPr>
          <w:rFonts w:hint="eastAsia" w:ascii="宋体" w:hAnsi="宋体" w:eastAsia="宋体" w:cs="宋体"/>
          <w:strike/>
          <w:color w:val="auto"/>
          <w:sz w:val="24"/>
          <w:szCs w:val="24"/>
          <w:highlight w:val="none"/>
        </w:rPr>
        <w:t>）投标人递交投标文件的地点：见投标人须知前附表。</w:t>
      </w:r>
    </w:p>
    <w:p>
      <w:pPr>
        <w:pStyle w:val="14"/>
        <w:shd w:val="clear"/>
        <w:kinsoku w:val="0"/>
        <w:overflowPunct w:val="0"/>
        <w:spacing w:before="75"/>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4.2.2 </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）投标人通过下载招标文件的电子招标投标交易平台递交电子投标文件。</w:t>
      </w:r>
    </w:p>
    <w:p>
      <w:pPr>
        <w:pStyle w:val="14"/>
        <w:shd w:val="clear"/>
        <w:kinsoku w:val="0"/>
        <w:overflowPunct w:val="0"/>
        <w:spacing w:before="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4.2.3 </w:t>
      </w:r>
      <w:r>
        <w:rPr>
          <w:rFonts w:hint="eastAsia" w:ascii="宋体" w:hAnsi="宋体" w:eastAsia="宋体" w:cs="宋体"/>
          <w:color w:val="auto"/>
          <w:sz w:val="24"/>
          <w:szCs w:val="24"/>
          <w:highlight w:val="none"/>
        </w:rPr>
        <w:t>除投标人须知前附表另有规定外，投标人所递交的投标文件不予退还。</w:t>
      </w:r>
    </w:p>
    <w:p>
      <w:pPr>
        <w:pStyle w:val="14"/>
        <w:shd w:val="clear"/>
        <w:kinsoku w:val="0"/>
        <w:overflowPunct w:val="0"/>
        <w:spacing w:before="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eastAsia="宋体" w:cs="宋体"/>
          <w:strike/>
          <w:color w:val="auto"/>
          <w:sz w:val="24"/>
          <w:szCs w:val="24"/>
          <w:highlight w:val="none"/>
        </w:rPr>
        <w:t xml:space="preserve">4.2.4 </w:t>
      </w:r>
      <w:r>
        <w:rPr>
          <w:rFonts w:hint="eastAsia" w:ascii="宋体" w:hAnsi="宋体" w:eastAsia="宋体" w:cs="宋体"/>
          <w:strike/>
          <w:color w:val="auto"/>
          <w:sz w:val="24"/>
          <w:szCs w:val="24"/>
          <w:highlight w:val="none"/>
        </w:rPr>
        <w:t>（</w:t>
      </w:r>
      <w:r>
        <w:rPr>
          <w:rFonts w:ascii="宋体" w:hAnsi="宋体" w:eastAsia="宋体" w:cs="宋体"/>
          <w:strike/>
          <w:color w:val="auto"/>
          <w:sz w:val="24"/>
          <w:szCs w:val="24"/>
          <w:highlight w:val="none"/>
        </w:rPr>
        <w:t>A</w:t>
      </w:r>
      <w:r>
        <w:rPr>
          <w:rFonts w:hint="eastAsia" w:ascii="宋体" w:hAnsi="宋体" w:eastAsia="宋体" w:cs="宋体"/>
          <w:strike/>
          <w:color w:val="auto"/>
          <w:sz w:val="24"/>
          <w:szCs w:val="24"/>
          <w:highlight w:val="none"/>
        </w:rPr>
        <w:t>）招标人收到投标文件后，向投标人出具签收凭证。</w:t>
      </w:r>
    </w:p>
    <w:p>
      <w:pPr>
        <w:pStyle w:val="14"/>
        <w:shd w:val="clear"/>
        <w:kinsoku w:val="0"/>
        <w:overflowPunct w:val="0"/>
        <w:spacing w:before="72" w:line="260" w:lineRule="auto"/>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4.2.4 </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）投标人完成电子投标文件上传后，电子招标投标交易平台即时向投标人发出递交回执通知。递交时间以递交回执通知载明的传输完成时间为准。</w:t>
      </w:r>
    </w:p>
    <w:p>
      <w:pPr>
        <w:pStyle w:val="14"/>
        <w:shd w:val="clear"/>
        <w:kinsoku w:val="0"/>
        <w:overflowPunct w:val="0"/>
        <w:spacing w:before="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strike/>
          <w:color w:val="auto"/>
          <w:sz w:val="24"/>
          <w:szCs w:val="24"/>
          <w:highlight w:val="none"/>
        </w:rPr>
        <w:t xml:space="preserve"> </w:t>
      </w:r>
      <w:r>
        <w:rPr>
          <w:rFonts w:ascii="宋体" w:hAnsi="宋体" w:eastAsia="宋体" w:cs="宋体"/>
          <w:strike/>
          <w:color w:val="auto"/>
          <w:sz w:val="24"/>
          <w:szCs w:val="24"/>
          <w:highlight w:val="none"/>
        </w:rPr>
        <w:t xml:space="preserve">4.2.5 </w:t>
      </w:r>
      <w:r>
        <w:rPr>
          <w:rFonts w:hint="eastAsia" w:ascii="宋体" w:hAnsi="宋体" w:eastAsia="宋体" w:cs="宋体"/>
          <w:strike/>
          <w:color w:val="auto"/>
          <w:sz w:val="24"/>
          <w:szCs w:val="24"/>
          <w:highlight w:val="none"/>
        </w:rPr>
        <w:t>（</w:t>
      </w:r>
      <w:r>
        <w:rPr>
          <w:rFonts w:ascii="宋体" w:hAnsi="宋体" w:eastAsia="宋体" w:cs="宋体"/>
          <w:strike/>
          <w:color w:val="auto"/>
          <w:sz w:val="24"/>
          <w:szCs w:val="24"/>
          <w:highlight w:val="none"/>
        </w:rPr>
        <w:t>A</w:t>
      </w:r>
      <w:r>
        <w:rPr>
          <w:rFonts w:hint="eastAsia" w:ascii="宋体" w:hAnsi="宋体" w:eastAsia="宋体" w:cs="宋体"/>
          <w:strike/>
          <w:color w:val="auto"/>
          <w:sz w:val="24"/>
          <w:szCs w:val="24"/>
          <w:highlight w:val="none"/>
        </w:rPr>
        <w:t>）逾期送达的投标文件，招标人将予以拒收。</w:t>
      </w:r>
    </w:p>
    <w:p>
      <w:pPr>
        <w:pStyle w:val="14"/>
        <w:shd w:val="clear"/>
        <w:kinsoku w:val="0"/>
        <w:overflowPunct w:val="0"/>
        <w:spacing w:before="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4.2.5 </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）逾期送达的投标文件，电子招标投标交易平台将予以拒收。</w:t>
      </w:r>
    </w:p>
    <w:p>
      <w:pPr>
        <w:shd w:val="clear"/>
        <w:spacing w:after="0"/>
        <w:ind w:left="420"/>
        <w:rPr>
          <w:rFonts w:ascii="宋体" w:hAnsi="宋体" w:eastAsia="宋体"/>
          <w:color w:val="auto"/>
          <w:sz w:val="24"/>
          <w:szCs w:val="24"/>
          <w:highlight w:val="none"/>
        </w:rPr>
      </w:pPr>
    </w:p>
    <w:p>
      <w:pPr>
        <w:pStyle w:val="4"/>
        <w:shd w:val="clear"/>
        <w:spacing w:after="285"/>
        <w:ind w:left="132" w:right="0"/>
        <w:rPr>
          <w:rFonts w:ascii="宋体" w:hAnsi="宋体" w:eastAsia="宋体"/>
          <w:color w:val="auto"/>
          <w:sz w:val="24"/>
          <w:szCs w:val="24"/>
          <w:highlight w:val="none"/>
        </w:rPr>
      </w:pPr>
      <w:bookmarkStart w:id="69" w:name="_Toc508788640"/>
      <w:bookmarkStart w:id="70" w:name="_Toc508382123"/>
      <w:r>
        <w:rPr>
          <w:rFonts w:ascii="宋体" w:hAnsi="宋体" w:eastAsia="宋体"/>
          <w:color w:val="auto"/>
          <w:sz w:val="24"/>
          <w:szCs w:val="24"/>
          <w:highlight w:val="none"/>
        </w:rPr>
        <w:t xml:space="preserve">4.3 </w:t>
      </w:r>
      <w:r>
        <w:rPr>
          <w:rFonts w:hint="eastAsia" w:ascii="宋体" w:hAnsi="宋体" w:eastAsia="宋体"/>
          <w:color w:val="auto"/>
          <w:sz w:val="24"/>
          <w:szCs w:val="24"/>
          <w:highlight w:val="none"/>
        </w:rPr>
        <w:t>投标文件的修改与撤回</w:t>
      </w:r>
      <w:bookmarkEnd w:id="69"/>
      <w:bookmarkEnd w:id="70"/>
      <w:r>
        <w:rPr>
          <w:rFonts w:ascii="宋体" w:hAnsi="宋体" w:eastAsia="宋体"/>
          <w:color w:val="auto"/>
          <w:sz w:val="24"/>
          <w:szCs w:val="24"/>
          <w:highlight w:val="none"/>
        </w:rPr>
        <w:t xml:space="preserve"> </w:t>
      </w:r>
    </w:p>
    <w:p>
      <w:pPr>
        <w:shd w:val="clear"/>
        <w:spacing w:after="0" w:line="371"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4.3.1 </w:t>
      </w:r>
      <w:r>
        <w:rPr>
          <w:rFonts w:hint="eastAsia" w:ascii="宋体" w:hAnsi="宋体" w:eastAsia="宋体" w:cs="宋体"/>
          <w:color w:val="auto"/>
          <w:sz w:val="24"/>
          <w:szCs w:val="24"/>
          <w:highlight w:val="none"/>
        </w:rPr>
        <w:t>在本章第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4.2.1 </w:t>
      </w:r>
      <w:r>
        <w:rPr>
          <w:rFonts w:hint="eastAsia" w:ascii="宋体" w:hAnsi="宋体" w:eastAsia="宋体" w:cs="宋体"/>
          <w:color w:val="auto"/>
          <w:sz w:val="24"/>
          <w:szCs w:val="24"/>
          <w:highlight w:val="none"/>
        </w:rPr>
        <w:t>项规定的投标截止时间前，投标人可以修改或撤回已递交的投标文件，但应以书面形式通知招标人。</w:t>
      </w:r>
      <w:r>
        <w:rPr>
          <w:rFonts w:ascii="宋体" w:hAnsi="宋体" w:eastAsia="宋体"/>
          <w:color w:val="auto"/>
          <w:sz w:val="24"/>
          <w:szCs w:val="24"/>
          <w:highlight w:val="none"/>
        </w:rPr>
        <w:t xml:space="preserve"> </w:t>
      </w:r>
    </w:p>
    <w:p>
      <w:pPr>
        <w:shd w:val="clear"/>
        <w:spacing w:after="0" w:line="373" w:lineRule="auto"/>
        <w:ind w:right="103" w:firstLine="420"/>
        <w:rPr>
          <w:rFonts w:hint="eastAsia" w:ascii="宋体" w:hAnsi="宋体" w:eastAsia="宋体"/>
          <w:color w:val="auto"/>
          <w:sz w:val="24"/>
          <w:szCs w:val="24"/>
          <w:highlight w:val="none"/>
        </w:rPr>
      </w:pPr>
      <w:r>
        <w:rPr>
          <w:rFonts w:ascii="宋体" w:hAnsi="宋体" w:eastAsia="宋体"/>
          <w:strike/>
          <w:color w:val="auto"/>
          <w:sz w:val="24"/>
          <w:szCs w:val="24"/>
          <w:highlight w:val="none"/>
        </w:rPr>
        <w:t xml:space="preserve">4.3.2 </w:t>
      </w:r>
      <w:r>
        <w:rPr>
          <w:rFonts w:hint="eastAsia" w:ascii="宋体" w:hAnsi="宋体" w:eastAsia="宋体" w:cs="宋体"/>
          <w:strike/>
          <w:color w:val="auto"/>
          <w:sz w:val="24"/>
          <w:szCs w:val="24"/>
          <w:highlight w:val="none"/>
        </w:rPr>
        <w:t>（</w:t>
      </w:r>
      <w:r>
        <w:rPr>
          <w:rFonts w:ascii="宋体" w:hAnsi="宋体" w:eastAsia="宋体"/>
          <w:strike/>
          <w:color w:val="auto"/>
          <w:sz w:val="24"/>
          <w:szCs w:val="24"/>
          <w:highlight w:val="none"/>
        </w:rPr>
        <w:t>A</w:t>
      </w:r>
      <w:r>
        <w:rPr>
          <w:rFonts w:hint="eastAsia" w:ascii="宋体" w:hAnsi="宋体" w:eastAsia="宋体" w:cs="宋体"/>
          <w:strike/>
          <w:color w:val="auto"/>
          <w:sz w:val="24"/>
          <w:szCs w:val="24"/>
          <w:highlight w:val="none"/>
        </w:rPr>
        <w:t>）投标人修改或撤回已递交投标文件的书面通知应按照本章第</w:t>
      </w:r>
      <w:r>
        <w:rPr>
          <w:rFonts w:ascii="宋体" w:hAnsi="宋体" w:eastAsia="宋体" w:cs="宋体"/>
          <w:strike/>
          <w:color w:val="auto"/>
          <w:sz w:val="24"/>
          <w:szCs w:val="24"/>
          <w:highlight w:val="none"/>
        </w:rPr>
        <w:t xml:space="preserve"> </w:t>
      </w:r>
      <w:r>
        <w:rPr>
          <w:rFonts w:ascii="宋体" w:hAnsi="宋体" w:eastAsia="宋体"/>
          <w:strike/>
          <w:color w:val="auto"/>
          <w:sz w:val="24"/>
          <w:szCs w:val="24"/>
          <w:highlight w:val="none"/>
        </w:rPr>
        <w:t>3.7.3</w:t>
      </w:r>
      <w:r>
        <w:rPr>
          <w:rFonts w:hint="eastAsia" w:ascii="宋体" w:hAnsi="宋体" w:eastAsia="宋体" w:cs="宋体"/>
          <w:strike/>
          <w:color w:val="auto"/>
          <w:sz w:val="24"/>
          <w:szCs w:val="24"/>
          <w:highlight w:val="none"/>
        </w:rPr>
        <w:t>（</w:t>
      </w:r>
      <w:r>
        <w:rPr>
          <w:rFonts w:ascii="宋体" w:hAnsi="宋体" w:eastAsia="宋体"/>
          <w:strike/>
          <w:color w:val="auto"/>
          <w:sz w:val="24"/>
          <w:szCs w:val="24"/>
          <w:highlight w:val="none"/>
        </w:rPr>
        <w:t>A</w:t>
      </w:r>
      <w:r>
        <w:rPr>
          <w:rFonts w:hint="eastAsia" w:ascii="宋体" w:hAnsi="宋体" w:eastAsia="宋体" w:cs="宋体"/>
          <w:strike/>
          <w:color w:val="auto"/>
          <w:sz w:val="24"/>
          <w:szCs w:val="24"/>
          <w:highlight w:val="none"/>
        </w:rPr>
        <w:t>）项的要求签字或盖章。招标人收到书面通知后，向投标人出具签收凭证。</w:t>
      </w:r>
      <w:r>
        <w:rPr>
          <w:rFonts w:ascii="宋体" w:hAnsi="宋体" w:eastAsia="宋体"/>
          <w:color w:val="auto"/>
          <w:sz w:val="24"/>
          <w:szCs w:val="24"/>
          <w:highlight w:val="none"/>
        </w:rPr>
        <w:t xml:space="preserve"> </w:t>
      </w:r>
    </w:p>
    <w:p>
      <w:pPr>
        <w:pStyle w:val="14"/>
        <w:shd w:val="clear"/>
        <w:kinsoku w:val="0"/>
        <w:overflowPunct w:val="0"/>
        <w:spacing w:before="40" w:line="295" w:lineRule="auto"/>
        <w:ind w:left="100" w:firstLine="419"/>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 xml:space="preserve">4.3.2 </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 xml:space="preserve">）投标人修改或撤回已递交投标文件的通知，应按照本章第 </w:t>
      </w:r>
      <w:r>
        <w:rPr>
          <w:rFonts w:ascii="宋体" w:hAnsi="宋体" w:eastAsia="宋体" w:cs="宋体"/>
          <w:color w:val="auto"/>
          <w:sz w:val="24"/>
          <w:szCs w:val="24"/>
          <w:highlight w:val="none"/>
        </w:rPr>
        <w:t>3.7.3</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）项的要求加盖电子印章。电子招标投标交易平台收到通知后，即时向投标人发出确认回执通知。</w:t>
      </w:r>
    </w:p>
    <w:p>
      <w:pPr>
        <w:shd w:val="clear"/>
        <w:spacing w:after="0" w:line="371"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4.3.3 </w:t>
      </w:r>
      <w:r>
        <w:rPr>
          <w:rFonts w:hint="eastAsia" w:ascii="宋体" w:hAnsi="宋体" w:eastAsia="宋体" w:cs="宋体"/>
          <w:color w:val="auto"/>
          <w:sz w:val="24"/>
          <w:szCs w:val="24"/>
          <w:highlight w:val="none"/>
        </w:rPr>
        <w:t>投标人撤回投标文件的，招标人自收到投标人书面撤回通知之日起</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5 </w:t>
      </w:r>
      <w:r>
        <w:rPr>
          <w:rFonts w:hint="eastAsia" w:ascii="宋体" w:hAnsi="宋体" w:eastAsia="宋体" w:cs="宋体"/>
          <w:color w:val="auto"/>
          <w:sz w:val="24"/>
          <w:szCs w:val="24"/>
          <w:highlight w:val="none"/>
        </w:rPr>
        <w:t>日内退还已收取的投标保证金。</w:t>
      </w:r>
      <w:r>
        <w:rPr>
          <w:rFonts w:ascii="宋体" w:hAnsi="宋体" w:eastAsia="宋体"/>
          <w:color w:val="auto"/>
          <w:sz w:val="24"/>
          <w:szCs w:val="24"/>
          <w:highlight w:val="none"/>
        </w:rPr>
        <w:t xml:space="preserve"> </w:t>
      </w:r>
    </w:p>
    <w:p>
      <w:pPr>
        <w:shd w:val="clear"/>
        <w:spacing w:after="252" w:line="375"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4.3.4 </w:t>
      </w:r>
      <w:r>
        <w:rPr>
          <w:rFonts w:hint="eastAsia" w:ascii="宋体" w:hAnsi="宋体" w:eastAsia="宋体" w:cs="宋体"/>
          <w:color w:val="auto"/>
          <w:sz w:val="24"/>
          <w:szCs w:val="24"/>
          <w:highlight w:val="none"/>
        </w:rPr>
        <w:t>修改的内容为投标文件的组成部分。修改的投标文件应按照本章第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3 </w:t>
      </w:r>
      <w:r>
        <w:rPr>
          <w:rFonts w:hint="eastAsia" w:ascii="宋体" w:hAnsi="宋体" w:eastAsia="宋体" w:cs="宋体"/>
          <w:color w:val="auto"/>
          <w:sz w:val="24"/>
          <w:szCs w:val="24"/>
          <w:highlight w:val="none"/>
        </w:rPr>
        <w:t>条、第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4 </w:t>
      </w:r>
      <w:r>
        <w:rPr>
          <w:rFonts w:hint="eastAsia" w:ascii="宋体" w:hAnsi="宋体" w:eastAsia="宋体" w:cs="宋体"/>
          <w:color w:val="auto"/>
          <w:sz w:val="24"/>
          <w:szCs w:val="24"/>
          <w:highlight w:val="none"/>
        </w:rPr>
        <w:t>条的规定进行编制、密封、标记和递交，并标明</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修改</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字样。</w:t>
      </w:r>
      <w:r>
        <w:rPr>
          <w:rFonts w:ascii="宋体" w:hAnsi="宋体" w:eastAsia="宋体"/>
          <w:color w:val="auto"/>
          <w:sz w:val="24"/>
          <w:szCs w:val="24"/>
          <w:highlight w:val="none"/>
        </w:rPr>
        <w:t xml:space="preserve"> </w:t>
      </w:r>
    </w:p>
    <w:p>
      <w:pPr>
        <w:pStyle w:val="2"/>
        <w:shd w:val="clear"/>
        <w:spacing w:after="500" w:line="262" w:lineRule="auto"/>
        <w:ind w:left="-5" w:right="0"/>
        <w:rPr>
          <w:rFonts w:ascii="宋体" w:hAnsi="宋体" w:eastAsia="宋体"/>
          <w:color w:val="auto"/>
          <w:sz w:val="24"/>
          <w:szCs w:val="24"/>
          <w:highlight w:val="none"/>
        </w:rPr>
      </w:pPr>
      <w:bookmarkStart w:id="71" w:name="_Toc508382124"/>
      <w:bookmarkStart w:id="72" w:name="_Toc508788641"/>
      <w:r>
        <w:rPr>
          <w:rFonts w:ascii="宋体" w:hAnsi="宋体" w:eastAsia="宋体"/>
          <w:b/>
          <w:color w:val="auto"/>
          <w:sz w:val="24"/>
          <w:szCs w:val="24"/>
          <w:highlight w:val="none"/>
        </w:rPr>
        <w:t xml:space="preserve">5. </w:t>
      </w:r>
      <w:r>
        <w:rPr>
          <w:rFonts w:hint="eastAsia" w:ascii="宋体" w:hAnsi="宋体" w:eastAsia="宋体"/>
          <w:color w:val="auto"/>
          <w:sz w:val="24"/>
          <w:szCs w:val="24"/>
          <w:highlight w:val="none"/>
        </w:rPr>
        <w:t>开标</w:t>
      </w:r>
      <w:bookmarkEnd w:id="71"/>
      <w:bookmarkEnd w:id="72"/>
      <w:r>
        <w:rPr>
          <w:rFonts w:ascii="宋体" w:hAnsi="宋体" w:eastAsia="宋体"/>
          <w:b/>
          <w:color w:val="auto"/>
          <w:sz w:val="24"/>
          <w:szCs w:val="24"/>
          <w:highlight w:val="none"/>
        </w:rPr>
        <w:t xml:space="preserve"> </w:t>
      </w:r>
    </w:p>
    <w:p>
      <w:pPr>
        <w:pStyle w:val="4"/>
        <w:shd w:val="clear"/>
        <w:spacing w:after="281"/>
        <w:ind w:left="132" w:right="0"/>
        <w:rPr>
          <w:rFonts w:ascii="宋体" w:hAnsi="宋体" w:eastAsia="宋体"/>
          <w:strike/>
          <w:color w:val="auto"/>
          <w:sz w:val="24"/>
          <w:szCs w:val="24"/>
          <w:highlight w:val="none"/>
        </w:rPr>
      </w:pPr>
      <w:bookmarkStart w:id="73" w:name="_Toc508382125"/>
      <w:bookmarkStart w:id="74" w:name="_Toc508788642"/>
      <w:r>
        <w:rPr>
          <w:rFonts w:ascii="宋体" w:hAnsi="宋体" w:eastAsia="宋体"/>
          <w:strike/>
          <w:color w:val="auto"/>
          <w:sz w:val="24"/>
          <w:szCs w:val="24"/>
          <w:highlight w:val="none"/>
        </w:rPr>
        <w:t xml:space="preserve">5.1 </w:t>
      </w:r>
      <w:r>
        <w:rPr>
          <w:rFonts w:hint="eastAsia" w:ascii="宋体" w:hAnsi="宋体" w:eastAsia="宋体"/>
          <w:strike/>
          <w:color w:val="auto"/>
          <w:sz w:val="24"/>
          <w:szCs w:val="24"/>
          <w:highlight w:val="none"/>
        </w:rPr>
        <w:t>开标时间和地点（</w:t>
      </w:r>
      <w:r>
        <w:rPr>
          <w:rFonts w:ascii="宋体" w:hAnsi="宋体" w:eastAsia="宋体"/>
          <w:strike/>
          <w:color w:val="auto"/>
          <w:sz w:val="24"/>
          <w:szCs w:val="24"/>
          <w:highlight w:val="none"/>
        </w:rPr>
        <w:t>A</w:t>
      </w:r>
      <w:r>
        <w:rPr>
          <w:rFonts w:hint="eastAsia" w:ascii="宋体" w:hAnsi="宋体" w:eastAsia="宋体"/>
          <w:strike/>
          <w:color w:val="auto"/>
          <w:sz w:val="24"/>
          <w:szCs w:val="24"/>
          <w:highlight w:val="none"/>
        </w:rPr>
        <w:t>）</w:t>
      </w:r>
      <w:bookmarkEnd w:id="73"/>
      <w:bookmarkEnd w:id="74"/>
      <w:r>
        <w:rPr>
          <w:rFonts w:ascii="宋体" w:hAnsi="宋体" w:eastAsia="宋体"/>
          <w:strike/>
          <w:color w:val="auto"/>
          <w:sz w:val="24"/>
          <w:szCs w:val="24"/>
          <w:highlight w:val="none"/>
        </w:rPr>
        <w:t xml:space="preserve"> </w:t>
      </w:r>
    </w:p>
    <w:p>
      <w:pPr>
        <w:shd w:val="clear"/>
        <w:spacing w:after="216" w:line="374" w:lineRule="auto"/>
        <w:ind w:right="103" w:firstLine="420"/>
        <w:rPr>
          <w:rFonts w:hint="eastAsia" w:ascii="宋体" w:hAnsi="宋体" w:eastAsia="宋体"/>
          <w:strike/>
          <w:color w:val="auto"/>
          <w:sz w:val="24"/>
          <w:szCs w:val="24"/>
          <w:highlight w:val="none"/>
        </w:rPr>
      </w:pPr>
      <w:r>
        <w:rPr>
          <w:rFonts w:hint="eastAsia" w:ascii="宋体" w:hAnsi="宋体" w:eastAsia="宋体" w:cs="宋体"/>
          <w:strike/>
          <w:color w:val="auto"/>
          <w:sz w:val="24"/>
          <w:szCs w:val="24"/>
          <w:highlight w:val="none"/>
        </w:rPr>
        <w:t>招标人在本章第</w:t>
      </w:r>
      <w:r>
        <w:rPr>
          <w:rFonts w:ascii="宋体" w:hAnsi="宋体" w:eastAsia="宋体" w:cs="宋体"/>
          <w:strike/>
          <w:color w:val="auto"/>
          <w:sz w:val="24"/>
          <w:szCs w:val="24"/>
          <w:highlight w:val="none"/>
        </w:rPr>
        <w:t xml:space="preserve"> </w:t>
      </w:r>
      <w:r>
        <w:rPr>
          <w:rFonts w:ascii="宋体" w:hAnsi="宋体" w:eastAsia="宋体"/>
          <w:strike/>
          <w:color w:val="auto"/>
          <w:sz w:val="24"/>
          <w:szCs w:val="24"/>
          <w:highlight w:val="none"/>
        </w:rPr>
        <w:t xml:space="preserve">4.2.1 </w:t>
      </w:r>
      <w:r>
        <w:rPr>
          <w:rFonts w:hint="eastAsia" w:ascii="宋体" w:hAnsi="宋体" w:eastAsia="宋体" w:cs="宋体"/>
          <w:strike/>
          <w:color w:val="auto"/>
          <w:sz w:val="24"/>
          <w:szCs w:val="24"/>
          <w:highlight w:val="none"/>
        </w:rPr>
        <w:t>项规定的投标截止时间（开标时间）和投标人须知前附表规定的地点公开开标，并邀请所有投标人的法定代表人或其委托代理人准时参加。</w:t>
      </w:r>
      <w:r>
        <w:rPr>
          <w:rFonts w:ascii="宋体" w:hAnsi="宋体" w:eastAsia="宋体"/>
          <w:strike/>
          <w:color w:val="auto"/>
          <w:sz w:val="24"/>
          <w:szCs w:val="24"/>
          <w:highlight w:val="none"/>
        </w:rPr>
        <w:t xml:space="preserve"> </w:t>
      </w:r>
    </w:p>
    <w:p>
      <w:pPr>
        <w:pStyle w:val="85"/>
        <w:shd w:val="clear"/>
        <w:kinsoku w:val="0"/>
        <w:overflowPunct w:val="0"/>
        <w:rPr>
          <w:color w:val="auto"/>
          <w:sz w:val="24"/>
          <w:szCs w:val="24"/>
          <w:highlight w:val="none"/>
        </w:rPr>
      </w:pPr>
      <w:r>
        <w:rPr>
          <w:rFonts w:hint="default"/>
          <w:color w:val="auto"/>
          <w:sz w:val="24"/>
          <w:szCs w:val="24"/>
          <w:highlight w:val="none"/>
        </w:rPr>
        <w:t>5.1</w:t>
      </w:r>
      <w:r>
        <w:rPr>
          <w:rFonts w:hint="default"/>
          <w:color w:val="auto"/>
          <w:spacing w:val="67"/>
          <w:sz w:val="24"/>
          <w:szCs w:val="24"/>
          <w:highlight w:val="none"/>
        </w:rPr>
        <w:t xml:space="preserve"> </w:t>
      </w:r>
      <w:r>
        <w:rPr>
          <w:color w:val="auto"/>
          <w:sz w:val="24"/>
          <w:szCs w:val="24"/>
          <w:highlight w:val="none"/>
        </w:rPr>
        <w:t>开标时间</w:t>
      </w:r>
      <w:r>
        <w:rPr>
          <w:color w:val="auto"/>
          <w:spacing w:val="-3"/>
          <w:sz w:val="24"/>
          <w:szCs w:val="24"/>
          <w:highlight w:val="none"/>
        </w:rPr>
        <w:t>和</w:t>
      </w:r>
      <w:r>
        <w:rPr>
          <w:color w:val="auto"/>
          <w:sz w:val="24"/>
          <w:szCs w:val="24"/>
          <w:highlight w:val="none"/>
        </w:rPr>
        <w:t>地</w:t>
      </w:r>
      <w:r>
        <w:rPr>
          <w:color w:val="auto"/>
          <w:spacing w:val="-3"/>
          <w:sz w:val="24"/>
          <w:szCs w:val="24"/>
          <w:highlight w:val="none"/>
        </w:rPr>
        <w:t>点</w:t>
      </w:r>
      <w:r>
        <w:rPr>
          <w:color w:val="auto"/>
          <w:sz w:val="24"/>
          <w:szCs w:val="24"/>
          <w:highlight w:val="none"/>
        </w:rPr>
        <w:t>（</w:t>
      </w:r>
      <w:r>
        <w:rPr>
          <w:rFonts w:hint="default"/>
          <w:color w:val="auto"/>
          <w:spacing w:val="-3"/>
          <w:sz w:val="24"/>
          <w:szCs w:val="24"/>
          <w:highlight w:val="none"/>
        </w:rPr>
        <w:t>B</w:t>
      </w:r>
      <w:r>
        <w:rPr>
          <w:color w:val="auto"/>
          <w:sz w:val="24"/>
          <w:szCs w:val="24"/>
          <w:highlight w:val="none"/>
        </w:rPr>
        <w:t>）</w:t>
      </w:r>
    </w:p>
    <w:p>
      <w:pPr>
        <w:shd w:val="clear"/>
        <w:kinsoku w:val="0"/>
        <w:overflowPunct w:val="0"/>
        <w:spacing w:before="2" w:line="120" w:lineRule="exact"/>
        <w:rPr>
          <w:rFonts w:ascii="宋体" w:hAnsi="宋体" w:eastAsia="宋体"/>
          <w:color w:val="auto"/>
          <w:sz w:val="24"/>
          <w:szCs w:val="24"/>
          <w:highlight w:val="none"/>
        </w:rPr>
      </w:pPr>
    </w:p>
    <w:p>
      <w:pPr>
        <w:shd w:val="clear"/>
        <w:spacing w:line="360" w:lineRule="auto"/>
        <w:ind w:firstLine="480" w:firstLineChars="200"/>
        <w:rPr>
          <w:color w:val="auto"/>
          <w:sz w:val="24"/>
          <w:szCs w:val="24"/>
          <w:highlight w:val="none"/>
        </w:rPr>
      </w:pPr>
      <w:bookmarkStart w:id="75" w:name="_Toc508788643"/>
      <w:bookmarkStart w:id="76" w:name="_Toc508382126"/>
      <w:r>
        <w:rPr>
          <w:rFonts w:hint="eastAsia"/>
          <w:color w:val="auto"/>
          <w:sz w:val="24"/>
          <w:szCs w:val="24"/>
          <w:highlight w:val="none"/>
        </w:rPr>
        <w:t>招标人在本章第 4.2.1项规定的投标截止时间（开标时间）,通过电子招标投标交易平台公开开标，</w:t>
      </w:r>
      <w:r>
        <w:rPr>
          <w:rFonts w:hint="eastAsia"/>
          <w:b/>
          <w:bCs/>
          <w:color w:val="auto"/>
          <w:sz w:val="24"/>
          <w:szCs w:val="24"/>
          <w:highlight w:val="none"/>
        </w:rPr>
        <w:t>投标人代表有权出席开标会，也可以自主决定不参加开标会，若投标人代表对开标过程提出异议，该投标人代表须同时出示本人身份证原件。</w:t>
      </w:r>
    </w:p>
    <w:p>
      <w:pPr>
        <w:pStyle w:val="4"/>
        <w:shd w:val="clear"/>
        <w:spacing w:after="282"/>
        <w:ind w:left="132" w:right="0"/>
        <w:rPr>
          <w:rFonts w:ascii="宋体" w:hAnsi="宋体" w:eastAsia="宋体"/>
          <w:color w:val="auto"/>
          <w:sz w:val="24"/>
          <w:szCs w:val="24"/>
          <w:highlight w:val="none"/>
        </w:rPr>
      </w:pPr>
      <w:r>
        <w:rPr>
          <w:rFonts w:ascii="宋体" w:hAnsi="宋体" w:eastAsia="宋体"/>
          <w:color w:val="auto"/>
          <w:sz w:val="24"/>
          <w:szCs w:val="24"/>
          <w:highlight w:val="none"/>
        </w:rPr>
        <w:t xml:space="preserve">5.2 </w:t>
      </w:r>
      <w:r>
        <w:rPr>
          <w:rFonts w:hint="eastAsia" w:ascii="宋体" w:hAnsi="宋体" w:eastAsia="宋体"/>
          <w:color w:val="auto"/>
          <w:sz w:val="24"/>
          <w:szCs w:val="24"/>
          <w:highlight w:val="none"/>
        </w:rPr>
        <w:t>开标程序</w:t>
      </w:r>
      <w:bookmarkEnd w:id="75"/>
      <w:bookmarkEnd w:id="76"/>
      <w:r>
        <w:rPr>
          <w:rFonts w:ascii="宋体" w:hAnsi="宋体" w:eastAsia="宋体"/>
          <w:color w:val="auto"/>
          <w:sz w:val="24"/>
          <w:szCs w:val="24"/>
          <w:highlight w:val="none"/>
        </w:rPr>
        <w:t xml:space="preserve"> </w:t>
      </w:r>
    </w:p>
    <w:p>
      <w:pPr>
        <w:pStyle w:val="14"/>
        <w:shd w:val="clear"/>
        <w:kinsoku w:val="0"/>
        <w:overflowPunct w:val="0"/>
        <w:ind w:left="40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5.2.1主持</w:t>
      </w:r>
      <w:r>
        <w:rPr>
          <w:rFonts w:hint="eastAsia" w:ascii="宋体" w:hAnsi="宋体" w:eastAsia="宋体"/>
          <w:color w:val="auto"/>
          <w:spacing w:val="-3"/>
          <w:sz w:val="24"/>
          <w:szCs w:val="24"/>
          <w:highlight w:val="none"/>
        </w:rPr>
        <w:t>人</w:t>
      </w:r>
      <w:r>
        <w:rPr>
          <w:rFonts w:hint="eastAsia" w:ascii="宋体" w:hAnsi="宋体" w:eastAsia="宋体"/>
          <w:color w:val="auto"/>
          <w:sz w:val="24"/>
          <w:szCs w:val="24"/>
          <w:highlight w:val="none"/>
        </w:rPr>
        <w:t>按</w:t>
      </w:r>
      <w:r>
        <w:rPr>
          <w:rFonts w:hint="eastAsia" w:ascii="宋体" w:hAnsi="宋体" w:eastAsia="宋体"/>
          <w:color w:val="auto"/>
          <w:spacing w:val="-3"/>
          <w:sz w:val="24"/>
          <w:szCs w:val="24"/>
          <w:highlight w:val="none"/>
        </w:rPr>
        <w:t>下</w:t>
      </w:r>
      <w:r>
        <w:rPr>
          <w:rFonts w:hint="eastAsia" w:ascii="宋体" w:hAnsi="宋体" w:eastAsia="宋体"/>
          <w:color w:val="auto"/>
          <w:sz w:val="24"/>
          <w:szCs w:val="24"/>
          <w:highlight w:val="none"/>
        </w:rPr>
        <w:t>列</w:t>
      </w:r>
      <w:r>
        <w:rPr>
          <w:rFonts w:hint="eastAsia" w:ascii="宋体" w:hAnsi="宋体" w:eastAsia="宋体"/>
          <w:color w:val="auto"/>
          <w:spacing w:val="-3"/>
          <w:sz w:val="24"/>
          <w:szCs w:val="24"/>
          <w:highlight w:val="none"/>
        </w:rPr>
        <w:t>程</w:t>
      </w:r>
      <w:r>
        <w:rPr>
          <w:rFonts w:hint="eastAsia" w:ascii="宋体" w:hAnsi="宋体" w:eastAsia="宋体"/>
          <w:color w:val="auto"/>
          <w:sz w:val="24"/>
          <w:szCs w:val="24"/>
          <w:highlight w:val="none"/>
        </w:rPr>
        <w:t>序</w:t>
      </w:r>
      <w:r>
        <w:rPr>
          <w:rFonts w:hint="eastAsia" w:ascii="宋体" w:hAnsi="宋体" w:eastAsia="宋体"/>
          <w:color w:val="auto"/>
          <w:spacing w:val="-3"/>
          <w:sz w:val="24"/>
          <w:szCs w:val="24"/>
          <w:highlight w:val="none"/>
        </w:rPr>
        <w:t>进</w:t>
      </w:r>
      <w:r>
        <w:rPr>
          <w:rFonts w:hint="eastAsia" w:ascii="宋体" w:hAnsi="宋体" w:eastAsia="宋体"/>
          <w:color w:val="auto"/>
          <w:sz w:val="24"/>
          <w:szCs w:val="24"/>
          <w:highlight w:val="none"/>
        </w:rPr>
        <w:t>行</w:t>
      </w:r>
      <w:r>
        <w:rPr>
          <w:rFonts w:hint="eastAsia" w:ascii="宋体" w:hAnsi="宋体" w:eastAsia="宋体"/>
          <w:color w:val="auto"/>
          <w:spacing w:val="-3"/>
          <w:sz w:val="24"/>
          <w:szCs w:val="24"/>
          <w:highlight w:val="none"/>
        </w:rPr>
        <w:t>开</w:t>
      </w:r>
      <w:r>
        <w:rPr>
          <w:rFonts w:hint="eastAsia" w:ascii="宋体" w:hAnsi="宋体" w:eastAsia="宋体"/>
          <w:color w:val="auto"/>
          <w:sz w:val="24"/>
          <w:szCs w:val="24"/>
          <w:highlight w:val="none"/>
        </w:rPr>
        <w:t>标：</w:t>
      </w:r>
    </w:p>
    <w:p>
      <w:pPr>
        <w:pStyle w:val="14"/>
        <w:shd w:val="clear"/>
        <w:kinsoku w:val="0"/>
        <w:overflowPunct w:val="0"/>
        <w:spacing w:before="91"/>
        <w:ind w:left="4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）宣布开标纪律；</w:t>
      </w:r>
    </w:p>
    <w:p>
      <w:pPr>
        <w:pStyle w:val="14"/>
        <w:shd w:val="clear"/>
        <w:kinsoku w:val="0"/>
        <w:overflowPunct w:val="0"/>
        <w:spacing w:before="72"/>
        <w:ind w:left="4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）公布在投标截止时间前递交投标文件的投标人名称；</w:t>
      </w:r>
    </w:p>
    <w:p>
      <w:pPr>
        <w:pStyle w:val="14"/>
        <w:shd w:val="clear"/>
        <w:kinsoku w:val="0"/>
        <w:overflowPunct w:val="0"/>
        <w:spacing w:before="75"/>
        <w:ind w:left="4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）宣布开标人、唱标人、记录人、监标人等有关人员姓名；</w:t>
      </w:r>
    </w:p>
    <w:p>
      <w:pPr>
        <w:pStyle w:val="14"/>
        <w:shd w:val="clear"/>
        <w:kinsoku w:val="0"/>
        <w:overflowPunct w:val="0"/>
        <w:spacing w:before="75"/>
        <w:ind w:left="407"/>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w:t>
      </w:r>
      <w:r>
        <w:rPr>
          <w:rFonts w:ascii="宋体" w:hAnsi="宋体" w:eastAsia="宋体" w:cs="宋体"/>
          <w:strike/>
          <w:color w:val="auto"/>
          <w:sz w:val="24"/>
          <w:szCs w:val="24"/>
          <w:highlight w:val="none"/>
        </w:rPr>
        <w:t>4</w:t>
      </w:r>
      <w:r>
        <w:rPr>
          <w:rFonts w:hint="eastAsia" w:ascii="宋体" w:hAnsi="宋体" w:eastAsia="宋体" w:cs="宋体"/>
          <w:strike/>
          <w:color w:val="auto"/>
          <w:sz w:val="24"/>
          <w:szCs w:val="24"/>
          <w:highlight w:val="none"/>
        </w:rPr>
        <w:t>）（</w:t>
      </w:r>
      <w:r>
        <w:rPr>
          <w:rFonts w:ascii="宋体" w:hAnsi="宋体" w:eastAsia="宋体" w:cs="宋体"/>
          <w:strike/>
          <w:color w:val="auto"/>
          <w:sz w:val="24"/>
          <w:szCs w:val="24"/>
          <w:highlight w:val="none"/>
        </w:rPr>
        <w:t>A</w:t>
      </w:r>
      <w:r>
        <w:rPr>
          <w:rFonts w:hint="eastAsia" w:ascii="宋体" w:hAnsi="宋体" w:eastAsia="宋体" w:cs="宋体"/>
          <w:strike/>
          <w:color w:val="auto"/>
          <w:sz w:val="24"/>
          <w:szCs w:val="24"/>
          <w:highlight w:val="none"/>
        </w:rPr>
        <w:t>）检查投标文件的密封情况，按照投标人须知前附表规定的开标顺序当众开标， 公布招标项目名称、投标人名称、投标保证金的递交情况、投标报价、监理服务期限及其他内 容，并记录在案；</w:t>
      </w:r>
    </w:p>
    <w:p>
      <w:pPr>
        <w:pStyle w:val="14"/>
        <w:shd w:val="clear"/>
        <w:kinsoku w:val="0"/>
        <w:overflowPunct w:val="0"/>
        <w:spacing w:line="325" w:lineRule="exact"/>
        <w:ind w:left="4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）投标人通过电子招标投标交易平台对已递交的电子投标文件进行解密，公布招标项目名称、投标人名称、投标保证金的递交情况、投标报价、超前钻勘察技术服务工期及其他内容，并记录在案；</w:t>
      </w:r>
    </w:p>
    <w:p>
      <w:pPr>
        <w:pStyle w:val="14"/>
        <w:shd w:val="clear"/>
        <w:kinsoku w:val="0"/>
        <w:overflowPunct w:val="0"/>
        <w:spacing w:before="31"/>
        <w:ind w:left="4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）投标人代表、招标人代表、监标人、记录人等有关人员在开标记录上签字确认；</w:t>
      </w:r>
    </w:p>
    <w:p>
      <w:pPr>
        <w:pStyle w:val="14"/>
        <w:shd w:val="clear"/>
        <w:kinsoku w:val="0"/>
        <w:overflowPunct w:val="0"/>
        <w:spacing w:before="31"/>
        <w:ind w:left="407"/>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w:t>
      </w:r>
      <w:r>
        <w:rPr>
          <w:rFonts w:ascii="宋体" w:hAnsi="宋体" w:eastAsia="宋体" w:cs="宋体"/>
          <w:strike/>
          <w:color w:val="auto"/>
          <w:sz w:val="24"/>
          <w:szCs w:val="24"/>
          <w:highlight w:val="none"/>
        </w:rPr>
        <w:t>5</w:t>
      </w:r>
      <w:r>
        <w:rPr>
          <w:rFonts w:hint="eastAsia" w:ascii="宋体" w:hAnsi="宋体" w:eastAsia="宋体" w:cs="宋体"/>
          <w:strike/>
          <w:color w:val="auto"/>
          <w:sz w:val="24"/>
          <w:szCs w:val="24"/>
          <w:highlight w:val="none"/>
        </w:rPr>
        <w:t>）（</w:t>
      </w:r>
      <w:r>
        <w:rPr>
          <w:rFonts w:ascii="宋体" w:hAnsi="宋体" w:eastAsia="宋体" w:cs="宋体"/>
          <w:strike/>
          <w:color w:val="auto"/>
          <w:sz w:val="24"/>
          <w:szCs w:val="24"/>
          <w:highlight w:val="none"/>
        </w:rPr>
        <w:t>B</w:t>
      </w:r>
      <w:r>
        <w:rPr>
          <w:rFonts w:hint="eastAsia" w:ascii="宋体" w:hAnsi="宋体" w:eastAsia="宋体" w:cs="宋体"/>
          <w:strike/>
          <w:color w:val="auto"/>
          <w:sz w:val="24"/>
          <w:szCs w:val="24"/>
          <w:highlight w:val="none"/>
        </w:rPr>
        <w:t>）投标人代表、招标人代表、监标人、记录人等有关人员使用本人的电子印章在 开标记录上签字确认；</w:t>
      </w:r>
    </w:p>
    <w:p>
      <w:pPr>
        <w:pStyle w:val="14"/>
        <w:shd w:val="clear"/>
        <w:kinsoku w:val="0"/>
        <w:overflowPunct w:val="0"/>
        <w:spacing w:before="44"/>
        <w:ind w:left="4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6</w:t>
      </w:r>
      <w:r>
        <w:rPr>
          <w:rFonts w:hint="eastAsia" w:ascii="宋体" w:hAnsi="宋体" w:eastAsia="宋体" w:cs="宋体"/>
          <w:color w:val="auto"/>
          <w:sz w:val="24"/>
          <w:szCs w:val="24"/>
          <w:highlight w:val="none"/>
        </w:rPr>
        <w:t>）开标结束。</w:t>
      </w:r>
    </w:p>
    <w:p>
      <w:pPr>
        <w:pStyle w:val="14"/>
        <w:shd w:val="clear"/>
        <w:kinsoku w:val="0"/>
        <w:overflowPunct w:val="0"/>
        <w:spacing w:line="360" w:lineRule="auto"/>
        <w:ind w:left="408" w:firstLine="36" w:firstLineChars="1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5.2.2</w:t>
      </w:r>
      <w:r>
        <w:rPr>
          <w:rFonts w:hint="eastAsia" w:ascii="宋体" w:hAnsi="宋体" w:eastAsia="宋体" w:cs="宋体"/>
          <w:color w:val="auto"/>
          <w:sz w:val="24"/>
          <w:szCs w:val="24"/>
          <w:highlight w:val="none"/>
        </w:rPr>
        <w:t>投标截止时间前未完成投标文件传输的或因投标人之外的原因造成投标文件未解密且未递交备用光盘的或未在投标截止时间后半小时解密的，视为投标人其撤回投标文件。因投标人原因造成投标文件未解密的，视为撤销其投标文件。</w:t>
      </w:r>
    </w:p>
    <w:p>
      <w:pPr>
        <w:pStyle w:val="14"/>
        <w:shd w:val="clear"/>
        <w:kinsoku w:val="0"/>
        <w:overflowPunct w:val="0"/>
        <w:spacing w:line="360" w:lineRule="auto"/>
        <w:ind w:left="408"/>
        <w:rPr>
          <w:rFonts w:ascii="宋体" w:hAnsi="宋体" w:eastAsia="宋体"/>
          <w:color w:val="auto"/>
          <w:sz w:val="24"/>
          <w:szCs w:val="24"/>
          <w:highlight w:val="none"/>
        </w:rPr>
      </w:pPr>
      <w:r>
        <w:rPr>
          <w:rFonts w:hint="eastAsia" w:ascii="宋体" w:hAnsi="宋体" w:eastAsia="宋体"/>
          <w:color w:val="auto"/>
          <w:sz w:val="24"/>
          <w:szCs w:val="24"/>
          <w:highlight w:val="none"/>
        </w:rPr>
        <w:t>5.2.3投标人与其他投标人加密打包投标文件电脑机器特征码一致的(以广州公共资源交易中心评标系统的检索信息为准)，不参与下一程序，并由评标委员会否决其投标。</w:t>
      </w:r>
    </w:p>
    <w:p>
      <w:pPr>
        <w:pStyle w:val="4"/>
        <w:shd w:val="clear"/>
        <w:spacing w:after="282"/>
        <w:ind w:left="132" w:right="0"/>
        <w:rPr>
          <w:rFonts w:ascii="宋体" w:hAnsi="宋体" w:eastAsia="宋体"/>
          <w:color w:val="auto"/>
          <w:sz w:val="24"/>
          <w:szCs w:val="24"/>
          <w:highlight w:val="none"/>
        </w:rPr>
      </w:pPr>
      <w:bookmarkStart w:id="77" w:name="_Toc508382127"/>
      <w:bookmarkStart w:id="78" w:name="_Toc508788644"/>
      <w:r>
        <w:rPr>
          <w:rFonts w:ascii="宋体" w:hAnsi="宋体" w:eastAsia="宋体"/>
          <w:color w:val="auto"/>
          <w:sz w:val="24"/>
          <w:szCs w:val="24"/>
          <w:highlight w:val="none"/>
        </w:rPr>
        <w:t xml:space="preserve">5.3 </w:t>
      </w:r>
      <w:r>
        <w:rPr>
          <w:rFonts w:hint="eastAsia" w:ascii="宋体" w:hAnsi="宋体" w:eastAsia="宋体"/>
          <w:color w:val="auto"/>
          <w:sz w:val="24"/>
          <w:szCs w:val="24"/>
          <w:highlight w:val="none"/>
        </w:rPr>
        <w:t>开标异议</w:t>
      </w:r>
      <w:bookmarkEnd w:id="77"/>
      <w:bookmarkEnd w:id="78"/>
      <w:r>
        <w:rPr>
          <w:rFonts w:ascii="宋体" w:hAnsi="宋体" w:eastAsia="宋体"/>
          <w:color w:val="auto"/>
          <w:sz w:val="24"/>
          <w:szCs w:val="24"/>
          <w:highlight w:val="none"/>
        </w:rPr>
        <w:t xml:space="preserve"> </w:t>
      </w:r>
    </w:p>
    <w:p>
      <w:pPr>
        <w:shd w:val="clear"/>
        <w:spacing w:after="380" w:line="265" w:lineRule="auto"/>
        <w:ind w:left="417"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投标人对开标有异议的，应当在开标现场提出，招标人当场作出答复，并制作记录。</w:t>
      </w:r>
      <w:r>
        <w:rPr>
          <w:rFonts w:ascii="宋体" w:hAnsi="宋体" w:eastAsia="宋体"/>
          <w:color w:val="auto"/>
          <w:sz w:val="24"/>
          <w:szCs w:val="24"/>
          <w:highlight w:val="none"/>
        </w:rPr>
        <w:t xml:space="preserve"> </w:t>
      </w:r>
    </w:p>
    <w:p>
      <w:pPr>
        <w:pStyle w:val="2"/>
        <w:shd w:val="clear"/>
        <w:spacing w:after="500" w:line="262" w:lineRule="auto"/>
        <w:ind w:left="-5" w:right="0"/>
        <w:rPr>
          <w:rFonts w:ascii="宋体" w:hAnsi="宋体" w:eastAsia="宋体"/>
          <w:color w:val="auto"/>
          <w:sz w:val="24"/>
          <w:szCs w:val="24"/>
          <w:highlight w:val="none"/>
        </w:rPr>
      </w:pPr>
      <w:bookmarkStart w:id="79" w:name="_Toc508788645"/>
      <w:bookmarkStart w:id="80" w:name="_Toc508382128"/>
      <w:r>
        <w:rPr>
          <w:rFonts w:ascii="宋体" w:hAnsi="宋体" w:eastAsia="宋体"/>
          <w:b/>
          <w:color w:val="auto"/>
          <w:sz w:val="24"/>
          <w:szCs w:val="24"/>
          <w:highlight w:val="none"/>
        </w:rPr>
        <w:t xml:space="preserve">6. </w:t>
      </w:r>
      <w:r>
        <w:rPr>
          <w:rFonts w:hint="eastAsia" w:ascii="宋体" w:hAnsi="宋体" w:eastAsia="宋体"/>
          <w:color w:val="auto"/>
          <w:sz w:val="24"/>
          <w:szCs w:val="24"/>
          <w:highlight w:val="none"/>
        </w:rPr>
        <w:t>评标</w:t>
      </w:r>
      <w:bookmarkEnd w:id="79"/>
      <w:bookmarkEnd w:id="80"/>
      <w:r>
        <w:rPr>
          <w:rFonts w:ascii="宋体" w:hAnsi="宋体" w:eastAsia="宋体"/>
          <w:b/>
          <w:color w:val="auto"/>
          <w:sz w:val="24"/>
          <w:szCs w:val="24"/>
          <w:highlight w:val="none"/>
        </w:rPr>
        <w:t xml:space="preserve"> </w:t>
      </w:r>
    </w:p>
    <w:p>
      <w:pPr>
        <w:pStyle w:val="4"/>
        <w:shd w:val="clear"/>
        <w:spacing w:after="281"/>
        <w:ind w:left="132" w:right="0"/>
        <w:rPr>
          <w:rFonts w:ascii="宋体" w:hAnsi="宋体" w:eastAsia="宋体"/>
          <w:color w:val="auto"/>
          <w:sz w:val="24"/>
          <w:szCs w:val="24"/>
          <w:highlight w:val="none"/>
        </w:rPr>
      </w:pPr>
      <w:bookmarkStart w:id="81" w:name="_Toc508382129"/>
      <w:bookmarkStart w:id="82" w:name="_Toc508788646"/>
      <w:r>
        <w:rPr>
          <w:rFonts w:ascii="宋体" w:hAnsi="宋体" w:eastAsia="宋体"/>
          <w:color w:val="auto"/>
          <w:sz w:val="24"/>
          <w:szCs w:val="24"/>
          <w:highlight w:val="none"/>
        </w:rPr>
        <w:t xml:space="preserve">6.1 </w:t>
      </w:r>
      <w:r>
        <w:rPr>
          <w:rFonts w:hint="eastAsia" w:ascii="宋体" w:hAnsi="宋体" w:eastAsia="宋体"/>
          <w:color w:val="auto"/>
          <w:sz w:val="24"/>
          <w:szCs w:val="24"/>
          <w:highlight w:val="none"/>
        </w:rPr>
        <w:t>评标委员会</w:t>
      </w:r>
      <w:bookmarkEnd w:id="81"/>
      <w:bookmarkEnd w:id="82"/>
      <w:r>
        <w:rPr>
          <w:rFonts w:ascii="宋体" w:hAnsi="宋体" w:eastAsia="宋体"/>
          <w:color w:val="auto"/>
          <w:sz w:val="24"/>
          <w:szCs w:val="24"/>
          <w:highlight w:val="none"/>
        </w:rPr>
        <w:t xml:space="preserve"> </w:t>
      </w:r>
    </w:p>
    <w:p>
      <w:pPr>
        <w:shd w:val="clear"/>
        <w:spacing w:after="9" w:line="35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6.1.1 </w:t>
      </w:r>
      <w:r>
        <w:rPr>
          <w:rFonts w:hint="eastAsia" w:ascii="宋体" w:hAnsi="宋体" w:eastAsia="宋体" w:cs="宋体"/>
          <w:color w:val="auto"/>
          <w:sz w:val="24"/>
          <w:szCs w:val="24"/>
          <w:highlight w:val="none"/>
        </w:rPr>
        <w:t>评标由招标人依法组建的评标委员会负责。</w:t>
      </w:r>
      <w:r>
        <w:rPr>
          <w:rFonts w:hint="eastAsia" w:ascii="宋体" w:hAnsi="宋体" w:eastAsia="宋体" w:cs="宋体"/>
          <w:strike/>
          <w:color w:val="auto"/>
          <w:sz w:val="24"/>
          <w:szCs w:val="24"/>
          <w:highlight w:val="none"/>
        </w:rPr>
        <w:t>评标委员会由招标人或其委托的招标代理机构熟悉相关业务的代表，以及有关技术、经济等方面的专家组成。</w:t>
      </w:r>
      <w:r>
        <w:rPr>
          <w:rFonts w:hint="eastAsia" w:ascii="宋体" w:hAnsi="宋体" w:eastAsia="宋体" w:cs="宋体"/>
          <w:color w:val="auto"/>
          <w:sz w:val="24"/>
          <w:szCs w:val="24"/>
          <w:highlight w:val="none"/>
        </w:rPr>
        <w:t>评标委员会成员人数以及技术、经济等方面专家的确定方式见投标人须知前附表。</w:t>
      </w:r>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6.1.2 </w:t>
      </w:r>
      <w:r>
        <w:rPr>
          <w:rFonts w:hint="eastAsia" w:ascii="宋体" w:hAnsi="宋体" w:eastAsia="宋体" w:cs="宋体"/>
          <w:color w:val="auto"/>
          <w:sz w:val="24"/>
          <w:szCs w:val="24"/>
          <w:highlight w:val="none"/>
        </w:rPr>
        <w:t>评标委员会成员有下列情形之一的，应当回避：</w:t>
      </w:r>
      <w:r>
        <w:rPr>
          <w:rFonts w:ascii="宋体" w:hAnsi="宋体" w:eastAsia="宋体"/>
          <w:color w:val="auto"/>
          <w:sz w:val="24"/>
          <w:szCs w:val="24"/>
          <w:highlight w:val="none"/>
        </w:rPr>
        <w:t xml:space="preserve"> </w:t>
      </w:r>
    </w:p>
    <w:p>
      <w:pPr>
        <w:shd w:val="clear"/>
        <w:spacing w:after="123" w:line="265" w:lineRule="auto"/>
        <w:ind w:right="103"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r>
        <w:rPr>
          <w:rFonts w:ascii="宋体" w:hAnsi="宋体" w:eastAsia="宋体"/>
          <w:color w:val="auto"/>
          <w:sz w:val="24"/>
          <w:szCs w:val="24"/>
          <w:highlight w:val="none"/>
        </w:rPr>
        <w:t xml:space="preserve"> </w:t>
      </w:r>
    </w:p>
    <w:p>
      <w:pPr>
        <w:shd w:val="clear"/>
        <w:spacing w:after="123" w:line="265" w:lineRule="auto"/>
        <w:ind w:right="103"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r>
        <w:rPr>
          <w:rFonts w:ascii="宋体" w:hAnsi="宋体" w:eastAsia="宋体"/>
          <w:color w:val="auto"/>
          <w:sz w:val="24"/>
          <w:szCs w:val="24"/>
          <w:highlight w:val="none"/>
        </w:rPr>
        <w:t xml:space="preserve"> </w:t>
      </w:r>
    </w:p>
    <w:p>
      <w:pPr>
        <w:shd w:val="clear"/>
        <w:spacing w:after="123" w:line="265" w:lineRule="auto"/>
        <w:ind w:right="103"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（3）与投标人有经济利益关系，可能影响对投标公正评审的；</w:t>
      </w:r>
      <w:r>
        <w:rPr>
          <w:rFonts w:ascii="宋体" w:hAnsi="宋体" w:eastAsia="宋体"/>
          <w:color w:val="auto"/>
          <w:sz w:val="24"/>
          <w:szCs w:val="24"/>
          <w:highlight w:val="none"/>
        </w:rPr>
        <w:t xml:space="preserve"> </w:t>
      </w:r>
    </w:p>
    <w:p>
      <w:pPr>
        <w:shd w:val="clear"/>
        <w:spacing w:after="0" w:line="370" w:lineRule="auto"/>
        <w:ind w:right="103"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r>
        <w:rPr>
          <w:rFonts w:ascii="宋体" w:hAnsi="宋体" w:eastAsia="宋体"/>
          <w:color w:val="auto"/>
          <w:sz w:val="24"/>
          <w:szCs w:val="24"/>
          <w:highlight w:val="none"/>
        </w:rPr>
        <w:t xml:space="preserve"> </w:t>
      </w:r>
    </w:p>
    <w:p>
      <w:pPr>
        <w:shd w:val="clear"/>
        <w:spacing w:after="123" w:line="265" w:lineRule="auto"/>
        <w:ind w:right="103"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（5）与投标人有其他利害关系。</w:t>
      </w:r>
      <w:r>
        <w:rPr>
          <w:rFonts w:ascii="宋体" w:hAnsi="宋体" w:eastAsia="宋体"/>
          <w:color w:val="auto"/>
          <w:sz w:val="24"/>
          <w:szCs w:val="24"/>
          <w:highlight w:val="none"/>
        </w:rPr>
        <w:t xml:space="preserve"> </w:t>
      </w:r>
    </w:p>
    <w:p>
      <w:pPr>
        <w:shd w:val="clear"/>
        <w:spacing w:after="233" w:line="358"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6.1.3 </w:t>
      </w:r>
      <w:r>
        <w:rPr>
          <w:rFonts w:hint="eastAsia" w:ascii="宋体" w:hAnsi="宋体" w:eastAsia="宋体" w:cs="宋体"/>
          <w:color w:val="auto"/>
          <w:sz w:val="24"/>
          <w:szCs w:val="24"/>
          <w:highlight w:val="none"/>
        </w:rPr>
        <w:t>评标过程中，评标委员会成员有回避事由、擅离职守或者因健康等原因不能继续评标的，招标人有权更换。被更换的评标委员会成员作出的评审结论无效，由更换后的评标委员会成员重新进行评审。</w:t>
      </w:r>
      <w:r>
        <w:rPr>
          <w:rFonts w:ascii="宋体" w:hAnsi="宋体" w:eastAsia="宋体"/>
          <w:color w:val="auto"/>
          <w:sz w:val="24"/>
          <w:szCs w:val="24"/>
          <w:highlight w:val="none"/>
        </w:rPr>
        <w:t xml:space="preserve"> </w:t>
      </w:r>
    </w:p>
    <w:p>
      <w:pPr>
        <w:pStyle w:val="4"/>
        <w:shd w:val="clear"/>
        <w:spacing w:after="282"/>
        <w:ind w:left="132" w:right="0"/>
        <w:rPr>
          <w:rFonts w:ascii="宋体" w:hAnsi="宋体" w:eastAsia="宋体"/>
          <w:color w:val="auto"/>
          <w:sz w:val="24"/>
          <w:szCs w:val="24"/>
          <w:highlight w:val="none"/>
        </w:rPr>
      </w:pPr>
      <w:bookmarkStart w:id="83" w:name="_Toc508382130"/>
      <w:bookmarkStart w:id="84" w:name="_Toc508788647"/>
      <w:r>
        <w:rPr>
          <w:rFonts w:ascii="宋体" w:hAnsi="宋体" w:eastAsia="宋体"/>
          <w:color w:val="auto"/>
          <w:sz w:val="24"/>
          <w:szCs w:val="24"/>
          <w:highlight w:val="none"/>
        </w:rPr>
        <w:t xml:space="preserve">6.2 </w:t>
      </w:r>
      <w:r>
        <w:rPr>
          <w:rFonts w:hint="eastAsia" w:ascii="宋体" w:hAnsi="宋体" w:eastAsia="宋体"/>
          <w:color w:val="auto"/>
          <w:sz w:val="24"/>
          <w:szCs w:val="24"/>
          <w:highlight w:val="none"/>
        </w:rPr>
        <w:t>评标原则</w:t>
      </w:r>
      <w:bookmarkEnd w:id="83"/>
      <w:bookmarkEnd w:id="84"/>
      <w:r>
        <w:rPr>
          <w:rFonts w:ascii="宋体" w:hAnsi="宋体" w:eastAsia="宋体"/>
          <w:color w:val="auto"/>
          <w:sz w:val="24"/>
          <w:szCs w:val="24"/>
          <w:highlight w:val="none"/>
        </w:rPr>
        <w:t xml:space="preserve"> </w:t>
      </w:r>
    </w:p>
    <w:p>
      <w:pPr>
        <w:shd w:val="clear"/>
        <w:spacing w:after="123" w:line="265" w:lineRule="auto"/>
        <w:ind w:left="417"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r>
        <w:rPr>
          <w:rFonts w:ascii="宋体" w:hAnsi="宋体" w:eastAsia="宋体"/>
          <w:color w:val="auto"/>
          <w:sz w:val="24"/>
          <w:szCs w:val="24"/>
          <w:highlight w:val="none"/>
        </w:rPr>
        <w:t xml:space="preserve"> </w:t>
      </w:r>
    </w:p>
    <w:p>
      <w:pPr>
        <w:pStyle w:val="4"/>
        <w:shd w:val="clear"/>
        <w:spacing w:after="286" w:line="259" w:lineRule="auto"/>
        <w:ind w:left="132" w:right="0"/>
        <w:rPr>
          <w:rFonts w:ascii="宋体" w:hAnsi="宋体" w:eastAsia="宋体"/>
          <w:color w:val="auto"/>
          <w:sz w:val="24"/>
          <w:szCs w:val="24"/>
          <w:highlight w:val="none"/>
        </w:rPr>
      </w:pPr>
      <w:bookmarkStart w:id="85" w:name="_Toc508788648"/>
      <w:bookmarkStart w:id="86" w:name="_Toc508382131"/>
      <w:r>
        <w:rPr>
          <w:rFonts w:ascii="宋体" w:hAnsi="宋体" w:eastAsia="宋体"/>
          <w:color w:val="auto"/>
          <w:sz w:val="24"/>
          <w:szCs w:val="24"/>
          <w:highlight w:val="none"/>
        </w:rPr>
        <w:t xml:space="preserve">6.3 </w:t>
      </w:r>
      <w:r>
        <w:rPr>
          <w:rFonts w:hint="eastAsia" w:ascii="宋体" w:hAnsi="宋体" w:eastAsia="宋体"/>
          <w:color w:val="auto"/>
          <w:sz w:val="24"/>
          <w:szCs w:val="24"/>
          <w:highlight w:val="none"/>
        </w:rPr>
        <w:t>评标</w:t>
      </w:r>
      <w:bookmarkEnd w:id="85"/>
      <w:bookmarkEnd w:id="86"/>
      <w:r>
        <w:rPr>
          <w:rFonts w:ascii="宋体" w:hAnsi="宋体" w:eastAsia="宋体"/>
          <w:color w:val="auto"/>
          <w:sz w:val="24"/>
          <w:szCs w:val="24"/>
          <w:highlight w:val="none"/>
        </w:rPr>
        <w:t xml:space="preserve"> </w:t>
      </w:r>
    </w:p>
    <w:p>
      <w:pPr>
        <w:shd w:val="clear"/>
        <w:spacing w:after="0" w:line="372"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6.3.1 </w:t>
      </w:r>
      <w:r>
        <w:rPr>
          <w:rFonts w:hint="eastAsia" w:ascii="宋体" w:hAnsi="宋体" w:eastAsia="宋体" w:cs="宋体"/>
          <w:color w:val="auto"/>
          <w:sz w:val="24"/>
          <w:szCs w:val="24"/>
          <w:highlight w:val="none"/>
        </w:rPr>
        <w:t>评标委员会按照第三章</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评标办法</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规定的方法、评审因素、标准和程序对投标文件进行评审。第三章</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评标办法</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没有规定的方法、评审因素和标准，不作为评标依据。</w:t>
      </w:r>
      <w:r>
        <w:rPr>
          <w:rFonts w:ascii="宋体" w:hAnsi="宋体" w:eastAsia="宋体"/>
          <w:color w:val="auto"/>
          <w:sz w:val="24"/>
          <w:szCs w:val="24"/>
          <w:highlight w:val="none"/>
        </w:rPr>
        <w:t xml:space="preserve"> </w:t>
      </w:r>
    </w:p>
    <w:p>
      <w:pPr>
        <w:shd w:val="clear"/>
        <w:spacing w:after="255" w:line="374"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6.3.2 </w:t>
      </w:r>
      <w:r>
        <w:rPr>
          <w:rFonts w:hint="eastAsia" w:ascii="宋体" w:hAnsi="宋体" w:eastAsia="宋体" w:cs="宋体"/>
          <w:color w:val="auto"/>
          <w:sz w:val="24"/>
          <w:szCs w:val="24"/>
          <w:highlight w:val="none"/>
        </w:rPr>
        <w:t>评标完成后，评标委员会应当向招标人提交书面评标报告和中标候选人名单。评标委员会推荐中标候选人的人数见投标人须知前附表。</w:t>
      </w:r>
      <w:r>
        <w:rPr>
          <w:rFonts w:ascii="宋体" w:hAnsi="宋体" w:eastAsia="宋体"/>
          <w:color w:val="auto"/>
          <w:sz w:val="24"/>
          <w:szCs w:val="24"/>
          <w:highlight w:val="none"/>
        </w:rPr>
        <w:t xml:space="preserve"> </w:t>
      </w:r>
    </w:p>
    <w:p>
      <w:pPr>
        <w:pStyle w:val="2"/>
        <w:shd w:val="clear"/>
        <w:spacing w:after="503" w:line="264" w:lineRule="auto"/>
        <w:ind w:left="-5" w:right="0"/>
        <w:rPr>
          <w:rFonts w:ascii="宋体" w:hAnsi="宋体" w:eastAsia="宋体"/>
          <w:color w:val="auto"/>
          <w:sz w:val="24"/>
          <w:szCs w:val="24"/>
          <w:highlight w:val="none"/>
        </w:rPr>
      </w:pPr>
      <w:bookmarkStart w:id="87" w:name="_Toc508788649"/>
      <w:bookmarkStart w:id="88" w:name="_Toc508382132"/>
      <w:r>
        <w:rPr>
          <w:rFonts w:ascii="宋体" w:hAnsi="宋体" w:eastAsia="宋体"/>
          <w:b/>
          <w:color w:val="auto"/>
          <w:sz w:val="24"/>
          <w:szCs w:val="24"/>
          <w:highlight w:val="none"/>
        </w:rPr>
        <w:t xml:space="preserve">7. </w:t>
      </w:r>
      <w:r>
        <w:rPr>
          <w:rFonts w:hint="eastAsia" w:ascii="宋体" w:hAnsi="宋体" w:eastAsia="宋体"/>
          <w:color w:val="auto"/>
          <w:sz w:val="24"/>
          <w:szCs w:val="24"/>
          <w:highlight w:val="none"/>
        </w:rPr>
        <w:t>合同授予</w:t>
      </w:r>
      <w:bookmarkEnd w:id="87"/>
      <w:bookmarkEnd w:id="88"/>
      <w:r>
        <w:rPr>
          <w:rFonts w:ascii="宋体" w:hAnsi="宋体" w:eastAsia="宋体"/>
          <w:b/>
          <w:color w:val="auto"/>
          <w:sz w:val="24"/>
          <w:szCs w:val="24"/>
          <w:highlight w:val="none"/>
        </w:rPr>
        <w:t xml:space="preserve"> </w:t>
      </w:r>
    </w:p>
    <w:p>
      <w:pPr>
        <w:pStyle w:val="4"/>
        <w:shd w:val="clear"/>
        <w:spacing w:after="282"/>
        <w:ind w:left="132" w:right="0"/>
        <w:rPr>
          <w:rFonts w:ascii="宋体" w:hAnsi="宋体" w:eastAsia="宋体"/>
          <w:color w:val="auto"/>
          <w:sz w:val="24"/>
          <w:szCs w:val="24"/>
          <w:highlight w:val="none"/>
        </w:rPr>
      </w:pPr>
      <w:bookmarkStart w:id="89" w:name="_Toc508382133"/>
      <w:bookmarkStart w:id="90" w:name="_Toc508788650"/>
      <w:r>
        <w:rPr>
          <w:rFonts w:ascii="宋体" w:hAnsi="宋体" w:eastAsia="宋体"/>
          <w:color w:val="auto"/>
          <w:sz w:val="24"/>
          <w:szCs w:val="24"/>
          <w:highlight w:val="none"/>
        </w:rPr>
        <w:t xml:space="preserve">7.1 </w:t>
      </w:r>
      <w:r>
        <w:rPr>
          <w:rFonts w:hint="eastAsia" w:ascii="宋体" w:hAnsi="宋体" w:eastAsia="宋体"/>
          <w:color w:val="auto"/>
          <w:sz w:val="24"/>
          <w:szCs w:val="24"/>
          <w:highlight w:val="none"/>
        </w:rPr>
        <w:t>中标候选人公示</w:t>
      </w:r>
      <w:bookmarkEnd w:id="89"/>
      <w:bookmarkEnd w:id="90"/>
      <w:r>
        <w:rPr>
          <w:rFonts w:ascii="宋体" w:hAnsi="宋体" w:eastAsia="宋体"/>
          <w:color w:val="auto"/>
          <w:sz w:val="24"/>
          <w:szCs w:val="24"/>
          <w:highlight w:val="none"/>
        </w:rPr>
        <w:t xml:space="preserve"> </w:t>
      </w:r>
    </w:p>
    <w:p>
      <w:pPr>
        <w:shd w:val="clear"/>
        <w:spacing w:after="221" w:line="374" w:lineRule="auto"/>
        <w:ind w:right="103" w:firstLine="420"/>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招标人在收到评标报告之日起</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3 </w:t>
      </w:r>
      <w:r>
        <w:rPr>
          <w:rFonts w:hint="eastAsia" w:ascii="宋体" w:hAnsi="宋体" w:eastAsia="宋体" w:cs="宋体"/>
          <w:color w:val="auto"/>
          <w:sz w:val="24"/>
          <w:szCs w:val="24"/>
          <w:highlight w:val="none"/>
        </w:rPr>
        <w:t>日内，按照投标人须知前附表规定的公示媒介和期限公示中标候选人，公示期不得少于</w:t>
      </w:r>
      <w:r>
        <w:rPr>
          <w:rFonts w:ascii="宋体" w:hAnsi="宋体" w:eastAsia="宋体" w:cs="宋体"/>
          <w:color w:val="auto"/>
          <w:sz w:val="24"/>
          <w:szCs w:val="24"/>
          <w:highlight w:val="none"/>
        </w:rPr>
        <w:t xml:space="preserve"> </w:t>
      </w: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 </w:t>
      </w:r>
      <w:r>
        <w:rPr>
          <w:rFonts w:hint="eastAsia" w:ascii="宋体" w:hAnsi="宋体" w:eastAsia="宋体" w:cs="宋体"/>
          <w:color w:val="auto"/>
          <w:sz w:val="24"/>
          <w:szCs w:val="24"/>
          <w:highlight w:val="none"/>
        </w:rPr>
        <w:t>天。</w:t>
      </w:r>
      <w:r>
        <w:rPr>
          <w:rFonts w:ascii="宋体" w:hAnsi="宋体" w:eastAsia="宋体"/>
          <w:color w:val="auto"/>
          <w:sz w:val="24"/>
          <w:szCs w:val="24"/>
          <w:highlight w:val="none"/>
        </w:rPr>
        <w:t xml:space="preserve"> </w:t>
      </w:r>
    </w:p>
    <w:p>
      <w:pPr>
        <w:pStyle w:val="4"/>
        <w:shd w:val="clear"/>
        <w:spacing w:after="278"/>
        <w:ind w:left="132" w:right="0"/>
        <w:rPr>
          <w:rFonts w:ascii="宋体" w:hAnsi="宋体" w:eastAsia="宋体"/>
          <w:color w:val="auto"/>
          <w:sz w:val="24"/>
          <w:szCs w:val="24"/>
          <w:highlight w:val="none"/>
        </w:rPr>
      </w:pPr>
      <w:bookmarkStart w:id="91" w:name="_Toc508788651"/>
      <w:bookmarkStart w:id="92" w:name="_Toc508382134"/>
      <w:r>
        <w:rPr>
          <w:rFonts w:ascii="宋体" w:hAnsi="宋体" w:eastAsia="宋体"/>
          <w:color w:val="auto"/>
          <w:sz w:val="24"/>
          <w:szCs w:val="24"/>
          <w:highlight w:val="none"/>
        </w:rPr>
        <w:t xml:space="preserve">7.2 </w:t>
      </w:r>
      <w:r>
        <w:rPr>
          <w:rFonts w:hint="eastAsia" w:ascii="宋体" w:hAnsi="宋体" w:eastAsia="宋体"/>
          <w:color w:val="auto"/>
          <w:sz w:val="24"/>
          <w:szCs w:val="24"/>
          <w:highlight w:val="none"/>
        </w:rPr>
        <w:t>评标结果异议</w:t>
      </w:r>
      <w:bookmarkEnd w:id="91"/>
      <w:bookmarkEnd w:id="92"/>
      <w:r>
        <w:rPr>
          <w:rFonts w:ascii="宋体" w:hAnsi="宋体" w:eastAsia="宋体"/>
          <w:color w:val="auto"/>
          <w:sz w:val="24"/>
          <w:szCs w:val="24"/>
          <w:highlight w:val="none"/>
        </w:rPr>
        <w:t xml:space="preserve"> </w:t>
      </w:r>
    </w:p>
    <w:p>
      <w:pPr>
        <w:shd w:val="clear"/>
        <w:spacing w:after="246" w:line="354"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投标人或者其他利害关系人对评标结果有异议的，应当在中标候选人公示期间提出。招标人将在收到异议之日起</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3 </w:t>
      </w:r>
      <w:r>
        <w:rPr>
          <w:rFonts w:hint="eastAsia" w:ascii="宋体" w:hAnsi="宋体" w:eastAsia="宋体" w:cs="宋体"/>
          <w:color w:val="auto"/>
          <w:sz w:val="24"/>
          <w:szCs w:val="24"/>
          <w:highlight w:val="none"/>
        </w:rPr>
        <w:t>日内作出答复；作出答复前，将暂停招标投标活动。</w:t>
      </w:r>
      <w:r>
        <w:rPr>
          <w:rFonts w:ascii="宋体" w:hAnsi="宋体" w:eastAsia="宋体"/>
          <w:color w:val="auto"/>
          <w:sz w:val="24"/>
          <w:szCs w:val="24"/>
          <w:highlight w:val="none"/>
        </w:rPr>
        <w:t xml:space="preserve"> </w:t>
      </w:r>
    </w:p>
    <w:p>
      <w:pPr>
        <w:pStyle w:val="4"/>
        <w:shd w:val="clear"/>
        <w:spacing w:after="279"/>
        <w:ind w:left="132" w:right="0"/>
        <w:rPr>
          <w:rFonts w:ascii="宋体" w:hAnsi="宋体" w:eastAsia="宋体"/>
          <w:color w:val="auto"/>
          <w:sz w:val="24"/>
          <w:szCs w:val="24"/>
          <w:highlight w:val="none"/>
        </w:rPr>
      </w:pPr>
      <w:bookmarkStart w:id="93" w:name="_Toc508382135"/>
      <w:bookmarkStart w:id="94" w:name="_Toc508788652"/>
      <w:r>
        <w:rPr>
          <w:rFonts w:ascii="宋体" w:hAnsi="宋体" w:eastAsia="宋体"/>
          <w:color w:val="auto"/>
          <w:sz w:val="24"/>
          <w:szCs w:val="24"/>
          <w:highlight w:val="none"/>
        </w:rPr>
        <w:t xml:space="preserve">7.3 </w:t>
      </w:r>
      <w:r>
        <w:rPr>
          <w:rFonts w:hint="eastAsia" w:ascii="宋体" w:hAnsi="宋体" w:eastAsia="宋体"/>
          <w:color w:val="auto"/>
          <w:sz w:val="24"/>
          <w:szCs w:val="24"/>
          <w:highlight w:val="none"/>
        </w:rPr>
        <w:t>中标候选人履约能力审查</w:t>
      </w:r>
      <w:bookmarkEnd w:id="93"/>
      <w:bookmarkEnd w:id="94"/>
      <w:r>
        <w:rPr>
          <w:rFonts w:ascii="宋体" w:hAnsi="宋体" w:eastAsia="宋体"/>
          <w:color w:val="auto"/>
          <w:sz w:val="24"/>
          <w:szCs w:val="24"/>
          <w:highlight w:val="none"/>
        </w:rPr>
        <w:t xml:space="preserve"> </w:t>
      </w:r>
    </w:p>
    <w:p>
      <w:pPr>
        <w:shd w:val="clear"/>
        <w:spacing w:after="223" w:line="369" w:lineRule="auto"/>
        <w:ind w:left="-15" w:right="197" w:firstLine="410"/>
        <w:jc w:val="both"/>
        <w:rPr>
          <w:rFonts w:ascii="宋体" w:hAnsi="宋体" w:eastAsia="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r>
        <w:rPr>
          <w:rFonts w:ascii="宋体" w:hAnsi="宋体" w:eastAsia="宋体"/>
          <w:color w:val="auto"/>
          <w:sz w:val="24"/>
          <w:szCs w:val="24"/>
          <w:highlight w:val="none"/>
        </w:rPr>
        <w:t xml:space="preserve"> </w:t>
      </w:r>
    </w:p>
    <w:p>
      <w:pPr>
        <w:pStyle w:val="4"/>
        <w:shd w:val="clear"/>
        <w:spacing w:after="286" w:line="259" w:lineRule="auto"/>
        <w:ind w:left="132" w:right="0"/>
        <w:rPr>
          <w:rFonts w:ascii="宋体" w:hAnsi="宋体" w:eastAsia="宋体"/>
          <w:color w:val="auto"/>
          <w:sz w:val="24"/>
          <w:szCs w:val="24"/>
          <w:highlight w:val="none"/>
        </w:rPr>
      </w:pPr>
      <w:bookmarkStart w:id="95" w:name="_Toc508382136"/>
      <w:bookmarkStart w:id="96" w:name="_Toc508788653"/>
      <w:r>
        <w:rPr>
          <w:rFonts w:ascii="宋体" w:hAnsi="宋体" w:eastAsia="宋体"/>
          <w:color w:val="auto"/>
          <w:sz w:val="24"/>
          <w:szCs w:val="24"/>
          <w:highlight w:val="none"/>
        </w:rPr>
        <w:t xml:space="preserve">7.4 </w:t>
      </w:r>
      <w:r>
        <w:rPr>
          <w:rFonts w:hint="eastAsia" w:ascii="宋体" w:hAnsi="宋体" w:eastAsia="宋体"/>
          <w:color w:val="auto"/>
          <w:sz w:val="24"/>
          <w:szCs w:val="24"/>
          <w:highlight w:val="none"/>
        </w:rPr>
        <w:t>定标</w:t>
      </w:r>
      <w:bookmarkEnd w:id="95"/>
      <w:bookmarkEnd w:id="96"/>
      <w:r>
        <w:rPr>
          <w:rFonts w:ascii="宋体" w:hAnsi="宋体" w:eastAsia="宋体"/>
          <w:color w:val="auto"/>
          <w:sz w:val="24"/>
          <w:szCs w:val="24"/>
          <w:highlight w:val="none"/>
        </w:rPr>
        <w:t xml:space="preserve"> </w:t>
      </w:r>
    </w:p>
    <w:p>
      <w:pPr>
        <w:shd w:val="clear"/>
        <w:spacing w:after="347"/>
        <w:ind w:right="27" w:firstLine="480" w:firstLineChars="200"/>
        <w:jc w:val="both"/>
        <w:rPr>
          <w:rFonts w:ascii="宋体" w:hAnsi="宋体" w:eastAsia="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r>
        <w:rPr>
          <w:rFonts w:ascii="宋体" w:hAnsi="宋体" w:eastAsia="宋体"/>
          <w:color w:val="auto"/>
          <w:sz w:val="24"/>
          <w:szCs w:val="24"/>
          <w:highlight w:val="none"/>
        </w:rPr>
        <w:t xml:space="preserve"> </w:t>
      </w:r>
    </w:p>
    <w:p>
      <w:pPr>
        <w:pStyle w:val="4"/>
        <w:shd w:val="clear"/>
        <w:spacing w:after="282"/>
        <w:ind w:left="132" w:right="0"/>
        <w:rPr>
          <w:rFonts w:ascii="宋体" w:hAnsi="宋体" w:eastAsia="宋体"/>
          <w:color w:val="auto"/>
          <w:sz w:val="24"/>
          <w:szCs w:val="24"/>
          <w:highlight w:val="none"/>
        </w:rPr>
      </w:pPr>
      <w:bookmarkStart w:id="97" w:name="_Toc508788654"/>
      <w:bookmarkStart w:id="98" w:name="_Toc508382137"/>
      <w:r>
        <w:rPr>
          <w:rFonts w:ascii="宋体" w:hAnsi="宋体" w:eastAsia="宋体"/>
          <w:color w:val="auto"/>
          <w:sz w:val="24"/>
          <w:szCs w:val="24"/>
          <w:highlight w:val="none"/>
        </w:rPr>
        <w:t xml:space="preserve">7.5 </w:t>
      </w:r>
      <w:r>
        <w:rPr>
          <w:rFonts w:hint="eastAsia" w:ascii="宋体" w:hAnsi="宋体" w:eastAsia="宋体"/>
          <w:color w:val="auto"/>
          <w:sz w:val="24"/>
          <w:szCs w:val="24"/>
          <w:highlight w:val="none"/>
        </w:rPr>
        <w:t>中标通知</w:t>
      </w:r>
      <w:bookmarkEnd w:id="97"/>
      <w:bookmarkEnd w:id="98"/>
      <w:r>
        <w:rPr>
          <w:rFonts w:ascii="宋体" w:hAnsi="宋体" w:eastAsia="宋体"/>
          <w:color w:val="auto"/>
          <w:sz w:val="24"/>
          <w:szCs w:val="24"/>
          <w:highlight w:val="none"/>
        </w:rPr>
        <w:t xml:space="preserve"> </w:t>
      </w:r>
    </w:p>
    <w:p>
      <w:pPr>
        <w:shd w:val="clear"/>
        <w:spacing w:after="218" w:line="372"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在本章第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3.3 </w:t>
      </w:r>
      <w:r>
        <w:rPr>
          <w:rFonts w:hint="eastAsia" w:ascii="宋体" w:hAnsi="宋体" w:eastAsia="宋体" w:cs="宋体"/>
          <w:color w:val="auto"/>
          <w:sz w:val="24"/>
          <w:szCs w:val="24"/>
          <w:highlight w:val="none"/>
        </w:rPr>
        <w:t>款规定的投标有效期内，招标人以书面形式向中标人发出中标通知书，同时将中标结果通知未中标的投标人。</w:t>
      </w:r>
    </w:p>
    <w:p>
      <w:pPr>
        <w:pStyle w:val="4"/>
        <w:shd w:val="clear"/>
        <w:spacing w:after="284"/>
        <w:ind w:left="132" w:right="0"/>
        <w:rPr>
          <w:rFonts w:ascii="宋体" w:hAnsi="宋体" w:eastAsia="宋体"/>
          <w:color w:val="auto"/>
          <w:sz w:val="24"/>
          <w:szCs w:val="24"/>
          <w:highlight w:val="none"/>
        </w:rPr>
      </w:pPr>
      <w:bookmarkStart w:id="99" w:name="_Toc508788655"/>
      <w:bookmarkStart w:id="100" w:name="_Toc508382138"/>
      <w:r>
        <w:rPr>
          <w:rFonts w:ascii="宋体" w:hAnsi="宋体" w:eastAsia="宋体"/>
          <w:color w:val="auto"/>
          <w:sz w:val="24"/>
          <w:szCs w:val="24"/>
          <w:highlight w:val="none"/>
        </w:rPr>
        <w:t xml:space="preserve">7.6 </w:t>
      </w:r>
      <w:r>
        <w:rPr>
          <w:rFonts w:hint="eastAsia" w:ascii="宋体" w:hAnsi="宋体" w:eastAsia="宋体"/>
          <w:color w:val="auto"/>
          <w:sz w:val="24"/>
          <w:szCs w:val="24"/>
          <w:highlight w:val="none"/>
        </w:rPr>
        <w:t>履约保证金</w:t>
      </w:r>
      <w:bookmarkEnd w:id="99"/>
      <w:bookmarkEnd w:id="100"/>
      <w:r>
        <w:rPr>
          <w:rFonts w:ascii="宋体" w:hAnsi="宋体" w:eastAsia="宋体"/>
          <w:color w:val="auto"/>
          <w:sz w:val="24"/>
          <w:szCs w:val="24"/>
          <w:highlight w:val="none"/>
        </w:rPr>
        <w:t xml:space="preserve"> </w:t>
      </w:r>
    </w:p>
    <w:p>
      <w:pPr>
        <w:shd w:val="clear"/>
        <w:spacing w:after="214" w:line="373" w:lineRule="auto"/>
        <w:ind w:right="103" w:firstLine="420"/>
        <w:jc w:val="both"/>
        <w:rPr>
          <w:rFonts w:ascii="宋体" w:hAnsi="宋体" w:eastAsia="宋体"/>
          <w:color w:val="auto"/>
          <w:sz w:val="24"/>
          <w:szCs w:val="24"/>
          <w:highlight w:val="none"/>
        </w:rPr>
      </w:pPr>
      <w:r>
        <w:rPr>
          <w:rFonts w:hint="eastAsia" w:ascii="宋体" w:hAnsi="宋体" w:eastAsia="宋体"/>
          <w:color w:val="auto"/>
          <w:sz w:val="24"/>
          <w:szCs w:val="24"/>
          <w:highlight w:val="none"/>
        </w:rPr>
        <w:t>不需要提供履约保证金。</w:t>
      </w:r>
      <w:r>
        <w:rPr>
          <w:rFonts w:ascii="宋体" w:hAnsi="宋体" w:eastAsia="宋体"/>
          <w:color w:val="auto"/>
          <w:sz w:val="24"/>
          <w:szCs w:val="24"/>
          <w:highlight w:val="none"/>
        </w:rPr>
        <w:t xml:space="preserve"> </w:t>
      </w:r>
    </w:p>
    <w:p>
      <w:pPr>
        <w:pStyle w:val="4"/>
        <w:shd w:val="clear"/>
        <w:spacing w:after="282"/>
        <w:ind w:left="132" w:right="0"/>
        <w:rPr>
          <w:rFonts w:ascii="宋体" w:hAnsi="宋体" w:eastAsia="宋体"/>
          <w:color w:val="auto"/>
          <w:sz w:val="24"/>
          <w:szCs w:val="24"/>
          <w:highlight w:val="none"/>
        </w:rPr>
      </w:pPr>
      <w:bookmarkStart w:id="101" w:name="_Toc508382139"/>
      <w:bookmarkStart w:id="102" w:name="_Toc508788656"/>
      <w:r>
        <w:rPr>
          <w:rFonts w:ascii="宋体" w:hAnsi="宋体" w:eastAsia="宋体"/>
          <w:color w:val="auto"/>
          <w:sz w:val="24"/>
          <w:szCs w:val="24"/>
          <w:highlight w:val="none"/>
        </w:rPr>
        <w:t xml:space="preserve">7.7 </w:t>
      </w:r>
      <w:r>
        <w:rPr>
          <w:rFonts w:hint="eastAsia" w:ascii="宋体" w:hAnsi="宋体" w:eastAsia="宋体"/>
          <w:color w:val="auto"/>
          <w:sz w:val="24"/>
          <w:szCs w:val="24"/>
          <w:highlight w:val="none"/>
        </w:rPr>
        <w:t>签订合同</w:t>
      </w:r>
      <w:bookmarkEnd w:id="101"/>
      <w:bookmarkEnd w:id="102"/>
      <w:r>
        <w:rPr>
          <w:rFonts w:ascii="宋体" w:hAnsi="宋体" w:eastAsia="宋体"/>
          <w:color w:val="auto"/>
          <w:sz w:val="24"/>
          <w:szCs w:val="24"/>
          <w:highlight w:val="none"/>
        </w:rPr>
        <w:t xml:space="preserve"> </w:t>
      </w:r>
    </w:p>
    <w:p>
      <w:pPr>
        <w:shd w:val="clear"/>
        <w:spacing w:after="14" w:line="357"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7.7.1 </w:t>
      </w:r>
      <w:r>
        <w:rPr>
          <w:rFonts w:hint="eastAsia" w:ascii="宋体" w:hAnsi="宋体" w:eastAsia="宋体" w:cs="宋体"/>
          <w:color w:val="auto"/>
          <w:sz w:val="24"/>
          <w:szCs w:val="24"/>
          <w:highlight w:val="none"/>
        </w:rPr>
        <w:t>招标人和中标人应当在中标通知书发出之日起</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30 </w:t>
      </w:r>
      <w:r>
        <w:rPr>
          <w:rFonts w:hint="eastAsia" w:ascii="宋体" w:hAnsi="宋体" w:eastAsia="宋体" w:cs="宋体"/>
          <w:color w:val="auto"/>
          <w:sz w:val="24"/>
          <w:szCs w:val="24"/>
          <w:highlight w:val="none"/>
        </w:rPr>
        <w:t>日内，根据招标文件和中标人的投标文件订立书面合同。中标人无正当理由拒签合同，在签订合同时向招标人提出附加条件，招标人有权取消其中标资格，其投标保证金不予退还；给招标人造成的损失超过投标保证金数额的，中标人还应当对超过部分予以赔偿。</w:t>
      </w:r>
      <w:r>
        <w:rPr>
          <w:rFonts w:ascii="宋体" w:hAnsi="宋体" w:eastAsia="宋体"/>
          <w:color w:val="auto"/>
          <w:sz w:val="24"/>
          <w:szCs w:val="24"/>
          <w:highlight w:val="none"/>
        </w:rPr>
        <w:t xml:space="preserve"> </w:t>
      </w:r>
    </w:p>
    <w:p>
      <w:pPr>
        <w:shd w:val="clear"/>
        <w:spacing w:after="0" w:line="36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7.7.2 </w:t>
      </w:r>
      <w:r>
        <w:rPr>
          <w:rFonts w:hint="eastAsia" w:ascii="宋体" w:hAnsi="宋体" w:eastAsia="宋体" w:cs="宋体"/>
          <w:color w:val="auto"/>
          <w:sz w:val="24"/>
          <w:szCs w:val="24"/>
          <w:highlight w:val="none"/>
        </w:rPr>
        <w:t>发出中标通知书后，招标人无正当理由拒签合同，或者在签订合同时向中标人提出附加条件的，招标人向中标人退还投标保证金；给中标人造成损失的，还应当赔偿损失。</w:t>
      </w:r>
      <w:r>
        <w:rPr>
          <w:rFonts w:ascii="宋体" w:hAnsi="宋体" w:eastAsia="宋体"/>
          <w:color w:val="auto"/>
          <w:sz w:val="24"/>
          <w:szCs w:val="24"/>
          <w:highlight w:val="none"/>
        </w:rPr>
        <w:t xml:space="preserve"> </w:t>
      </w:r>
    </w:p>
    <w:p>
      <w:pPr>
        <w:shd w:val="clear"/>
        <w:spacing w:after="258" w:line="374"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7.7.3 </w:t>
      </w:r>
      <w:r>
        <w:rPr>
          <w:rFonts w:hint="eastAsia" w:ascii="宋体" w:hAnsi="宋体" w:eastAsia="宋体" w:cs="宋体"/>
          <w:color w:val="auto"/>
          <w:sz w:val="24"/>
          <w:szCs w:val="24"/>
          <w:highlight w:val="none"/>
        </w:rPr>
        <w:t>联合体中标的，联合体各方应当共同与招标人签订合同，就中标项目向招标人承担连带责任。</w:t>
      </w:r>
      <w:r>
        <w:rPr>
          <w:rFonts w:ascii="宋体" w:hAnsi="宋体" w:eastAsia="宋体"/>
          <w:color w:val="auto"/>
          <w:sz w:val="24"/>
          <w:szCs w:val="24"/>
          <w:highlight w:val="none"/>
        </w:rPr>
        <w:t xml:space="preserve"> </w:t>
      </w:r>
    </w:p>
    <w:p>
      <w:pPr>
        <w:pStyle w:val="2"/>
        <w:shd w:val="clear"/>
        <w:spacing w:after="503" w:line="264" w:lineRule="auto"/>
        <w:ind w:left="-5" w:right="0"/>
        <w:rPr>
          <w:rFonts w:ascii="宋体" w:hAnsi="宋体" w:eastAsia="宋体"/>
          <w:color w:val="auto"/>
          <w:sz w:val="24"/>
          <w:szCs w:val="24"/>
          <w:highlight w:val="none"/>
        </w:rPr>
      </w:pPr>
      <w:bookmarkStart w:id="103" w:name="_Toc508382140"/>
      <w:bookmarkStart w:id="104" w:name="_Toc508788657"/>
      <w:r>
        <w:rPr>
          <w:rFonts w:ascii="宋体" w:hAnsi="宋体" w:eastAsia="宋体"/>
          <w:b/>
          <w:color w:val="auto"/>
          <w:sz w:val="24"/>
          <w:szCs w:val="24"/>
          <w:highlight w:val="none"/>
        </w:rPr>
        <w:t>8.</w:t>
      </w:r>
      <w:r>
        <w:rPr>
          <w:rFonts w:hint="eastAsia" w:ascii="宋体" w:hAnsi="宋体" w:eastAsia="宋体"/>
          <w:color w:val="auto"/>
          <w:sz w:val="24"/>
          <w:szCs w:val="24"/>
          <w:highlight w:val="none"/>
        </w:rPr>
        <w:t>纪律和监督</w:t>
      </w:r>
      <w:bookmarkEnd w:id="103"/>
      <w:bookmarkEnd w:id="104"/>
      <w:r>
        <w:rPr>
          <w:rFonts w:ascii="宋体" w:hAnsi="宋体" w:eastAsia="宋体"/>
          <w:b/>
          <w:color w:val="auto"/>
          <w:sz w:val="24"/>
          <w:szCs w:val="24"/>
          <w:highlight w:val="none"/>
        </w:rPr>
        <w:t xml:space="preserve"> </w:t>
      </w:r>
    </w:p>
    <w:p>
      <w:pPr>
        <w:pStyle w:val="4"/>
        <w:shd w:val="clear"/>
        <w:spacing w:after="278"/>
        <w:ind w:left="132" w:right="0"/>
        <w:rPr>
          <w:rFonts w:ascii="宋体" w:hAnsi="宋体" w:eastAsia="宋体"/>
          <w:color w:val="auto"/>
          <w:sz w:val="24"/>
          <w:szCs w:val="24"/>
          <w:highlight w:val="none"/>
        </w:rPr>
      </w:pPr>
      <w:bookmarkStart w:id="105" w:name="_Toc508382141"/>
      <w:bookmarkStart w:id="106" w:name="_Toc508788658"/>
      <w:r>
        <w:rPr>
          <w:rFonts w:ascii="宋体" w:hAnsi="宋体" w:eastAsia="宋体"/>
          <w:color w:val="auto"/>
          <w:sz w:val="24"/>
          <w:szCs w:val="24"/>
          <w:highlight w:val="none"/>
        </w:rPr>
        <w:t xml:space="preserve">8.1 </w:t>
      </w:r>
      <w:r>
        <w:rPr>
          <w:rFonts w:hint="eastAsia" w:ascii="宋体" w:hAnsi="宋体" w:eastAsia="宋体"/>
          <w:color w:val="auto"/>
          <w:sz w:val="24"/>
          <w:szCs w:val="24"/>
          <w:highlight w:val="none"/>
        </w:rPr>
        <w:t>对招标人的纪律要求</w:t>
      </w:r>
      <w:bookmarkEnd w:id="105"/>
      <w:bookmarkEnd w:id="106"/>
      <w:r>
        <w:rPr>
          <w:rFonts w:ascii="宋体" w:hAnsi="宋体" w:eastAsia="宋体"/>
          <w:color w:val="auto"/>
          <w:sz w:val="24"/>
          <w:szCs w:val="24"/>
          <w:highlight w:val="none"/>
        </w:rPr>
        <w:t xml:space="preserve"> </w:t>
      </w:r>
    </w:p>
    <w:p>
      <w:pPr>
        <w:shd w:val="clear"/>
        <w:spacing w:after="240" w:line="354"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招标人不得泄露招标投标活动中应当保密的情况和资料，不得与投标人串通损害国家利益、社会公共利益或者他人合法权益。</w:t>
      </w:r>
      <w:r>
        <w:rPr>
          <w:rFonts w:ascii="宋体" w:hAnsi="宋体" w:eastAsia="宋体"/>
          <w:color w:val="auto"/>
          <w:sz w:val="24"/>
          <w:szCs w:val="24"/>
          <w:highlight w:val="none"/>
        </w:rPr>
        <w:t xml:space="preserve"> </w:t>
      </w:r>
    </w:p>
    <w:p>
      <w:pPr>
        <w:pStyle w:val="4"/>
        <w:shd w:val="clear"/>
        <w:spacing w:after="278"/>
        <w:ind w:left="132" w:right="0"/>
        <w:rPr>
          <w:rFonts w:ascii="宋体" w:hAnsi="宋体" w:eastAsia="宋体"/>
          <w:color w:val="auto"/>
          <w:sz w:val="24"/>
          <w:szCs w:val="24"/>
          <w:highlight w:val="none"/>
        </w:rPr>
      </w:pPr>
      <w:bookmarkStart w:id="107" w:name="_Toc508788659"/>
      <w:bookmarkStart w:id="108" w:name="_Toc508382142"/>
      <w:r>
        <w:rPr>
          <w:rFonts w:ascii="宋体" w:hAnsi="宋体" w:eastAsia="宋体"/>
          <w:color w:val="auto"/>
          <w:sz w:val="24"/>
          <w:szCs w:val="24"/>
          <w:highlight w:val="none"/>
        </w:rPr>
        <w:t xml:space="preserve">8.2 </w:t>
      </w:r>
      <w:r>
        <w:rPr>
          <w:rFonts w:hint="eastAsia" w:ascii="宋体" w:hAnsi="宋体" w:eastAsia="宋体"/>
          <w:color w:val="auto"/>
          <w:sz w:val="24"/>
          <w:szCs w:val="24"/>
          <w:highlight w:val="none"/>
        </w:rPr>
        <w:t>对投标人的纪律要求</w:t>
      </w:r>
      <w:bookmarkEnd w:id="107"/>
      <w:bookmarkEnd w:id="108"/>
      <w:r>
        <w:rPr>
          <w:rFonts w:ascii="宋体" w:hAnsi="宋体" w:eastAsia="宋体"/>
          <w:color w:val="auto"/>
          <w:sz w:val="24"/>
          <w:szCs w:val="24"/>
          <w:highlight w:val="none"/>
        </w:rPr>
        <w:t xml:space="preserve"> </w:t>
      </w:r>
    </w:p>
    <w:p>
      <w:pPr>
        <w:shd w:val="clear"/>
        <w:spacing w:after="242" w:line="352"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ascii="宋体" w:hAnsi="宋体" w:eastAsia="宋体"/>
          <w:color w:val="auto"/>
          <w:sz w:val="24"/>
          <w:szCs w:val="24"/>
          <w:highlight w:val="none"/>
        </w:rPr>
        <w:t xml:space="preserve"> </w:t>
      </w:r>
    </w:p>
    <w:p>
      <w:pPr>
        <w:pStyle w:val="4"/>
        <w:shd w:val="clear"/>
        <w:spacing w:after="279"/>
        <w:ind w:left="132" w:right="0"/>
        <w:rPr>
          <w:rFonts w:hint="eastAsia" w:ascii="宋体" w:hAnsi="宋体" w:eastAsia="宋体"/>
          <w:color w:val="auto"/>
          <w:sz w:val="24"/>
          <w:szCs w:val="24"/>
          <w:highlight w:val="none"/>
        </w:rPr>
      </w:pPr>
      <w:bookmarkStart w:id="109" w:name="_Toc508788660"/>
      <w:bookmarkStart w:id="110" w:name="_Toc508382143"/>
      <w:r>
        <w:rPr>
          <w:rFonts w:ascii="宋体" w:hAnsi="宋体" w:eastAsia="宋体"/>
          <w:color w:val="auto"/>
          <w:sz w:val="24"/>
          <w:szCs w:val="24"/>
          <w:highlight w:val="none"/>
        </w:rPr>
        <w:t xml:space="preserve">8.3 </w:t>
      </w:r>
      <w:r>
        <w:rPr>
          <w:rFonts w:hint="eastAsia" w:ascii="宋体" w:hAnsi="宋体" w:eastAsia="宋体"/>
          <w:color w:val="auto"/>
          <w:sz w:val="24"/>
          <w:szCs w:val="24"/>
          <w:highlight w:val="none"/>
        </w:rPr>
        <w:t>对评标委员会成员的纪律要求</w:t>
      </w:r>
      <w:bookmarkEnd w:id="109"/>
      <w:bookmarkEnd w:id="110"/>
      <w:r>
        <w:rPr>
          <w:rFonts w:ascii="宋体" w:hAnsi="宋体" w:eastAsia="宋体"/>
          <w:color w:val="auto"/>
          <w:sz w:val="24"/>
          <w:szCs w:val="24"/>
          <w:highlight w:val="none"/>
        </w:rPr>
        <w:t xml:space="preserve"> </w:t>
      </w:r>
    </w:p>
    <w:p>
      <w:pPr>
        <w:shd w:val="clear"/>
        <w:spacing w:after="348" w:line="349"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评标办法</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没有规定的评审因素和标准进行评标。</w:t>
      </w:r>
      <w:r>
        <w:rPr>
          <w:rFonts w:ascii="宋体" w:hAnsi="宋体" w:eastAsia="宋体"/>
          <w:color w:val="auto"/>
          <w:sz w:val="24"/>
          <w:szCs w:val="24"/>
          <w:highlight w:val="none"/>
        </w:rPr>
        <w:t xml:space="preserve"> </w:t>
      </w:r>
    </w:p>
    <w:p>
      <w:pPr>
        <w:pStyle w:val="4"/>
        <w:shd w:val="clear"/>
        <w:spacing w:after="280"/>
        <w:ind w:left="132" w:right="0"/>
        <w:rPr>
          <w:rFonts w:ascii="宋体" w:hAnsi="宋体" w:eastAsia="宋体"/>
          <w:color w:val="auto"/>
          <w:sz w:val="24"/>
          <w:szCs w:val="24"/>
          <w:highlight w:val="none"/>
        </w:rPr>
      </w:pPr>
      <w:bookmarkStart w:id="111" w:name="_Toc508382144"/>
      <w:bookmarkStart w:id="112" w:name="_Toc508788661"/>
      <w:r>
        <w:rPr>
          <w:rFonts w:ascii="宋体" w:hAnsi="宋体" w:eastAsia="宋体"/>
          <w:color w:val="auto"/>
          <w:sz w:val="24"/>
          <w:szCs w:val="24"/>
          <w:highlight w:val="none"/>
        </w:rPr>
        <w:t xml:space="preserve">8.4 </w:t>
      </w:r>
      <w:r>
        <w:rPr>
          <w:rFonts w:hint="eastAsia" w:ascii="宋体" w:hAnsi="宋体" w:eastAsia="宋体"/>
          <w:color w:val="auto"/>
          <w:sz w:val="24"/>
          <w:szCs w:val="24"/>
          <w:highlight w:val="none"/>
        </w:rPr>
        <w:t>对与评标活动有关的工作人员的纪律要求</w:t>
      </w:r>
      <w:bookmarkEnd w:id="111"/>
      <w:bookmarkEnd w:id="112"/>
      <w:r>
        <w:rPr>
          <w:rFonts w:ascii="宋体" w:hAnsi="宋体" w:eastAsia="宋体"/>
          <w:color w:val="auto"/>
          <w:sz w:val="24"/>
          <w:szCs w:val="24"/>
          <w:highlight w:val="none"/>
        </w:rPr>
        <w:t xml:space="preserve"> </w:t>
      </w:r>
    </w:p>
    <w:p>
      <w:pPr>
        <w:shd w:val="clear"/>
        <w:spacing w:after="239" w:line="352" w:lineRule="auto"/>
        <w:ind w:right="103" w:firstLine="420"/>
        <w:rPr>
          <w:rFonts w:ascii="宋体" w:hAnsi="宋体" w:eastAsia="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rFonts w:ascii="宋体" w:hAnsi="宋体" w:eastAsia="宋体"/>
          <w:color w:val="auto"/>
          <w:sz w:val="24"/>
          <w:szCs w:val="24"/>
          <w:highlight w:val="none"/>
        </w:rPr>
        <w:t xml:space="preserve"> </w:t>
      </w:r>
    </w:p>
    <w:p>
      <w:pPr>
        <w:pStyle w:val="4"/>
        <w:shd w:val="clear"/>
        <w:spacing w:after="286" w:line="259" w:lineRule="auto"/>
        <w:ind w:left="132" w:right="0"/>
        <w:rPr>
          <w:rFonts w:ascii="宋体" w:hAnsi="宋体" w:eastAsia="宋体"/>
          <w:color w:val="auto"/>
          <w:sz w:val="24"/>
          <w:szCs w:val="24"/>
          <w:highlight w:val="none"/>
        </w:rPr>
      </w:pPr>
      <w:bookmarkStart w:id="113" w:name="_Toc508788662"/>
      <w:bookmarkStart w:id="114" w:name="_Toc508382145"/>
      <w:r>
        <w:rPr>
          <w:rFonts w:ascii="宋体" w:hAnsi="宋体" w:eastAsia="宋体"/>
          <w:color w:val="auto"/>
          <w:sz w:val="24"/>
          <w:szCs w:val="24"/>
          <w:highlight w:val="none"/>
        </w:rPr>
        <w:t xml:space="preserve">8.5 </w:t>
      </w:r>
      <w:r>
        <w:rPr>
          <w:rFonts w:hint="eastAsia" w:ascii="宋体" w:hAnsi="宋体" w:eastAsia="宋体"/>
          <w:color w:val="auto"/>
          <w:sz w:val="24"/>
          <w:szCs w:val="24"/>
          <w:highlight w:val="none"/>
        </w:rPr>
        <w:t>投诉</w:t>
      </w:r>
      <w:bookmarkEnd w:id="113"/>
      <w:bookmarkEnd w:id="114"/>
      <w:r>
        <w:rPr>
          <w:rFonts w:ascii="宋体" w:hAnsi="宋体" w:eastAsia="宋体"/>
          <w:color w:val="auto"/>
          <w:sz w:val="24"/>
          <w:szCs w:val="24"/>
          <w:highlight w:val="none"/>
        </w:rPr>
        <w:t xml:space="preserve"> </w:t>
      </w:r>
    </w:p>
    <w:p>
      <w:pPr>
        <w:shd w:val="clear"/>
        <w:spacing w:after="5" w:line="369" w:lineRule="auto"/>
        <w:ind w:left="-15" w:right="197" w:firstLine="410"/>
        <w:jc w:val="both"/>
        <w:rPr>
          <w:rFonts w:ascii="宋体" w:hAnsi="宋体" w:eastAsia="宋体"/>
          <w:color w:val="auto"/>
          <w:sz w:val="24"/>
          <w:szCs w:val="24"/>
          <w:highlight w:val="none"/>
        </w:rPr>
      </w:pPr>
      <w:r>
        <w:rPr>
          <w:rFonts w:ascii="宋体" w:hAnsi="宋体" w:eastAsia="宋体"/>
          <w:color w:val="auto"/>
          <w:sz w:val="24"/>
          <w:szCs w:val="24"/>
          <w:highlight w:val="none"/>
        </w:rPr>
        <w:t xml:space="preserve">8.5.1 </w:t>
      </w:r>
      <w:r>
        <w:rPr>
          <w:rFonts w:hint="eastAsia" w:ascii="宋体" w:hAnsi="宋体" w:eastAsia="宋体" w:cs="宋体"/>
          <w:color w:val="auto"/>
          <w:sz w:val="24"/>
          <w:szCs w:val="24"/>
          <w:highlight w:val="none"/>
        </w:rPr>
        <w:t>投标人或者其他利害关系人认为招标投标活动不符合法律、行政法规规定的，可以自知道或者应当知道之日起</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10 </w:t>
      </w:r>
      <w:r>
        <w:rPr>
          <w:rFonts w:hint="eastAsia" w:ascii="宋体" w:hAnsi="宋体" w:eastAsia="宋体" w:cs="宋体"/>
          <w:color w:val="auto"/>
          <w:sz w:val="24"/>
          <w:szCs w:val="24"/>
          <w:highlight w:val="none"/>
        </w:rPr>
        <w:t>日内向有关行政监督部门投诉。投诉应当有明确的请求和必要的证明材料。</w:t>
      </w:r>
      <w:r>
        <w:rPr>
          <w:rFonts w:ascii="宋体" w:hAnsi="宋体" w:eastAsia="宋体"/>
          <w:color w:val="auto"/>
          <w:sz w:val="24"/>
          <w:szCs w:val="24"/>
          <w:highlight w:val="none"/>
        </w:rPr>
        <w:t xml:space="preserve"> </w:t>
      </w:r>
    </w:p>
    <w:p>
      <w:pPr>
        <w:shd w:val="clear"/>
        <w:spacing w:after="264" w:line="369" w:lineRule="auto"/>
        <w:ind w:left="-15" w:right="197" w:firstLine="410"/>
        <w:jc w:val="both"/>
        <w:rPr>
          <w:rFonts w:ascii="宋体" w:hAnsi="宋体" w:eastAsia="宋体"/>
          <w:color w:val="auto"/>
          <w:sz w:val="24"/>
          <w:szCs w:val="24"/>
          <w:highlight w:val="none"/>
        </w:rPr>
      </w:pPr>
      <w:r>
        <w:rPr>
          <w:rFonts w:ascii="宋体" w:hAnsi="宋体" w:eastAsia="宋体"/>
          <w:color w:val="auto"/>
          <w:sz w:val="24"/>
          <w:szCs w:val="24"/>
          <w:highlight w:val="none"/>
        </w:rPr>
        <w:t xml:space="preserve">8.5.2 </w:t>
      </w:r>
      <w:r>
        <w:rPr>
          <w:rFonts w:hint="eastAsia" w:ascii="宋体" w:hAnsi="宋体" w:eastAsia="宋体" w:cs="宋体"/>
          <w:color w:val="auto"/>
          <w:sz w:val="24"/>
          <w:szCs w:val="24"/>
          <w:highlight w:val="none"/>
        </w:rPr>
        <w:t>投标人或者其他利害关系人对招标文件、开标和评标结果提出投诉的，应当按照投标人须知第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2.4 </w:t>
      </w:r>
      <w:r>
        <w:rPr>
          <w:rFonts w:hint="eastAsia" w:ascii="宋体" w:hAnsi="宋体" w:eastAsia="宋体" w:cs="宋体"/>
          <w:color w:val="auto"/>
          <w:sz w:val="24"/>
          <w:szCs w:val="24"/>
          <w:highlight w:val="none"/>
        </w:rPr>
        <w:t>款、第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5.3 </w:t>
      </w:r>
      <w:r>
        <w:rPr>
          <w:rFonts w:hint="eastAsia" w:ascii="宋体" w:hAnsi="宋体" w:eastAsia="宋体" w:cs="宋体"/>
          <w:color w:val="auto"/>
          <w:sz w:val="24"/>
          <w:szCs w:val="24"/>
          <w:highlight w:val="none"/>
        </w:rPr>
        <w:t>款和第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7.2 </w:t>
      </w:r>
      <w:r>
        <w:rPr>
          <w:rFonts w:hint="eastAsia" w:ascii="宋体" w:hAnsi="宋体" w:eastAsia="宋体" w:cs="宋体"/>
          <w:color w:val="auto"/>
          <w:sz w:val="24"/>
          <w:szCs w:val="24"/>
          <w:highlight w:val="none"/>
        </w:rPr>
        <w:t>款的规定先向招标人提出异议。异议答复期间不计算在第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8.5.1 </w:t>
      </w:r>
      <w:r>
        <w:rPr>
          <w:rFonts w:hint="eastAsia" w:ascii="宋体" w:hAnsi="宋体" w:eastAsia="宋体" w:cs="宋体"/>
          <w:color w:val="auto"/>
          <w:sz w:val="24"/>
          <w:szCs w:val="24"/>
          <w:highlight w:val="none"/>
        </w:rPr>
        <w:t>项规定的期限内。</w:t>
      </w:r>
      <w:r>
        <w:rPr>
          <w:rFonts w:ascii="宋体" w:hAnsi="宋体" w:eastAsia="宋体"/>
          <w:color w:val="auto"/>
          <w:sz w:val="24"/>
          <w:szCs w:val="24"/>
          <w:highlight w:val="none"/>
        </w:rPr>
        <w:t xml:space="preserve"> </w:t>
      </w:r>
    </w:p>
    <w:p>
      <w:pPr>
        <w:pStyle w:val="2"/>
        <w:shd w:val="clear"/>
        <w:spacing w:after="245" w:line="264" w:lineRule="auto"/>
        <w:ind w:left="-5" w:right="0"/>
        <w:rPr>
          <w:rFonts w:ascii="宋体" w:hAnsi="宋体" w:eastAsia="宋体"/>
          <w:color w:val="auto"/>
          <w:sz w:val="24"/>
          <w:szCs w:val="24"/>
          <w:highlight w:val="none"/>
        </w:rPr>
      </w:pPr>
      <w:bookmarkStart w:id="115" w:name="_Toc508788663"/>
      <w:bookmarkStart w:id="116" w:name="_Toc508382146"/>
      <w:r>
        <w:rPr>
          <w:rFonts w:ascii="宋体" w:hAnsi="宋体" w:eastAsia="宋体"/>
          <w:b/>
          <w:color w:val="auto"/>
          <w:sz w:val="24"/>
          <w:szCs w:val="24"/>
          <w:highlight w:val="none"/>
        </w:rPr>
        <w:t xml:space="preserve">9. </w:t>
      </w:r>
      <w:r>
        <w:rPr>
          <w:rFonts w:hint="eastAsia" w:ascii="宋体" w:hAnsi="宋体" w:eastAsia="宋体"/>
          <w:color w:val="auto"/>
          <w:sz w:val="24"/>
          <w:szCs w:val="24"/>
          <w:highlight w:val="none"/>
        </w:rPr>
        <w:t>是否采用电子招标投标</w:t>
      </w:r>
      <w:bookmarkEnd w:id="115"/>
      <w:bookmarkEnd w:id="116"/>
      <w:r>
        <w:rPr>
          <w:rFonts w:ascii="宋体" w:hAnsi="宋体" w:eastAsia="宋体"/>
          <w:b/>
          <w:color w:val="auto"/>
          <w:sz w:val="24"/>
          <w:szCs w:val="24"/>
          <w:highlight w:val="none"/>
        </w:rPr>
        <w:t xml:space="preserve"> </w:t>
      </w:r>
    </w:p>
    <w:p>
      <w:pPr>
        <w:shd w:val="clear"/>
        <w:spacing w:after="385" w:line="265" w:lineRule="auto"/>
        <w:ind w:left="417"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本招标项目是否采用电子招标投标方式，见投标人须知前附表。</w:t>
      </w:r>
      <w:r>
        <w:rPr>
          <w:rFonts w:ascii="宋体" w:hAnsi="宋体" w:eastAsia="宋体"/>
          <w:color w:val="auto"/>
          <w:sz w:val="24"/>
          <w:szCs w:val="24"/>
          <w:highlight w:val="none"/>
        </w:rPr>
        <w:t xml:space="preserve"> </w:t>
      </w:r>
    </w:p>
    <w:p>
      <w:pPr>
        <w:pStyle w:val="2"/>
        <w:shd w:val="clear"/>
        <w:spacing w:after="244" w:line="264" w:lineRule="auto"/>
        <w:ind w:left="-5" w:right="0"/>
        <w:rPr>
          <w:rFonts w:ascii="宋体" w:hAnsi="宋体" w:eastAsia="宋体"/>
          <w:color w:val="auto"/>
          <w:sz w:val="24"/>
          <w:szCs w:val="24"/>
          <w:highlight w:val="none"/>
        </w:rPr>
      </w:pPr>
      <w:bookmarkStart w:id="117" w:name="_Toc508382147"/>
      <w:bookmarkStart w:id="118" w:name="_Toc508788664"/>
      <w:r>
        <w:rPr>
          <w:rFonts w:ascii="宋体" w:hAnsi="宋体" w:eastAsia="宋体"/>
          <w:b/>
          <w:color w:val="auto"/>
          <w:sz w:val="24"/>
          <w:szCs w:val="24"/>
          <w:highlight w:val="none"/>
        </w:rPr>
        <w:t xml:space="preserve">10. </w:t>
      </w:r>
      <w:r>
        <w:rPr>
          <w:rFonts w:hint="eastAsia" w:ascii="宋体" w:hAnsi="宋体" w:eastAsia="宋体"/>
          <w:color w:val="auto"/>
          <w:sz w:val="24"/>
          <w:szCs w:val="24"/>
          <w:highlight w:val="none"/>
        </w:rPr>
        <w:t>需要补充的其他内容</w:t>
      </w:r>
      <w:bookmarkEnd w:id="117"/>
      <w:bookmarkEnd w:id="118"/>
      <w:r>
        <w:rPr>
          <w:rFonts w:ascii="宋体" w:hAnsi="宋体" w:eastAsia="宋体"/>
          <w:b/>
          <w:color w:val="auto"/>
          <w:sz w:val="24"/>
          <w:szCs w:val="24"/>
          <w:highlight w:val="none"/>
        </w:rPr>
        <w:t xml:space="preserve"> </w:t>
      </w:r>
    </w:p>
    <w:p>
      <w:pPr>
        <w:shd w:val="clear"/>
        <w:spacing w:after="123" w:line="265" w:lineRule="auto"/>
        <w:ind w:left="417" w:right="103" w:hanging="1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r>
        <w:rPr>
          <w:rFonts w:ascii="宋体" w:hAnsi="宋体" w:eastAsia="宋体"/>
          <w:color w:val="auto"/>
          <w:sz w:val="24"/>
          <w:szCs w:val="24"/>
          <w:highlight w:val="none"/>
        </w:rPr>
        <w:t xml:space="preserve"> </w:t>
      </w:r>
    </w:p>
    <w:p>
      <w:pPr>
        <w:pStyle w:val="4"/>
        <w:shd w:val="clear"/>
        <w:spacing w:after="580"/>
        <w:ind w:left="132" w:right="0"/>
        <w:rPr>
          <w:rFonts w:ascii="宋体" w:hAnsi="宋体" w:eastAsia="宋体"/>
          <w:color w:val="auto"/>
          <w:highlight w:val="none"/>
        </w:rPr>
      </w:pPr>
      <w:bookmarkStart w:id="119" w:name="_Toc508382148"/>
      <w:bookmarkStart w:id="120" w:name="_Toc508788665"/>
      <w:r>
        <w:rPr>
          <w:rFonts w:ascii="宋体" w:hAnsi="宋体" w:eastAsia="宋体"/>
          <w:color w:val="auto"/>
          <w:sz w:val="24"/>
          <w:szCs w:val="24"/>
          <w:highlight w:val="none"/>
        </w:rPr>
        <w:br w:type="page"/>
      </w:r>
      <w:r>
        <w:rPr>
          <w:rFonts w:hint="eastAsia" w:ascii="宋体" w:hAnsi="宋体" w:eastAsia="宋体"/>
          <w:color w:val="auto"/>
          <w:highlight w:val="none"/>
        </w:rPr>
        <w:t>附件一：开标记录表</w:t>
      </w:r>
      <w:bookmarkEnd w:id="119"/>
      <w:bookmarkEnd w:id="120"/>
      <w:r>
        <w:rPr>
          <w:rFonts w:ascii="宋体" w:hAnsi="宋体" w:eastAsia="宋体"/>
          <w:color w:val="auto"/>
          <w:highlight w:val="none"/>
        </w:rPr>
        <w:t xml:space="preserve"> </w:t>
      </w:r>
    </w:p>
    <w:p>
      <w:pPr>
        <w:pStyle w:val="6"/>
        <w:shd w:val="clear"/>
        <w:spacing w:after="146"/>
        <w:ind w:right="214"/>
        <w:jc w:val="center"/>
        <w:rPr>
          <w:rFonts w:ascii="宋体" w:hAnsi="宋体" w:eastAsia="宋体"/>
          <w:color w:val="auto"/>
          <w:highlight w:val="none"/>
        </w:rPr>
      </w:pPr>
      <w:r>
        <w:rPr>
          <w:rFonts w:hint="eastAsia" w:ascii="宋体" w:hAnsi="宋体" w:eastAsia="宋体"/>
          <w:color w:val="auto"/>
          <w:highlight w:val="none"/>
        </w:rPr>
        <w:t>开标记录表</w:t>
      </w:r>
      <w:r>
        <w:rPr>
          <w:rFonts w:ascii="宋体" w:hAnsi="宋体" w:eastAsia="宋体"/>
          <w:color w:val="auto"/>
          <w:highlight w:val="none"/>
        </w:rPr>
        <w:t xml:space="preserve"> </w:t>
      </w:r>
    </w:p>
    <w:p>
      <w:pPr>
        <w:shd w:val="clear"/>
        <w:spacing w:after="0" w:line="265" w:lineRule="auto"/>
        <w:ind w:left="1407" w:right="103" w:hanging="10"/>
        <w:rPr>
          <w:rFonts w:ascii="宋体" w:hAnsi="宋体" w:eastAsia="宋体"/>
          <w:color w:val="auto"/>
          <w:highlight w:val="none"/>
        </w:rPr>
      </w:pPr>
      <w:r>
        <w:rPr>
          <w:rFonts w:hint="eastAsia" w:ascii="宋体" w:hAnsi="宋体" w:eastAsia="宋体" w:cs="宋体"/>
          <w:color w:val="auto"/>
          <w:sz w:val="21"/>
          <w:highlight w:val="none"/>
        </w:rPr>
        <w:t>开标时间：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月</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日</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时</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分</w:t>
      </w:r>
      <w:r>
        <w:rPr>
          <w:rFonts w:ascii="宋体" w:hAnsi="宋体" w:eastAsia="宋体"/>
          <w:color w:val="auto"/>
          <w:sz w:val="21"/>
          <w:highlight w:val="none"/>
        </w:rPr>
        <w:t xml:space="preserve"> </w:t>
      </w:r>
    </w:p>
    <w:tbl>
      <w:tblPr>
        <w:tblStyle w:val="35"/>
        <w:tblW w:w="0" w:type="auto"/>
        <w:tblInd w:w="-108" w:type="dxa"/>
        <w:tblLayout w:type="fixed"/>
        <w:tblCellMar>
          <w:top w:w="0" w:type="dxa"/>
          <w:left w:w="106" w:type="dxa"/>
          <w:bottom w:w="58" w:type="dxa"/>
          <w:right w:w="99" w:type="dxa"/>
        </w:tblCellMar>
      </w:tblPr>
      <w:tblGrid>
        <w:gridCol w:w="737"/>
        <w:gridCol w:w="1161"/>
        <w:gridCol w:w="1129"/>
        <w:gridCol w:w="1130"/>
        <w:gridCol w:w="1290"/>
        <w:gridCol w:w="969"/>
        <w:gridCol w:w="1127"/>
        <w:gridCol w:w="808"/>
        <w:gridCol w:w="1129"/>
      </w:tblGrid>
      <w:tr>
        <w:tblPrEx>
          <w:tblCellMar>
            <w:top w:w="0" w:type="dxa"/>
            <w:left w:w="106" w:type="dxa"/>
            <w:bottom w:w="58" w:type="dxa"/>
            <w:right w:w="99" w:type="dxa"/>
          </w:tblCellMar>
        </w:tblPrEx>
        <w:trPr>
          <w:trHeight w:val="108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0" w:afterAutospacing="0"/>
              <w:ind w:left="38" w:right="0"/>
              <w:jc w:val="center"/>
              <w:rPr>
                <w:rFonts w:hint="default" w:ascii="宋体" w:hAnsi="宋体" w:eastAsia="宋体" w:cs="Calibri"/>
                <w:color w:val="auto"/>
                <w:sz w:val="24"/>
                <w:szCs w:val="24"/>
                <w:highlight w:val="none"/>
              </w:rPr>
            </w:pPr>
            <w:r>
              <w:rPr>
                <w:rFonts w:hint="eastAsia" w:ascii="宋体" w:hAnsi="宋体" w:eastAsia="宋体" w:cs="宋体"/>
                <w:color w:val="auto"/>
                <w:sz w:val="24"/>
                <w:szCs w:val="24"/>
                <w:highlight w:val="none"/>
              </w:rPr>
              <w:t>序号</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0" w:afterAutospacing="0"/>
              <w:ind w:left="134" w:right="0"/>
              <w:jc w:val="center"/>
              <w:rPr>
                <w:rFonts w:hint="default" w:ascii="宋体" w:hAnsi="宋体" w:eastAsia="宋体" w:cs="Calibri"/>
                <w:color w:val="auto"/>
                <w:sz w:val="24"/>
                <w:szCs w:val="24"/>
                <w:highlight w:val="none"/>
              </w:rPr>
            </w:pPr>
            <w:r>
              <w:rPr>
                <w:rFonts w:hint="eastAsia" w:ascii="宋体" w:hAnsi="宋体" w:eastAsia="宋体" w:cs="宋体"/>
                <w:color w:val="auto"/>
                <w:sz w:val="24"/>
                <w:szCs w:val="24"/>
                <w:highlight w:val="none"/>
              </w:rPr>
              <w:t>投标人</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0" w:afterAutospacing="0"/>
              <w:ind w:left="2" w:right="0"/>
              <w:jc w:val="center"/>
              <w:rPr>
                <w:rFonts w:hint="default" w:ascii="宋体" w:hAnsi="宋体" w:eastAsia="宋体" w:cs="Calibri"/>
                <w:color w:val="auto"/>
                <w:sz w:val="24"/>
                <w:szCs w:val="24"/>
                <w:highlight w:val="none"/>
              </w:rPr>
            </w:pPr>
            <w:r>
              <w:rPr>
                <w:rFonts w:hint="eastAsia" w:ascii="宋体" w:hAnsi="宋体" w:eastAsia="宋体" w:cs="宋体"/>
                <w:color w:val="auto"/>
                <w:sz w:val="24"/>
                <w:szCs w:val="24"/>
                <w:highlight w:val="none"/>
              </w:rPr>
              <w:t>密封情况</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0" w:afterAutospacing="0"/>
              <w:ind w:left="0" w:right="0"/>
              <w:jc w:val="center"/>
              <w:rPr>
                <w:rFonts w:hint="default" w:ascii="宋体" w:hAnsi="宋体" w:eastAsia="宋体" w:cs="Calibri"/>
                <w:color w:val="auto"/>
                <w:sz w:val="24"/>
                <w:szCs w:val="24"/>
                <w:highlight w:val="none"/>
              </w:rPr>
            </w:pPr>
            <w:r>
              <w:rPr>
                <w:rFonts w:hint="eastAsia" w:ascii="宋体" w:hAnsi="宋体" w:eastAsia="宋体" w:cs="宋体"/>
                <w:color w:val="auto"/>
                <w:sz w:val="24"/>
                <w:szCs w:val="24"/>
                <w:highlight w:val="none"/>
              </w:rPr>
              <w:t>投标保证金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267" w:afterAutospacing="0"/>
              <w:ind w:left="101" w:right="0"/>
              <w:jc w:val="center"/>
              <w:rPr>
                <w:rFonts w:hint="default" w:ascii="宋体" w:hAnsi="宋体" w:eastAsia="宋体" w:cs="Calibri"/>
                <w:color w:val="auto"/>
                <w:sz w:val="24"/>
                <w:szCs w:val="24"/>
                <w:highlight w:val="none"/>
              </w:rPr>
            </w:pPr>
            <w:r>
              <w:rPr>
                <w:rFonts w:hint="eastAsia" w:ascii="宋体" w:hAnsi="宋体" w:eastAsia="宋体" w:cs="宋体"/>
                <w:color w:val="auto"/>
                <w:sz w:val="24"/>
                <w:szCs w:val="24"/>
                <w:highlight w:val="none"/>
              </w:rPr>
              <w:t>投标报价</w:t>
            </w:r>
          </w:p>
          <w:p>
            <w:pPr>
              <w:keepNext w:val="0"/>
              <w:keepLines w:val="0"/>
              <w:widowControl/>
              <w:suppressLineNumbers w:val="0"/>
              <w:shd w:val="clear"/>
              <w:spacing w:before="0" w:beforeAutospacing="0" w:after="0" w:afterAutospacing="0"/>
              <w:ind w:left="101" w:right="0"/>
              <w:jc w:val="center"/>
              <w:rPr>
                <w:rFonts w:hint="default" w:ascii="宋体" w:hAnsi="宋体" w:eastAsia="宋体" w:cs="Calibri"/>
                <w:color w:val="auto"/>
                <w:sz w:val="24"/>
                <w:szCs w:val="24"/>
                <w:highlight w:val="none"/>
              </w:rPr>
            </w:pPr>
            <w:r>
              <w:rPr>
                <w:rFonts w:hint="eastAsia" w:ascii="宋体" w:hAnsi="宋体" w:eastAsia="宋体" w:cs="宋体"/>
                <w:color w:val="auto"/>
                <w:sz w:val="24"/>
                <w:szCs w:val="24"/>
                <w:highlight w:val="none"/>
              </w:rPr>
              <w:t>（元）</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Calibri"/>
                <w:color w:val="auto"/>
                <w:sz w:val="24"/>
                <w:szCs w:val="24"/>
                <w:highlight w:val="none"/>
              </w:rPr>
            </w:pPr>
            <w:r>
              <w:rPr>
                <w:rFonts w:hint="eastAsia" w:ascii="宋体" w:hAnsi="宋体" w:eastAsia="宋体" w:cs="宋体"/>
                <w:color w:val="auto"/>
                <w:sz w:val="24"/>
                <w:szCs w:val="24"/>
                <w:highlight w:val="none"/>
              </w:rPr>
              <w:t>项目负责人</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0" w:afterAutospacing="0"/>
              <w:ind w:left="0" w:right="0"/>
              <w:jc w:val="center"/>
              <w:rPr>
                <w:rFonts w:hint="default" w:ascii="宋体" w:hAnsi="宋体" w:eastAsia="宋体" w:cs="Calibri"/>
                <w:color w:val="auto"/>
                <w:sz w:val="24"/>
                <w:szCs w:val="24"/>
                <w:highlight w:val="none"/>
                <w:u w:val="single"/>
              </w:rPr>
            </w:pPr>
            <w:r>
              <w:rPr>
                <w:rFonts w:hint="eastAsia" w:ascii="宋体" w:hAnsi="宋体" w:eastAsia="宋体" w:cs="宋体"/>
                <w:color w:val="auto"/>
                <w:sz w:val="24"/>
                <w:szCs w:val="24"/>
                <w:highlight w:val="none"/>
              </w:rPr>
              <w:t>服务工期</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0" w:afterAutospacing="0"/>
              <w:ind w:left="67" w:right="0"/>
              <w:jc w:val="center"/>
              <w:rPr>
                <w:rFonts w:hint="default" w:ascii="宋体" w:hAnsi="宋体" w:eastAsia="宋体" w:cs="Calibri"/>
                <w:color w:val="auto"/>
                <w:sz w:val="24"/>
                <w:szCs w:val="24"/>
                <w:highlight w:val="none"/>
              </w:rPr>
            </w:pPr>
            <w:r>
              <w:rPr>
                <w:rFonts w:hint="eastAsia" w:ascii="宋体" w:hAnsi="宋体" w:eastAsia="宋体" w:cs="宋体"/>
                <w:color w:val="auto"/>
                <w:sz w:val="24"/>
                <w:szCs w:val="24"/>
                <w:highlight w:val="none"/>
              </w:rPr>
              <w:t>备注</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0" w:afterAutospacing="0"/>
              <w:ind w:left="0" w:right="0"/>
              <w:jc w:val="center"/>
              <w:rPr>
                <w:rFonts w:hint="default" w:ascii="宋体" w:hAnsi="宋体" w:eastAsia="宋体" w:cs="Calibri"/>
                <w:color w:val="auto"/>
                <w:sz w:val="24"/>
                <w:szCs w:val="24"/>
                <w:highlight w:val="none"/>
              </w:rPr>
            </w:pPr>
            <w:r>
              <w:rPr>
                <w:rFonts w:hint="eastAsia" w:ascii="宋体" w:hAnsi="宋体" w:eastAsia="宋体" w:cs="宋体"/>
                <w:color w:val="auto"/>
                <w:sz w:val="24"/>
                <w:szCs w:val="24"/>
                <w:highlight w:val="none"/>
              </w:rPr>
              <w:t>投标人代表签名</w:t>
            </w:r>
          </w:p>
        </w:tc>
      </w:tr>
      <w:tr>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0"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r>
      <w:tr>
        <w:tblPrEx>
          <w:tblCellMar>
            <w:top w:w="0" w:type="dxa"/>
            <w:left w:w="106" w:type="dxa"/>
            <w:bottom w:w="58" w:type="dxa"/>
            <w:right w:w="99" w:type="dxa"/>
          </w:tblCellMar>
        </w:tblPrEx>
        <w:trPr>
          <w:trHeight w:val="594" w:hRule="atLeast"/>
        </w:trPr>
        <w:tc>
          <w:tcPr>
            <w:tcW w:w="3027"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eastAsia" w:ascii="宋体" w:hAnsi="宋体" w:eastAsia="宋体" w:cs="宋体"/>
                <w:color w:val="auto"/>
                <w:sz w:val="24"/>
                <w:szCs w:val="24"/>
                <w:highlight w:val="none"/>
              </w:rPr>
              <w:t>最高投标限价：</w:t>
            </w:r>
            <w:r>
              <w:rPr>
                <w:rFonts w:hint="default" w:ascii="宋体" w:hAnsi="宋体" w:eastAsia="宋体" w:cs="Times New Roman"/>
                <w:color w:val="auto"/>
                <w:sz w:val="24"/>
                <w:szCs w:val="24"/>
                <w:highlight w:val="none"/>
              </w:rPr>
              <w:t xml:space="preserve"> </w:t>
            </w:r>
          </w:p>
        </w:tc>
        <w:tc>
          <w:tcPr>
            <w:tcW w:w="1130" w:type="dxa"/>
            <w:tcBorders>
              <w:top w:val="single" w:color="000000" w:sz="4" w:space="0"/>
              <w:left w:val="single" w:color="000000" w:sz="4" w:space="0"/>
              <w:bottom w:val="single" w:color="000000" w:sz="4" w:space="0"/>
              <w:right w:val="nil"/>
            </w:tcBorders>
            <w:noWrap w:val="0"/>
            <w:vAlign w:val="bottom"/>
          </w:tcPr>
          <w:p>
            <w:pPr>
              <w:keepNext w:val="0"/>
              <w:keepLines w:val="0"/>
              <w:widowControl/>
              <w:suppressLineNumbers w:val="0"/>
              <w:shd w:val="clear"/>
              <w:spacing w:before="0" w:beforeAutospacing="0" w:after="0" w:afterAutospacing="0"/>
              <w:ind w:left="2" w:right="0"/>
              <w:rPr>
                <w:rFonts w:hint="default" w:ascii="宋体" w:hAnsi="宋体" w:eastAsia="宋体" w:cs="Calibri"/>
                <w:color w:val="auto"/>
                <w:sz w:val="24"/>
                <w:szCs w:val="24"/>
                <w:highlight w:val="none"/>
              </w:rPr>
            </w:pPr>
            <w:r>
              <w:rPr>
                <w:rFonts w:hint="default" w:ascii="宋体" w:hAnsi="宋体" w:eastAsia="宋体" w:cs="Times New Roman"/>
                <w:color w:val="auto"/>
                <w:sz w:val="24"/>
                <w:szCs w:val="24"/>
                <w:highlight w:val="none"/>
              </w:rPr>
              <w:t xml:space="preserve"> </w:t>
            </w:r>
          </w:p>
        </w:tc>
        <w:tc>
          <w:tcPr>
            <w:tcW w:w="1290" w:type="dxa"/>
            <w:tcBorders>
              <w:top w:val="single" w:color="000000" w:sz="4" w:space="0"/>
              <w:left w:val="nil"/>
              <w:bottom w:val="single" w:color="000000" w:sz="4" w:space="0"/>
              <w:right w:val="nil"/>
            </w:tcBorders>
            <w:noWrap w:val="0"/>
            <w:vAlign w:val="top"/>
          </w:tcPr>
          <w:p>
            <w:pPr>
              <w:keepNext w:val="0"/>
              <w:keepLines w:val="0"/>
              <w:widowControl/>
              <w:suppressLineNumbers w:val="0"/>
              <w:shd w:val="clear"/>
              <w:spacing w:before="0" w:beforeAutospacing="0" w:afterAutospacing="0"/>
              <w:ind w:left="0" w:right="0"/>
              <w:rPr>
                <w:rFonts w:hint="default" w:ascii="宋体" w:hAnsi="宋体" w:eastAsia="宋体" w:cs="Calibri"/>
                <w:color w:val="auto"/>
                <w:sz w:val="24"/>
                <w:szCs w:val="24"/>
                <w:highlight w:val="none"/>
              </w:rPr>
            </w:pPr>
          </w:p>
        </w:tc>
        <w:tc>
          <w:tcPr>
            <w:tcW w:w="969" w:type="dxa"/>
            <w:tcBorders>
              <w:top w:val="single" w:color="000000" w:sz="4" w:space="0"/>
              <w:left w:val="nil"/>
              <w:bottom w:val="single" w:color="000000" w:sz="4" w:space="0"/>
              <w:right w:val="nil"/>
            </w:tcBorders>
            <w:noWrap w:val="0"/>
            <w:vAlign w:val="top"/>
          </w:tcPr>
          <w:p>
            <w:pPr>
              <w:keepNext w:val="0"/>
              <w:keepLines w:val="0"/>
              <w:widowControl/>
              <w:suppressLineNumbers w:val="0"/>
              <w:shd w:val="clear"/>
              <w:spacing w:before="0" w:beforeAutospacing="0" w:afterAutospacing="0"/>
              <w:ind w:left="0" w:right="0"/>
              <w:rPr>
                <w:rFonts w:hint="default" w:ascii="宋体" w:hAnsi="宋体" w:eastAsia="宋体" w:cs="Calibri"/>
                <w:color w:val="auto"/>
                <w:sz w:val="24"/>
                <w:szCs w:val="24"/>
                <w:highlight w:val="none"/>
              </w:rPr>
            </w:pPr>
          </w:p>
        </w:tc>
        <w:tc>
          <w:tcPr>
            <w:tcW w:w="1127" w:type="dxa"/>
            <w:tcBorders>
              <w:top w:val="single" w:color="000000" w:sz="4" w:space="0"/>
              <w:left w:val="nil"/>
              <w:bottom w:val="single" w:color="000000" w:sz="4" w:space="0"/>
              <w:right w:val="nil"/>
            </w:tcBorders>
            <w:noWrap w:val="0"/>
            <w:vAlign w:val="top"/>
          </w:tcPr>
          <w:p>
            <w:pPr>
              <w:keepNext w:val="0"/>
              <w:keepLines w:val="0"/>
              <w:widowControl/>
              <w:suppressLineNumbers w:val="0"/>
              <w:shd w:val="clear"/>
              <w:spacing w:before="0" w:beforeAutospacing="0" w:afterAutospacing="0"/>
              <w:ind w:left="0" w:right="0"/>
              <w:rPr>
                <w:rFonts w:hint="default" w:ascii="宋体" w:hAnsi="宋体" w:eastAsia="宋体" w:cs="Calibri"/>
                <w:color w:val="auto"/>
                <w:sz w:val="24"/>
                <w:szCs w:val="24"/>
                <w:highlight w:val="none"/>
              </w:rPr>
            </w:pPr>
          </w:p>
        </w:tc>
        <w:tc>
          <w:tcPr>
            <w:tcW w:w="808" w:type="dxa"/>
            <w:tcBorders>
              <w:top w:val="single" w:color="000000" w:sz="4" w:space="0"/>
              <w:left w:val="nil"/>
              <w:bottom w:val="single" w:color="000000" w:sz="4" w:space="0"/>
              <w:right w:val="nil"/>
            </w:tcBorders>
            <w:noWrap w:val="0"/>
            <w:vAlign w:val="top"/>
          </w:tcPr>
          <w:p>
            <w:pPr>
              <w:keepNext w:val="0"/>
              <w:keepLines w:val="0"/>
              <w:widowControl/>
              <w:suppressLineNumbers w:val="0"/>
              <w:shd w:val="clear"/>
              <w:spacing w:before="0" w:beforeAutospacing="0" w:afterAutospacing="0"/>
              <w:ind w:left="0" w:right="0"/>
              <w:rPr>
                <w:rFonts w:hint="default" w:ascii="宋体" w:hAnsi="宋体" w:eastAsia="宋体" w:cs="Calibri"/>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hd w:val="clear"/>
              <w:spacing w:before="0" w:beforeAutospacing="0" w:afterAutospacing="0"/>
              <w:ind w:left="0" w:right="0"/>
              <w:rPr>
                <w:rFonts w:hint="default" w:ascii="宋体" w:hAnsi="宋体" w:eastAsia="宋体" w:cs="Calibri"/>
                <w:color w:val="auto"/>
                <w:sz w:val="24"/>
                <w:szCs w:val="24"/>
                <w:highlight w:val="none"/>
              </w:rPr>
            </w:pPr>
          </w:p>
        </w:tc>
      </w:tr>
    </w:tbl>
    <w:p>
      <w:pPr>
        <w:shd w:val="clear"/>
        <w:spacing w:after="304"/>
        <w:rPr>
          <w:rFonts w:ascii="宋体" w:hAnsi="宋体" w:eastAsia="宋体"/>
          <w:color w:val="auto"/>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rPr>
        <w:t xml:space="preserve"> </w:t>
      </w:r>
    </w:p>
    <w:p>
      <w:pPr>
        <w:shd w:val="clear"/>
        <w:spacing w:after="328" w:line="265" w:lineRule="auto"/>
        <w:ind w:left="10"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招标人代表：</w:t>
      </w:r>
      <w:r>
        <w:rPr>
          <w:rFonts w:ascii="宋体" w:hAnsi="宋体" w:eastAsia="宋体"/>
          <w:color w:val="auto"/>
          <w:sz w:val="24"/>
          <w:szCs w:val="24"/>
          <w:highlight w:val="none"/>
          <w:u w:val="single" w:color="000000"/>
        </w:rPr>
        <w:t xml:space="preserve">       </w:t>
      </w:r>
      <w:r>
        <w:rPr>
          <w:rFonts w:ascii="宋体" w:hAnsi="宋体" w:eastAsia="宋体"/>
          <w:color w:val="auto"/>
          <w:sz w:val="24"/>
          <w:szCs w:val="24"/>
          <w:highlight w:val="none"/>
        </w:rPr>
        <w:t xml:space="preserve">        </w:t>
      </w:r>
      <w:r>
        <w:rPr>
          <w:rFonts w:hint="eastAsia" w:ascii="宋体" w:hAnsi="宋体" w:eastAsia="宋体" w:cs="宋体"/>
          <w:color w:val="auto"/>
          <w:sz w:val="24"/>
          <w:szCs w:val="24"/>
          <w:highlight w:val="none"/>
        </w:rPr>
        <w:t>记录人：</w:t>
      </w:r>
      <w:r>
        <w:rPr>
          <w:rFonts w:ascii="宋体" w:hAnsi="宋体" w:eastAsia="宋体"/>
          <w:color w:val="auto"/>
          <w:sz w:val="24"/>
          <w:szCs w:val="24"/>
          <w:highlight w:val="none"/>
          <w:u w:val="single" w:color="000000"/>
        </w:rPr>
        <w:t xml:space="preserve">       </w:t>
      </w:r>
      <w:r>
        <w:rPr>
          <w:rFonts w:ascii="宋体" w:hAnsi="宋体" w:eastAsia="宋体"/>
          <w:color w:val="auto"/>
          <w:sz w:val="24"/>
          <w:szCs w:val="24"/>
          <w:highlight w:val="none"/>
        </w:rPr>
        <w:t xml:space="preserve">       </w:t>
      </w:r>
      <w:r>
        <w:rPr>
          <w:rFonts w:hint="eastAsia" w:ascii="宋体" w:hAnsi="宋体" w:eastAsia="宋体" w:cs="宋体"/>
          <w:color w:val="auto"/>
          <w:sz w:val="24"/>
          <w:szCs w:val="24"/>
          <w:highlight w:val="none"/>
        </w:rPr>
        <w:t>监标人：</w:t>
      </w:r>
      <w:r>
        <w:rPr>
          <w:rFonts w:ascii="宋体" w:hAnsi="宋体" w:eastAsia="宋体"/>
          <w:color w:val="auto"/>
          <w:sz w:val="24"/>
          <w:szCs w:val="24"/>
          <w:highlight w:val="none"/>
          <w:u w:val="single" w:color="000000"/>
        </w:rPr>
        <w:t xml:space="preserve">       </w:t>
      </w:r>
      <w:r>
        <w:rPr>
          <w:rFonts w:ascii="宋体" w:hAnsi="宋体" w:eastAsia="宋体"/>
          <w:color w:val="auto"/>
          <w:sz w:val="24"/>
          <w:szCs w:val="24"/>
          <w:highlight w:val="none"/>
        </w:rPr>
        <w:t xml:space="preserve"> </w:t>
      </w:r>
    </w:p>
    <w:p>
      <w:pPr>
        <w:shd w:val="clear"/>
        <w:spacing w:after="182"/>
        <w:ind w:left="10" w:right="198" w:hanging="10"/>
        <w:jc w:val="right"/>
        <w:rPr>
          <w:rFonts w:ascii="宋体" w:hAnsi="宋体" w:eastAsia="宋体"/>
          <w:color w:val="auto"/>
          <w:sz w:val="24"/>
          <w:szCs w:val="24"/>
          <w:highlight w:val="none"/>
        </w:rPr>
      </w:pP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年</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月</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日</w:t>
      </w:r>
      <w:r>
        <w:rPr>
          <w:rFonts w:ascii="宋体" w:hAnsi="宋体" w:eastAsia="宋体"/>
          <w:color w:val="auto"/>
          <w:sz w:val="24"/>
          <w:szCs w:val="24"/>
          <w:highlight w:val="none"/>
        </w:rPr>
        <w:t xml:space="preserve"> </w:t>
      </w:r>
    </w:p>
    <w:p>
      <w:pPr>
        <w:shd w:val="clear"/>
        <w:spacing w:after="0"/>
        <w:rPr>
          <w:rFonts w:hint="eastAsia" w:ascii="宋体" w:hAnsi="宋体" w:eastAsia="宋体"/>
          <w:color w:val="auto"/>
          <w:sz w:val="21"/>
          <w:highlight w:val="none"/>
        </w:rPr>
      </w:pPr>
      <w:r>
        <w:rPr>
          <w:rFonts w:ascii="宋体" w:hAnsi="宋体" w:eastAsia="宋体"/>
          <w:color w:val="auto"/>
          <w:sz w:val="21"/>
          <w:highlight w:val="none"/>
        </w:rPr>
        <w:t xml:space="preserve"> </w:t>
      </w:r>
      <w:r>
        <w:rPr>
          <w:rFonts w:ascii="宋体" w:hAnsi="宋体" w:eastAsia="宋体"/>
          <w:color w:val="auto"/>
          <w:sz w:val="21"/>
          <w:highlight w:val="none"/>
        </w:rPr>
        <w:tab/>
      </w:r>
    </w:p>
    <w:p>
      <w:pPr>
        <w:shd w:val="clear"/>
        <w:spacing w:after="0"/>
        <w:rPr>
          <w:rFonts w:hint="eastAsia" w:ascii="宋体" w:hAnsi="宋体" w:eastAsia="宋体"/>
          <w:color w:val="auto"/>
          <w:sz w:val="21"/>
          <w:highlight w:val="none"/>
        </w:rPr>
      </w:pPr>
    </w:p>
    <w:p>
      <w:pPr>
        <w:shd w:val="clear"/>
        <w:spacing w:after="0"/>
        <w:rPr>
          <w:rFonts w:ascii="宋体" w:hAnsi="宋体" w:eastAsia="宋体"/>
          <w:color w:val="auto"/>
          <w:sz w:val="21"/>
          <w:highlight w:val="none"/>
        </w:rPr>
      </w:pPr>
    </w:p>
    <w:p>
      <w:pPr>
        <w:pStyle w:val="4"/>
        <w:shd w:val="clear"/>
        <w:spacing w:after="572"/>
        <w:ind w:left="132" w:right="0"/>
        <w:rPr>
          <w:rFonts w:ascii="宋体" w:hAnsi="宋体" w:eastAsia="宋体"/>
          <w:color w:val="auto"/>
          <w:highlight w:val="none"/>
        </w:rPr>
      </w:pPr>
      <w:bookmarkStart w:id="121" w:name="_Toc508788666"/>
      <w:bookmarkStart w:id="122" w:name="_Toc508382149"/>
      <w:r>
        <w:rPr>
          <w:rFonts w:hint="eastAsia" w:ascii="宋体" w:hAnsi="宋体" w:eastAsia="宋体"/>
          <w:color w:val="auto"/>
          <w:highlight w:val="none"/>
        </w:rPr>
        <w:t>附件二：问题澄清通知</w:t>
      </w:r>
      <w:bookmarkEnd w:id="121"/>
      <w:bookmarkEnd w:id="122"/>
      <w:r>
        <w:rPr>
          <w:rFonts w:ascii="宋体" w:hAnsi="宋体" w:eastAsia="宋体"/>
          <w:color w:val="auto"/>
          <w:highlight w:val="none"/>
        </w:rPr>
        <w:t xml:space="preserve"> </w:t>
      </w:r>
    </w:p>
    <w:p>
      <w:pPr>
        <w:shd w:val="clear"/>
        <w:spacing w:after="183"/>
        <w:ind w:right="161"/>
        <w:jc w:val="center"/>
        <w:rPr>
          <w:rFonts w:ascii="宋体" w:hAnsi="宋体" w:eastAsia="宋体"/>
          <w:color w:val="auto"/>
          <w:highlight w:val="none"/>
        </w:rPr>
      </w:pPr>
      <w:r>
        <w:rPr>
          <w:rFonts w:ascii="宋体" w:hAnsi="宋体" w:eastAsia="宋体"/>
          <w:color w:val="auto"/>
          <w:sz w:val="21"/>
          <w:highlight w:val="none"/>
        </w:rPr>
        <w:t xml:space="preserve"> </w:t>
      </w:r>
    </w:p>
    <w:p>
      <w:pPr>
        <w:pStyle w:val="6"/>
        <w:shd w:val="clear"/>
        <w:spacing w:after="84"/>
        <w:ind w:right="21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问题澄清通知</w:t>
      </w:r>
      <w:r>
        <w:rPr>
          <w:rFonts w:ascii="宋体" w:hAnsi="宋体" w:eastAsia="宋体"/>
          <w:color w:val="auto"/>
          <w:sz w:val="24"/>
          <w:szCs w:val="24"/>
          <w:highlight w:val="none"/>
        </w:rPr>
        <w:t xml:space="preserve"> </w:t>
      </w:r>
    </w:p>
    <w:p>
      <w:pPr>
        <w:shd w:val="clear"/>
        <w:spacing w:after="99"/>
        <w:ind w:left="221" w:right="430" w:hanging="10"/>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（编号：</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 xml:space="preserve"> </w:t>
      </w:r>
    </w:p>
    <w:p>
      <w:pPr>
        <w:shd w:val="clear"/>
        <w:spacing w:after="178"/>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147" w:line="265" w:lineRule="auto"/>
        <w:ind w:left="10" w:right="103" w:hanging="10"/>
        <w:rPr>
          <w:rFonts w:ascii="宋体" w:hAnsi="宋体" w:eastAsia="宋体"/>
          <w:color w:val="auto"/>
          <w:sz w:val="24"/>
          <w:szCs w:val="24"/>
          <w:highlight w:val="none"/>
        </w:rPr>
      </w:pP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（投标人名称）：</w:t>
      </w:r>
      <w:r>
        <w:rPr>
          <w:rFonts w:ascii="宋体" w:hAnsi="宋体" w:eastAsia="宋体"/>
          <w:color w:val="auto"/>
          <w:sz w:val="24"/>
          <w:szCs w:val="24"/>
          <w:highlight w:val="none"/>
        </w:rPr>
        <w:t xml:space="preserve"> </w:t>
      </w:r>
    </w:p>
    <w:p>
      <w:pPr>
        <w:shd w:val="clear"/>
        <w:spacing w:after="175"/>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17" w:line="389" w:lineRule="auto"/>
        <w:ind w:left="10" w:right="103" w:hanging="10"/>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评标委员会对你方的投标文件进行了仔细的审查，现需你方对下列问题以书面形式予以澄清、说明或补正：</w:t>
      </w:r>
      <w:r>
        <w:rPr>
          <w:rFonts w:ascii="宋体" w:hAnsi="宋体" w:eastAsia="宋体"/>
          <w:color w:val="auto"/>
          <w:sz w:val="24"/>
          <w:szCs w:val="24"/>
          <w:highlight w:val="none"/>
        </w:rPr>
        <w:t xml:space="preserve"> </w:t>
      </w:r>
    </w:p>
    <w:p>
      <w:pPr>
        <w:shd w:val="clear"/>
        <w:spacing w:after="156"/>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 </w:t>
      </w:r>
    </w:p>
    <w:p>
      <w:pPr>
        <w:shd w:val="clear"/>
        <w:spacing w:after="172" w:line="265" w:lineRule="auto"/>
        <w:ind w:left="10" w:hanging="10"/>
        <w:rPr>
          <w:rFonts w:ascii="宋体" w:hAnsi="宋体" w:eastAsia="宋体"/>
          <w:color w:val="auto"/>
          <w:sz w:val="24"/>
          <w:szCs w:val="24"/>
          <w:highlight w:val="none"/>
        </w:rPr>
      </w:pPr>
      <w:r>
        <w:rPr>
          <w:rFonts w:ascii="宋体" w:hAnsi="宋体" w:eastAsia="宋体"/>
          <w:color w:val="auto"/>
          <w:sz w:val="24"/>
          <w:szCs w:val="24"/>
          <w:highlight w:val="none"/>
        </w:rPr>
        <w:t xml:space="preserve">    1. </w:t>
      </w:r>
    </w:p>
    <w:p>
      <w:pPr>
        <w:shd w:val="clear"/>
        <w:spacing w:after="172" w:line="265" w:lineRule="auto"/>
        <w:ind w:left="10" w:hanging="10"/>
        <w:rPr>
          <w:rFonts w:ascii="宋体" w:hAnsi="宋体" w:eastAsia="宋体"/>
          <w:color w:val="auto"/>
          <w:sz w:val="24"/>
          <w:szCs w:val="24"/>
          <w:highlight w:val="none"/>
        </w:rPr>
      </w:pPr>
      <w:r>
        <w:rPr>
          <w:rFonts w:ascii="宋体" w:hAnsi="宋体" w:eastAsia="宋体"/>
          <w:color w:val="auto"/>
          <w:sz w:val="24"/>
          <w:szCs w:val="24"/>
          <w:highlight w:val="none"/>
        </w:rPr>
        <w:t xml:space="preserve">    2. </w:t>
      </w:r>
    </w:p>
    <w:p>
      <w:pPr>
        <w:shd w:val="clear"/>
        <w:spacing w:after="172" w:line="265" w:lineRule="auto"/>
        <w:ind w:left="10" w:hanging="10"/>
        <w:rPr>
          <w:rFonts w:ascii="宋体" w:hAnsi="宋体" w:eastAsia="宋体"/>
          <w:color w:val="auto"/>
          <w:sz w:val="24"/>
          <w:szCs w:val="24"/>
          <w:highlight w:val="none"/>
        </w:rPr>
      </w:pPr>
      <w:r>
        <w:rPr>
          <w:rFonts w:ascii="宋体" w:hAnsi="宋体" w:eastAsia="宋体"/>
          <w:color w:val="auto"/>
          <w:sz w:val="24"/>
          <w:szCs w:val="24"/>
          <w:highlight w:val="none"/>
        </w:rPr>
        <w:t xml:space="preserve">     ......    </w:t>
      </w:r>
    </w:p>
    <w:p>
      <w:pPr>
        <w:shd w:val="clear"/>
        <w:spacing w:after="0" w:line="398" w:lineRule="auto"/>
        <w:ind w:left="10" w:right="211" w:hanging="10"/>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s="宋体"/>
          <w:color w:val="auto"/>
          <w:sz w:val="24"/>
          <w:szCs w:val="24"/>
          <w:highlight w:val="none"/>
        </w:rPr>
        <w:t>请将上述问题的澄清、说明或补正于</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年</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月</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日</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时前递交至</w:t>
      </w:r>
      <w:r>
        <w:rPr>
          <w:rFonts w:ascii="宋体" w:hAnsi="宋体" w:eastAsia="宋体"/>
          <w:color w:val="auto"/>
          <w:sz w:val="24"/>
          <w:szCs w:val="24"/>
          <w:highlight w:val="none"/>
        </w:rPr>
        <w:t xml:space="preserve"> </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（详细地址）或传真至</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（传真号码）或通过下载招标文件的电子招标交易平台上传。采用传真方式的，应在</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年</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月</w:t>
      </w:r>
      <w:r>
        <w:rPr>
          <w:rFonts w:ascii="宋体" w:hAnsi="宋体" w:eastAsia="宋体"/>
          <w:color w:val="auto"/>
          <w:sz w:val="24"/>
          <w:szCs w:val="24"/>
          <w:highlight w:val="none"/>
        </w:rPr>
        <w:t xml:space="preserve"> </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日</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时前将原件递交至</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（详细地址）。</w:t>
      </w:r>
      <w:r>
        <w:rPr>
          <w:rFonts w:ascii="宋体" w:hAnsi="宋体" w:eastAsia="宋体"/>
          <w:color w:val="auto"/>
          <w:sz w:val="24"/>
          <w:szCs w:val="24"/>
          <w:highlight w:val="none"/>
        </w:rPr>
        <w:t xml:space="preserve"> </w:t>
      </w:r>
    </w:p>
    <w:p>
      <w:pPr>
        <w:shd w:val="clear"/>
        <w:spacing w:after="176"/>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235"/>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117"/>
        <w:ind w:left="10" w:right="449" w:hanging="10"/>
        <w:jc w:val="right"/>
        <w:rPr>
          <w:rFonts w:ascii="宋体" w:hAnsi="宋体" w:eastAsia="宋体"/>
          <w:color w:val="auto"/>
          <w:sz w:val="24"/>
          <w:szCs w:val="24"/>
          <w:highlight w:val="none"/>
        </w:rPr>
      </w:pPr>
      <w:r>
        <w:rPr>
          <w:rFonts w:hint="eastAsia" w:ascii="宋体" w:hAnsi="宋体" w:eastAsia="宋体" w:cs="宋体"/>
          <w:color w:val="auto"/>
          <w:sz w:val="24"/>
          <w:szCs w:val="24"/>
          <w:highlight w:val="none"/>
        </w:rPr>
        <w:t>评标委员会授权的招标人或招标代理机构：</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（签字或盖章）</w:t>
      </w:r>
      <w:r>
        <w:rPr>
          <w:rFonts w:ascii="宋体" w:hAnsi="宋体" w:eastAsia="宋体"/>
          <w:color w:val="auto"/>
          <w:sz w:val="24"/>
          <w:szCs w:val="24"/>
          <w:highlight w:val="none"/>
        </w:rPr>
        <w:t xml:space="preserve"> </w:t>
      </w:r>
    </w:p>
    <w:p>
      <w:pPr>
        <w:shd w:val="clear"/>
        <w:spacing w:after="176"/>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112"/>
        <w:ind w:left="10" w:right="1052" w:hanging="10"/>
        <w:jc w:val="right"/>
        <w:rPr>
          <w:rFonts w:hint="eastAsia" w:ascii="宋体" w:hAnsi="宋体" w:eastAsia="宋体"/>
          <w:color w:val="auto"/>
          <w:sz w:val="24"/>
          <w:szCs w:val="24"/>
          <w:highlight w:val="none"/>
        </w:rPr>
      </w:pP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年</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月</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日</w:t>
      </w:r>
      <w:r>
        <w:rPr>
          <w:rFonts w:ascii="宋体" w:hAnsi="宋体" w:eastAsia="宋体"/>
          <w:color w:val="auto"/>
          <w:sz w:val="24"/>
          <w:szCs w:val="24"/>
          <w:highlight w:val="none"/>
        </w:rPr>
        <w:t xml:space="preserve"> </w:t>
      </w:r>
    </w:p>
    <w:p>
      <w:pPr>
        <w:pStyle w:val="4"/>
        <w:shd w:val="clear"/>
        <w:spacing w:after="538"/>
        <w:ind w:left="132" w:right="0"/>
        <w:rPr>
          <w:rFonts w:ascii="宋体" w:hAnsi="宋体" w:eastAsia="宋体"/>
          <w:color w:val="auto"/>
          <w:highlight w:val="none"/>
        </w:rPr>
      </w:pPr>
      <w:bookmarkStart w:id="123" w:name="_Toc508788667"/>
      <w:bookmarkStart w:id="124" w:name="_Toc508382150"/>
      <w:r>
        <w:rPr>
          <w:rFonts w:ascii="宋体" w:hAnsi="宋体" w:eastAsia="宋体"/>
          <w:color w:val="auto"/>
          <w:highlight w:val="none"/>
        </w:rPr>
        <w:br w:type="page"/>
      </w:r>
      <w:r>
        <w:rPr>
          <w:rFonts w:hint="eastAsia" w:ascii="宋体" w:hAnsi="宋体" w:eastAsia="宋体"/>
          <w:color w:val="auto"/>
          <w:highlight w:val="none"/>
        </w:rPr>
        <w:t>附件三：问题的澄清</w:t>
      </w:r>
      <w:bookmarkEnd w:id="123"/>
      <w:bookmarkEnd w:id="124"/>
      <w:r>
        <w:rPr>
          <w:rFonts w:ascii="宋体" w:hAnsi="宋体" w:eastAsia="宋体"/>
          <w:color w:val="auto"/>
          <w:highlight w:val="none"/>
        </w:rPr>
        <w:t xml:space="preserve"> </w:t>
      </w:r>
    </w:p>
    <w:p>
      <w:pPr>
        <w:shd w:val="clear"/>
        <w:spacing w:after="58"/>
        <w:ind w:right="144"/>
        <w:jc w:val="center"/>
        <w:rPr>
          <w:rFonts w:ascii="宋体" w:hAnsi="宋体" w:eastAsia="宋体"/>
          <w:color w:val="auto"/>
          <w:highlight w:val="none"/>
        </w:rPr>
      </w:pPr>
      <w:r>
        <w:rPr>
          <w:rFonts w:ascii="宋体" w:hAnsi="宋体" w:eastAsia="宋体"/>
          <w:color w:val="auto"/>
          <w:sz w:val="28"/>
          <w:highlight w:val="none"/>
        </w:rPr>
        <w:t xml:space="preserve"> </w:t>
      </w:r>
    </w:p>
    <w:p>
      <w:pPr>
        <w:pStyle w:val="6"/>
        <w:shd w:val="clear"/>
        <w:spacing w:after="46"/>
        <w:ind w:right="214"/>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问题的澄清</w:t>
      </w:r>
      <w:r>
        <w:rPr>
          <w:rFonts w:ascii="宋体" w:hAnsi="宋体" w:eastAsia="宋体"/>
          <w:color w:val="auto"/>
          <w:sz w:val="24"/>
          <w:szCs w:val="24"/>
          <w:highlight w:val="none"/>
        </w:rPr>
        <w:t xml:space="preserve"> </w:t>
      </w:r>
    </w:p>
    <w:p>
      <w:pPr>
        <w:shd w:val="clear"/>
        <w:spacing w:after="62"/>
        <w:ind w:left="680" w:hanging="10"/>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（编号：</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 xml:space="preserve"> </w:t>
      </w:r>
    </w:p>
    <w:p>
      <w:pPr>
        <w:shd w:val="clear"/>
        <w:spacing w:after="177"/>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153" w:line="265" w:lineRule="auto"/>
        <w:ind w:left="10"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评标委员会：</w:t>
      </w:r>
      <w:r>
        <w:rPr>
          <w:rFonts w:ascii="宋体" w:hAnsi="宋体" w:eastAsia="宋体"/>
          <w:color w:val="auto"/>
          <w:sz w:val="24"/>
          <w:szCs w:val="24"/>
          <w:highlight w:val="none"/>
        </w:rPr>
        <w:t xml:space="preserve"> </w:t>
      </w:r>
    </w:p>
    <w:p>
      <w:pPr>
        <w:shd w:val="clear"/>
        <w:spacing w:after="236"/>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123" w:line="265" w:lineRule="auto"/>
        <w:ind w:left="10" w:right="103" w:hanging="10"/>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问题澄清通知（编号：</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）已收悉，现澄清、说明或补正如下：</w:t>
      </w:r>
      <w:r>
        <w:rPr>
          <w:rFonts w:ascii="宋体" w:hAnsi="宋体" w:eastAsia="宋体"/>
          <w:color w:val="auto"/>
          <w:sz w:val="24"/>
          <w:szCs w:val="24"/>
          <w:highlight w:val="none"/>
        </w:rPr>
        <w:t xml:space="preserve"> </w:t>
      </w:r>
    </w:p>
    <w:p>
      <w:pPr>
        <w:shd w:val="clear"/>
        <w:spacing w:after="140" w:line="265" w:lineRule="auto"/>
        <w:ind w:left="10" w:hanging="10"/>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     1. </w:t>
      </w:r>
    </w:p>
    <w:p>
      <w:pPr>
        <w:shd w:val="clear"/>
        <w:spacing w:after="2" w:line="386" w:lineRule="auto"/>
        <w:ind w:left="725" w:right="7645" w:hanging="724" w:hangingChars="302"/>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     2. </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    ... </w:t>
      </w:r>
    </w:p>
    <w:p>
      <w:pPr>
        <w:shd w:val="clear"/>
        <w:spacing w:after="179"/>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153"/>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 </w:t>
      </w:r>
    </w:p>
    <w:p>
      <w:pPr>
        <w:shd w:val="clear"/>
        <w:spacing w:after="177"/>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143" w:line="265" w:lineRule="auto"/>
        <w:ind w:left="417"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上述问题澄清、说明或补正，不改变我方投标文件的实质性内容，构成我方投标文件的组</w:t>
      </w:r>
    </w:p>
    <w:p>
      <w:pPr>
        <w:shd w:val="clear"/>
        <w:spacing w:after="152" w:line="265" w:lineRule="auto"/>
        <w:ind w:left="10" w:right="103" w:hanging="10"/>
        <w:rPr>
          <w:rFonts w:ascii="宋体" w:hAnsi="宋体" w:eastAsia="宋体"/>
          <w:color w:val="auto"/>
          <w:sz w:val="24"/>
          <w:szCs w:val="24"/>
          <w:highlight w:val="none"/>
        </w:rPr>
      </w:pPr>
      <w:r>
        <w:rPr>
          <w:rFonts w:hint="eastAsia" w:ascii="宋体" w:hAnsi="宋体" w:eastAsia="宋体" w:cs="宋体"/>
          <w:color w:val="auto"/>
          <w:sz w:val="24"/>
          <w:szCs w:val="24"/>
          <w:highlight w:val="none"/>
        </w:rPr>
        <w:t>成部分。</w:t>
      </w:r>
      <w:r>
        <w:rPr>
          <w:rFonts w:ascii="宋体" w:hAnsi="宋体" w:eastAsia="宋体"/>
          <w:color w:val="auto"/>
          <w:sz w:val="24"/>
          <w:szCs w:val="24"/>
          <w:highlight w:val="none"/>
        </w:rPr>
        <w:t xml:space="preserve"> </w:t>
      </w:r>
    </w:p>
    <w:p>
      <w:pPr>
        <w:shd w:val="clear"/>
        <w:spacing w:after="177"/>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74"/>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212" w:line="265" w:lineRule="auto"/>
        <w:ind w:left="10" w:right="103" w:hanging="10"/>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投标人：</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（盖单位章）</w:t>
      </w:r>
      <w:r>
        <w:rPr>
          <w:rFonts w:ascii="宋体" w:hAnsi="宋体" w:eastAsia="宋体"/>
          <w:color w:val="auto"/>
          <w:sz w:val="24"/>
          <w:szCs w:val="24"/>
          <w:highlight w:val="none"/>
        </w:rPr>
        <w:t xml:space="preserve"> </w:t>
      </w:r>
    </w:p>
    <w:p>
      <w:pPr>
        <w:shd w:val="clear"/>
        <w:spacing w:after="404" w:line="265" w:lineRule="auto"/>
        <w:ind w:left="2845"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s="宋体"/>
          <w:color w:val="auto"/>
          <w:sz w:val="24"/>
          <w:szCs w:val="24"/>
          <w:highlight w:val="none"/>
        </w:rPr>
        <w:t>法定代表人或其委托代理人：</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（签字）</w:t>
      </w:r>
      <w:r>
        <w:rPr>
          <w:rFonts w:ascii="宋体" w:hAnsi="宋体" w:eastAsia="宋体"/>
          <w:color w:val="auto"/>
          <w:sz w:val="24"/>
          <w:szCs w:val="24"/>
          <w:highlight w:val="none"/>
        </w:rPr>
        <w:t xml:space="preserve"> </w:t>
      </w:r>
    </w:p>
    <w:p>
      <w:pPr>
        <w:shd w:val="clear"/>
        <w:spacing w:after="162"/>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 </w:t>
      </w:r>
    </w:p>
    <w:p>
      <w:pPr>
        <w:shd w:val="clear"/>
        <w:spacing w:after="121"/>
        <w:ind w:left="10" w:right="198" w:hanging="10"/>
        <w:jc w:val="right"/>
        <w:rPr>
          <w:rFonts w:ascii="宋体" w:hAnsi="宋体" w:eastAsia="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年</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月</w:t>
      </w:r>
      <w:r>
        <w:rPr>
          <w:rFonts w:ascii="宋体" w:hAnsi="宋体" w:eastAsia="宋体"/>
          <w:color w:val="auto"/>
          <w:sz w:val="24"/>
          <w:szCs w:val="24"/>
          <w:highlight w:val="none"/>
          <w:u w:val="single" w:color="000000"/>
        </w:rPr>
        <w:t xml:space="preserve">        </w:t>
      </w:r>
      <w:r>
        <w:rPr>
          <w:rFonts w:hint="eastAsia" w:ascii="宋体" w:hAnsi="宋体" w:eastAsia="宋体" w:cs="宋体"/>
          <w:color w:val="auto"/>
          <w:sz w:val="24"/>
          <w:szCs w:val="24"/>
          <w:highlight w:val="none"/>
        </w:rPr>
        <w:t>日</w:t>
      </w:r>
      <w:r>
        <w:rPr>
          <w:rFonts w:ascii="宋体" w:hAnsi="宋体" w:eastAsia="宋体"/>
          <w:color w:val="auto"/>
          <w:sz w:val="24"/>
          <w:szCs w:val="24"/>
          <w:highlight w:val="none"/>
        </w:rPr>
        <w:t xml:space="preserve"> </w:t>
      </w:r>
    </w:p>
    <w:p>
      <w:pPr>
        <w:shd w:val="clear"/>
        <w:spacing w:after="134"/>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pPr>
        <w:shd w:val="clear"/>
        <w:spacing w:after="0"/>
        <w:rPr>
          <w:rFonts w:hint="eastAsia" w:ascii="宋体" w:hAnsi="宋体" w:eastAsia="宋体" w:cs="宋体"/>
          <w:color w:val="auto"/>
          <w:sz w:val="44"/>
          <w:highlight w:val="none"/>
        </w:rPr>
      </w:pPr>
      <w:r>
        <w:rPr>
          <w:rFonts w:ascii="宋体" w:hAnsi="宋体" w:eastAsia="宋体"/>
          <w:color w:val="auto"/>
          <w:sz w:val="24"/>
          <w:szCs w:val="24"/>
          <w:highlight w:val="none"/>
        </w:rPr>
        <w:br w:type="page"/>
      </w:r>
      <w:bookmarkStart w:id="125" w:name="_Toc508788671"/>
      <w:bookmarkStart w:id="126" w:name="_Toc508382154"/>
    </w:p>
    <w:p>
      <w:pPr>
        <w:shd w:val="clear"/>
        <w:spacing w:after="0"/>
        <w:jc w:val="center"/>
        <w:rPr>
          <w:rFonts w:ascii="宋体" w:hAnsi="宋体" w:eastAsia="宋体"/>
          <w:color w:val="auto"/>
          <w:highlight w:val="none"/>
        </w:rPr>
      </w:pPr>
      <w:r>
        <w:rPr>
          <w:rFonts w:hint="eastAsia" w:ascii="宋体" w:hAnsi="宋体" w:eastAsia="宋体" w:cs="宋体"/>
          <w:color w:val="auto"/>
          <w:sz w:val="44"/>
          <w:highlight w:val="none"/>
        </w:rPr>
        <w:t>第三章</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评标办法（综合评估法）</w:t>
      </w:r>
      <w:bookmarkEnd w:id="125"/>
      <w:bookmarkEnd w:id="126"/>
    </w:p>
    <w:p>
      <w:pPr>
        <w:pStyle w:val="2"/>
        <w:shd w:val="clear"/>
        <w:spacing w:after="240" w:afterLines="100" w:line="240" w:lineRule="auto"/>
        <w:ind w:left="0" w:right="0" w:firstLine="0"/>
        <w:jc w:val="center"/>
        <w:rPr>
          <w:rFonts w:hint="eastAsia" w:eastAsia="宋体"/>
          <w:b/>
          <w:bCs/>
          <w:color w:val="auto"/>
          <w:highlight w:val="none"/>
        </w:rPr>
      </w:pPr>
      <w:bookmarkStart w:id="127" w:name="_Toc508382155"/>
      <w:bookmarkStart w:id="128" w:name="_Toc508788672"/>
      <w:r>
        <w:rPr>
          <w:rFonts w:hint="eastAsia" w:ascii="宋体" w:hAnsi="宋体" w:eastAsia="宋体"/>
          <w:b/>
          <w:bCs/>
          <w:color w:val="auto"/>
          <w:sz w:val="32"/>
          <w:highlight w:val="none"/>
        </w:rPr>
        <w:t>评标办法前附表</w:t>
      </w:r>
      <w:bookmarkEnd w:id="127"/>
      <w:bookmarkEnd w:id="128"/>
    </w:p>
    <w:tbl>
      <w:tblPr>
        <w:tblStyle w:val="35"/>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982"/>
        <w:gridCol w:w="1728"/>
        <w:gridCol w:w="5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866" w:type="dxa"/>
            <w:gridSpan w:val="2"/>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884"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82"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中标候选人排序方法</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firstLine="480" w:firstLineChars="200"/>
              <w:jc w:val="both"/>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本次评标采用综合评估法。评标委员会对满足招标文件实质性要求的投标文件，按照本章第2.2款规定的评分标准进行打分，并按得分由高到低顺序推荐第一、二、三名中标候选人。</w:t>
            </w:r>
          </w:p>
          <w:p>
            <w:pPr>
              <w:keepNext w:val="0"/>
              <w:keepLines w:val="0"/>
              <w:widowControl/>
              <w:suppressLineNumbers w:val="0"/>
              <w:shd w:val="clear"/>
              <w:spacing w:before="0" w:beforeAutospacing="0" w:after="0" w:afterAutospacing="0" w:line="240" w:lineRule="auto"/>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综合评分相等的，以</w:t>
            </w:r>
            <w:r>
              <w:rPr>
                <w:rFonts w:hint="eastAsia" w:ascii="宋体" w:hAnsi="宋体" w:eastAsia="宋体" w:cs="宋体"/>
                <w:color w:val="auto"/>
                <w:sz w:val="24"/>
                <w:szCs w:val="24"/>
                <w:highlight w:val="none"/>
                <w:lang w:eastAsia="zh-CN"/>
              </w:rPr>
              <w:t>资信业绩</w:t>
            </w:r>
            <w:r>
              <w:rPr>
                <w:rFonts w:hint="eastAsia" w:ascii="宋体" w:hAnsi="宋体" w:eastAsia="宋体" w:cs="宋体"/>
                <w:color w:val="auto"/>
                <w:sz w:val="24"/>
                <w:szCs w:val="24"/>
                <w:highlight w:val="none"/>
              </w:rPr>
              <w:t>部分得分高的优先；</w:t>
            </w:r>
            <w:r>
              <w:rPr>
                <w:rFonts w:hint="eastAsia" w:ascii="宋体" w:hAnsi="宋体" w:eastAsia="宋体" w:cs="宋体"/>
                <w:color w:val="auto"/>
                <w:sz w:val="24"/>
                <w:szCs w:val="24"/>
                <w:highlight w:val="none"/>
                <w:lang w:eastAsia="zh-CN"/>
              </w:rPr>
              <w:t>资信业绩</w:t>
            </w:r>
            <w:r>
              <w:rPr>
                <w:rFonts w:hint="eastAsia" w:ascii="宋体" w:hAnsi="宋体" w:eastAsia="宋体" w:cs="宋体"/>
                <w:color w:val="auto"/>
                <w:sz w:val="24"/>
                <w:szCs w:val="24"/>
                <w:highlight w:val="none"/>
              </w:rPr>
              <w:t>部分得分也相等的，以技术部分得分高的优先；如果技术部分得分也相等，则由评委以记名投票方式进行表决，确定相等得分的中标候选人的排序。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84" w:type="dxa"/>
            <w:vMerge w:val="restart"/>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982" w:type="dxa"/>
            <w:vMerge w:val="restart"/>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jc w:val="both"/>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jc w:val="center"/>
              <w:outlineLvl w:val="2"/>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投标书及投标书附录签字盖章</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有法定代表人或其委托代理人签字（或盖章），并加盖单位公章。由法定代表人签字（或盖章）的，应附法定代表人证明书，由代理人签字（或盖章）的，应附法定代表人证明书及授权委托书。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jc w:val="center"/>
              <w:outlineLvl w:val="2"/>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符合第六章“投标文件格式（附录1、2、4）”的规定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投标人机器码</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投标人与</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其他投标人加密打包投标文件电脑特征码不一致（以广州公共资源交易中心评标系统的检索信息为准）。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884" w:type="dxa"/>
            <w:vMerge w:val="restart"/>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2.1.2</w:t>
            </w:r>
          </w:p>
        </w:tc>
        <w:tc>
          <w:tcPr>
            <w:tcW w:w="982" w:type="dxa"/>
            <w:vMerge w:val="restart"/>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营业执照或</w:t>
            </w:r>
            <w:r>
              <w:rPr>
                <w:rFonts w:hint="eastAsia" w:ascii="宋体" w:hAnsi="宋体" w:cs="Times New Roman"/>
                <w:color w:val="auto"/>
                <w:sz w:val="24"/>
                <w:szCs w:val="24"/>
                <w:highlight w:val="none"/>
              </w:rPr>
              <w:t>事业单位法人证</w:t>
            </w:r>
            <w:r>
              <w:rPr>
                <w:rFonts w:hint="eastAsia" w:ascii="宋体" w:hAnsi="宋体" w:eastAsia="宋体" w:cs="Times New Roman"/>
                <w:color w:val="auto"/>
                <w:sz w:val="24"/>
                <w:szCs w:val="24"/>
                <w:highlight w:val="none"/>
              </w:rPr>
              <w:t>书</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884"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982"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884"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982"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信誉要求</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884"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982"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9" w:hRule="atLeast"/>
          <w:jc w:val="center"/>
        </w:trPr>
        <w:tc>
          <w:tcPr>
            <w:tcW w:w="884"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982"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jc w:val="both"/>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（1）投标人参加投标的意思表达清楚，投标人代表被授权有效。</w:t>
            </w:r>
          </w:p>
          <w:p>
            <w:pPr>
              <w:keepNext w:val="0"/>
              <w:keepLines w:val="0"/>
              <w:widowControl/>
              <w:suppressLineNumbers w:val="0"/>
              <w:shd w:val="clear"/>
              <w:spacing w:before="0" w:beforeAutospacing="0" w:after="0" w:afterAutospacing="0" w:line="24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（2）投标人与招标人过去3年内无合同履约纠纷，没有招标文件第二章“投标人须知”第1.4.3条规定的不得参加投标的情形。（以《投标人声明》为评审依据）。</w:t>
            </w:r>
          </w:p>
          <w:p>
            <w:pPr>
              <w:keepNext w:val="0"/>
              <w:keepLines w:val="0"/>
              <w:widowControl/>
              <w:suppressLineNumbers w:val="0"/>
              <w:shd w:val="clear"/>
              <w:tabs>
                <w:tab w:val="left" w:pos="2967"/>
              </w:tabs>
              <w:spacing w:before="0" w:beforeAutospacing="0" w:after="0" w:afterAutospacing="0" w:line="240" w:lineRule="auto"/>
              <w:ind w:left="0" w:right="0"/>
              <w:jc w:val="both"/>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（3）投标人已在广州市住房和城乡建设局建立企业信用档案，拟担任本工程项目负责人须是本企业诚信档案中的在册人员。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884"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982" w:type="dxa"/>
            <w:vMerge w:val="continue"/>
            <w:noWrap w:val="0"/>
            <w:vAlign w:val="center"/>
          </w:tcPr>
          <w:p>
            <w:pPr>
              <w:keepNext/>
              <w:keepLines/>
              <w:widowControl/>
              <w:suppressLineNumbers w:val="0"/>
              <w:shd w:val="clear"/>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关于</w:t>
            </w:r>
            <w:r>
              <w:rPr>
                <w:rFonts w:hint="eastAsia" w:ascii="宋体" w:hAnsi="宋体" w:eastAsia="宋体" w:cs="宋体"/>
                <w:color w:val="auto"/>
                <w:sz w:val="24"/>
                <w:szCs w:val="24"/>
                <w:highlight w:val="none"/>
              </w:rPr>
              <w:t>联合体</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投标人不是联合体。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884" w:type="dxa"/>
            <w:vMerge w:val="restart"/>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982" w:type="dxa"/>
            <w:vMerge w:val="restart"/>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w:t>
            </w: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投标文件所列投标人名称、项目负责人与投标登记时一致。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符合第二章“投标人须知”第3.2款规定</w:t>
            </w:r>
            <w:r>
              <w:rPr>
                <w:rFonts w:hint="eastAsia" w:ascii="宋体" w:hAnsi="宋体" w:eastAsia="宋体" w:cs="宋体"/>
                <w:color w:val="auto"/>
                <w:sz w:val="24"/>
                <w:szCs w:val="24"/>
                <w:highlight w:val="none"/>
                <w:u w:val="single"/>
              </w:rPr>
              <w:t>进行投标报价，投标总价不得超过最高投标限价且投标单价不得超过综合单价限价（综合单价限价见附录4超前钻勘察技术服务费计算表）。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符合第二章“投标人须知前附表”第1.3.1项规定（以投标书附录进行评审）。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服务工期</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符合第二章“投标人须知前附表”第1.3.2项规定（以投标书附录进行评审）。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符合第二章“投标人须知前附表”第1.3.3项规定（以投标书附录进行评审）。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符合第二章“投标人须知前附表”第3.3.1项规定（以投标书附录进行评审）。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884"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Calibri" w:hAnsi="Calibri" w:cs="Times New Roman"/>
                <w:color w:val="auto"/>
                <w:sz w:val="24"/>
                <w:szCs w:val="24"/>
                <w:highlight w:val="none"/>
              </w:rPr>
              <w:t>串通投标情形</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66" w:type="dxa"/>
            <w:gridSpan w:val="2"/>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866" w:type="dxa"/>
            <w:gridSpan w:val="2"/>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资信业绩</w:t>
            </w:r>
            <w:r>
              <w:rPr>
                <w:rFonts w:hint="eastAsia" w:ascii="宋体" w:hAnsi="宋体" w:eastAsia="宋体" w:cs="宋体"/>
                <w:color w:val="auto"/>
                <w:sz w:val="24"/>
                <w:szCs w:val="24"/>
                <w:highlight w:val="none"/>
              </w:rPr>
              <w:t>部分：50分</w:t>
            </w:r>
          </w:p>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技术方案部分：</w:t>
            </w:r>
            <w:r>
              <w:rPr>
                <w:rFonts w:hint="default" w:ascii="宋体" w:hAnsi="宋体" w:eastAsia="宋体" w:cs="宋体"/>
                <w:color w:val="auto"/>
                <w:sz w:val="24"/>
                <w:szCs w:val="24"/>
                <w:highlight w:val="none"/>
              </w:rPr>
              <w:t>3</w:t>
            </w:r>
            <w:r>
              <w:rPr>
                <w:rFonts w:hint="eastAsia" w:ascii="宋体" w:hAnsi="宋体" w:eastAsia="宋体" w:cs="宋体"/>
                <w:color w:val="auto"/>
                <w:sz w:val="24"/>
                <w:szCs w:val="24"/>
                <w:highlight w:val="none"/>
              </w:rPr>
              <w:t>0分</w:t>
            </w:r>
          </w:p>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default" w:ascii="宋体" w:hAnsi="宋体" w:eastAsia="宋体" w:cs="宋体"/>
                <w:color w:val="auto"/>
                <w:sz w:val="24"/>
                <w:szCs w:val="24"/>
                <w:highlight w:val="none"/>
              </w:rPr>
              <w:t>2</w:t>
            </w:r>
            <w:r>
              <w:rPr>
                <w:rFonts w:hint="eastAsia" w:ascii="宋体" w:hAnsi="宋体" w:eastAsia="宋体" w:cs="宋体"/>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866" w:type="dxa"/>
            <w:gridSpan w:val="2"/>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以通过初步评审并经算术校核的有效投标报价中，若位于[最高投标限价×</w:t>
            </w:r>
            <w:r>
              <w:rPr>
                <w:rFonts w:hint="eastAsia" w:ascii="宋体" w:hAnsi="宋体" w:eastAsia="宋体" w:cs="Times New Roman"/>
                <w:color w:val="auto"/>
                <w:sz w:val="24"/>
                <w:szCs w:val="24"/>
                <w:highlight w:val="none"/>
                <w:lang w:eastAsia="zh-CN"/>
              </w:rPr>
              <w:t>90%</w:t>
            </w:r>
            <w:r>
              <w:rPr>
                <w:rFonts w:hint="eastAsia" w:ascii="宋体" w:hAnsi="宋体" w:eastAsia="宋体" w:cs="Times New Roman"/>
                <w:color w:val="auto"/>
                <w:sz w:val="24"/>
                <w:szCs w:val="24"/>
                <w:highlight w:val="none"/>
              </w:rPr>
              <w:t>，最高投标限价]区间的有效投标报价大于5个，去掉</w:t>
            </w:r>
            <w:r>
              <w:rPr>
                <w:rFonts w:hint="eastAsia" w:ascii="宋体" w:hAnsi="宋体" w:eastAsia="宋体" w:cs="Times New Roman"/>
                <w:color w:val="auto"/>
                <w:sz w:val="24"/>
                <w:szCs w:val="24"/>
                <w:highlight w:val="none"/>
                <w:lang w:val="en-US" w:eastAsia="zh-CN"/>
              </w:rPr>
              <w:t>该</w:t>
            </w:r>
            <w:r>
              <w:rPr>
                <w:rFonts w:hint="eastAsia" w:ascii="宋体" w:hAnsi="宋体" w:eastAsia="宋体" w:cs="Times New Roman"/>
                <w:color w:val="auto"/>
                <w:sz w:val="24"/>
                <w:szCs w:val="24"/>
                <w:highlight w:val="none"/>
              </w:rPr>
              <w:t>区间中一个最高价和一个最低价后，取该区间中剩余报价的算术平均值为评标基准价。以通过初步评审并经算术校核的有效投标报价中，若位于[最高投标限价×</w:t>
            </w:r>
            <w:r>
              <w:rPr>
                <w:rFonts w:hint="eastAsia" w:ascii="宋体" w:hAnsi="宋体" w:eastAsia="宋体" w:cs="Times New Roman"/>
                <w:color w:val="auto"/>
                <w:sz w:val="24"/>
                <w:szCs w:val="24"/>
                <w:highlight w:val="none"/>
                <w:lang w:eastAsia="zh-CN"/>
              </w:rPr>
              <w:t>90%</w:t>
            </w:r>
            <w:r>
              <w:rPr>
                <w:rFonts w:hint="eastAsia" w:ascii="宋体" w:hAnsi="宋体" w:eastAsia="宋体" w:cs="Times New Roman"/>
                <w:color w:val="auto"/>
                <w:sz w:val="24"/>
                <w:szCs w:val="24"/>
                <w:highlight w:val="none"/>
              </w:rPr>
              <w:t>，最高投标限价]区间的有效投标报价少于或等于5个，直接取该区间中的报价的算术平均值为评标基准价。以通过初步评审并经算术校核的有效投标报价中，若没有有效投标报价位于[最高投标限价×</w:t>
            </w:r>
            <w:r>
              <w:rPr>
                <w:rFonts w:hint="eastAsia" w:ascii="宋体" w:hAnsi="宋体" w:eastAsia="宋体" w:cs="Times New Roman"/>
                <w:color w:val="auto"/>
                <w:sz w:val="24"/>
                <w:szCs w:val="24"/>
                <w:highlight w:val="none"/>
                <w:lang w:eastAsia="zh-CN"/>
              </w:rPr>
              <w:t>90%</w:t>
            </w:r>
            <w:r>
              <w:rPr>
                <w:rFonts w:hint="eastAsia" w:ascii="宋体" w:hAnsi="宋体" w:eastAsia="宋体" w:cs="Times New Roman"/>
                <w:color w:val="auto"/>
                <w:sz w:val="24"/>
                <w:szCs w:val="24"/>
                <w:highlight w:val="none"/>
              </w:rPr>
              <w:t>，最高投标限价]区间，直接取最高投标限价×</w:t>
            </w:r>
            <w:r>
              <w:rPr>
                <w:rFonts w:hint="eastAsia" w:ascii="宋体" w:hAnsi="宋体" w:eastAsia="宋体" w:cs="Times New Roman"/>
                <w:color w:val="auto"/>
                <w:sz w:val="24"/>
                <w:szCs w:val="24"/>
                <w:highlight w:val="none"/>
                <w:lang w:eastAsia="zh-CN"/>
              </w:rPr>
              <w:t>90%</w:t>
            </w:r>
            <w:r>
              <w:rPr>
                <w:rFonts w:hint="eastAsia" w:ascii="宋体" w:hAnsi="宋体" w:eastAsia="宋体" w:cs="Times New Roman"/>
                <w:color w:val="auto"/>
                <w:sz w:val="24"/>
                <w:szCs w:val="24"/>
                <w:highlight w:val="none"/>
              </w:rPr>
              <w:t>作为评价基准价。评标基准价保留到小数点后两位，第三位四舍五入。超过此范围的报价不参与评标基准价的计算</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866" w:type="dxa"/>
            <w:gridSpan w:val="2"/>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728"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w:t>
            </w:r>
          </w:p>
        </w:tc>
        <w:tc>
          <w:tcPr>
            <w:tcW w:w="5802" w:type="dxa"/>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偏差率= ∣投标报价—评标基准价∣/评标基准价*100% ，</w:t>
            </w:r>
          </w:p>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（偏差率四舍五入保留2位小数，报价偏差率不足1%的，按直线内插法计算投标报价得分）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866" w:type="dxa"/>
            <w:gridSpan w:val="2"/>
            <w:tcBorders>
              <w:top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（偏差率）</w:t>
            </w:r>
          </w:p>
        </w:tc>
        <w:tc>
          <w:tcPr>
            <w:tcW w:w="5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4" w:hRule="atLeast"/>
          <w:jc w:val="center"/>
        </w:trPr>
        <w:tc>
          <w:tcPr>
            <w:tcW w:w="884" w:type="dxa"/>
            <w:vMerge w:val="restart"/>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2.2.4（1）</w:t>
            </w:r>
          </w:p>
        </w:tc>
        <w:tc>
          <w:tcPr>
            <w:tcW w:w="982" w:type="dxa"/>
            <w:vMerge w:val="restart"/>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资信业绩</w:t>
            </w:r>
            <w:r>
              <w:rPr>
                <w:rFonts w:hint="eastAsia" w:ascii="宋体" w:hAnsi="宋体" w:eastAsia="宋体" w:cs="宋体"/>
                <w:color w:val="auto"/>
                <w:sz w:val="24"/>
                <w:szCs w:val="24"/>
                <w:highlight w:val="none"/>
              </w:rPr>
              <w:t>评分标准（5</w:t>
            </w:r>
            <w:r>
              <w:rPr>
                <w:rFonts w:hint="default" w:ascii="宋体" w:hAnsi="宋体" w:eastAsia="宋体" w:cs="宋体"/>
                <w:color w:val="auto"/>
                <w:sz w:val="24"/>
                <w:szCs w:val="24"/>
                <w:highlight w:val="none"/>
              </w:rPr>
              <w:t>0</w:t>
            </w:r>
            <w:r>
              <w:rPr>
                <w:rFonts w:hint="eastAsia" w:ascii="宋体" w:hAnsi="宋体" w:eastAsia="宋体" w:cs="宋体"/>
                <w:color w:val="auto"/>
                <w:sz w:val="24"/>
                <w:szCs w:val="24"/>
                <w:highlight w:val="none"/>
              </w:rPr>
              <w:t>分</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360" w:lineRule="auto"/>
              <w:ind w:left="0" w:leftChars="0" w:right="0" w:rightChars="0" w:firstLine="0" w:firstLineChars="0"/>
              <w:jc w:val="center"/>
              <w:rPr>
                <w:rFonts w:hint="default"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zh-CN"/>
              </w:rPr>
              <w:t>业绩</w:t>
            </w:r>
          </w:p>
          <w:p>
            <w:pPr>
              <w:keepNext w:val="0"/>
              <w:keepLines w:val="0"/>
              <w:widowControl/>
              <w:suppressLineNumbers w:val="0"/>
              <w:shd w:val="clear"/>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4分</w:t>
            </w:r>
            <w:r>
              <w:rPr>
                <w:rFonts w:hint="eastAsia" w:ascii="宋体" w:hAnsi="宋体" w:eastAsia="宋体" w:cs="宋体"/>
                <w:color w:val="auto"/>
                <w:sz w:val="24"/>
                <w:szCs w:val="24"/>
                <w:highlight w:val="none"/>
                <w:lang w:val="zh-CN"/>
              </w:rPr>
              <w:t>）</w:t>
            </w:r>
          </w:p>
        </w:tc>
        <w:tc>
          <w:tcPr>
            <w:tcW w:w="5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投标人自2019年1月1日至投标截止时间，承接过合同金额大于或等于200万元的类似超前钻项目，每提供一个得2分，本项最高得4分。</w:t>
            </w:r>
          </w:p>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时间以合同签订时间为准。需提供合同关键页扫描件。若投标人提供的业绩为联合体业绩，若合同中未明确其承担工作内容，则需提供相应联合体协议书，无法界定工作内容的，则业绩不予认可。不符合上述要求或不提供资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4"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982"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pStyle w:val="87"/>
              <w:keepNext w:val="0"/>
              <w:keepLines w:val="0"/>
              <w:suppressLineNumbers w:val="0"/>
              <w:shd w:val="clear"/>
              <w:spacing w:before="0" w:beforeAutospacing="0" w:afterAutospacing="0" w:line="360" w:lineRule="auto"/>
              <w:ind w:left="0" w:leftChars="0" w:right="0" w:rightChars="0" w:firstLine="0" w:firstLineChars="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企业信誉</w:t>
            </w:r>
          </w:p>
          <w:p>
            <w:pPr>
              <w:pStyle w:val="87"/>
              <w:keepNext w:val="0"/>
              <w:keepLines w:val="0"/>
              <w:suppressLineNumbers w:val="0"/>
              <w:shd w:val="clear"/>
              <w:spacing w:before="0" w:beforeAutospacing="0" w:afterAutospacing="0" w:line="360" w:lineRule="auto"/>
              <w:ind w:left="0" w:leftChars="0" w:right="0" w:rightChars="0"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10</w:t>
            </w:r>
            <w:r>
              <w:rPr>
                <w:rFonts w:hint="eastAsia" w:ascii="宋体" w:hAnsi="宋体" w:cs="宋体"/>
                <w:color w:val="auto"/>
                <w:sz w:val="24"/>
                <w:szCs w:val="24"/>
                <w:highlight w:val="none"/>
              </w:rPr>
              <w:t>分）</w:t>
            </w:r>
          </w:p>
        </w:tc>
        <w:tc>
          <w:tcPr>
            <w:tcW w:w="5802" w:type="dxa"/>
            <w:tcBorders>
              <w:top w:val="single" w:color="auto" w:sz="4" w:space="0"/>
              <w:left w:val="single" w:color="auto" w:sz="4" w:space="0"/>
              <w:bottom w:val="single" w:color="auto" w:sz="4" w:space="0"/>
              <w:right w:val="single" w:color="auto" w:sz="4" w:space="0"/>
            </w:tcBorders>
            <w:noWrap w:val="0"/>
            <w:vAlign w:val="center"/>
          </w:tcPr>
          <w:p>
            <w:pPr>
              <w:pStyle w:val="72"/>
              <w:keepNext w:val="0"/>
              <w:keepLines w:val="0"/>
              <w:suppressLineNumbers w:val="0"/>
              <w:shd w:val="clear"/>
              <w:spacing w:before="0" w:beforeAutospacing="0" w:afterAutospacing="0"/>
              <w:ind w:left="0" w:right="0" w:firstLine="0" w:firstLine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1、投标人获得有效期内的质量管理体系、环境管理体系、职业健康安全管理体系认证证书，每提供一个得1分，最高得3分。</w:t>
            </w:r>
          </w:p>
          <w:p>
            <w:pPr>
              <w:pStyle w:val="72"/>
              <w:keepNext w:val="0"/>
              <w:keepLines w:val="0"/>
              <w:suppressLineNumbers w:val="0"/>
              <w:shd w:val="clear"/>
              <w:spacing w:before="0" w:beforeAutospacing="0" w:afterAutospacing="0"/>
              <w:ind w:left="0" w:right="0" w:firstLine="0" w:firstLine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2、投标人获得有效期内的工程勘察设计行业质量管理体系升级版认证证书AAA级得2分，AAA＋级得4分。</w:t>
            </w:r>
          </w:p>
          <w:p>
            <w:pPr>
              <w:pStyle w:val="72"/>
              <w:keepNext w:val="0"/>
              <w:keepLines w:val="0"/>
              <w:suppressLineNumbers w:val="0"/>
              <w:shd w:val="clear"/>
              <w:spacing w:before="0" w:beforeAutospacing="0" w:afterAutospacing="0"/>
              <w:ind w:left="0" w:right="0" w:firstLine="0" w:firstLine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3、投标人获得有效期内的高新技术企业证书的，得</w:t>
            </w:r>
            <w:r>
              <w:rPr>
                <w:rFonts w:hint="default" w:ascii="宋体" w:hAnsi="宋体" w:cs="宋体"/>
                <w:bCs/>
                <w:color w:val="auto"/>
                <w:sz w:val="24"/>
                <w:szCs w:val="24"/>
                <w:highlight w:val="none"/>
              </w:rPr>
              <w:t>3</w:t>
            </w:r>
            <w:r>
              <w:rPr>
                <w:rFonts w:hint="eastAsia" w:ascii="宋体" w:hAnsi="宋体" w:cs="宋体"/>
                <w:bCs/>
                <w:color w:val="auto"/>
                <w:sz w:val="24"/>
                <w:szCs w:val="24"/>
                <w:highlight w:val="none"/>
              </w:rPr>
              <w:t>分。</w:t>
            </w:r>
          </w:p>
          <w:p>
            <w:pPr>
              <w:pStyle w:val="72"/>
              <w:keepNext w:val="0"/>
              <w:keepLines w:val="0"/>
              <w:suppressLineNumbers w:val="0"/>
              <w:shd w:val="clear"/>
              <w:spacing w:before="0" w:beforeAutospacing="0" w:afterAutospacing="0"/>
              <w:ind w:left="0" w:right="0" w:firstLine="0" w:firstLineChars="0"/>
              <w:rPr>
                <w:rFonts w:hint="eastAsia" w:ascii="宋体" w:hAnsi="宋体" w:cs="宋体"/>
                <w:color w:val="auto"/>
                <w:sz w:val="24"/>
                <w:szCs w:val="24"/>
                <w:highlight w:val="none"/>
              </w:rPr>
            </w:pPr>
            <w:r>
              <w:rPr>
                <w:rFonts w:hint="eastAsia" w:ascii="宋体" w:hAnsi="宋体" w:cs="宋体"/>
                <w:bCs/>
                <w:color w:val="auto"/>
                <w:sz w:val="24"/>
                <w:szCs w:val="24"/>
                <w:highlight w:val="none"/>
              </w:rPr>
              <w:t>注：提供以上相关证书扫描件，否则不得分。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982"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pStyle w:val="87"/>
              <w:keepNext w:val="0"/>
              <w:keepLines w:val="0"/>
              <w:suppressLineNumbers w:val="0"/>
              <w:shd w:val="clear"/>
              <w:spacing w:before="0" w:beforeAutospacing="0" w:afterAutospacing="0" w:line="360" w:lineRule="auto"/>
              <w:ind w:left="0" w:leftChars="0" w:right="0" w:rightChars="0"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企业获奖情况（8分）</w:t>
            </w:r>
          </w:p>
        </w:tc>
        <w:tc>
          <w:tcPr>
            <w:tcW w:w="5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2019年1月1日至今承接过的项目获得勘察</w:t>
            </w:r>
            <w:r>
              <w:rPr>
                <w:rFonts w:hint="eastAsia" w:ascii="宋体" w:hAnsi="宋体" w:eastAsia="宋体" w:cs="宋体"/>
                <w:color w:val="auto"/>
                <w:sz w:val="24"/>
                <w:szCs w:val="24"/>
                <w:highlight w:val="none"/>
                <w:lang w:val="en-US" w:eastAsia="zh-CN"/>
              </w:rPr>
              <w:t>类</w:t>
            </w:r>
            <w:r>
              <w:rPr>
                <w:rFonts w:hint="eastAsia" w:ascii="宋体" w:hAnsi="宋体" w:eastAsia="宋体" w:cs="宋体"/>
                <w:color w:val="auto"/>
                <w:sz w:val="24"/>
                <w:szCs w:val="24"/>
                <w:highlight w:val="none"/>
              </w:rPr>
              <w:t>奖项的：</w:t>
            </w:r>
          </w:p>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①获得国家级建设行政主管部门或国家级行业协会颁发</w:t>
            </w:r>
            <w:r>
              <w:rPr>
                <w:rFonts w:hint="eastAsia" w:ascii="宋体" w:hAnsi="宋体" w:eastAsia="宋体" w:cs="宋体"/>
                <w:color w:val="auto"/>
                <w:kern w:val="0"/>
                <w:sz w:val="24"/>
                <w:szCs w:val="24"/>
                <w:highlight w:val="none"/>
                <w:lang w:val="en-US" w:eastAsia="zh-CN"/>
              </w:rPr>
              <w:t>的勘察类</w:t>
            </w:r>
            <w:r>
              <w:rPr>
                <w:rFonts w:hint="eastAsia" w:ascii="宋体" w:hAnsi="宋体" w:eastAsia="宋体" w:cs="宋体"/>
                <w:color w:val="auto"/>
                <w:kern w:val="0"/>
                <w:sz w:val="24"/>
                <w:szCs w:val="24"/>
                <w:highlight w:val="none"/>
              </w:rPr>
              <w:t>奖项的，每项得2分，本小项最高</w:t>
            </w:r>
            <w:r>
              <w:rPr>
                <w:rFonts w:hint="eastAsia" w:ascii="宋体" w:hAnsi="宋体" w:eastAsia="宋体" w:cs="宋体"/>
                <w:color w:val="auto"/>
                <w:kern w:val="0"/>
                <w:sz w:val="24"/>
                <w:szCs w:val="24"/>
                <w:highlight w:val="none"/>
                <w:lang w:val="en-US" w:eastAsia="zh-CN"/>
              </w:rPr>
              <w:t>得8</w:t>
            </w:r>
            <w:r>
              <w:rPr>
                <w:rFonts w:hint="eastAsia" w:ascii="宋体" w:hAnsi="宋体" w:eastAsia="宋体" w:cs="宋体"/>
                <w:color w:val="auto"/>
                <w:kern w:val="0"/>
                <w:sz w:val="24"/>
                <w:szCs w:val="24"/>
                <w:highlight w:val="none"/>
              </w:rPr>
              <w:t>分。</w:t>
            </w:r>
          </w:p>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②获得省级建设行政主管部门或省级行业协会颁发</w:t>
            </w:r>
            <w:r>
              <w:rPr>
                <w:rFonts w:hint="eastAsia" w:ascii="宋体" w:hAnsi="宋体" w:eastAsia="宋体" w:cs="宋体"/>
                <w:color w:val="auto"/>
                <w:kern w:val="0"/>
                <w:sz w:val="24"/>
                <w:szCs w:val="24"/>
                <w:highlight w:val="none"/>
                <w:lang w:val="en-US" w:eastAsia="zh-CN"/>
              </w:rPr>
              <w:t>的勘察类</w:t>
            </w:r>
            <w:r>
              <w:rPr>
                <w:rFonts w:hint="eastAsia" w:ascii="宋体" w:hAnsi="宋体" w:eastAsia="宋体" w:cs="宋体"/>
                <w:color w:val="auto"/>
                <w:kern w:val="0"/>
                <w:sz w:val="24"/>
                <w:szCs w:val="24"/>
                <w:highlight w:val="none"/>
              </w:rPr>
              <w:t>奖项的，每项得1分，本小项最高</w:t>
            </w:r>
            <w:r>
              <w:rPr>
                <w:rFonts w:hint="eastAsia" w:ascii="宋体" w:hAnsi="宋体" w:eastAsia="宋体"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rPr>
              <w:t>4分。</w:t>
            </w:r>
          </w:p>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本项最高得8分。</w:t>
            </w:r>
          </w:p>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注：提供证书扫描件。时间以获奖证书的时间为准，同一项目获得多个奖项的，仅以最高获奖奖项计分。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982"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pStyle w:val="87"/>
              <w:keepNext w:val="0"/>
              <w:keepLines w:val="0"/>
              <w:suppressLineNumbers w:val="0"/>
              <w:shd w:val="clear"/>
              <w:spacing w:before="0" w:beforeAutospacing="0" w:afterAutospacing="0" w:line="360" w:lineRule="auto"/>
              <w:ind w:left="0" w:right="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拟委派项目负责人要求(15分)</w:t>
            </w:r>
          </w:p>
        </w:tc>
        <w:tc>
          <w:tcPr>
            <w:tcW w:w="5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autoSpaceDE w:val="0"/>
              <w:autoSpaceDN w:val="0"/>
              <w:spacing w:before="0" w:beforeAutospacing="0" w:after="0" w:afterAutospacing="0" w:line="240" w:lineRule="auto"/>
              <w:ind w:left="0" w:right="62" w:rightChars="28"/>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color w:val="auto"/>
                <w:sz w:val="24"/>
                <w:szCs w:val="24"/>
                <w:highlight w:val="none"/>
              </w:rPr>
              <w:t>具备岩土或勘察相关专业教授级高级工程师的得4分；具备岩土或勘察相关专业高级工程师的得2分</w:t>
            </w:r>
            <w:r>
              <w:rPr>
                <w:rFonts w:hint="eastAsia" w:ascii="宋体" w:hAnsi="宋体" w:eastAsia="宋体" w:cs="宋体"/>
                <w:color w:val="auto"/>
                <w:sz w:val="24"/>
                <w:szCs w:val="24"/>
                <w:highlight w:val="none"/>
                <w:lang w:eastAsia="zh-CN"/>
              </w:rPr>
              <w:t>。</w:t>
            </w:r>
          </w:p>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注：提供相关证书扫描件。</w:t>
            </w:r>
          </w:p>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bidi="ar"/>
              </w:rPr>
              <w:t>2、具有20年（含）工作经验的，得4分；具有10年（含）至20年（不含），得2分；具有5年（含）至10年（不含），得1分；5年（不含）以下不得分。</w:t>
            </w:r>
          </w:p>
          <w:p>
            <w:pPr>
              <w:pStyle w:val="34"/>
              <w:keepNext w:val="0"/>
              <w:keepLines w:val="0"/>
              <w:suppressLineNumbers w:val="0"/>
              <w:shd w:val="clear"/>
              <w:spacing w:before="0" w:beforeAutospacing="0" w:after="0" w:afterAutospacing="0"/>
              <w:ind w:left="0" w:leftChars="0" w:right="0" w:firstLine="0" w:firstLineChars="0"/>
              <w:rPr>
                <w:rFonts w:hint="eastAsia" w:ascii="宋体" w:hAnsi="宋体" w:cs="宋体"/>
                <w:color w:val="auto"/>
                <w:sz w:val="24"/>
                <w:highlight w:val="none"/>
              </w:rPr>
            </w:pPr>
            <w:r>
              <w:rPr>
                <w:rFonts w:hint="eastAsia" w:ascii="宋体" w:hAnsi="宋体" w:cs="宋体"/>
                <w:color w:val="auto"/>
                <w:sz w:val="24"/>
                <w:highlight w:val="none"/>
              </w:rPr>
              <w:t>注：工作年限以毕业时间为准，提供相关毕业证书扫描件。</w:t>
            </w:r>
          </w:p>
          <w:p>
            <w:pPr>
              <w:keepNext w:val="0"/>
              <w:keepLines w:val="0"/>
              <w:widowControl/>
              <w:suppressLineNumbers w:val="0"/>
              <w:shd w:val="clear"/>
              <w:autoSpaceDE w:val="0"/>
              <w:autoSpaceDN w:val="0"/>
              <w:spacing w:before="0" w:beforeAutospacing="0" w:after="0" w:afterAutospacing="0" w:line="240" w:lineRule="auto"/>
              <w:ind w:left="0" w:right="62" w:rightChars="28"/>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color w:val="auto"/>
                <w:sz w:val="24"/>
                <w:szCs w:val="24"/>
                <w:highlight w:val="none"/>
              </w:rPr>
              <w:t>2019年1月1日至今</w:t>
            </w:r>
            <w:r>
              <w:rPr>
                <w:rFonts w:hint="eastAsia" w:ascii="宋体" w:hAnsi="宋体" w:eastAsia="宋体" w:cs="宋体"/>
                <w:snapToGrid w:val="0"/>
                <w:color w:val="auto"/>
                <w:kern w:val="0"/>
                <w:sz w:val="24"/>
                <w:szCs w:val="24"/>
                <w:highlight w:val="none"/>
              </w:rPr>
              <w:t>参与</w:t>
            </w:r>
            <w:r>
              <w:rPr>
                <w:rFonts w:hint="eastAsia" w:ascii="宋体" w:hAnsi="宋体" w:eastAsia="宋体" w:cs="宋体"/>
                <w:snapToGrid w:val="0"/>
                <w:color w:val="auto"/>
                <w:kern w:val="0"/>
                <w:sz w:val="24"/>
                <w:szCs w:val="24"/>
                <w:highlight w:val="none"/>
                <w:lang w:val="zh-CN" w:bidi="ar"/>
              </w:rPr>
              <w:t>的</w:t>
            </w:r>
            <w:r>
              <w:rPr>
                <w:rFonts w:hint="eastAsia" w:ascii="宋体" w:hAnsi="宋体" w:eastAsia="宋体" w:cs="宋体"/>
                <w:snapToGrid w:val="0"/>
                <w:color w:val="auto"/>
                <w:kern w:val="0"/>
                <w:sz w:val="24"/>
                <w:szCs w:val="24"/>
                <w:highlight w:val="none"/>
                <w:lang w:bidi="ar"/>
              </w:rPr>
              <w:t>勘察</w:t>
            </w:r>
            <w:r>
              <w:rPr>
                <w:rFonts w:hint="eastAsia" w:ascii="宋体" w:hAnsi="宋体" w:eastAsia="宋体" w:cs="宋体"/>
                <w:snapToGrid w:val="0"/>
                <w:color w:val="auto"/>
                <w:kern w:val="0"/>
                <w:sz w:val="24"/>
                <w:szCs w:val="24"/>
                <w:highlight w:val="none"/>
                <w:lang w:val="zh-CN" w:bidi="ar"/>
              </w:rPr>
              <w:t>项目获得</w:t>
            </w:r>
            <w:r>
              <w:rPr>
                <w:rFonts w:hint="eastAsia" w:ascii="宋体" w:hAnsi="宋体" w:eastAsia="宋体" w:cs="宋体"/>
                <w:snapToGrid w:val="0"/>
                <w:color w:val="auto"/>
                <w:kern w:val="0"/>
                <w:sz w:val="24"/>
                <w:szCs w:val="24"/>
                <w:highlight w:val="none"/>
                <w:lang w:bidi="ar"/>
              </w:rPr>
              <w:t>过国家级建设行政主管部门或国家级行业协会颁发奖项的</w:t>
            </w:r>
            <w:r>
              <w:rPr>
                <w:rFonts w:hint="eastAsia" w:ascii="宋体" w:hAnsi="宋体" w:eastAsia="宋体" w:cs="宋体"/>
                <w:snapToGrid w:val="0"/>
                <w:color w:val="auto"/>
                <w:kern w:val="0"/>
                <w:sz w:val="24"/>
                <w:szCs w:val="24"/>
                <w:highlight w:val="none"/>
                <w:lang w:eastAsia="zh-CN" w:bidi="ar"/>
              </w:rPr>
              <w:t>，</w:t>
            </w:r>
            <w:r>
              <w:rPr>
                <w:rFonts w:hint="eastAsia" w:ascii="宋体" w:hAnsi="宋体" w:eastAsia="宋体" w:cs="宋体"/>
                <w:color w:val="auto"/>
                <w:kern w:val="0"/>
                <w:sz w:val="24"/>
                <w:szCs w:val="24"/>
                <w:highlight w:val="none"/>
              </w:rPr>
              <w:t>每项得1分；获得省级建设行政主管部门或省级行业协会颁发奖项的，每项得0.5分，</w:t>
            </w:r>
            <w:r>
              <w:rPr>
                <w:rFonts w:hint="eastAsia" w:ascii="宋体" w:hAnsi="宋体" w:eastAsia="宋体" w:cs="宋体"/>
                <w:snapToGrid w:val="0"/>
                <w:color w:val="auto"/>
                <w:kern w:val="0"/>
                <w:sz w:val="24"/>
                <w:szCs w:val="24"/>
                <w:highlight w:val="none"/>
                <w:lang w:bidi="ar"/>
              </w:rPr>
              <w:t>本项最高得4分。</w:t>
            </w:r>
          </w:p>
          <w:p>
            <w:pPr>
              <w:pStyle w:val="34"/>
              <w:keepNext w:val="0"/>
              <w:keepLines w:val="0"/>
              <w:suppressLineNumbers w:val="0"/>
              <w:shd w:val="clear"/>
              <w:spacing w:before="0" w:beforeAutospacing="0" w:after="0" w:afterAutospacing="0"/>
              <w:ind w:left="0" w:leftChars="0" w:right="0" w:firstLine="0" w:firstLineChars="0"/>
              <w:rPr>
                <w:rFonts w:hint="eastAsia"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注：提供获奖证书扫描件。时间以获奖证书的时间为准，同一项目获得多个奖项的，仅以最高获奖奖项计分。</w:t>
            </w:r>
          </w:p>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4、获得省级（或以上）建设行政主管部门颁发的“工程勘察设计大师”称号的得3分。</w:t>
            </w:r>
          </w:p>
          <w:p>
            <w:pPr>
              <w:keepNext w:val="0"/>
              <w:keepLines w:val="0"/>
              <w:widowControl/>
              <w:suppressLineNumbers w:val="0"/>
              <w:shd w:val="clear"/>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注：提供相关证书扫描件。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7"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982"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pStyle w:val="87"/>
              <w:keepNext w:val="0"/>
              <w:keepLines w:val="0"/>
              <w:suppressLineNumbers w:val="0"/>
              <w:shd w:val="clear"/>
              <w:spacing w:before="0" w:beforeAutospacing="0" w:afterAutospacing="0" w:line="360" w:lineRule="auto"/>
              <w:ind w:left="0" w:right="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拟派项目团队（8）</w:t>
            </w:r>
          </w:p>
        </w:tc>
        <w:tc>
          <w:tcPr>
            <w:tcW w:w="5802" w:type="dxa"/>
            <w:tcBorders>
              <w:top w:val="single" w:color="auto" w:sz="4" w:space="0"/>
              <w:left w:val="single" w:color="auto" w:sz="4" w:space="0"/>
              <w:bottom w:val="single" w:color="auto" w:sz="4" w:space="0"/>
              <w:right w:val="single" w:color="auto" w:sz="4" w:space="0"/>
            </w:tcBorders>
            <w:noWrap w:val="0"/>
            <w:vAlign w:val="center"/>
          </w:tcPr>
          <w:p>
            <w:pPr>
              <w:pStyle w:val="87"/>
              <w:keepNext w:val="0"/>
              <w:keepLines w:val="0"/>
              <w:suppressLineNumbers w:val="0"/>
              <w:shd w:val="clear"/>
              <w:spacing w:before="0" w:beforeAutospacing="0" w:afterAutospacing="0"/>
              <w:ind w:left="103" w:right="61"/>
              <w:jc w:val="both"/>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除项目负责人外，拟派人员中：</w:t>
            </w:r>
          </w:p>
          <w:p>
            <w:pPr>
              <w:pStyle w:val="87"/>
              <w:keepNext w:val="0"/>
              <w:keepLines w:val="0"/>
              <w:suppressLineNumbers w:val="0"/>
              <w:shd w:val="clear"/>
              <w:spacing w:before="0" w:beforeAutospacing="0" w:afterAutospacing="0"/>
              <w:ind w:left="103" w:right="61"/>
              <w:jc w:val="both"/>
              <w:rPr>
                <w:rFonts w:hint="eastAsia" w:ascii="宋体" w:hAnsi="宋体" w:eastAsia="宋体" w:cs="宋体"/>
                <w:snapToGrid w:val="0"/>
                <w:color w:val="auto"/>
                <w:sz w:val="24"/>
                <w:szCs w:val="24"/>
                <w:highlight w:val="none"/>
                <w:lang w:eastAsia="zh-CN"/>
              </w:rPr>
            </w:pPr>
            <w:r>
              <w:rPr>
                <w:rFonts w:hint="eastAsia" w:ascii="宋体" w:hAnsi="宋体" w:cs="宋体"/>
                <w:snapToGrid w:val="0"/>
                <w:color w:val="auto"/>
                <w:sz w:val="24"/>
                <w:szCs w:val="24"/>
                <w:highlight w:val="none"/>
              </w:rPr>
              <w:t>1、具备岩土或勘察相关专业高级工程师（或以上）职称证书和注册土木工程师（岩土）执业资格证书的，每1人得</w:t>
            </w:r>
            <w:r>
              <w:rPr>
                <w:rFonts w:hint="default" w:ascii="宋体" w:hAnsi="宋体" w:cs="宋体"/>
                <w:snapToGrid w:val="0"/>
                <w:color w:val="auto"/>
                <w:sz w:val="24"/>
                <w:szCs w:val="24"/>
                <w:highlight w:val="none"/>
                <w:lang w:val="en-US"/>
              </w:rPr>
              <w:t>2</w:t>
            </w:r>
            <w:r>
              <w:rPr>
                <w:rFonts w:hint="eastAsia" w:ascii="宋体" w:hAnsi="宋体" w:cs="宋体"/>
                <w:snapToGrid w:val="0"/>
                <w:color w:val="auto"/>
                <w:sz w:val="24"/>
                <w:szCs w:val="24"/>
                <w:highlight w:val="none"/>
              </w:rPr>
              <w:t>分。本小项最高得</w:t>
            </w:r>
            <w:r>
              <w:rPr>
                <w:rFonts w:hint="default" w:ascii="宋体" w:hAnsi="宋体" w:cs="宋体"/>
                <w:snapToGrid w:val="0"/>
                <w:color w:val="auto"/>
                <w:sz w:val="24"/>
                <w:szCs w:val="24"/>
                <w:highlight w:val="none"/>
                <w:lang w:val="en-US"/>
              </w:rPr>
              <w:t>8</w:t>
            </w:r>
            <w:r>
              <w:rPr>
                <w:rFonts w:hint="eastAsia" w:ascii="宋体" w:hAnsi="宋体" w:cs="宋体"/>
                <w:snapToGrid w:val="0"/>
                <w:color w:val="auto"/>
                <w:sz w:val="24"/>
                <w:szCs w:val="24"/>
                <w:highlight w:val="none"/>
              </w:rPr>
              <w:t>分</w:t>
            </w:r>
            <w:r>
              <w:rPr>
                <w:rFonts w:hint="eastAsia" w:ascii="宋体" w:hAnsi="宋体" w:cs="宋体"/>
                <w:snapToGrid w:val="0"/>
                <w:color w:val="auto"/>
                <w:sz w:val="24"/>
                <w:szCs w:val="24"/>
                <w:highlight w:val="none"/>
                <w:lang w:eastAsia="zh-CN"/>
              </w:rPr>
              <w:t>。</w:t>
            </w:r>
          </w:p>
          <w:p>
            <w:pPr>
              <w:pStyle w:val="87"/>
              <w:keepNext w:val="0"/>
              <w:keepLines w:val="0"/>
              <w:suppressLineNumbers w:val="0"/>
              <w:shd w:val="clear"/>
              <w:spacing w:before="0" w:beforeAutospacing="0" w:afterAutospacing="0"/>
              <w:ind w:left="103" w:right="61"/>
              <w:jc w:val="both"/>
              <w:rPr>
                <w:rFonts w:hint="eastAsia" w:ascii="宋体" w:hAnsi="宋体" w:eastAsia="宋体" w:cs="宋体"/>
                <w:snapToGrid w:val="0"/>
                <w:color w:val="auto"/>
                <w:sz w:val="24"/>
                <w:szCs w:val="24"/>
                <w:highlight w:val="none"/>
                <w:lang w:eastAsia="zh-CN"/>
              </w:rPr>
            </w:pPr>
            <w:r>
              <w:rPr>
                <w:rFonts w:hint="eastAsia" w:ascii="宋体" w:hAnsi="宋体" w:cs="宋体"/>
                <w:snapToGrid w:val="0"/>
                <w:color w:val="auto"/>
                <w:sz w:val="24"/>
                <w:szCs w:val="24"/>
                <w:highlight w:val="none"/>
              </w:rPr>
              <w:t>2、具备岩土或勘察相关专业中级工程师职称证书和注册土木工程师（岩土）执业资格证书的，每1人得1分。本小项最高得</w:t>
            </w:r>
            <w:r>
              <w:rPr>
                <w:rFonts w:hint="default" w:ascii="宋体" w:hAnsi="宋体" w:cs="宋体"/>
                <w:snapToGrid w:val="0"/>
                <w:color w:val="auto"/>
                <w:sz w:val="24"/>
                <w:szCs w:val="24"/>
                <w:highlight w:val="none"/>
              </w:rPr>
              <w:t>4</w:t>
            </w:r>
            <w:r>
              <w:rPr>
                <w:rFonts w:hint="eastAsia" w:ascii="宋体" w:hAnsi="宋体" w:cs="宋体"/>
                <w:snapToGrid w:val="0"/>
                <w:color w:val="auto"/>
                <w:sz w:val="24"/>
                <w:szCs w:val="24"/>
                <w:highlight w:val="none"/>
              </w:rPr>
              <w:t>分</w:t>
            </w:r>
            <w:r>
              <w:rPr>
                <w:rFonts w:hint="eastAsia" w:ascii="宋体" w:hAnsi="宋体" w:cs="宋体"/>
                <w:snapToGrid w:val="0"/>
                <w:color w:val="auto"/>
                <w:sz w:val="24"/>
                <w:szCs w:val="24"/>
                <w:highlight w:val="none"/>
                <w:lang w:eastAsia="zh-CN"/>
              </w:rPr>
              <w:t>。</w:t>
            </w:r>
          </w:p>
          <w:p>
            <w:pPr>
              <w:pStyle w:val="87"/>
              <w:keepNext w:val="0"/>
              <w:keepLines w:val="0"/>
              <w:suppressLineNumbers w:val="0"/>
              <w:shd w:val="clear"/>
              <w:spacing w:before="0" w:beforeAutospacing="0" w:afterAutospacing="0"/>
              <w:ind w:left="103" w:right="61"/>
              <w:jc w:val="both"/>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本项最高8分。</w:t>
            </w:r>
          </w:p>
          <w:p>
            <w:pPr>
              <w:pStyle w:val="87"/>
              <w:keepNext w:val="0"/>
              <w:keepLines w:val="0"/>
              <w:suppressLineNumbers w:val="0"/>
              <w:shd w:val="clear"/>
              <w:spacing w:before="0" w:beforeAutospacing="0" w:afterAutospacing="0"/>
              <w:ind w:left="103" w:right="61"/>
              <w:jc w:val="both"/>
              <w:rPr>
                <w:rFonts w:hint="default" w:ascii="宋体" w:hAnsi="宋体" w:eastAsia="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注：提供相关证书扫描件。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p>
        </w:tc>
        <w:tc>
          <w:tcPr>
            <w:tcW w:w="982"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autoSpaceDE w:val="0"/>
              <w:autoSpaceDN w:val="0"/>
              <w:spacing w:before="0" w:beforeAutospacing="0" w:after="0" w:afterAutospacing="0" w:line="360" w:lineRule="auto"/>
              <w:ind w:left="0" w:right="-15" w:rightChars="-7"/>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企业信用</w:t>
            </w:r>
          </w:p>
          <w:p>
            <w:pPr>
              <w:pStyle w:val="87"/>
              <w:keepNext w:val="0"/>
              <w:keepLines w:val="0"/>
              <w:suppressLineNumbers w:val="0"/>
              <w:shd w:val="clear"/>
              <w:spacing w:before="0" w:beforeAutospacing="0" w:afterAutospacing="0" w:line="360" w:lineRule="auto"/>
              <w:ind w:left="0" w:right="6"/>
              <w:jc w:val="center"/>
              <w:rPr>
                <w:rFonts w:hint="eastAsia" w:ascii="宋体" w:hAnsi="宋体" w:cs="宋体"/>
                <w:color w:val="auto"/>
                <w:sz w:val="24"/>
                <w:szCs w:val="24"/>
                <w:highlight w:val="none"/>
                <w:lang w:val="zh-CN"/>
              </w:rPr>
            </w:pPr>
            <w:r>
              <w:rPr>
                <w:rFonts w:hint="eastAsia" w:ascii="宋体" w:hAnsi="宋体" w:cs="宋体"/>
                <w:snapToGrid w:val="0"/>
                <w:color w:val="auto"/>
                <w:sz w:val="24"/>
                <w:szCs w:val="24"/>
                <w:highlight w:val="none"/>
                <w:lang w:bidi="ar"/>
              </w:rPr>
              <w:t>（</w:t>
            </w:r>
            <w:r>
              <w:rPr>
                <w:rFonts w:hint="default" w:ascii="宋体" w:hAnsi="宋体" w:cs="宋体"/>
                <w:snapToGrid w:val="0"/>
                <w:color w:val="auto"/>
                <w:sz w:val="24"/>
                <w:szCs w:val="24"/>
                <w:highlight w:val="none"/>
                <w:lang w:bidi="ar"/>
              </w:rPr>
              <w:t>5</w:t>
            </w:r>
            <w:r>
              <w:rPr>
                <w:rFonts w:hint="eastAsia" w:ascii="宋体" w:hAnsi="宋体" w:cs="宋体"/>
                <w:snapToGrid w:val="0"/>
                <w:color w:val="auto"/>
                <w:sz w:val="24"/>
                <w:szCs w:val="24"/>
                <w:highlight w:val="none"/>
                <w:lang w:bidi="ar"/>
              </w:rPr>
              <w:t>分）</w:t>
            </w:r>
          </w:p>
        </w:tc>
        <w:tc>
          <w:tcPr>
            <w:tcW w:w="5802" w:type="dxa"/>
            <w:tcBorders>
              <w:top w:val="single" w:color="auto" w:sz="4" w:space="0"/>
              <w:left w:val="single" w:color="auto" w:sz="4" w:space="0"/>
              <w:bottom w:val="single" w:color="auto" w:sz="4" w:space="0"/>
              <w:right w:val="single" w:color="auto" w:sz="4" w:space="0"/>
            </w:tcBorders>
            <w:noWrap w:val="0"/>
            <w:vAlign w:val="center"/>
          </w:tcPr>
          <w:p>
            <w:pPr>
              <w:pStyle w:val="87"/>
              <w:keepNext w:val="0"/>
              <w:keepLines w:val="0"/>
              <w:suppressLineNumbers w:val="0"/>
              <w:shd w:val="clear"/>
              <w:spacing w:before="0" w:beforeAutospacing="0" w:afterAutospacing="0"/>
              <w:ind w:left="103" w:right="61"/>
              <w:jc w:val="both"/>
              <w:rPr>
                <w:rFonts w:hint="eastAsia" w:ascii="宋体" w:hAnsi="宋体" w:cs="宋体"/>
                <w:snapToGrid w:val="0"/>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snapToGrid w:val="0"/>
                <w:color w:val="auto"/>
                <w:sz w:val="24"/>
                <w:szCs w:val="24"/>
                <w:highlight w:val="none"/>
              </w:rPr>
              <w:t>自2017年1月1日至今连续5个年度获得“纳税信用A级纳税人，得</w:t>
            </w:r>
            <w:r>
              <w:rPr>
                <w:rFonts w:hint="default" w:ascii="宋体" w:hAnsi="宋体" w:cs="宋体"/>
                <w:snapToGrid w:val="0"/>
                <w:color w:val="auto"/>
                <w:sz w:val="24"/>
                <w:szCs w:val="24"/>
                <w:highlight w:val="none"/>
              </w:rPr>
              <w:t>5</w:t>
            </w:r>
            <w:r>
              <w:rPr>
                <w:rFonts w:hint="eastAsia" w:ascii="宋体" w:hAnsi="宋体" w:cs="宋体"/>
                <w:snapToGrid w:val="0"/>
                <w:color w:val="auto"/>
                <w:sz w:val="24"/>
                <w:szCs w:val="24"/>
                <w:highlight w:val="none"/>
              </w:rPr>
              <w:t>分；连续3-4个年度获得“纳税信用A级纳税人，得</w:t>
            </w:r>
            <w:r>
              <w:rPr>
                <w:rFonts w:hint="default" w:ascii="宋体" w:hAnsi="宋体" w:cs="宋体"/>
                <w:snapToGrid w:val="0"/>
                <w:color w:val="auto"/>
                <w:sz w:val="24"/>
                <w:szCs w:val="24"/>
                <w:highlight w:val="none"/>
              </w:rPr>
              <w:t>3</w:t>
            </w:r>
            <w:r>
              <w:rPr>
                <w:rFonts w:hint="eastAsia" w:ascii="宋体" w:hAnsi="宋体" w:cs="宋体"/>
                <w:snapToGrid w:val="0"/>
                <w:color w:val="auto"/>
                <w:sz w:val="24"/>
                <w:szCs w:val="24"/>
                <w:highlight w:val="none"/>
              </w:rPr>
              <w:t>分；连续1-2个年度获得“纳税信用A级纳税人，得1分。</w:t>
            </w:r>
          </w:p>
          <w:p>
            <w:pPr>
              <w:pStyle w:val="87"/>
              <w:keepNext w:val="0"/>
              <w:keepLines w:val="0"/>
              <w:suppressLineNumbers w:val="0"/>
              <w:shd w:val="clear"/>
              <w:spacing w:before="0" w:beforeAutospacing="0" w:afterAutospacing="0"/>
              <w:ind w:left="103" w:right="61"/>
              <w:jc w:val="both"/>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lang w:val="en-US" w:eastAsia="zh-CN"/>
              </w:rPr>
              <w:t>注：</w:t>
            </w:r>
            <w:r>
              <w:rPr>
                <w:rFonts w:hint="eastAsia" w:ascii="宋体" w:hAnsi="宋体" w:cs="宋体"/>
                <w:snapToGrid w:val="0"/>
                <w:color w:val="auto"/>
                <w:sz w:val="24"/>
                <w:szCs w:val="24"/>
                <w:highlight w:val="none"/>
              </w:rPr>
              <w:t>提供相关证书</w:t>
            </w:r>
            <w:r>
              <w:rPr>
                <w:rFonts w:hint="eastAsia" w:ascii="宋体" w:hAnsi="宋体" w:cs="宋体"/>
                <w:snapToGrid w:val="0"/>
                <w:color w:val="auto"/>
                <w:sz w:val="24"/>
                <w:szCs w:val="24"/>
                <w:highlight w:val="none"/>
                <w:lang w:eastAsia="zh-CN"/>
              </w:rPr>
              <w:t>扫描件</w:t>
            </w:r>
            <w:r>
              <w:rPr>
                <w:rFonts w:hint="eastAsia" w:ascii="宋体" w:hAnsi="宋体" w:cs="宋体"/>
                <w:snapToGrid w:val="0"/>
                <w:color w:val="auto"/>
                <w:sz w:val="24"/>
                <w:szCs w:val="24"/>
                <w:highlight w:val="none"/>
              </w:rPr>
              <w:t>或相关官方网站公示的截图，否则不得分。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9" w:hRule="atLeast"/>
          <w:jc w:val="center"/>
        </w:trPr>
        <w:tc>
          <w:tcPr>
            <w:tcW w:w="884" w:type="dxa"/>
            <w:vMerge w:val="restart"/>
            <w:tcBorders>
              <w:top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2.2.4（2）</w:t>
            </w:r>
          </w:p>
        </w:tc>
        <w:tc>
          <w:tcPr>
            <w:tcW w:w="982" w:type="dxa"/>
            <w:vMerge w:val="restart"/>
            <w:tcBorders>
              <w:top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评分标准</w:t>
            </w:r>
          </w:p>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rPr>
              <w:t>30</w:t>
            </w:r>
            <w:r>
              <w:rPr>
                <w:rFonts w:hint="eastAsia" w:ascii="宋体" w:hAnsi="宋体" w:eastAsia="宋体" w:cs="宋体"/>
                <w:color w:val="auto"/>
                <w:sz w:val="24"/>
                <w:szCs w:val="24"/>
                <w:highlight w:val="none"/>
              </w:rPr>
              <w:t>）</w:t>
            </w:r>
          </w:p>
        </w:tc>
        <w:tc>
          <w:tcPr>
            <w:tcW w:w="1728" w:type="dxa"/>
            <w:tcBorders>
              <w:top w:val="single" w:color="auto" w:sz="4" w:space="0"/>
              <w:left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360" w:lineRule="auto"/>
              <w:ind w:left="0" w:right="-15" w:rightChars="-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勘察范围、勘察内容</w:t>
            </w:r>
          </w:p>
          <w:p>
            <w:pPr>
              <w:pStyle w:val="87"/>
              <w:keepNext w:val="0"/>
              <w:keepLines w:val="0"/>
              <w:suppressLineNumbers w:val="0"/>
              <w:shd w:val="clear"/>
              <w:spacing w:before="0" w:beforeAutospacing="0" w:afterAutospacing="0" w:line="360" w:lineRule="auto"/>
              <w:ind w:left="0" w:right="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4</w:t>
            </w:r>
            <w:r>
              <w:rPr>
                <w:rFonts w:hint="eastAsia" w:ascii="宋体" w:hAnsi="宋体" w:cs="宋体"/>
                <w:color w:val="auto"/>
                <w:sz w:val="24"/>
                <w:szCs w:val="24"/>
                <w:highlight w:val="none"/>
              </w:rPr>
              <w:t>分）</w:t>
            </w:r>
          </w:p>
        </w:tc>
        <w:tc>
          <w:tcPr>
            <w:tcW w:w="580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对勘察范围和勘察内容的编制要求：</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优：内容完善、层次分明、措施齐全，得</w:t>
            </w:r>
            <w:r>
              <w:rPr>
                <w:rFonts w:hint="default" w:ascii="宋体" w:hAnsi="宋体" w:eastAsia="宋体" w:cs="宋体"/>
                <w:color w:val="auto"/>
                <w:sz w:val="24"/>
                <w:szCs w:val="24"/>
                <w:highlight w:val="none"/>
              </w:rPr>
              <w:t>4</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良：内容较完善、层次较分明、措施较齐全，得</w:t>
            </w:r>
            <w:r>
              <w:rPr>
                <w:rFonts w:hint="default"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一般：内容完善性一般、层次分明性一般、措施齐全性一般，得1分；</w:t>
            </w:r>
          </w:p>
          <w:p>
            <w:pPr>
              <w:pStyle w:val="87"/>
              <w:keepNext w:val="0"/>
              <w:keepLines w:val="0"/>
              <w:suppressLineNumbers w:val="0"/>
              <w:shd w:val="clear"/>
              <w:spacing w:before="0" w:beforeAutospacing="0" w:afterAutospacing="0"/>
              <w:ind w:left="0" w:right="61"/>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差：未提供，的0分。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tcBorders>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360" w:lineRule="auto"/>
              <w:ind w:left="0" w:right="-15" w:rightChars="-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勘察依据、勘察工作目标</w:t>
            </w:r>
          </w:p>
          <w:p>
            <w:pPr>
              <w:pStyle w:val="87"/>
              <w:keepNext w:val="0"/>
              <w:keepLines w:val="0"/>
              <w:suppressLineNumbers w:val="0"/>
              <w:shd w:val="clear"/>
              <w:spacing w:before="0" w:beforeAutospacing="0" w:afterAutospacing="0" w:line="360" w:lineRule="auto"/>
              <w:ind w:left="0" w:right="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4</w:t>
            </w:r>
            <w:r>
              <w:rPr>
                <w:rFonts w:hint="eastAsia" w:ascii="宋体" w:hAnsi="宋体" w:cs="宋体"/>
                <w:color w:val="auto"/>
                <w:sz w:val="24"/>
                <w:szCs w:val="24"/>
                <w:highlight w:val="none"/>
              </w:rPr>
              <w:t>分）</w:t>
            </w:r>
          </w:p>
        </w:tc>
        <w:tc>
          <w:tcPr>
            <w:tcW w:w="580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对勘察依据、勘察工作目标的编制要求：</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优：内容完善、层次分明、措施齐全，得</w:t>
            </w:r>
            <w:r>
              <w:rPr>
                <w:rFonts w:hint="default" w:ascii="宋体" w:hAnsi="宋体" w:eastAsia="宋体" w:cs="宋体"/>
                <w:color w:val="auto"/>
                <w:sz w:val="24"/>
                <w:szCs w:val="24"/>
                <w:highlight w:val="none"/>
              </w:rPr>
              <w:t>4</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良：内容较完善、层次较分明、措施较齐全，得</w:t>
            </w:r>
            <w:r>
              <w:rPr>
                <w:rFonts w:hint="default"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一般：内容完善性一般、层次分明性一般、措施齐全性一般，得1分；</w:t>
            </w:r>
          </w:p>
          <w:p>
            <w:pPr>
              <w:pStyle w:val="87"/>
              <w:keepNext w:val="0"/>
              <w:keepLines w:val="0"/>
              <w:suppressLineNumbers w:val="0"/>
              <w:shd w:val="clear"/>
              <w:spacing w:before="0" w:beforeAutospacing="0" w:afterAutospacing="0"/>
              <w:ind w:left="0" w:right="61"/>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差：未提供勘察依据、勘察工作目标，的0分。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tcBorders>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360" w:lineRule="auto"/>
              <w:ind w:left="0" w:right="-15" w:rightChars="-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勘察机构设置和岗位职责</w:t>
            </w:r>
          </w:p>
          <w:p>
            <w:pPr>
              <w:pStyle w:val="87"/>
              <w:keepNext w:val="0"/>
              <w:keepLines w:val="0"/>
              <w:suppressLineNumbers w:val="0"/>
              <w:shd w:val="clear"/>
              <w:spacing w:before="0" w:beforeAutospacing="0" w:afterAutospacing="0" w:line="360" w:lineRule="auto"/>
              <w:ind w:left="0" w:right="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4</w:t>
            </w:r>
            <w:r>
              <w:rPr>
                <w:rFonts w:hint="eastAsia" w:ascii="宋体" w:hAnsi="宋体" w:cs="宋体"/>
                <w:color w:val="auto"/>
                <w:sz w:val="24"/>
                <w:szCs w:val="24"/>
                <w:highlight w:val="none"/>
              </w:rPr>
              <w:t>分）</w:t>
            </w:r>
          </w:p>
        </w:tc>
        <w:tc>
          <w:tcPr>
            <w:tcW w:w="580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对勘察进度计划和岗位职责的编制要求：</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优：职责分明，分配合理，有清晰的工作进度计划和工作准则，得</w:t>
            </w:r>
            <w:r>
              <w:rPr>
                <w:rFonts w:hint="default" w:ascii="宋体" w:hAnsi="宋体" w:eastAsia="宋体" w:cs="宋体"/>
                <w:color w:val="auto"/>
                <w:sz w:val="24"/>
                <w:szCs w:val="24"/>
                <w:highlight w:val="none"/>
              </w:rPr>
              <w:t>4</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良：职责较分明，分配较合理，工作进度计划和工作准则较清晰，得</w:t>
            </w:r>
            <w:r>
              <w:rPr>
                <w:rFonts w:hint="default"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一般：职责分工一般，分配一般，工作进度计划和工作准则一般，得1分</w:t>
            </w:r>
          </w:p>
          <w:p>
            <w:pPr>
              <w:pStyle w:val="87"/>
              <w:keepNext w:val="0"/>
              <w:keepLines w:val="0"/>
              <w:suppressLineNumbers w:val="0"/>
              <w:shd w:val="clear"/>
              <w:spacing w:before="0" w:beforeAutospacing="0" w:afterAutospacing="0"/>
              <w:ind w:left="0" w:right="61"/>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差：未提供勘察进度计划和岗位职责，得0分。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tcBorders>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360" w:lineRule="auto"/>
              <w:ind w:left="0" w:right="-15" w:rightChars="-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勘察说明和勘察方案</w:t>
            </w:r>
          </w:p>
          <w:p>
            <w:pPr>
              <w:pStyle w:val="87"/>
              <w:keepNext w:val="0"/>
              <w:keepLines w:val="0"/>
              <w:suppressLineNumbers w:val="0"/>
              <w:shd w:val="clear"/>
              <w:spacing w:before="0" w:beforeAutospacing="0" w:afterAutospacing="0" w:line="360" w:lineRule="auto"/>
              <w:ind w:left="0" w:right="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4</w:t>
            </w:r>
            <w:r>
              <w:rPr>
                <w:rFonts w:hint="eastAsia" w:ascii="宋体" w:hAnsi="宋体" w:cs="宋体"/>
                <w:color w:val="auto"/>
                <w:sz w:val="24"/>
                <w:szCs w:val="24"/>
                <w:highlight w:val="none"/>
              </w:rPr>
              <w:t>分）</w:t>
            </w:r>
          </w:p>
        </w:tc>
        <w:tc>
          <w:tcPr>
            <w:tcW w:w="580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对勘察说明和勘察方案的编制要求：</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优：目标明确、方法合理可行、措施具体、针对性强，得</w:t>
            </w:r>
            <w:r>
              <w:rPr>
                <w:rFonts w:hint="default" w:ascii="宋体" w:hAnsi="宋体" w:eastAsia="宋体" w:cs="宋体"/>
                <w:color w:val="auto"/>
                <w:sz w:val="24"/>
                <w:szCs w:val="24"/>
                <w:highlight w:val="none"/>
              </w:rPr>
              <w:t>4</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良：目标较明确、方法较合理可行、措施较具体、针对性较强，得</w:t>
            </w:r>
            <w:r>
              <w:rPr>
                <w:rFonts w:hint="default"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一般：目标明确性一般、方法合理可行性一般、措施一般、针对性一般，得1分；</w:t>
            </w:r>
          </w:p>
          <w:p>
            <w:pPr>
              <w:pStyle w:val="87"/>
              <w:keepNext w:val="0"/>
              <w:keepLines w:val="0"/>
              <w:suppressLineNumbers w:val="0"/>
              <w:shd w:val="clear"/>
              <w:spacing w:before="0" w:beforeAutospacing="0" w:afterAutospacing="0"/>
              <w:ind w:left="0" w:right="61"/>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差：未提供勘察说明和勘察方案，得0分。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tcBorders>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360" w:lineRule="auto"/>
              <w:ind w:left="0" w:right="-15" w:rightChars="-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勘察质量、安全、进度和保密等保证措施</w:t>
            </w:r>
          </w:p>
          <w:p>
            <w:pPr>
              <w:pStyle w:val="87"/>
              <w:keepNext w:val="0"/>
              <w:keepLines w:val="0"/>
              <w:suppressLineNumbers w:val="0"/>
              <w:shd w:val="clear"/>
              <w:spacing w:before="0" w:beforeAutospacing="0" w:afterAutospacing="0" w:line="360" w:lineRule="auto"/>
              <w:ind w:left="0" w:right="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5</w:t>
            </w:r>
            <w:r>
              <w:rPr>
                <w:rFonts w:hint="eastAsia" w:ascii="宋体" w:hAnsi="宋体" w:cs="宋体"/>
                <w:color w:val="auto"/>
                <w:sz w:val="24"/>
                <w:szCs w:val="24"/>
                <w:highlight w:val="none"/>
              </w:rPr>
              <w:t>分）</w:t>
            </w:r>
          </w:p>
        </w:tc>
        <w:tc>
          <w:tcPr>
            <w:tcW w:w="580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对勘察质量、安全、进度和保密等提供响应保证措施。</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优：保障措施具体、针对性强、合理可行，得</w:t>
            </w:r>
            <w:r>
              <w:rPr>
                <w:rFonts w:hint="default"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良：保障措施较具体、针对性较强、较合理可行，得</w:t>
            </w:r>
            <w:r>
              <w:rPr>
                <w:rFonts w:hint="default" w:ascii="宋体" w:hAnsi="宋体" w:eastAsia="宋体" w:cs="宋体"/>
                <w:color w:val="auto"/>
                <w:sz w:val="24"/>
                <w:szCs w:val="24"/>
                <w:highlight w:val="none"/>
              </w:rPr>
              <w:t>3</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一般：保障措施较一般、针对性一般、合理可行性一般，得1分；</w:t>
            </w:r>
          </w:p>
          <w:p>
            <w:pPr>
              <w:pStyle w:val="87"/>
              <w:keepNext w:val="0"/>
              <w:keepLines w:val="0"/>
              <w:suppressLineNumbers w:val="0"/>
              <w:shd w:val="clear"/>
              <w:spacing w:before="0" w:beforeAutospacing="0" w:afterAutospacing="0"/>
              <w:ind w:left="0" w:right="61"/>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差：未提供质量、安全、进度和保密等保证措施，得0分。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tcBorders>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360" w:lineRule="auto"/>
              <w:ind w:left="0" w:right="-15" w:rightChars="-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勘察工作重点、难点分析和保障措施</w:t>
            </w:r>
          </w:p>
          <w:p>
            <w:pPr>
              <w:pStyle w:val="87"/>
              <w:keepNext w:val="0"/>
              <w:keepLines w:val="0"/>
              <w:suppressLineNumbers w:val="0"/>
              <w:shd w:val="clear"/>
              <w:spacing w:before="0" w:beforeAutospacing="0" w:afterAutospacing="0" w:line="360" w:lineRule="auto"/>
              <w:ind w:left="0" w:right="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5</w:t>
            </w:r>
            <w:r>
              <w:rPr>
                <w:rFonts w:hint="eastAsia" w:ascii="宋体" w:hAnsi="宋体" w:cs="宋体"/>
                <w:color w:val="auto"/>
                <w:sz w:val="24"/>
                <w:szCs w:val="24"/>
                <w:highlight w:val="none"/>
              </w:rPr>
              <w:t>分）</w:t>
            </w:r>
          </w:p>
        </w:tc>
        <w:tc>
          <w:tcPr>
            <w:tcW w:w="580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对勘察各环节进行重点难点分析，并提出应对保障措施。</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优：针对性强、思路清晰、分析到位、应对保障措施具体、方法合理可行，得</w:t>
            </w:r>
            <w:r>
              <w:rPr>
                <w:rFonts w:hint="default"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良：具有一定的针对性、思路较清晰、分析较到位、有应对保障措施、方法较得当，得3分；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一般：针对性一般、应对保障措施一般、方法不太可行，得1分；</w:t>
            </w:r>
          </w:p>
          <w:p>
            <w:pPr>
              <w:pStyle w:val="87"/>
              <w:keepNext w:val="0"/>
              <w:keepLines w:val="0"/>
              <w:suppressLineNumbers w:val="0"/>
              <w:shd w:val="clear"/>
              <w:spacing w:before="0" w:beforeAutospacing="0" w:afterAutospacing="0"/>
              <w:ind w:left="0" w:right="61"/>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差：未提供重点难点分析，没有应对保障措施，得0分。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jc w:val="center"/>
        </w:trPr>
        <w:tc>
          <w:tcPr>
            <w:tcW w:w="884" w:type="dxa"/>
            <w:vMerge w:val="continue"/>
            <w:tcBorders>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982" w:type="dxa"/>
            <w:vMerge w:val="continue"/>
            <w:tcBorders>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为本项目提供服务的优势及承诺</w:t>
            </w:r>
          </w:p>
          <w:p>
            <w:pPr>
              <w:pStyle w:val="87"/>
              <w:keepNext w:val="0"/>
              <w:keepLines w:val="0"/>
              <w:suppressLineNumbers w:val="0"/>
              <w:shd w:val="clear"/>
              <w:spacing w:before="0" w:beforeAutospacing="0" w:afterAutospacing="0" w:line="360" w:lineRule="auto"/>
              <w:ind w:left="0" w:leftChars="0" w:right="0" w:rightChars="0"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4</w:t>
            </w:r>
            <w:r>
              <w:rPr>
                <w:rFonts w:hint="eastAsia" w:ascii="宋体" w:hAnsi="宋体" w:cs="宋体"/>
                <w:color w:val="auto"/>
                <w:sz w:val="24"/>
                <w:szCs w:val="24"/>
                <w:highlight w:val="none"/>
              </w:rPr>
              <w:t>分）</w:t>
            </w:r>
          </w:p>
        </w:tc>
        <w:tc>
          <w:tcPr>
            <w:tcW w:w="580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提供明确具体的服务优势及承诺。</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优：针对性强、思路清晰、服务优势及承诺明确具体，得</w:t>
            </w:r>
            <w:r>
              <w:rPr>
                <w:rFonts w:hint="default" w:ascii="宋体" w:hAnsi="宋体" w:eastAsia="宋体" w:cs="宋体"/>
                <w:color w:val="auto"/>
                <w:sz w:val="24"/>
                <w:szCs w:val="24"/>
                <w:highlight w:val="none"/>
              </w:rPr>
              <w:t>4</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良：针对性较强、思路较清晰、服务优势及承诺较明确，得</w:t>
            </w:r>
            <w:r>
              <w:rPr>
                <w:rFonts w:hint="default"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p>
            <w:pPr>
              <w:keepNext w:val="0"/>
              <w:keepLines w:val="0"/>
              <w:widowControl/>
              <w:suppressLineNumbers w:val="0"/>
              <w:shd w:val="clear"/>
              <w:spacing w:before="0" w:beforeAutospacing="0" w:after="0" w:afterAutospacing="0" w:line="240" w:lineRule="auto"/>
              <w:ind w:left="0" w:right="62" w:rightChars="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一般：针对性一般、服务优势及承诺一般，得1分；</w:t>
            </w:r>
          </w:p>
          <w:p>
            <w:pPr>
              <w:pStyle w:val="87"/>
              <w:keepNext w:val="0"/>
              <w:keepLines w:val="0"/>
              <w:suppressLineNumbers w:val="0"/>
              <w:shd w:val="clear"/>
              <w:spacing w:before="0" w:beforeAutospacing="0" w:afterAutospacing="0"/>
              <w:ind w:left="0" w:right="61"/>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差：没有针对性，服务优势及承诺不明确，得0分。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2.2.4（3）</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投标报价评分标准</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t>分</w:t>
            </w:r>
          </w:p>
        </w:tc>
        <w:tc>
          <w:tcPr>
            <w:tcW w:w="580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hd w:val="clear"/>
              <w:spacing w:before="0" w:beforeAutospacing="0" w:after="0" w:afterAutospacing="0" w:line="240" w:lineRule="auto"/>
              <w:ind w:left="0" w:right="0"/>
              <w:jc w:val="both"/>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当投标报价等于评标基准价时得</w:t>
            </w:r>
            <w:r>
              <w:rPr>
                <w:rFonts w:hint="default"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t>分，投标报价每高于评标基准价1%，扣0.</w:t>
            </w:r>
            <w:r>
              <w:rPr>
                <w:rFonts w:hint="default"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分；每低于评标基准价1%，扣0.</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分；报价偏差率不足1%的，按直线内插法计算投标报价得分，最多扣</w:t>
            </w:r>
            <w:r>
              <w:rPr>
                <w:rFonts w:hint="default"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t>分，得分精确到小数点后两位。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2.2.4（4）</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其他因素评分标准</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spacing w:before="0" w:beforeAutospacing="0" w:after="0" w:afterAutospacing="0" w:line="240" w:lineRule="auto"/>
              <w:ind w:left="0" w:right="0"/>
              <w:rPr>
                <w:rFonts w:hint="default" w:ascii="宋体" w:hAnsi="宋体" w:eastAsia="宋体" w:cs="宋体"/>
                <w:color w:val="auto"/>
                <w:sz w:val="24"/>
                <w:szCs w:val="24"/>
                <w:highlight w:val="none"/>
              </w:rPr>
            </w:pPr>
          </w:p>
        </w:tc>
      </w:tr>
    </w:tbl>
    <w:p>
      <w:pPr>
        <w:shd w:val="clear"/>
        <w:spacing w:after="0" w:line="240" w:lineRule="auto"/>
        <w:jc w:val="both"/>
        <w:rPr>
          <w:rFonts w:hint="eastAsia" w:ascii="宋体" w:hAnsi="宋体" w:eastAsia="宋体"/>
          <w:color w:val="auto"/>
          <w:sz w:val="21"/>
          <w:szCs w:val="21"/>
          <w:highlight w:val="none"/>
        </w:rPr>
      </w:pPr>
    </w:p>
    <w:p>
      <w:pPr>
        <w:shd w:val="clear"/>
        <w:spacing w:after="123" w:line="300" w:lineRule="exact"/>
        <w:ind w:left="439" w:leftChars="190" w:right="399" w:hanging="21" w:hangingChars="9"/>
        <w:jc w:val="both"/>
        <w:rPr>
          <w:rFonts w:hint="eastAsia" w:ascii="宋体" w:hAnsi="宋体" w:eastAsia="宋体"/>
          <w:color w:val="auto"/>
          <w:sz w:val="24"/>
          <w:szCs w:val="24"/>
          <w:highlight w:val="none"/>
        </w:rPr>
      </w:pPr>
      <w:bookmarkStart w:id="129" w:name="_Toc508788673"/>
      <w:bookmarkStart w:id="130" w:name="_Toc508382156"/>
      <w:r>
        <w:rPr>
          <w:rFonts w:hint="eastAsia" w:ascii="宋体" w:hAnsi="宋体" w:eastAsia="宋体"/>
          <w:color w:val="auto"/>
          <w:sz w:val="24"/>
          <w:szCs w:val="24"/>
          <w:highlight w:val="none"/>
        </w:rPr>
        <w:t>注：1.评委发现投标文件中含义不明确、对同类问题表述不一致、有明显文字和计算错误的，应当要求投标人作必要的澄清、说明后再判定投标人是否通过有效性审查，不得直接否决投标。</w:t>
      </w:r>
    </w:p>
    <w:p>
      <w:pPr>
        <w:shd w:val="clear"/>
        <w:ind w:left="418" w:leftChars="190"/>
        <w:rPr>
          <w:rFonts w:eastAsia="宋体"/>
          <w:b/>
          <w:color w:val="auto"/>
          <w:sz w:val="24"/>
          <w:szCs w:val="24"/>
          <w:highlight w:val="none"/>
        </w:rPr>
      </w:pPr>
      <w:r>
        <w:rPr>
          <w:rFonts w:hint="eastAsia" w:ascii="宋体" w:hAnsi="宋体" w:eastAsia="宋体"/>
          <w:color w:val="auto"/>
          <w:sz w:val="24"/>
          <w:szCs w:val="24"/>
          <w:highlight w:val="none"/>
        </w:rPr>
        <w:t>2.投标人的综合得分为将各评委的评分汇总后取算术平均分（分数出现小数点时，保留小数点后二位，第三位小数四舍五入）</w:t>
      </w:r>
    </w:p>
    <w:p>
      <w:pPr>
        <w:shd w:val="clear"/>
        <w:spacing w:after="0"/>
        <w:jc w:val="both"/>
        <w:rPr>
          <w:rFonts w:eastAsia="宋体"/>
          <w:b/>
          <w:color w:val="auto"/>
          <w:sz w:val="24"/>
          <w:szCs w:val="24"/>
          <w:highlight w:val="none"/>
        </w:rPr>
      </w:pPr>
    </w:p>
    <w:p>
      <w:pPr>
        <w:shd w:val="clear"/>
        <w:spacing w:after="0" w:line="360" w:lineRule="auto"/>
        <w:ind w:firstLine="482" w:firstLineChars="200"/>
        <w:rPr>
          <w:rFonts w:ascii="宋体" w:hAnsi="宋体" w:eastAsia="宋体"/>
          <w:color w:val="auto"/>
          <w:sz w:val="24"/>
          <w:szCs w:val="24"/>
          <w:highlight w:val="none"/>
        </w:rPr>
      </w:pPr>
      <w:r>
        <w:rPr>
          <w:rFonts w:eastAsia="宋体"/>
          <w:b/>
          <w:color w:val="auto"/>
          <w:sz w:val="24"/>
          <w:szCs w:val="24"/>
          <w:highlight w:val="none"/>
        </w:rPr>
        <w:br w:type="page"/>
      </w:r>
      <w:r>
        <w:rPr>
          <w:rFonts w:eastAsia="宋体"/>
          <w:b/>
          <w:color w:val="auto"/>
          <w:sz w:val="24"/>
          <w:szCs w:val="24"/>
          <w:highlight w:val="none"/>
        </w:rPr>
        <w:t xml:space="preserve">1. </w:t>
      </w:r>
      <w:r>
        <w:rPr>
          <w:rFonts w:hint="eastAsia" w:eastAsia="宋体"/>
          <w:color w:val="auto"/>
          <w:sz w:val="24"/>
          <w:szCs w:val="24"/>
          <w:highlight w:val="none"/>
        </w:rPr>
        <w:t>评标方法</w:t>
      </w:r>
      <w:bookmarkEnd w:id="129"/>
      <w:bookmarkEnd w:id="130"/>
      <w:r>
        <w:rPr>
          <w:rFonts w:eastAsia="宋体"/>
          <w:b/>
          <w:color w:val="auto"/>
          <w:sz w:val="24"/>
          <w:szCs w:val="24"/>
          <w:highlight w:val="none"/>
        </w:rPr>
        <w:t xml:space="preserve"> </w:t>
      </w:r>
    </w:p>
    <w:p>
      <w:pPr>
        <w:shd w:val="clear"/>
        <w:spacing w:after="0" w:line="360" w:lineRule="auto"/>
        <w:ind w:firstLine="480" w:firstLineChars="200"/>
        <w:rPr>
          <w:rFonts w:hint="eastAsia" w:ascii="宋体" w:hAnsi="宋体" w:eastAsia="宋体"/>
          <w:color w:val="auto"/>
          <w:sz w:val="24"/>
          <w:szCs w:val="24"/>
          <w:highlight w:val="none"/>
        </w:rPr>
      </w:pPr>
      <w:bookmarkStart w:id="131" w:name="_Toc508382157"/>
      <w:bookmarkStart w:id="132" w:name="_Toc508788674"/>
      <w:r>
        <w:rPr>
          <w:rFonts w:hint="eastAsia" w:ascii="宋体" w:hAnsi="宋体" w:eastAsia="宋体"/>
          <w:color w:val="auto"/>
          <w:sz w:val="24"/>
          <w:szCs w:val="24"/>
          <w:highlight w:val="none"/>
        </w:rPr>
        <w:t>本次评标采用综合评估法。评标委员会对满足招标文件实质性要求的投标文件，按照本章第2.2款规定的评分标准进行打分，并按得分由高到低顺序推荐中标候选人，但投标报价低于其成本的除</w:t>
      </w:r>
      <w:bookmarkStart w:id="133" w:name="_Toc352691533"/>
      <w:bookmarkStart w:id="134" w:name="_Toc152045598"/>
      <w:bookmarkStart w:id="135" w:name="_Toc4497"/>
      <w:bookmarkStart w:id="136" w:name="_Toc247527623"/>
      <w:bookmarkStart w:id="137" w:name="_Toc144974565"/>
      <w:bookmarkStart w:id="138" w:name="_Toc369531577"/>
      <w:bookmarkStart w:id="139" w:name="_Toc384308272"/>
      <w:bookmarkStart w:id="140" w:name="_Toc361508646"/>
      <w:bookmarkStart w:id="141" w:name="_Toc247514022"/>
      <w:bookmarkStart w:id="142" w:name="_Toc300835008"/>
      <w:bookmarkStart w:id="143" w:name="_Toc152042375"/>
      <w:r>
        <w:rPr>
          <w:rFonts w:hint="eastAsia" w:ascii="宋体" w:hAnsi="宋体" w:eastAsia="宋体"/>
          <w:color w:val="auto"/>
          <w:sz w:val="24"/>
          <w:szCs w:val="24"/>
          <w:highlight w:val="none"/>
        </w:rPr>
        <w:t>外。</w:t>
      </w:r>
      <w:bookmarkEnd w:id="133"/>
      <w:bookmarkEnd w:id="134"/>
      <w:bookmarkEnd w:id="135"/>
      <w:bookmarkEnd w:id="136"/>
      <w:bookmarkEnd w:id="137"/>
      <w:bookmarkEnd w:id="138"/>
      <w:bookmarkEnd w:id="139"/>
      <w:bookmarkEnd w:id="140"/>
      <w:bookmarkEnd w:id="141"/>
      <w:bookmarkEnd w:id="142"/>
      <w:bookmarkEnd w:id="143"/>
      <w:r>
        <w:rPr>
          <w:rFonts w:hint="eastAsia" w:ascii="宋体" w:hAnsi="宋体" w:eastAsia="宋体"/>
          <w:color w:val="auto"/>
          <w:sz w:val="24"/>
          <w:szCs w:val="24"/>
          <w:highlight w:val="none"/>
        </w:rPr>
        <w:t>综合评分相等的，以资信业绩部分得分高的优先；资信业绩部分得分也相等的，以技术部分得分高的优先；如果技术部分得分也相等，则由评委以记名投票方式进行表决，确定相等得分的中标候选人的排序。</w:t>
      </w:r>
    </w:p>
    <w:p>
      <w:pPr>
        <w:pStyle w:val="2"/>
        <w:shd w:val="clear"/>
        <w:spacing w:after="0" w:line="360" w:lineRule="auto"/>
        <w:ind w:left="0" w:right="0" w:firstLine="482" w:firstLineChars="200"/>
        <w:rPr>
          <w:rFonts w:ascii="宋体" w:hAnsi="宋体" w:eastAsia="宋体"/>
          <w:color w:val="auto"/>
          <w:sz w:val="24"/>
          <w:szCs w:val="24"/>
          <w:highlight w:val="none"/>
        </w:rPr>
      </w:pPr>
      <w:r>
        <w:rPr>
          <w:rFonts w:ascii="宋体" w:hAnsi="宋体" w:eastAsia="宋体"/>
          <w:b/>
          <w:color w:val="auto"/>
          <w:sz w:val="24"/>
          <w:szCs w:val="24"/>
          <w:highlight w:val="none"/>
        </w:rPr>
        <w:t xml:space="preserve">2. </w:t>
      </w:r>
      <w:r>
        <w:rPr>
          <w:rFonts w:hint="eastAsia" w:ascii="宋体" w:hAnsi="宋体" w:eastAsia="宋体"/>
          <w:color w:val="auto"/>
          <w:sz w:val="24"/>
          <w:szCs w:val="24"/>
          <w:highlight w:val="none"/>
        </w:rPr>
        <w:t>评审标准</w:t>
      </w:r>
      <w:bookmarkEnd w:id="131"/>
      <w:bookmarkEnd w:id="132"/>
      <w:r>
        <w:rPr>
          <w:rFonts w:ascii="宋体" w:hAnsi="宋体" w:eastAsia="宋体"/>
          <w:b/>
          <w:color w:val="auto"/>
          <w:sz w:val="24"/>
          <w:szCs w:val="24"/>
          <w:highlight w:val="none"/>
        </w:rPr>
        <w:t xml:space="preserve"> </w:t>
      </w:r>
    </w:p>
    <w:p>
      <w:pPr>
        <w:pStyle w:val="4"/>
        <w:shd w:val="clear"/>
        <w:spacing w:after="0" w:line="360" w:lineRule="auto"/>
        <w:ind w:left="0" w:right="0" w:firstLine="480" w:firstLineChars="200"/>
        <w:rPr>
          <w:rFonts w:ascii="宋体" w:hAnsi="宋体" w:eastAsia="宋体"/>
          <w:color w:val="auto"/>
          <w:sz w:val="24"/>
          <w:szCs w:val="24"/>
          <w:highlight w:val="none"/>
        </w:rPr>
      </w:pPr>
      <w:bookmarkStart w:id="144" w:name="_Toc508788675"/>
      <w:bookmarkStart w:id="145" w:name="_Toc508382158"/>
      <w:r>
        <w:rPr>
          <w:rFonts w:ascii="宋体" w:hAnsi="宋体" w:eastAsia="宋体"/>
          <w:color w:val="auto"/>
          <w:sz w:val="24"/>
          <w:szCs w:val="24"/>
          <w:highlight w:val="none"/>
        </w:rPr>
        <w:t xml:space="preserve">2.1 </w:t>
      </w:r>
      <w:r>
        <w:rPr>
          <w:rFonts w:hint="eastAsia" w:ascii="宋体" w:hAnsi="宋体" w:eastAsia="宋体"/>
          <w:color w:val="auto"/>
          <w:sz w:val="24"/>
          <w:szCs w:val="24"/>
          <w:highlight w:val="none"/>
        </w:rPr>
        <w:t>初步评审标准</w:t>
      </w:r>
      <w:bookmarkEnd w:id="144"/>
      <w:bookmarkEnd w:id="145"/>
      <w:r>
        <w:rPr>
          <w:rFonts w:ascii="宋体" w:hAnsi="宋体" w:eastAsia="宋体"/>
          <w:color w:val="auto"/>
          <w:sz w:val="24"/>
          <w:szCs w:val="24"/>
          <w:highlight w:val="none"/>
        </w:rPr>
        <w:t xml:space="preserve"> </w:t>
      </w:r>
    </w:p>
    <w:p>
      <w:pPr>
        <w:shd w:val="clear"/>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2.1.1 </w:t>
      </w:r>
      <w:r>
        <w:rPr>
          <w:rFonts w:hint="eastAsia" w:ascii="宋体" w:hAnsi="宋体" w:eastAsia="宋体" w:cs="宋体"/>
          <w:color w:val="auto"/>
          <w:sz w:val="24"/>
          <w:szCs w:val="24"/>
          <w:highlight w:val="none"/>
        </w:rPr>
        <w:t>形式评审标准：见评标办法前附表。</w:t>
      </w:r>
      <w:r>
        <w:rPr>
          <w:rFonts w:ascii="宋体" w:hAnsi="宋体" w:eastAsia="宋体"/>
          <w:color w:val="auto"/>
          <w:sz w:val="24"/>
          <w:szCs w:val="24"/>
          <w:highlight w:val="none"/>
        </w:rPr>
        <w:t xml:space="preserve"> </w:t>
      </w:r>
    </w:p>
    <w:p>
      <w:pPr>
        <w:shd w:val="clear"/>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2.1.2 </w:t>
      </w:r>
      <w:r>
        <w:rPr>
          <w:rFonts w:hint="eastAsia" w:ascii="宋体" w:hAnsi="宋体" w:eastAsia="宋体" w:cs="宋体"/>
          <w:color w:val="auto"/>
          <w:sz w:val="24"/>
          <w:szCs w:val="24"/>
          <w:highlight w:val="none"/>
        </w:rPr>
        <w:t>资格评审标准：见评标办法前附表。</w:t>
      </w:r>
      <w:r>
        <w:rPr>
          <w:rFonts w:ascii="宋体" w:hAnsi="宋体" w:eastAsia="宋体"/>
          <w:color w:val="auto"/>
          <w:sz w:val="24"/>
          <w:szCs w:val="24"/>
          <w:highlight w:val="none"/>
        </w:rPr>
        <w:t xml:space="preserve"> </w:t>
      </w:r>
    </w:p>
    <w:p>
      <w:pPr>
        <w:shd w:val="clear"/>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2.1.3 </w:t>
      </w:r>
      <w:r>
        <w:rPr>
          <w:rFonts w:hint="eastAsia" w:ascii="宋体" w:hAnsi="宋体" w:eastAsia="宋体" w:cs="宋体"/>
          <w:color w:val="auto"/>
          <w:sz w:val="24"/>
          <w:szCs w:val="24"/>
          <w:highlight w:val="none"/>
        </w:rPr>
        <w:t>响应性评审标准：见评标办法前附表。</w:t>
      </w:r>
      <w:r>
        <w:rPr>
          <w:rFonts w:ascii="宋体" w:hAnsi="宋体" w:eastAsia="宋体"/>
          <w:color w:val="auto"/>
          <w:sz w:val="24"/>
          <w:szCs w:val="24"/>
          <w:highlight w:val="none"/>
        </w:rPr>
        <w:t xml:space="preserve"> </w:t>
      </w:r>
    </w:p>
    <w:p>
      <w:pPr>
        <w:pStyle w:val="4"/>
        <w:shd w:val="clear"/>
        <w:spacing w:after="0" w:line="360" w:lineRule="auto"/>
        <w:ind w:left="0" w:right="0" w:firstLine="480" w:firstLineChars="200"/>
        <w:rPr>
          <w:rFonts w:ascii="宋体" w:hAnsi="宋体" w:eastAsia="宋体"/>
          <w:color w:val="auto"/>
          <w:sz w:val="24"/>
          <w:szCs w:val="24"/>
          <w:highlight w:val="none"/>
        </w:rPr>
      </w:pPr>
      <w:bookmarkStart w:id="146" w:name="_Toc508382159"/>
      <w:bookmarkStart w:id="147" w:name="_Toc508788676"/>
      <w:r>
        <w:rPr>
          <w:rFonts w:ascii="宋体" w:hAnsi="宋体" w:eastAsia="宋体"/>
          <w:color w:val="auto"/>
          <w:sz w:val="24"/>
          <w:szCs w:val="24"/>
          <w:highlight w:val="none"/>
        </w:rPr>
        <w:t xml:space="preserve">2.2 </w:t>
      </w:r>
      <w:r>
        <w:rPr>
          <w:rFonts w:hint="eastAsia" w:ascii="宋体" w:hAnsi="宋体" w:eastAsia="宋体"/>
          <w:color w:val="auto"/>
          <w:sz w:val="24"/>
          <w:szCs w:val="24"/>
          <w:highlight w:val="none"/>
        </w:rPr>
        <w:t>分值构成与评分标准</w:t>
      </w:r>
      <w:bookmarkEnd w:id="146"/>
      <w:bookmarkEnd w:id="147"/>
      <w:r>
        <w:rPr>
          <w:rFonts w:ascii="宋体" w:hAnsi="宋体" w:eastAsia="宋体"/>
          <w:color w:val="auto"/>
          <w:sz w:val="24"/>
          <w:szCs w:val="24"/>
          <w:highlight w:val="none"/>
        </w:rPr>
        <w:t xml:space="preserve"> </w:t>
      </w:r>
    </w:p>
    <w:p>
      <w:pPr>
        <w:shd w:val="clear"/>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2.2.1 </w:t>
      </w:r>
      <w:r>
        <w:rPr>
          <w:rFonts w:hint="eastAsia" w:ascii="宋体" w:hAnsi="宋体" w:eastAsia="宋体" w:cs="宋体"/>
          <w:color w:val="auto"/>
          <w:sz w:val="24"/>
          <w:szCs w:val="24"/>
          <w:highlight w:val="none"/>
        </w:rPr>
        <w:t>分值构成</w:t>
      </w:r>
      <w:r>
        <w:rPr>
          <w:rFonts w:ascii="宋体" w:hAnsi="宋体" w:eastAsia="宋体"/>
          <w:color w:val="auto"/>
          <w:sz w:val="24"/>
          <w:szCs w:val="24"/>
          <w:highlight w:val="none"/>
        </w:rPr>
        <w:t xml:space="preserve"> </w:t>
      </w:r>
    </w:p>
    <w:p>
      <w:pPr>
        <w:shd w:val="clea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s="宋体"/>
          <w:color w:val="auto"/>
          <w:sz w:val="24"/>
          <w:szCs w:val="24"/>
          <w:highlight w:val="none"/>
        </w:rPr>
        <w:t>）资信业绩部分：见评标办法前附表；</w:t>
      </w:r>
    </w:p>
    <w:p>
      <w:pPr>
        <w:shd w:val="clear"/>
        <w:spacing w:after="0" w:line="360" w:lineRule="auto"/>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s="宋体"/>
          <w:color w:val="auto"/>
          <w:sz w:val="24"/>
          <w:szCs w:val="24"/>
          <w:highlight w:val="none"/>
        </w:rPr>
        <w:t>）技术方案部分：见评标办法前附表；</w:t>
      </w:r>
      <w:r>
        <w:rPr>
          <w:rFonts w:ascii="宋体" w:hAnsi="宋体" w:eastAsia="宋体"/>
          <w:color w:val="auto"/>
          <w:sz w:val="24"/>
          <w:szCs w:val="24"/>
          <w:highlight w:val="none"/>
        </w:rPr>
        <w:t xml:space="preserve"> </w:t>
      </w:r>
      <w:bookmarkStart w:id="186" w:name="_GoBack"/>
      <w:bookmarkEnd w:id="186"/>
    </w:p>
    <w:p>
      <w:pPr>
        <w:numPr>
          <w:ilvl w:val="0"/>
          <w:numId w:val="6"/>
        </w:numPr>
        <w:shd w:val="clear"/>
        <w:spacing w:after="0" w:line="360" w:lineRule="auto"/>
        <w:ind w:left="0" w:firstLine="480" w:firstLineChars="200"/>
        <w:rPr>
          <w:rFonts w:ascii="宋体" w:hAnsi="宋体" w:eastAsia="宋体"/>
          <w:strike/>
          <w:color w:val="auto"/>
          <w:sz w:val="24"/>
          <w:szCs w:val="24"/>
          <w:highlight w:val="none"/>
        </w:rPr>
      </w:pPr>
      <w:r>
        <w:rPr>
          <w:rFonts w:hint="eastAsia" w:ascii="宋体" w:hAnsi="宋体" w:eastAsia="宋体" w:cs="宋体"/>
          <w:color w:val="auto"/>
          <w:sz w:val="24"/>
          <w:szCs w:val="24"/>
          <w:highlight w:val="none"/>
        </w:rPr>
        <w:t>投标报价：见评标办法前附表；</w:t>
      </w:r>
      <w:r>
        <w:rPr>
          <w:rFonts w:ascii="宋体" w:hAnsi="宋体" w:eastAsia="宋体"/>
          <w:color w:val="auto"/>
          <w:sz w:val="24"/>
          <w:szCs w:val="24"/>
          <w:highlight w:val="none"/>
        </w:rPr>
        <w:t xml:space="preserve"> </w:t>
      </w:r>
    </w:p>
    <w:p>
      <w:pPr>
        <w:shd w:val="clear"/>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2.2.2 </w:t>
      </w:r>
      <w:r>
        <w:rPr>
          <w:rFonts w:hint="eastAsia" w:ascii="宋体" w:hAnsi="宋体" w:eastAsia="宋体" w:cs="宋体"/>
          <w:color w:val="auto"/>
          <w:sz w:val="24"/>
          <w:szCs w:val="24"/>
          <w:highlight w:val="none"/>
        </w:rPr>
        <w:t>评标基准价计算</w:t>
      </w:r>
      <w:r>
        <w:rPr>
          <w:rFonts w:ascii="宋体" w:hAnsi="宋体" w:eastAsia="宋体"/>
          <w:color w:val="auto"/>
          <w:sz w:val="24"/>
          <w:szCs w:val="24"/>
          <w:highlight w:val="none"/>
        </w:rPr>
        <w:t xml:space="preserve"> </w:t>
      </w:r>
    </w:p>
    <w:p>
      <w:pPr>
        <w:shd w:val="clear"/>
        <w:spacing w:after="0" w:line="360" w:lineRule="auto"/>
        <w:ind w:firstLine="1200" w:firstLineChars="500"/>
        <w:rPr>
          <w:rFonts w:ascii="宋体" w:hAnsi="宋体" w:eastAsia="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r>
        <w:rPr>
          <w:rFonts w:ascii="宋体" w:hAnsi="宋体" w:eastAsia="宋体"/>
          <w:color w:val="auto"/>
          <w:sz w:val="24"/>
          <w:szCs w:val="24"/>
          <w:highlight w:val="none"/>
        </w:rPr>
        <w:t xml:space="preserve"> </w:t>
      </w:r>
    </w:p>
    <w:p>
      <w:pPr>
        <w:shd w:val="clear"/>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2.2.3 </w:t>
      </w:r>
      <w:r>
        <w:rPr>
          <w:rFonts w:hint="eastAsia" w:ascii="宋体" w:hAnsi="宋体" w:eastAsia="宋体" w:cs="宋体"/>
          <w:color w:val="auto"/>
          <w:sz w:val="24"/>
          <w:szCs w:val="24"/>
          <w:highlight w:val="none"/>
        </w:rPr>
        <w:t>投标报价的偏差率计算</w:t>
      </w:r>
      <w:r>
        <w:rPr>
          <w:rFonts w:ascii="宋体" w:hAnsi="宋体" w:eastAsia="宋体"/>
          <w:color w:val="auto"/>
          <w:sz w:val="24"/>
          <w:szCs w:val="24"/>
          <w:highlight w:val="none"/>
        </w:rPr>
        <w:t xml:space="preserve"> </w:t>
      </w:r>
    </w:p>
    <w:p>
      <w:pPr>
        <w:shd w:val="clear"/>
        <w:spacing w:after="0" w:line="360" w:lineRule="auto"/>
        <w:ind w:firstLine="1200" w:firstLineChars="500"/>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r>
        <w:rPr>
          <w:rFonts w:ascii="宋体" w:hAnsi="宋体" w:eastAsia="宋体"/>
          <w:color w:val="auto"/>
          <w:sz w:val="24"/>
          <w:szCs w:val="24"/>
          <w:highlight w:val="none"/>
        </w:rPr>
        <w:t xml:space="preserve"> </w:t>
      </w:r>
    </w:p>
    <w:p>
      <w:pPr>
        <w:shd w:val="clear"/>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2.2.4 </w:t>
      </w:r>
      <w:r>
        <w:rPr>
          <w:rFonts w:hint="eastAsia" w:ascii="宋体" w:hAnsi="宋体" w:eastAsia="宋体" w:cs="宋体"/>
          <w:color w:val="auto"/>
          <w:sz w:val="24"/>
          <w:szCs w:val="24"/>
          <w:highlight w:val="none"/>
        </w:rPr>
        <w:t>评分标准</w:t>
      </w:r>
      <w:r>
        <w:rPr>
          <w:rFonts w:ascii="宋体" w:hAnsi="宋体" w:eastAsia="宋体"/>
          <w:color w:val="auto"/>
          <w:sz w:val="24"/>
          <w:szCs w:val="24"/>
          <w:highlight w:val="none"/>
        </w:rPr>
        <w:t xml:space="preserve"> </w:t>
      </w:r>
    </w:p>
    <w:p>
      <w:pPr>
        <w:shd w:val="clea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s="宋体"/>
          <w:color w:val="auto"/>
          <w:sz w:val="24"/>
          <w:szCs w:val="24"/>
          <w:highlight w:val="none"/>
        </w:rPr>
        <w:t>）资信业绩评分标准：见评标办法前附表；</w:t>
      </w:r>
    </w:p>
    <w:p>
      <w:pPr>
        <w:shd w:val="clear"/>
        <w:spacing w:after="0" w:line="360" w:lineRule="auto"/>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s="宋体"/>
          <w:color w:val="auto"/>
          <w:sz w:val="24"/>
          <w:szCs w:val="24"/>
          <w:highlight w:val="none"/>
        </w:rPr>
        <w:t>）技术方案评分标准：见评标办法前附表；</w:t>
      </w:r>
      <w:r>
        <w:rPr>
          <w:rFonts w:ascii="宋体" w:hAnsi="宋体" w:eastAsia="宋体"/>
          <w:color w:val="auto"/>
          <w:sz w:val="24"/>
          <w:szCs w:val="24"/>
          <w:highlight w:val="none"/>
        </w:rPr>
        <w:t xml:space="preserve"> </w:t>
      </w:r>
    </w:p>
    <w:p>
      <w:pPr>
        <w:numPr>
          <w:ilvl w:val="0"/>
          <w:numId w:val="7"/>
        </w:numPr>
        <w:shd w:val="clear"/>
        <w:spacing w:after="0" w:line="360" w:lineRule="auto"/>
        <w:ind w:left="0"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投标报价评分标准：见评标办法前附表；</w:t>
      </w:r>
      <w:r>
        <w:rPr>
          <w:rFonts w:ascii="宋体" w:hAnsi="宋体" w:eastAsia="宋体"/>
          <w:color w:val="auto"/>
          <w:sz w:val="24"/>
          <w:szCs w:val="24"/>
          <w:highlight w:val="none"/>
        </w:rPr>
        <w:t xml:space="preserve"> </w:t>
      </w:r>
      <w:bookmarkStart w:id="148" w:name="_Toc508382160"/>
      <w:bookmarkStart w:id="149" w:name="_Toc508788677"/>
    </w:p>
    <w:p>
      <w:pPr>
        <w:numPr>
          <w:ilvl w:val="0"/>
          <w:numId w:val="8"/>
        </w:numPr>
        <w:shd w:val="clear"/>
        <w:spacing w:after="0" w:line="360" w:lineRule="auto"/>
        <w:ind w:left="440" w:left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评标程序</w:t>
      </w:r>
      <w:bookmarkEnd w:id="148"/>
      <w:bookmarkEnd w:id="149"/>
      <w:bookmarkStart w:id="150" w:name="_Toc508788678"/>
      <w:bookmarkStart w:id="151" w:name="_Toc508382161"/>
    </w:p>
    <w:p>
      <w:pPr>
        <w:shd w:val="clear"/>
        <w:spacing w:after="0" w:line="360" w:lineRule="auto"/>
        <w:ind w:firstLine="240" w:firstLineChars="100"/>
        <w:rPr>
          <w:rFonts w:ascii="宋体" w:hAnsi="宋体" w:eastAsia="宋体"/>
          <w:color w:val="auto"/>
          <w:sz w:val="24"/>
          <w:szCs w:val="24"/>
          <w:highlight w:val="none"/>
        </w:rPr>
      </w:pPr>
      <w:r>
        <w:rPr>
          <w:rFonts w:ascii="宋体" w:hAnsi="宋体" w:eastAsia="宋体"/>
          <w:color w:val="auto"/>
          <w:sz w:val="24"/>
          <w:szCs w:val="24"/>
          <w:highlight w:val="none"/>
        </w:rPr>
        <w:t xml:space="preserve">3.1 </w:t>
      </w:r>
      <w:r>
        <w:rPr>
          <w:rFonts w:hint="eastAsia" w:ascii="宋体" w:hAnsi="宋体" w:eastAsia="宋体"/>
          <w:color w:val="auto"/>
          <w:sz w:val="24"/>
          <w:szCs w:val="24"/>
          <w:highlight w:val="none"/>
        </w:rPr>
        <w:t>初步评审</w:t>
      </w:r>
      <w:bookmarkEnd w:id="150"/>
      <w:bookmarkEnd w:id="151"/>
      <w:r>
        <w:rPr>
          <w:rFonts w:ascii="宋体" w:hAnsi="宋体" w:eastAsia="宋体"/>
          <w:color w:val="auto"/>
          <w:sz w:val="24"/>
          <w:szCs w:val="24"/>
          <w:highlight w:val="none"/>
        </w:rPr>
        <w:t xml:space="preserve"> </w:t>
      </w:r>
    </w:p>
    <w:p>
      <w:pPr>
        <w:shd w:val="clear"/>
        <w:spacing w:after="123" w:line="360" w:lineRule="auto"/>
        <w:ind w:right="103" w:firstLine="407"/>
        <w:jc w:val="both"/>
        <w:rPr>
          <w:rFonts w:ascii="宋体" w:hAnsi="宋体" w:eastAsia="宋体"/>
          <w:color w:val="auto"/>
          <w:sz w:val="24"/>
          <w:szCs w:val="24"/>
          <w:highlight w:val="none"/>
        </w:rPr>
      </w:pPr>
      <w:r>
        <w:rPr>
          <w:rFonts w:ascii="宋体" w:hAnsi="宋体" w:eastAsia="宋体"/>
          <w:color w:val="auto"/>
          <w:sz w:val="24"/>
          <w:szCs w:val="24"/>
          <w:highlight w:val="none"/>
        </w:rPr>
        <w:t xml:space="preserve">3.1.1 </w:t>
      </w:r>
      <w:r>
        <w:rPr>
          <w:rFonts w:hint="eastAsia" w:ascii="宋体" w:hAnsi="宋体" w:eastAsia="宋体" w:cs="宋体"/>
          <w:color w:val="auto"/>
          <w:sz w:val="24"/>
          <w:szCs w:val="24"/>
          <w:highlight w:val="none"/>
        </w:rPr>
        <w:t>评标委员会可以要求投标人提交第二章</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投标人须知</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规定的有关证明和证件的原件，以便核验。评标委员会依据本章第</w:t>
      </w:r>
      <w:r>
        <w:rPr>
          <w:rFonts w:ascii="宋体" w:hAnsi="宋体" w:eastAsia="宋体" w:cs="宋体"/>
          <w:color w:val="auto"/>
          <w:sz w:val="24"/>
          <w:szCs w:val="24"/>
          <w:highlight w:val="none"/>
        </w:rPr>
        <w:t xml:space="preserve"> </w:t>
      </w:r>
      <w:r>
        <w:rPr>
          <w:rFonts w:ascii="宋体" w:hAnsi="宋体" w:eastAsia="宋体"/>
          <w:color w:val="auto"/>
          <w:sz w:val="24"/>
          <w:szCs w:val="24"/>
          <w:highlight w:val="none"/>
        </w:rPr>
        <w:t xml:space="preserve">2.1 </w:t>
      </w:r>
      <w:r>
        <w:rPr>
          <w:rFonts w:hint="eastAsia" w:ascii="宋体" w:hAnsi="宋体" w:eastAsia="宋体" w:cs="宋体"/>
          <w:color w:val="auto"/>
          <w:sz w:val="24"/>
          <w:szCs w:val="24"/>
          <w:highlight w:val="none"/>
        </w:rPr>
        <w:t>款规定的标准对投标文件进行初步评审。有一项不符合评审标准的，评标委员会应当否决其投标。</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初步评审包括形式评审、资格评审及响应性评审三部分。评标委员会首先按本章第2.1.1项形式评审标准对投标人进行形式评审，通过形式评审的投标人方可进入资格评审；然后按本章第2.1.2项资格评审标准对投标人进行资格评审，通过资格评审的投标人方可进入响应性评审；按本章第2.1.3项响应性评审标准对通过资格评审的投标人进行响应性评审，通过响应性评审的投标人方可进入下一阶段评审。如评标委员会成员的评审意见不一致时，以评标委员会过半数成员的意见作为评标委员会对该情形的认定结论。</w:t>
      </w:r>
    </w:p>
    <w:p>
      <w:pPr>
        <w:shd w:val="clear"/>
        <w:spacing w:after="123" w:line="360"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3.1.2 </w:t>
      </w:r>
      <w:r>
        <w:rPr>
          <w:rFonts w:hint="eastAsia" w:ascii="宋体" w:hAnsi="宋体" w:eastAsia="宋体" w:cs="宋体"/>
          <w:color w:val="auto"/>
          <w:sz w:val="24"/>
          <w:szCs w:val="24"/>
          <w:highlight w:val="none"/>
        </w:rPr>
        <w:t>投标人有以下情形之一的，评标委员会应当否决其投标：</w:t>
      </w:r>
      <w:r>
        <w:rPr>
          <w:rFonts w:ascii="宋体" w:hAnsi="宋体" w:eastAsia="宋体"/>
          <w:color w:val="auto"/>
          <w:sz w:val="24"/>
          <w:szCs w:val="24"/>
          <w:highlight w:val="none"/>
        </w:rPr>
        <w:t xml:space="preserve"> </w:t>
      </w:r>
    </w:p>
    <w:p>
      <w:pPr>
        <w:numPr>
          <w:ilvl w:val="0"/>
          <w:numId w:val="9"/>
        </w:numPr>
        <w:shd w:val="clear"/>
        <w:spacing w:after="0" w:line="360" w:lineRule="auto"/>
        <w:ind w:right="103" w:firstLine="420"/>
        <w:jc w:val="both"/>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投标文件没有对招标文件的实质性要求和条件作出响应，或者对招标文件的偏   差超出招标文件规定的偏差范围或最高项数；</w:t>
      </w:r>
      <w:r>
        <w:rPr>
          <w:rFonts w:ascii="宋体" w:hAnsi="宋体" w:eastAsia="宋体"/>
          <w:color w:val="auto"/>
          <w:sz w:val="24"/>
          <w:szCs w:val="24"/>
          <w:highlight w:val="none"/>
        </w:rPr>
        <w:t xml:space="preserve"> </w:t>
      </w:r>
    </w:p>
    <w:p>
      <w:pPr>
        <w:numPr>
          <w:ilvl w:val="0"/>
          <w:numId w:val="9"/>
        </w:numPr>
        <w:shd w:val="clear"/>
        <w:spacing w:after="123" w:line="360" w:lineRule="auto"/>
        <w:ind w:right="103" w:firstLine="42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有串通投标、弄虚作假</w:t>
      </w:r>
      <w:r>
        <w:rPr>
          <w:rFonts w:hint="eastAsia" w:ascii="宋体" w:hAnsi="宋体" w:eastAsia="宋体" w:cs="宋体"/>
          <w:color w:val="auto"/>
          <w:sz w:val="24"/>
          <w:szCs w:val="24"/>
          <w:highlight w:val="none"/>
          <w:u w:val="single"/>
        </w:rPr>
        <w:t>骗取中标</w:t>
      </w:r>
      <w:r>
        <w:rPr>
          <w:rFonts w:hint="eastAsia" w:ascii="宋体" w:hAnsi="宋体" w:eastAsia="宋体" w:cs="宋体"/>
          <w:color w:val="auto"/>
          <w:sz w:val="24"/>
          <w:szCs w:val="24"/>
          <w:highlight w:val="none"/>
        </w:rPr>
        <w:t>、行贿等违法行为。</w:t>
      </w:r>
      <w:r>
        <w:rPr>
          <w:rFonts w:ascii="宋体" w:hAnsi="宋体" w:eastAsia="宋体"/>
          <w:color w:val="auto"/>
          <w:sz w:val="24"/>
          <w:szCs w:val="24"/>
          <w:highlight w:val="none"/>
        </w:rPr>
        <w:t xml:space="preserve"> </w:t>
      </w:r>
    </w:p>
    <w:p>
      <w:pPr>
        <w:shd w:val="clear"/>
        <w:spacing w:after="123" w:line="360" w:lineRule="auto"/>
        <w:ind w:left="720" w:right="103" w:hanging="720" w:hangingChars="300"/>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3.1.3 </w:t>
      </w:r>
      <w:bookmarkStart w:id="152" w:name="_Toc508788679"/>
      <w:bookmarkStart w:id="153" w:name="_Toc508382162"/>
      <w:r>
        <w:rPr>
          <w:rFonts w:hint="eastAsia" w:ascii="宋体" w:hAnsi="宋体" w:eastAsia="宋体"/>
          <w:color w:val="auto"/>
          <w:sz w:val="24"/>
          <w:szCs w:val="24"/>
          <w:highlight w:val="none"/>
        </w:rPr>
        <w:t>投标报价有算术错误的，评标委员会按以下原则对投标报价进行修正，修正的价格经投标人书面确认后具有约束力。投标人不接受修正价格的，评标委员会应当否决其投标。</w:t>
      </w:r>
    </w:p>
    <w:p>
      <w:pPr>
        <w:shd w:val="clear"/>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（1）投标文件中的大写金额与小写金额不一致的，以大写金额为准。</w:t>
      </w:r>
    </w:p>
    <w:p>
      <w:pPr>
        <w:shd w:val="clear"/>
        <w:spacing w:after="0" w:line="360" w:lineRule="auto"/>
        <w:ind w:left="960" w:leftChars="218" w:hanging="480" w:hanging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（2）如果投标单价与数量的乘积不等于投标报价的，以投标单价为准，修正投标报价，但投标单价金额小数点有明显错误的除外。</w:t>
      </w:r>
    </w:p>
    <w:p>
      <w:pPr>
        <w:shd w:val="clear"/>
        <w:spacing w:after="0" w:line="360" w:lineRule="auto"/>
        <w:ind w:left="960" w:leftChars="218" w:hanging="480" w:hanging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（3）暂列金额未按招标文件规定的金额填写的，由评标委员会按照招标文件规定的金额进行修正。</w:t>
      </w:r>
    </w:p>
    <w:p>
      <w:pPr>
        <w:shd w:val="clear"/>
        <w:spacing w:after="0" w:line="360" w:lineRule="auto"/>
        <w:ind w:left="480" w:left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（4）如果分项报价中存在缺漏项，则视为缺漏项价格已包含在其他分项报价之中。（5）按上述修正原则修正后的投标报价超过相应投标限价的，由评标委员会做否决投  标处理。</w:t>
      </w:r>
    </w:p>
    <w:p>
      <w:pPr>
        <w:pStyle w:val="4"/>
        <w:shd w:val="clear"/>
        <w:spacing w:after="0" w:line="360" w:lineRule="auto"/>
        <w:ind w:left="936" w:leftChars="204" w:right="0" w:hanging="487" w:hangingChars="203"/>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（6）按上述修正错误的原则及方法调整或修正投标文件的投标报价，调整后的投标报价对投标人起约束作用。如果投标人不接受修正后的报价，则取消其投标资格或中标资格。</w:t>
      </w:r>
    </w:p>
    <w:p>
      <w:pPr>
        <w:pStyle w:val="4"/>
        <w:pageBreakBefore w:val="0"/>
        <w:widowControl/>
        <w:shd w:val="clear"/>
        <w:kinsoku/>
        <w:wordWrap/>
        <w:overflowPunct/>
        <w:topLinePunct w:val="0"/>
        <w:autoSpaceDE/>
        <w:autoSpaceDN/>
        <w:bidi w:val="0"/>
        <w:adjustRightInd/>
        <w:snapToGrid/>
        <w:spacing w:after="0" w:line="360" w:lineRule="auto"/>
        <w:ind w:left="132" w:right="0"/>
        <w:textAlignment w:val="auto"/>
        <w:rPr>
          <w:rFonts w:ascii="宋体" w:hAnsi="宋体" w:eastAsia="宋体"/>
          <w:color w:val="auto"/>
          <w:sz w:val="24"/>
          <w:szCs w:val="24"/>
          <w:highlight w:val="none"/>
        </w:rPr>
      </w:pPr>
      <w:r>
        <w:rPr>
          <w:rFonts w:ascii="宋体" w:hAnsi="宋体" w:eastAsia="宋体"/>
          <w:color w:val="auto"/>
          <w:sz w:val="24"/>
          <w:szCs w:val="24"/>
          <w:highlight w:val="none"/>
        </w:rPr>
        <w:t xml:space="preserve">3.2 </w:t>
      </w:r>
      <w:r>
        <w:rPr>
          <w:rFonts w:hint="eastAsia" w:ascii="宋体" w:hAnsi="宋体" w:eastAsia="宋体"/>
          <w:color w:val="auto"/>
          <w:sz w:val="24"/>
          <w:szCs w:val="24"/>
          <w:highlight w:val="none"/>
        </w:rPr>
        <w:t>详细评审</w:t>
      </w:r>
      <w:bookmarkEnd w:id="152"/>
      <w:bookmarkEnd w:id="153"/>
      <w:r>
        <w:rPr>
          <w:rFonts w:ascii="宋体" w:hAnsi="宋体" w:eastAsia="宋体"/>
          <w:color w:val="auto"/>
          <w:sz w:val="24"/>
          <w:szCs w:val="24"/>
          <w:highlight w:val="none"/>
        </w:rPr>
        <w:t xml:space="preserve"> </w:t>
      </w:r>
    </w:p>
    <w:p>
      <w:pPr>
        <w:shd w:val="clear"/>
        <w:spacing w:after="13" w:line="356" w:lineRule="auto"/>
        <w:ind w:right="103" w:firstLine="407"/>
        <w:rPr>
          <w:rFonts w:ascii="宋体" w:hAnsi="宋体" w:eastAsia="宋体"/>
          <w:color w:val="auto"/>
          <w:sz w:val="24"/>
          <w:szCs w:val="24"/>
          <w:highlight w:val="none"/>
          <w:u w:val="single"/>
        </w:rPr>
      </w:pPr>
      <w:bookmarkStart w:id="154" w:name="_Toc508788680"/>
      <w:bookmarkStart w:id="155" w:name="_Toc508382163"/>
      <w:r>
        <w:rPr>
          <w:rFonts w:ascii="宋体" w:hAnsi="宋体" w:eastAsia="宋体"/>
          <w:color w:val="auto"/>
          <w:sz w:val="24"/>
          <w:szCs w:val="24"/>
          <w:highlight w:val="none"/>
          <w:u w:val="single"/>
        </w:rPr>
        <w:t>3.2.1评标委员会按本章第2.2款规定的量化因素和分值进行打分，并计算出综合评估得分。</w:t>
      </w:r>
    </w:p>
    <w:p>
      <w:pPr>
        <w:pageBreakBefore w:val="0"/>
        <w:widowControl/>
        <w:shd w:val="clear"/>
        <w:kinsoku/>
        <w:wordWrap/>
        <w:overflowPunct/>
        <w:topLinePunct w:val="0"/>
        <w:autoSpaceDE/>
        <w:autoSpaceDN/>
        <w:bidi w:val="0"/>
        <w:adjustRightInd/>
        <w:snapToGrid/>
        <w:spacing w:after="0" w:line="360" w:lineRule="auto"/>
        <w:ind w:right="103" w:firstLine="420"/>
        <w:textAlignment w:val="auto"/>
        <w:rPr>
          <w:rFonts w:ascii="宋体" w:hAnsi="宋体" w:eastAsia="宋体"/>
          <w:color w:val="auto"/>
          <w:sz w:val="24"/>
          <w:szCs w:val="24"/>
          <w:highlight w:val="none"/>
          <w:u w:val="single"/>
        </w:rPr>
      </w:pPr>
      <w:r>
        <w:rPr>
          <w:rFonts w:ascii="宋体" w:hAnsi="宋体" w:eastAsia="宋体"/>
          <w:color w:val="auto"/>
          <w:sz w:val="24"/>
          <w:szCs w:val="24"/>
          <w:highlight w:val="none"/>
          <w:u w:val="single"/>
        </w:rPr>
        <w:t>（1）按本章第2.2.4（1）目规定的评审因素和分值对资信业绩部分计算出得分A；</w:t>
      </w:r>
    </w:p>
    <w:p>
      <w:pPr>
        <w:pageBreakBefore w:val="0"/>
        <w:widowControl/>
        <w:shd w:val="clear"/>
        <w:kinsoku/>
        <w:wordWrap/>
        <w:overflowPunct/>
        <w:topLinePunct w:val="0"/>
        <w:autoSpaceDE/>
        <w:autoSpaceDN/>
        <w:bidi w:val="0"/>
        <w:adjustRightInd/>
        <w:snapToGrid/>
        <w:spacing w:after="0" w:line="360" w:lineRule="auto"/>
        <w:ind w:right="103" w:firstLine="420"/>
        <w:textAlignment w:val="auto"/>
        <w:rPr>
          <w:rFonts w:ascii="宋体" w:hAnsi="宋体" w:eastAsia="宋体"/>
          <w:color w:val="auto"/>
          <w:sz w:val="24"/>
          <w:szCs w:val="24"/>
          <w:highlight w:val="none"/>
          <w:u w:val="single"/>
        </w:rPr>
      </w:pPr>
      <w:r>
        <w:rPr>
          <w:rFonts w:ascii="宋体" w:hAnsi="宋体" w:eastAsia="宋体"/>
          <w:color w:val="auto"/>
          <w:sz w:val="24"/>
          <w:szCs w:val="24"/>
          <w:highlight w:val="none"/>
          <w:u w:val="single"/>
        </w:rPr>
        <w:t>（2）按本章第2.2.4（2）目规定的评审因素和分值对</w:t>
      </w:r>
      <w:r>
        <w:rPr>
          <w:rFonts w:hint="eastAsia" w:ascii="宋体" w:hAnsi="宋体" w:eastAsia="宋体"/>
          <w:color w:val="auto"/>
          <w:sz w:val="24"/>
          <w:szCs w:val="24"/>
          <w:highlight w:val="none"/>
          <w:u w:val="single"/>
        </w:rPr>
        <w:t>技术</w:t>
      </w:r>
      <w:r>
        <w:rPr>
          <w:rFonts w:ascii="宋体" w:hAnsi="宋体" w:eastAsia="宋体"/>
          <w:color w:val="auto"/>
          <w:sz w:val="24"/>
          <w:szCs w:val="24"/>
          <w:highlight w:val="none"/>
          <w:u w:val="single"/>
        </w:rPr>
        <w:t>部分计算出得分B；</w:t>
      </w:r>
    </w:p>
    <w:p>
      <w:pPr>
        <w:pageBreakBefore w:val="0"/>
        <w:widowControl/>
        <w:shd w:val="clear"/>
        <w:kinsoku/>
        <w:wordWrap/>
        <w:overflowPunct/>
        <w:topLinePunct w:val="0"/>
        <w:autoSpaceDE/>
        <w:autoSpaceDN/>
        <w:bidi w:val="0"/>
        <w:adjustRightInd/>
        <w:snapToGrid/>
        <w:spacing w:after="0" w:line="360" w:lineRule="auto"/>
        <w:ind w:right="103" w:firstLine="420"/>
        <w:textAlignment w:val="auto"/>
        <w:rPr>
          <w:rFonts w:ascii="宋体" w:hAnsi="宋体" w:eastAsia="宋体"/>
          <w:color w:val="auto"/>
          <w:sz w:val="24"/>
          <w:szCs w:val="24"/>
          <w:highlight w:val="none"/>
          <w:u w:val="single"/>
        </w:rPr>
      </w:pPr>
      <w:r>
        <w:rPr>
          <w:rFonts w:ascii="宋体" w:hAnsi="宋体" w:eastAsia="宋体"/>
          <w:color w:val="auto"/>
          <w:sz w:val="24"/>
          <w:szCs w:val="24"/>
          <w:highlight w:val="none"/>
          <w:u w:val="single"/>
        </w:rPr>
        <w:t>（3）按本章第2.2.4（3）目规定的评审因素和</w:t>
      </w:r>
      <w:bookmarkStart w:id="156" w:name="_Toc247527629"/>
      <w:bookmarkStart w:id="157" w:name="_Toc384308278"/>
      <w:bookmarkStart w:id="158" w:name="_Toc361508652"/>
      <w:bookmarkStart w:id="159" w:name="_Toc247514028"/>
      <w:bookmarkStart w:id="160" w:name="_Toc300835014"/>
      <w:bookmarkStart w:id="161" w:name="_Toc152045604"/>
      <w:bookmarkStart w:id="162" w:name="_Toc24330"/>
      <w:bookmarkStart w:id="163" w:name="_Toc369531583"/>
      <w:bookmarkStart w:id="164" w:name="_Toc152042381"/>
      <w:bookmarkStart w:id="165" w:name="_Toc144974571"/>
      <w:bookmarkStart w:id="166" w:name="_Toc352691539"/>
      <w:r>
        <w:rPr>
          <w:rFonts w:ascii="宋体" w:hAnsi="宋体" w:eastAsia="宋体"/>
          <w:color w:val="auto"/>
          <w:sz w:val="24"/>
          <w:szCs w:val="24"/>
          <w:highlight w:val="none"/>
          <w:u w:val="single"/>
        </w:rPr>
        <w:t>分值对投标报价</w:t>
      </w:r>
      <w:bookmarkEnd w:id="156"/>
      <w:bookmarkEnd w:id="157"/>
      <w:bookmarkEnd w:id="158"/>
      <w:bookmarkEnd w:id="159"/>
      <w:bookmarkEnd w:id="160"/>
      <w:bookmarkEnd w:id="161"/>
      <w:bookmarkEnd w:id="162"/>
      <w:bookmarkEnd w:id="163"/>
      <w:bookmarkEnd w:id="164"/>
      <w:bookmarkEnd w:id="165"/>
      <w:bookmarkEnd w:id="166"/>
      <w:r>
        <w:rPr>
          <w:rFonts w:ascii="宋体" w:hAnsi="宋体" w:eastAsia="宋体"/>
          <w:color w:val="auto"/>
          <w:sz w:val="24"/>
          <w:szCs w:val="24"/>
          <w:highlight w:val="none"/>
          <w:u w:val="single"/>
        </w:rPr>
        <w:t>计</w:t>
      </w:r>
      <w:bookmarkStart w:id="167" w:name="_Toc352691540"/>
      <w:bookmarkStart w:id="168" w:name="_Toc152042382"/>
      <w:bookmarkStart w:id="169" w:name="_Toc18141"/>
      <w:bookmarkStart w:id="170" w:name="_Toc361508653"/>
      <w:bookmarkStart w:id="171" w:name="_Toc152045605"/>
      <w:bookmarkStart w:id="172" w:name="_Toc247527630"/>
      <w:bookmarkStart w:id="173" w:name="_Toc384308279"/>
      <w:bookmarkStart w:id="174" w:name="_Toc247514029"/>
      <w:bookmarkStart w:id="175" w:name="_Toc369531584"/>
      <w:bookmarkStart w:id="176" w:name="_Toc300835015"/>
      <w:bookmarkStart w:id="177" w:name="_Toc144974572"/>
      <w:r>
        <w:rPr>
          <w:rFonts w:ascii="宋体" w:hAnsi="宋体" w:eastAsia="宋体"/>
          <w:color w:val="auto"/>
          <w:sz w:val="24"/>
          <w:szCs w:val="24"/>
          <w:highlight w:val="none"/>
          <w:u w:val="single"/>
        </w:rPr>
        <w:t>算出得分C；</w:t>
      </w:r>
    </w:p>
    <w:bookmarkEnd w:id="167"/>
    <w:bookmarkEnd w:id="168"/>
    <w:bookmarkEnd w:id="169"/>
    <w:bookmarkEnd w:id="170"/>
    <w:bookmarkEnd w:id="171"/>
    <w:bookmarkEnd w:id="172"/>
    <w:bookmarkEnd w:id="173"/>
    <w:bookmarkEnd w:id="174"/>
    <w:bookmarkEnd w:id="175"/>
    <w:bookmarkEnd w:id="176"/>
    <w:bookmarkEnd w:id="177"/>
    <w:p>
      <w:pPr>
        <w:shd w:val="clear"/>
        <w:spacing w:after="13" w:line="356" w:lineRule="auto"/>
        <w:ind w:right="103" w:firstLine="407"/>
        <w:rPr>
          <w:rFonts w:ascii="宋体" w:hAnsi="宋体" w:eastAsia="宋体"/>
          <w:color w:val="auto"/>
          <w:sz w:val="24"/>
          <w:szCs w:val="24"/>
          <w:highlight w:val="none"/>
          <w:u w:val="single"/>
        </w:rPr>
      </w:pPr>
      <w:r>
        <w:rPr>
          <w:rFonts w:ascii="宋体" w:hAnsi="宋体" w:eastAsia="宋体"/>
          <w:color w:val="auto"/>
          <w:sz w:val="24"/>
          <w:szCs w:val="24"/>
          <w:highlight w:val="none"/>
          <w:u w:val="single"/>
        </w:rPr>
        <w:t>3.2.2评分分值计算保留小数点后两位，小数点后第三位“四舍五入”。</w:t>
      </w:r>
    </w:p>
    <w:p>
      <w:pPr>
        <w:shd w:val="clear"/>
        <w:spacing w:after="13" w:line="356" w:lineRule="auto"/>
        <w:ind w:right="103" w:firstLine="407"/>
        <w:rPr>
          <w:rFonts w:ascii="宋体" w:hAnsi="宋体" w:eastAsia="宋体"/>
          <w:color w:val="auto"/>
          <w:sz w:val="24"/>
          <w:szCs w:val="24"/>
          <w:highlight w:val="none"/>
          <w:u w:val="single"/>
        </w:rPr>
      </w:pPr>
      <w:r>
        <w:rPr>
          <w:rFonts w:ascii="宋体" w:hAnsi="宋体" w:eastAsia="宋体"/>
          <w:color w:val="auto"/>
          <w:sz w:val="24"/>
          <w:szCs w:val="24"/>
          <w:highlight w:val="none"/>
          <w:u w:val="single"/>
        </w:rPr>
        <w:t>3.2.3投标人得分=A+B+C</w:t>
      </w:r>
      <w:r>
        <w:rPr>
          <w:rFonts w:hint="eastAsia" w:ascii="宋体" w:hAnsi="宋体" w:eastAsia="宋体"/>
          <w:color w:val="auto"/>
          <w:sz w:val="24"/>
          <w:szCs w:val="24"/>
          <w:highlight w:val="none"/>
          <w:u w:val="single"/>
        </w:rPr>
        <w:t>。</w:t>
      </w:r>
    </w:p>
    <w:p>
      <w:pPr>
        <w:shd w:val="clear"/>
        <w:spacing w:after="13" w:line="356" w:lineRule="auto"/>
        <w:ind w:right="103" w:firstLine="407"/>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u w:val="single"/>
        </w:rPr>
        <w:t>注：</w:t>
      </w:r>
      <w:r>
        <w:rPr>
          <w:rFonts w:hint="eastAsia" w:ascii="宋体" w:hAnsi="宋体" w:eastAsia="宋体"/>
          <w:color w:val="auto"/>
          <w:sz w:val="24"/>
          <w:szCs w:val="24"/>
          <w:highlight w:val="none"/>
          <w:u w:val="single"/>
        </w:rPr>
        <w:t>投标人的综合得分为将各评委的评分汇总后取算术平均分，</w:t>
      </w:r>
      <w:r>
        <w:rPr>
          <w:rFonts w:hAnsi="宋体"/>
          <w:color w:val="auto"/>
          <w:sz w:val="24"/>
          <w:szCs w:val="24"/>
          <w:highlight w:val="none"/>
          <w:u w:val="single"/>
        </w:rPr>
        <w:t>分数出现小数点，保留小数点后二位，第三位小数四舍五入。</w:t>
      </w:r>
    </w:p>
    <w:p>
      <w:pPr>
        <w:shd w:val="clear"/>
        <w:spacing w:after="13" w:line="356" w:lineRule="auto"/>
        <w:ind w:right="103" w:firstLine="407"/>
        <w:rPr>
          <w:rFonts w:ascii="宋体" w:hAnsi="宋体" w:eastAsia="宋体"/>
          <w:color w:val="auto"/>
          <w:sz w:val="24"/>
          <w:szCs w:val="24"/>
          <w:highlight w:val="none"/>
        </w:rPr>
      </w:pPr>
      <w:r>
        <w:rPr>
          <w:rFonts w:hint="eastAsia" w:ascii="宋体" w:hAnsi="宋体" w:eastAsia="宋体"/>
          <w:color w:val="auto"/>
          <w:kern w:val="2"/>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w:t>
      </w:r>
      <w:r>
        <w:rPr>
          <w:rFonts w:hint="eastAsia" w:ascii="宋体" w:hAnsi="宋体" w:eastAsia="宋体" w:cs="Times New Roman"/>
          <w:color w:val="auto"/>
          <w:sz w:val="24"/>
          <w:szCs w:val="24"/>
          <w:highlight w:val="none"/>
        </w:rPr>
        <w:t>证明</w:t>
      </w:r>
      <w:r>
        <w:rPr>
          <w:rFonts w:hint="eastAsia" w:ascii="宋体" w:hAnsi="宋体" w:eastAsia="宋体"/>
          <w:color w:val="auto"/>
          <w:kern w:val="2"/>
          <w:sz w:val="24"/>
          <w:szCs w:val="24"/>
          <w:highlight w:val="none"/>
        </w:rPr>
        <w:t>材料的，评标委员会应当认定该投标人以低于成本报价竞标，并否决其投标。</w:t>
      </w:r>
    </w:p>
    <w:p>
      <w:pPr>
        <w:pStyle w:val="4"/>
        <w:shd w:val="clear"/>
        <w:spacing w:after="284"/>
        <w:ind w:left="132" w:right="0"/>
        <w:rPr>
          <w:rFonts w:ascii="宋体" w:hAnsi="宋体" w:eastAsia="宋体"/>
          <w:color w:val="auto"/>
          <w:sz w:val="24"/>
          <w:szCs w:val="24"/>
          <w:highlight w:val="none"/>
        </w:rPr>
      </w:pPr>
      <w:r>
        <w:rPr>
          <w:rFonts w:ascii="宋体" w:hAnsi="宋体" w:eastAsia="宋体"/>
          <w:color w:val="auto"/>
          <w:sz w:val="24"/>
          <w:szCs w:val="24"/>
          <w:highlight w:val="none"/>
        </w:rPr>
        <w:t xml:space="preserve">3.3 </w:t>
      </w:r>
      <w:r>
        <w:rPr>
          <w:rFonts w:hint="eastAsia" w:ascii="宋体" w:hAnsi="宋体" w:eastAsia="宋体"/>
          <w:color w:val="auto"/>
          <w:sz w:val="24"/>
          <w:szCs w:val="24"/>
          <w:highlight w:val="none"/>
        </w:rPr>
        <w:t>投标文件的澄清</w:t>
      </w:r>
      <w:bookmarkEnd w:id="154"/>
      <w:bookmarkEnd w:id="155"/>
      <w:r>
        <w:rPr>
          <w:rFonts w:ascii="宋体" w:hAnsi="宋体" w:eastAsia="宋体"/>
          <w:color w:val="auto"/>
          <w:sz w:val="24"/>
          <w:szCs w:val="24"/>
          <w:highlight w:val="none"/>
        </w:rPr>
        <w:t xml:space="preserve"> </w:t>
      </w:r>
    </w:p>
    <w:p>
      <w:pPr>
        <w:shd w:val="clear"/>
        <w:spacing w:after="13" w:line="356" w:lineRule="auto"/>
        <w:ind w:right="103" w:firstLine="407"/>
        <w:rPr>
          <w:rFonts w:ascii="宋体" w:hAnsi="宋体" w:eastAsia="宋体"/>
          <w:color w:val="auto"/>
          <w:sz w:val="24"/>
          <w:szCs w:val="24"/>
          <w:highlight w:val="none"/>
        </w:rPr>
      </w:pPr>
      <w:r>
        <w:rPr>
          <w:rFonts w:ascii="宋体" w:hAnsi="宋体" w:eastAsia="宋体"/>
          <w:color w:val="auto"/>
          <w:sz w:val="24"/>
          <w:szCs w:val="24"/>
          <w:highlight w:val="none"/>
        </w:rPr>
        <w:t xml:space="preserve">3.3.1 </w:t>
      </w:r>
      <w:r>
        <w:rPr>
          <w:rFonts w:hint="eastAsia" w:ascii="宋体" w:hAnsi="宋体" w:eastAsia="宋体" w:cs="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r>
        <w:rPr>
          <w:rFonts w:ascii="宋体" w:hAnsi="宋体" w:eastAsia="宋体"/>
          <w:color w:val="auto"/>
          <w:sz w:val="24"/>
          <w:szCs w:val="24"/>
          <w:highlight w:val="none"/>
        </w:rPr>
        <w:t xml:space="preserve"> </w:t>
      </w:r>
    </w:p>
    <w:p>
      <w:pPr>
        <w:shd w:val="clear"/>
        <w:spacing w:after="0" w:line="36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3.3.2 </w:t>
      </w:r>
      <w:r>
        <w:rPr>
          <w:rFonts w:hint="eastAsia" w:ascii="宋体" w:hAnsi="宋体" w:eastAsia="宋体" w:cs="宋体"/>
          <w:color w:val="auto"/>
          <w:sz w:val="24"/>
          <w:szCs w:val="24"/>
          <w:highlight w:val="none"/>
        </w:rPr>
        <w:t>澄清、说明或补正不得超出投标文件的范围且不得改变投标文件的实质性内容，并构成投标文件的组成部分。</w:t>
      </w:r>
      <w:r>
        <w:rPr>
          <w:rFonts w:ascii="宋体" w:hAnsi="宋体" w:eastAsia="宋体"/>
          <w:color w:val="auto"/>
          <w:sz w:val="24"/>
          <w:szCs w:val="24"/>
          <w:highlight w:val="none"/>
        </w:rPr>
        <w:t xml:space="preserve"> </w:t>
      </w:r>
    </w:p>
    <w:p>
      <w:pPr>
        <w:shd w:val="clear"/>
        <w:spacing w:after="223" w:line="367"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3.3.3 </w:t>
      </w:r>
      <w:r>
        <w:rPr>
          <w:rFonts w:hint="eastAsia" w:ascii="宋体" w:hAnsi="宋体" w:eastAsia="宋体" w:cs="宋体"/>
          <w:color w:val="auto"/>
          <w:sz w:val="24"/>
          <w:szCs w:val="24"/>
          <w:highlight w:val="none"/>
        </w:rPr>
        <w:t>评标委员会对投标人提交的澄清、说明或补正有疑问的，可以要求投标人进一步澄清、说明或补正，直至满足评标委员会的要求。</w:t>
      </w:r>
      <w:r>
        <w:rPr>
          <w:rFonts w:ascii="宋体" w:hAnsi="宋体" w:eastAsia="宋体"/>
          <w:color w:val="auto"/>
          <w:sz w:val="24"/>
          <w:szCs w:val="24"/>
          <w:highlight w:val="none"/>
        </w:rPr>
        <w:t xml:space="preserve"> </w:t>
      </w:r>
    </w:p>
    <w:p>
      <w:pPr>
        <w:pStyle w:val="4"/>
        <w:shd w:val="clear"/>
        <w:spacing w:after="283"/>
        <w:ind w:left="132" w:right="0"/>
        <w:rPr>
          <w:rFonts w:ascii="宋体" w:hAnsi="宋体" w:eastAsia="宋体"/>
          <w:color w:val="auto"/>
          <w:sz w:val="24"/>
          <w:szCs w:val="24"/>
          <w:highlight w:val="none"/>
        </w:rPr>
      </w:pPr>
      <w:bookmarkStart w:id="178" w:name="_Toc508382164"/>
      <w:bookmarkStart w:id="179" w:name="_Toc508788681"/>
      <w:r>
        <w:rPr>
          <w:rFonts w:ascii="宋体" w:hAnsi="宋体" w:eastAsia="宋体"/>
          <w:color w:val="auto"/>
          <w:sz w:val="24"/>
          <w:szCs w:val="24"/>
          <w:highlight w:val="none"/>
        </w:rPr>
        <w:t xml:space="preserve">3.4 </w:t>
      </w:r>
      <w:r>
        <w:rPr>
          <w:rFonts w:hint="eastAsia" w:ascii="宋体" w:hAnsi="宋体" w:eastAsia="宋体"/>
          <w:color w:val="auto"/>
          <w:sz w:val="24"/>
          <w:szCs w:val="24"/>
          <w:highlight w:val="none"/>
        </w:rPr>
        <w:t>评标结果</w:t>
      </w:r>
      <w:bookmarkEnd w:id="178"/>
      <w:bookmarkEnd w:id="179"/>
      <w:r>
        <w:rPr>
          <w:rFonts w:ascii="宋体" w:hAnsi="宋体" w:eastAsia="宋体"/>
          <w:color w:val="auto"/>
          <w:sz w:val="24"/>
          <w:szCs w:val="24"/>
          <w:highlight w:val="none"/>
        </w:rPr>
        <w:t xml:space="preserve"> </w:t>
      </w:r>
    </w:p>
    <w:p>
      <w:pPr>
        <w:shd w:val="clear"/>
        <w:spacing w:after="0" w:line="369" w:lineRule="auto"/>
        <w:ind w:right="103" w:firstLine="420"/>
        <w:rPr>
          <w:rFonts w:ascii="宋体" w:hAnsi="宋体" w:eastAsia="宋体"/>
          <w:color w:val="auto"/>
          <w:sz w:val="24"/>
          <w:szCs w:val="24"/>
          <w:highlight w:val="none"/>
        </w:rPr>
      </w:pPr>
      <w:r>
        <w:rPr>
          <w:rFonts w:ascii="宋体" w:hAnsi="宋体" w:eastAsia="宋体"/>
          <w:color w:val="auto"/>
          <w:sz w:val="24"/>
          <w:szCs w:val="24"/>
          <w:highlight w:val="none"/>
        </w:rPr>
        <w:t xml:space="preserve">3.4.1 </w:t>
      </w:r>
      <w:r>
        <w:rPr>
          <w:rFonts w:hint="eastAsia" w:ascii="宋体" w:hAnsi="宋体" w:eastAsia="宋体" w:cs="宋体"/>
          <w:color w:val="auto"/>
          <w:sz w:val="24"/>
          <w:szCs w:val="24"/>
          <w:highlight w:val="none"/>
        </w:rPr>
        <w:t>除第二章</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投标人须知</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前附表授权直接确定中标人外，评标委员会按照得分由高到低的顺序推荐中标候选人，并标明排序。</w:t>
      </w:r>
      <w:r>
        <w:rPr>
          <w:rFonts w:ascii="宋体" w:hAnsi="宋体" w:eastAsia="宋体"/>
          <w:color w:val="auto"/>
          <w:sz w:val="24"/>
          <w:szCs w:val="24"/>
          <w:highlight w:val="none"/>
        </w:rPr>
        <w:t xml:space="preserve"> </w:t>
      </w:r>
    </w:p>
    <w:p>
      <w:pPr>
        <w:shd w:val="clear"/>
        <w:spacing w:after="202" w:line="265" w:lineRule="auto"/>
        <w:ind w:left="417" w:right="103" w:hanging="10"/>
        <w:rPr>
          <w:rFonts w:ascii="宋体" w:hAnsi="宋体" w:eastAsia="宋体"/>
          <w:color w:val="auto"/>
          <w:sz w:val="24"/>
          <w:szCs w:val="24"/>
          <w:highlight w:val="none"/>
        </w:rPr>
      </w:pPr>
      <w:r>
        <w:rPr>
          <w:rFonts w:ascii="宋体" w:hAnsi="宋体" w:eastAsia="宋体"/>
          <w:color w:val="auto"/>
          <w:sz w:val="24"/>
          <w:szCs w:val="24"/>
          <w:highlight w:val="none"/>
        </w:rPr>
        <w:t xml:space="preserve">3.4.2 </w:t>
      </w:r>
      <w:r>
        <w:rPr>
          <w:rFonts w:hint="eastAsia" w:ascii="宋体" w:hAnsi="宋体" w:eastAsia="宋体" w:cs="宋体"/>
          <w:color w:val="auto"/>
          <w:sz w:val="24"/>
          <w:szCs w:val="24"/>
          <w:highlight w:val="none"/>
        </w:rPr>
        <w:t>评标委员会完成评标后，应当向招标人提交书面评标报告和中标候选人名单。</w:t>
      </w:r>
      <w:r>
        <w:rPr>
          <w:rFonts w:ascii="宋体" w:hAnsi="宋体" w:eastAsia="宋体"/>
          <w:color w:val="auto"/>
          <w:sz w:val="24"/>
          <w:szCs w:val="24"/>
          <w:highlight w:val="none"/>
        </w:rPr>
        <w:t xml:space="preserve"> </w:t>
      </w:r>
    </w:p>
    <w:p>
      <w:pPr>
        <w:shd w:val="clear"/>
        <w:spacing w:after="0"/>
        <w:ind w:left="4321"/>
        <w:rPr>
          <w:rFonts w:ascii="宋体" w:hAnsi="宋体" w:eastAsia="宋体"/>
          <w:color w:val="auto"/>
          <w:highlight w:val="none"/>
        </w:rPr>
      </w:pPr>
      <w:r>
        <w:rPr>
          <w:rFonts w:ascii="宋体" w:hAnsi="宋体" w:eastAsia="宋体"/>
          <w:b/>
          <w:color w:val="auto"/>
          <w:sz w:val="44"/>
          <w:highlight w:val="none"/>
        </w:rPr>
        <w:t xml:space="preserve"> </w:t>
      </w:r>
      <w:r>
        <w:rPr>
          <w:rFonts w:ascii="宋体" w:hAnsi="宋体" w:eastAsia="宋体"/>
          <w:b/>
          <w:color w:val="auto"/>
          <w:sz w:val="44"/>
          <w:highlight w:val="none"/>
        </w:rPr>
        <w:tab/>
      </w:r>
      <w:r>
        <w:rPr>
          <w:rFonts w:ascii="宋体" w:hAnsi="宋体" w:eastAsia="宋体"/>
          <w:b/>
          <w:color w:val="auto"/>
          <w:sz w:val="44"/>
          <w:highlight w:val="none"/>
        </w:rPr>
        <w:t xml:space="preserve"> </w:t>
      </w:r>
      <w:r>
        <w:rPr>
          <w:rFonts w:ascii="宋体" w:hAnsi="宋体" w:eastAsia="宋体"/>
          <w:color w:val="auto"/>
          <w:highlight w:val="none"/>
        </w:rPr>
        <w:br w:type="page"/>
      </w:r>
    </w:p>
    <w:p>
      <w:pPr>
        <w:pStyle w:val="3"/>
        <w:shd w:val="clear"/>
        <w:spacing w:after="1017" w:line="259" w:lineRule="auto"/>
        <w:ind w:left="0" w:right="217" w:firstLine="0"/>
        <w:rPr>
          <w:rFonts w:hint="eastAsia" w:ascii="宋体" w:hAnsi="宋体" w:eastAsia="宋体"/>
          <w:b/>
          <w:color w:val="auto"/>
          <w:sz w:val="44"/>
          <w:highlight w:val="none"/>
        </w:rPr>
      </w:pPr>
      <w:bookmarkStart w:id="180" w:name="_Toc508788682"/>
      <w:bookmarkStart w:id="181" w:name="_Toc508382165"/>
      <w:r>
        <w:rPr>
          <w:rFonts w:hint="eastAsia" w:ascii="宋体" w:hAnsi="宋体" w:eastAsia="宋体" w:cs="宋体"/>
          <w:color w:val="auto"/>
          <w:sz w:val="44"/>
          <w:highlight w:val="none"/>
        </w:rPr>
        <w:t>第四章合同条款及格式</w:t>
      </w:r>
      <w:bookmarkEnd w:id="180"/>
      <w:bookmarkEnd w:id="181"/>
      <w:r>
        <w:rPr>
          <w:rFonts w:ascii="宋体" w:hAnsi="宋体" w:eastAsia="宋体"/>
          <w:b/>
          <w:color w:val="auto"/>
          <w:sz w:val="44"/>
          <w:highlight w:val="none"/>
        </w:rPr>
        <w:t xml:space="preserve"> </w:t>
      </w:r>
    </w:p>
    <w:p>
      <w:pPr>
        <w:pStyle w:val="3"/>
        <w:shd w:val="clear"/>
        <w:spacing w:after="1017" w:line="259" w:lineRule="auto"/>
        <w:ind w:left="0" w:right="217" w:firstLine="0"/>
        <w:rPr>
          <w:rFonts w:hint="eastAsia" w:ascii="宋体" w:hAnsi="宋体" w:eastAsia="宋体"/>
          <w:color w:val="auto"/>
          <w:highlight w:val="none"/>
        </w:rPr>
      </w:pPr>
      <w:r>
        <w:rPr>
          <w:rFonts w:hint="eastAsia" w:ascii="宋体" w:hAnsi="宋体" w:eastAsia="宋体"/>
          <w:b/>
          <w:color w:val="auto"/>
          <w:sz w:val="28"/>
          <w:szCs w:val="28"/>
          <w:highlight w:val="none"/>
        </w:rPr>
        <w:t>（另册）</w:t>
      </w:r>
    </w:p>
    <w:p>
      <w:pPr>
        <w:shd w:val="clear"/>
        <w:spacing w:line="400" w:lineRule="exact"/>
        <w:jc w:val="center"/>
        <w:rPr>
          <w:rFonts w:hint="eastAsia" w:ascii="宋体" w:hAnsi="宋体" w:eastAsia="宋体"/>
          <w:b/>
          <w:color w:val="auto"/>
          <w:sz w:val="52"/>
          <w:szCs w:val="52"/>
          <w:highlight w:val="none"/>
        </w:rPr>
      </w:pPr>
    </w:p>
    <w:p>
      <w:pPr>
        <w:shd w:val="clear"/>
        <w:spacing w:line="400" w:lineRule="exact"/>
        <w:jc w:val="center"/>
        <w:rPr>
          <w:rFonts w:hint="eastAsia" w:ascii="宋体" w:hAnsi="宋体" w:eastAsia="宋体"/>
          <w:b/>
          <w:color w:val="auto"/>
          <w:sz w:val="52"/>
          <w:szCs w:val="52"/>
          <w:highlight w:val="none"/>
        </w:rPr>
      </w:pPr>
    </w:p>
    <w:p>
      <w:pPr>
        <w:shd w:val="clear"/>
        <w:spacing w:line="400" w:lineRule="exact"/>
        <w:jc w:val="center"/>
        <w:rPr>
          <w:rFonts w:hint="eastAsia" w:ascii="宋体" w:hAnsi="宋体" w:eastAsia="宋体"/>
          <w:b/>
          <w:color w:val="auto"/>
          <w:sz w:val="52"/>
          <w:szCs w:val="52"/>
          <w:highlight w:val="none"/>
        </w:rPr>
      </w:pPr>
    </w:p>
    <w:p>
      <w:pPr>
        <w:shd w:val="clear"/>
        <w:spacing w:line="400" w:lineRule="exact"/>
        <w:jc w:val="center"/>
        <w:rPr>
          <w:rFonts w:hint="eastAsia" w:ascii="宋体" w:hAnsi="宋体" w:eastAsia="宋体"/>
          <w:b/>
          <w:color w:val="auto"/>
          <w:sz w:val="52"/>
          <w:szCs w:val="52"/>
          <w:highlight w:val="none"/>
        </w:rPr>
      </w:pPr>
    </w:p>
    <w:p>
      <w:pPr>
        <w:shd w:val="clear"/>
        <w:spacing w:line="360" w:lineRule="auto"/>
        <w:jc w:val="center"/>
        <w:rPr>
          <w:rFonts w:hint="eastAsia" w:ascii="宋体" w:hAnsi="宋体" w:eastAsia="宋体" w:cs="宋体"/>
          <w:color w:val="auto"/>
          <w:sz w:val="44"/>
          <w:highlight w:val="none"/>
        </w:rPr>
      </w:pPr>
      <w:r>
        <w:rPr>
          <w:rFonts w:ascii="宋体" w:hAnsi="宋体" w:eastAsia="宋体"/>
          <w:color w:val="auto"/>
          <w:sz w:val="48"/>
          <w:highlight w:val="none"/>
        </w:rPr>
        <w:br w:type="page"/>
      </w:r>
      <w:bookmarkStart w:id="182" w:name="_Toc508788683"/>
      <w:r>
        <w:rPr>
          <w:rFonts w:hint="eastAsia" w:ascii="宋体" w:hAnsi="宋体" w:eastAsia="宋体" w:cs="宋体"/>
          <w:color w:val="auto"/>
          <w:sz w:val="44"/>
          <w:highlight w:val="none"/>
        </w:rPr>
        <w:t>第二卷</w:t>
      </w:r>
      <w:bookmarkEnd w:id="182"/>
    </w:p>
    <w:p>
      <w:pPr>
        <w:pStyle w:val="3"/>
        <w:shd w:val="clear"/>
        <w:spacing w:after="400" w:line="264" w:lineRule="auto"/>
        <w:ind w:left="11" w:right="0" w:hanging="11"/>
        <w:rPr>
          <w:rFonts w:hint="eastAsia" w:ascii="宋体" w:hAnsi="宋体" w:eastAsia="宋体" w:cs="宋体"/>
          <w:color w:val="auto"/>
          <w:sz w:val="44"/>
          <w:highlight w:val="none"/>
        </w:rPr>
      </w:pPr>
      <w:bookmarkStart w:id="183" w:name="_Toc508788684"/>
      <w:r>
        <w:rPr>
          <w:rFonts w:hint="eastAsia" w:ascii="宋体" w:hAnsi="宋体" w:eastAsia="宋体" w:cs="宋体"/>
          <w:b/>
          <w:bCs/>
          <w:color w:val="auto"/>
          <w:sz w:val="44"/>
          <w:highlight w:val="none"/>
        </w:rPr>
        <w:t xml:space="preserve">第五章 </w:t>
      </w:r>
      <w:bookmarkEnd w:id="183"/>
      <w:r>
        <w:rPr>
          <w:rFonts w:hint="eastAsia" w:ascii="宋体" w:hAnsi="宋体" w:eastAsia="宋体" w:cs="宋体"/>
          <w:b/>
          <w:bCs/>
          <w:color w:val="auto"/>
          <w:sz w:val="44"/>
          <w:highlight w:val="none"/>
        </w:rPr>
        <w:t>超前钻技术要求</w:t>
      </w:r>
    </w:p>
    <w:p>
      <w:pPr>
        <w:pStyle w:val="7"/>
        <w:shd w:val="clear"/>
        <w:spacing w:before="120"/>
        <w:rPr>
          <w:rFonts w:hint="eastAsia"/>
          <w:color w:val="auto"/>
          <w:highlight w:val="none"/>
        </w:rPr>
      </w:pPr>
      <w:r>
        <w:rPr>
          <w:rFonts w:hint="eastAsia"/>
          <w:color w:val="auto"/>
          <w:highlight w:val="none"/>
        </w:rPr>
        <w:t>一、工程概况</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（一）项目名称:广州市黄埔区长岭居CPPQ-A4-4地块超前钻服务</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（二）建设单位:广州厦广仕有限责任公司</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（三）工程概况：</w:t>
      </w:r>
    </w:p>
    <w:p>
      <w:pPr>
        <w:shd w:val="clear"/>
        <w:spacing w:after="0" w:line="360" w:lineRule="auto"/>
        <w:ind w:right="103"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用地面积101117平方米，可建设用地面积101117平方米。一共包含3个地块，总建筑面积约324257万平方米，计容面积约225000平方米，地下室约9100平方米。其中AG0119060地块为二类居住用地（R2),AG0119061地块为服务设施用地（R22)，AG0119065地块为二类居住用地（R2)。主要建设内容包括住宅、配套商业和公共建筑，以及用地红线内的规划市政道路设施等。</w:t>
      </w:r>
    </w:p>
    <w:p>
      <w:pPr>
        <w:pStyle w:val="7"/>
        <w:shd w:val="clear"/>
        <w:spacing w:before="120"/>
        <w:rPr>
          <w:rFonts w:hint="eastAsia"/>
          <w:color w:val="auto"/>
          <w:highlight w:val="none"/>
        </w:rPr>
      </w:pPr>
      <w:r>
        <w:rPr>
          <w:rFonts w:hint="eastAsia"/>
          <w:color w:val="auto"/>
          <w:highlight w:val="none"/>
        </w:rPr>
        <w:t>二、超前钻探要求</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（一）超前钻选孔及深度：</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1.选孔要求：</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注明外，桩直径&lt;1000mm，超前钻孔在每一根桩下布置一个；桩直径≧1000mm，超前钻孔在每一根桩下布置两个；钻孔深度要求进入桩端以下连续微风化岩不少于6m。单个的超前钻孔中心对桩中心，两个的超前钻孔平均分布于桩截面直径;桩定位以最后施工图为准；超前钻孔编号与桩编号相对应。具体钻孔位置根据桩位图测量并布设，其余具体按设计要求布孔。</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2.孔深：</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钻孔孔深要求为进入持力层深度不少于三倍桩径，且进入连续微风化岩不少于6米。</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3.要求配备不少于</w:t>
      </w:r>
      <w:r>
        <w:rPr>
          <w:rFonts w:ascii="宋体" w:hAnsi="宋体" w:eastAsia="宋体" w:cs="宋体"/>
          <w:color w:val="auto"/>
          <w:sz w:val="24"/>
          <w:szCs w:val="24"/>
          <w:highlight w:val="none"/>
        </w:rPr>
        <w:t>15</w:t>
      </w:r>
      <w:r>
        <w:rPr>
          <w:rFonts w:hint="eastAsia" w:ascii="宋体" w:hAnsi="宋体" w:eastAsia="宋体" w:cs="宋体"/>
          <w:color w:val="auto"/>
          <w:sz w:val="24"/>
          <w:szCs w:val="24"/>
          <w:highlight w:val="none"/>
        </w:rPr>
        <w:t>台钻探设备，并须满足工期要求。</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（二）勘察的目的：</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1.查明超前钻孔内岩面以下连续基岩的岩层强度，完整性。</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2.遇到溶洞时：</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1)查明溶（土）洞的埋深，洞体高度；洞顶岩（土）层情况，以及洞底稳定基岩岩层强度。</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2)查明溶洞的型式（是封闭还是开放型、有无联通、是否多层溶洞等）。</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3)查明溶洞内水流情况，估计对施工影响。</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4)查明溶洞内有无填充物，指出填充物的状态，强度。</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5)分析指出多层溶洞，大型溶洞的可能和范围。</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6)针对溶洞的埋深、大小、填充等情况，结合桩基础图，提出各种类型溶洞处理的方案建议，特别情况下应针对单个溶洞提出处理建议。</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3.持力层为倾斜地层，基岩面凹凸不平时，应评价基础的稳定性，并提出处理措施的建议。</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4.当有软弱下卧层时，应提供验算软弱下卧层的参数。</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5.绘制各岩层面等高线。</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（三）勘察方法及工艺</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1.钻探操作和程序</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a.钻探质量由地质技术人员驻机负责。钻探方法可根据地层岩性及水土试样的采取、原位测试和地下水位等要求选择。钻孔直径不小于91mm。</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b.施工工序：</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定孔位→钻机就位→校正钻机水平、垂直度→丈量有关钻具→填写该孔有关资料→开孔钻进→量测余尺→提钻→按顺序取出岩土芯、排好→记录孔深、回次进尺→编录描述→清孔→提钻→校正孔深→记录样品深度→分清上下关系、包装好样品→校正孔深→复测孔位→接受验收。</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c.认真逐项填写钻探记录，准确记录钻探进尺、岩性、土层分层深度和采样位置，正确放置岩芯标签，标签应用塑料袋套起，以防水泡，严格按照规范规定给岩、土定名。</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d.在软土或砂土中进行钻探时，如有缩孔、塌孔等异常现象，应注明其位置及严重程度。</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2.保证岩芯采取率的措施</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a.岩芯采取率完整岩石80%以上，破碎岩石65%以上。</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b.钻探的回次应在保证获得的地质资料下，根据地层条件和钻具的长度确定。在岩石中钻进不得大于2.5m。</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c.一般采用干钻及泥浆护壁回转岩芯钻探，地下水位以上的土层进行干钻。必要时烧钻取得芯样，避免破碎芯样在加压水回转钻进中散失。</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3）编录和描述</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a.准确记录钻探进尺、不同岩性的分层厚度和采样位置。厚度大于0.5m的工程地质层应分层描述。</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b.岩石应描述名称、颜色、成分、结构与构造、风化程度、节理发育程度、充填物、有无岩脉侵入等。</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4）岩芯保留</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a.地质编录和拍照过程中，应逐孔拍摄岩芯彩色数码照片，照片上的标记（勘察名称、孔号、终孔深度等）应清晰。</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（四）勘察报告</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1.文字部分：</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1）勘察目的、任务要求和依据的技术标准；</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2）拟建工程概况；</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3）勘察方法和勘察工作布置；</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4）基岩岩性评价，基岩取样、试验方法，试验数据。</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5）各种类型溶洞处理和监测建议。</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岩溶发育的地质背景和形成条件；</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洞隙、土洞、塌陷的形态、平面位置和顶底标高；</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岩溶稳定性分析</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2.图表部分：</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1）图例；</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2）超前钻点平面布置图；</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3）分别绘制微分化岩面等高线；</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4）工程地质柱状图；</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5）场地溶（土）洞情况统计表</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6）提出各桩孔的终孔深度建议表</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7）岩石试验报告；</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8）各个钻孔岩样彩色照片。</w:t>
      </w:r>
    </w:p>
    <w:p>
      <w:pPr>
        <w:pStyle w:val="7"/>
        <w:shd w:val="clear"/>
        <w:spacing w:before="120"/>
        <w:rPr>
          <w:rFonts w:hint="eastAsia"/>
          <w:color w:val="auto"/>
          <w:highlight w:val="none"/>
        </w:rPr>
      </w:pPr>
      <w:r>
        <w:rPr>
          <w:rFonts w:hint="eastAsia"/>
          <w:color w:val="auto"/>
          <w:highlight w:val="none"/>
        </w:rPr>
        <w:t>三、工期要求</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本工程总工期</w:t>
      </w:r>
      <w:r>
        <w:rPr>
          <w:rFonts w:ascii="宋体" w:hAnsi="宋体" w:eastAsia="宋体" w:cs="宋体"/>
          <w:color w:val="auto"/>
          <w:sz w:val="24"/>
          <w:szCs w:val="24"/>
          <w:highlight w:val="none"/>
        </w:rPr>
        <w:t>90</w:t>
      </w:r>
      <w:r>
        <w:rPr>
          <w:rFonts w:hint="eastAsia" w:ascii="宋体" w:hAnsi="宋体" w:eastAsia="宋体" w:cs="宋体"/>
          <w:color w:val="auto"/>
          <w:sz w:val="24"/>
          <w:szCs w:val="24"/>
          <w:highlight w:val="none"/>
        </w:rPr>
        <w:t>个日历天，自乙方收到甲方发出具备进场条件的通知之日起计。本工程因场地内有排水涵箱工程，乙方按照现场实际情况分期施工，具体进场时间以甲方书面通知为准。乙方应根据土建施工的进度，与土建交叉作业，在完成支护桩、工程桩的超前钻工作后10天内出具超前钻探的地质勘察报告一式20份。</w:t>
      </w:r>
    </w:p>
    <w:p>
      <w:pPr>
        <w:pStyle w:val="7"/>
        <w:shd w:val="clear"/>
        <w:spacing w:before="120"/>
        <w:rPr>
          <w:rFonts w:hint="eastAsia"/>
          <w:color w:val="auto"/>
          <w:highlight w:val="none"/>
        </w:rPr>
      </w:pPr>
      <w:r>
        <w:rPr>
          <w:rFonts w:hint="eastAsia"/>
          <w:color w:val="auto"/>
          <w:highlight w:val="none"/>
        </w:rPr>
        <w:t>四、现场管理要求</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（一）超前钻孔位按设计图纸和业主指定的孔位确定，经甲方和监理签字确认方可施钻。钻孔过程中如遇特殊情况和困难需移动孔位，需提出书面申请，并请监理和甲方核批，不得擅自移动孔位。</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（二）钻孔定位应采用仪器测定，定位误差不得大于0.1m，勘探点高程测量误差不得超过0.01m。使用全站仪或GPS定位仪严格按要求对钻孔进行实地测放，测放成果经现场甲方或监理复核后方开始施工。</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（三）超前钻施钻完毕后，须经技术人员进行孔深和采取率等验收，达到终孔要求，并且通知建设单位或者监理单位相关人员现场确认终孔工作量。</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（四）超前钻施工单位应在钻孔验收合格应及时输入钻探地质资料，绘制钻孔柱状图，作为指导下一步施工的依据。</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（五）所有芯样均应摆放整齐、编号齐全，进行拍照存档，作为结算的依据。</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（六）现场提供水电接驳点，具体水电费用及用水用电措施由超前钻施工单位负责并承担相应费用，勘察的工作人员必要的生产、生活条件，由勘察人自行负责并承担其费用。</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勘察人应遵守国家或地方政府及有关部门对施工现场安全生产文明施工管理的规定，同时妥善保护好施工现场周围建筑物、设备管线不受损坏。做好施工现场保卫和垃圾清理等工作，工完场清，处理好由于施工带来的扰民问题及与周围单位(住户)的关系。</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（八）超前钻单位应全过程参与桩基础工程终孔验孔，并在本项目施工过程中出现地质问题时，24小时内到场并提供相应处理意见。</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（九）涉及本项目收需要出场时，超前钻单位项目负责人必须按照要求时间、地点准时到场。</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（十）甲方或监理将安排专人旁站，对超前钻工作进行实时监控。勘察方应按照本超前钻技术要求进行施工，禁止出现漏打、少钻、弄虚作假等现象。</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（十一）由于委托人原因造成勘察人停、窝工，除工期顺延外，委托人不支付停、窝工费；委托人要求在合同规定时间内提前完工（或提交勘察成果资料）时，委托人不需要支付赶工加班费用。</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（十二）由于勘察人原因造成勘察成果资料质量不合格，不能满足技术要时，其返工勘察费用由勘察人承担。</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（十三）乙方根据现场实施情况向相关行政管理部门办理开挖许可手续。</w:t>
      </w:r>
    </w:p>
    <w:p>
      <w:pPr>
        <w:shd w:val="clear"/>
        <w:spacing w:after="0" w:line="360" w:lineRule="auto"/>
        <w:ind w:right="10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（十四）乙方需按照甲方或监理公司的安全管理要求做好现场的安全管理工作。</w:t>
      </w:r>
    </w:p>
    <w:p>
      <w:pPr>
        <w:shd w:val="clear"/>
        <w:spacing w:after="202" w:line="360" w:lineRule="auto"/>
        <w:ind w:left="417" w:right="103" w:hanging="10"/>
        <w:rPr>
          <w:rFonts w:ascii="宋体" w:hAnsi="宋体" w:eastAsia="宋体"/>
          <w:color w:val="auto"/>
          <w:highlight w:val="none"/>
        </w:rPr>
      </w:pPr>
      <w:r>
        <w:rPr>
          <w:rFonts w:hint="eastAsia" w:ascii="宋体" w:hAnsi="宋体" w:eastAsia="宋体" w:cs="宋体"/>
          <w:color w:val="auto"/>
          <w:sz w:val="20"/>
          <w:szCs w:val="20"/>
          <w:highlight w:val="none"/>
        </w:rPr>
        <w:t xml:space="preserve"> </w:t>
      </w:r>
      <w:r>
        <w:rPr>
          <w:rFonts w:ascii="宋体" w:hAnsi="宋体" w:eastAsia="宋体"/>
          <w:color w:val="auto"/>
          <w:highlight w:val="none"/>
        </w:rPr>
        <w:br w:type="page"/>
      </w:r>
    </w:p>
    <w:p>
      <w:pPr>
        <w:shd w:val="clear"/>
        <w:spacing w:after="0"/>
        <w:ind w:right="1601"/>
        <w:jc w:val="right"/>
        <w:rPr>
          <w:rFonts w:ascii="宋体" w:hAnsi="宋体" w:eastAsia="宋体"/>
          <w:color w:val="auto"/>
          <w:sz w:val="21"/>
          <w:highlight w:val="none"/>
        </w:rPr>
      </w:pPr>
      <w:r>
        <w:rPr>
          <w:rFonts w:ascii="宋体" w:hAnsi="宋体" w:eastAsia="宋体"/>
          <w:color w:val="auto"/>
          <w:sz w:val="21"/>
          <w:highlight w:val="none"/>
        </w:rPr>
        <w:tab/>
      </w:r>
      <w:r>
        <w:rPr>
          <w:rFonts w:ascii="宋体" w:hAnsi="宋体" w:eastAsia="宋体"/>
          <w:color w:val="auto"/>
          <w:sz w:val="21"/>
          <w:highlight w:val="none"/>
        </w:rPr>
        <w:t xml:space="preserve"> </w:t>
      </w:r>
    </w:p>
    <w:p>
      <w:pPr>
        <w:shd w:val="clear"/>
        <w:spacing w:after="0"/>
        <w:ind w:right="1601"/>
        <w:jc w:val="center"/>
        <w:rPr>
          <w:rFonts w:hint="eastAsia" w:ascii="宋体" w:hAnsi="宋体" w:eastAsia="宋体" w:cs="宋体"/>
          <w:color w:val="auto"/>
          <w:sz w:val="44"/>
          <w:highlight w:val="none"/>
        </w:rPr>
      </w:pPr>
      <w:bookmarkStart w:id="184" w:name="_Toc508788695"/>
      <w:r>
        <w:rPr>
          <w:rFonts w:hint="eastAsia" w:ascii="宋体" w:hAnsi="宋体" w:eastAsia="宋体" w:cs="宋体"/>
          <w:color w:val="auto"/>
          <w:sz w:val="44"/>
          <w:highlight w:val="none"/>
        </w:rPr>
        <w:t xml:space="preserve">      第三卷</w:t>
      </w:r>
      <w:bookmarkEnd w:id="184"/>
    </w:p>
    <w:p>
      <w:pPr>
        <w:pStyle w:val="3"/>
        <w:shd w:val="clear"/>
        <w:spacing w:after="850" w:line="345" w:lineRule="auto"/>
        <w:ind w:left="0" w:right="2550" w:firstLine="0"/>
        <w:rPr>
          <w:rFonts w:hint="eastAsia" w:ascii="宋体" w:hAnsi="宋体" w:eastAsia="宋体"/>
          <w:color w:val="auto"/>
          <w:highlight w:val="none"/>
        </w:rPr>
      </w:pPr>
      <w:bookmarkStart w:id="185" w:name="_Toc508788696"/>
      <w:r>
        <w:rPr>
          <w:rFonts w:hint="eastAsia" w:ascii="宋体" w:hAnsi="宋体" w:eastAsia="宋体" w:cs="宋体"/>
          <w:color w:val="auto"/>
          <w:sz w:val="44"/>
          <w:highlight w:val="none"/>
        </w:rPr>
        <w:br w:type="textWrapping"/>
      </w:r>
      <w:r>
        <w:rPr>
          <w:rFonts w:hint="eastAsia" w:ascii="宋体" w:hAnsi="宋体" w:eastAsia="宋体" w:cs="宋体"/>
          <w:color w:val="auto"/>
          <w:sz w:val="44"/>
          <w:highlight w:val="none"/>
        </w:rPr>
        <w:t xml:space="preserve">           第六章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投标文件格式</w:t>
      </w:r>
      <w:bookmarkEnd w:id="185"/>
    </w:p>
    <w:p>
      <w:pPr>
        <w:shd w:val="clear"/>
        <w:tabs>
          <w:tab w:val="center" w:pos="4320"/>
          <w:tab w:val="center" w:pos="8723"/>
        </w:tabs>
        <w:spacing w:after="127"/>
        <w:rPr>
          <w:color w:val="auto"/>
          <w:highlight w:val="none"/>
        </w:rPr>
      </w:pPr>
      <w:r>
        <w:rPr>
          <w:rFonts w:ascii="宋体" w:hAnsi="宋体" w:eastAsia="宋体"/>
          <w:color w:val="auto"/>
          <w:sz w:val="21"/>
          <w:highlight w:val="none"/>
        </w:rPr>
        <w:br w:type="page"/>
      </w:r>
      <w:r>
        <w:rPr>
          <w:rFonts w:ascii="宋体" w:hAnsi="宋体" w:eastAsia="宋体"/>
          <w:color w:val="auto"/>
          <w:sz w:val="21"/>
          <w:highlight w:val="none"/>
        </w:rPr>
        <w:tab/>
      </w:r>
      <w:r>
        <w:rPr>
          <w:rFonts w:ascii="宋体" w:hAnsi="宋体" w:eastAsia="宋体"/>
          <w:color w:val="auto"/>
          <w:sz w:val="21"/>
          <w:highlight w:val="none"/>
        </w:rPr>
        <w:t xml:space="preserve"> </w:t>
      </w:r>
    </w:p>
    <w:p>
      <w:pPr>
        <w:shd w:val="clea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投标文件编制要求</w:t>
      </w:r>
    </w:p>
    <w:p>
      <w:pPr>
        <w:shd w:val="clear"/>
        <w:jc w:val="center"/>
        <w:rPr>
          <w:rFonts w:ascii="宋体" w:hAnsi="宋体" w:cs="宋体"/>
          <w:b/>
          <w:bCs/>
          <w:color w:val="auto"/>
          <w:sz w:val="32"/>
          <w:szCs w:val="32"/>
          <w:highlight w:val="none"/>
        </w:rPr>
      </w:pPr>
    </w:p>
    <w:p>
      <w:pPr>
        <w:numPr>
          <w:ilvl w:val="1"/>
          <w:numId w:val="0"/>
        </w:numPr>
        <w:shd w:val="clear"/>
        <w:spacing w:line="276" w:lineRule="auto"/>
        <w:ind w:firstLine="221" w:firstLineChars="100"/>
        <w:rPr>
          <w:rFonts w:ascii="宋体" w:hAnsi="宋体" w:cs="宋体"/>
          <w:b/>
          <w:bCs/>
          <w:color w:val="auto"/>
          <w:szCs w:val="21"/>
          <w:highlight w:val="none"/>
          <w:u w:val="single"/>
        </w:rPr>
      </w:pPr>
      <w:r>
        <w:rPr>
          <w:rFonts w:hint="eastAsia" w:ascii="宋体" w:hAnsi="宋体" w:eastAsia="宋体" w:cs="宋体"/>
          <w:b/>
          <w:bCs/>
          <w:color w:val="auto"/>
          <w:szCs w:val="21"/>
          <w:highlight w:val="none"/>
          <w:u w:val="single"/>
        </w:rPr>
        <w:t>一、</w:t>
      </w:r>
      <w:r>
        <w:rPr>
          <w:rFonts w:hint="eastAsia" w:ascii="宋体" w:hAnsi="宋体" w:cs="宋体"/>
          <w:b/>
          <w:bCs/>
          <w:color w:val="auto"/>
          <w:szCs w:val="21"/>
          <w:highlight w:val="none"/>
          <w:u w:val="single"/>
        </w:rPr>
        <w:t>投标文件</w:t>
      </w:r>
    </w:p>
    <w:p>
      <w:pPr>
        <w:pStyle w:val="15"/>
        <w:shd w:val="clear"/>
        <w:spacing w:line="276" w:lineRule="auto"/>
        <w:ind w:left="440"/>
        <w:rPr>
          <w:rFonts w:hAnsi="宋体" w:cs="宋体"/>
          <w:color w:val="auto"/>
          <w:szCs w:val="21"/>
          <w:highlight w:val="none"/>
          <w:u w:val="single"/>
        </w:rPr>
      </w:pPr>
      <w:r>
        <w:rPr>
          <w:rFonts w:hint="eastAsia" w:hAnsi="宋体" w:cs="宋体"/>
          <w:color w:val="auto"/>
          <w:szCs w:val="21"/>
          <w:highlight w:val="none"/>
          <w:u w:val="single"/>
        </w:rPr>
        <w:t>1、投标文件由资信业绩部分（含资格审查文件）和技术部分两部分组成。</w:t>
      </w:r>
    </w:p>
    <w:p>
      <w:pPr>
        <w:pStyle w:val="15"/>
        <w:shd w:val="clear"/>
        <w:spacing w:line="276" w:lineRule="auto"/>
        <w:ind w:left="440"/>
        <w:rPr>
          <w:rFonts w:hAnsi="宋体" w:cs="宋体"/>
          <w:color w:val="auto"/>
          <w:szCs w:val="21"/>
          <w:highlight w:val="none"/>
          <w:u w:val="single"/>
        </w:rPr>
      </w:pPr>
      <w:r>
        <w:rPr>
          <w:rFonts w:hint="eastAsia" w:hAnsi="宋体" w:cs="宋体"/>
          <w:color w:val="auto"/>
          <w:szCs w:val="21"/>
          <w:highlight w:val="none"/>
          <w:u w:val="single"/>
        </w:rPr>
        <w:t>2、本项目为全流程电子化，投标文件所附证书证件均为原件扫描件，并按要求加盖电子印章，投标文件应做到清晰、完整、规格应当尽量统一。除非另有规定，否则投标文件的计量单位宜采用国际标准计量单位，尺寸齐全、准确，所有文字说明和文字标注以中文为准，报价均为人民币，时间均为北京时间。</w:t>
      </w:r>
    </w:p>
    <w:p>
      <w:pPr>
        <w:pStyle w:val="15"/>
        <w:shd w:val="clear"/>
        <w:spacing w:line="276" w:lineRule="auto"/>
        <w:ind w:left="440"/>
        <w:rPr>
          <w:rFonts w:hint="eastAsia" w:hAnsi="宋体" w:cs="宋体"/>
          <w:color w:val="auto"/>
          <w:szCs w:val="21"/>
          <w:highlight w:val="none"/>
          <w:u w:val="single"/>
        </w:rPr>
      </w:pPr>
      <w:r>
        <w:rPr>
          <w:rFonts w:hint="eastAsia" w:hAnsi="宋体" w:cs="宋体"/>
          <w:color w:val="auto"/>
          <w:szCs w:val="21"/>
          <w:highlight w:val="none"/>
          <w:u w:val="single"/>
        </w:rPr>
        <w:t>3、</w:t>
      </w:r>
      <w:r>
        <w:rPr>
          <w:rFonts w:hAnsi="宋体" w:cs="宋体"/>
          <w:color w:val="auto"/>
          <w:szCs w:val="21"/>
          <w:highlight w:val="none"/>
          <w:u w:val="single"/>
        </w:rPr>
        <w:t xml:space="preserve"> </w:t>
      </w:r>
      <w:r>
        <w:rPr>
          <w:rFonts w:hint="eastAsia" w:hAnsi="宋体" w:cs="宋体"/>
          <w:color w:val="auto"/>
          <w:szCs w:val="21"/>
          <w:highlight w:val="none"/>
          <w:u w:val="single"/>
        </w:rPr>
        <w:t>每个投标人报送一个投标方案，投标文件应达到招标文件规定的深度，满足评审需要。不响应招标文件要求的投标文件可能被拒绝，责任由投标人自负。</w:t>
      </w:r>
    </w:p>
    <w:p>
      <w:pPr>
        <w:numPr>
          <w:ilvl w:val="1"/>
          <w:numId w:val="0"/>
        </w:numPr>
        <w:shd w:val="clear"/>
        <w:spacing w:line="276" w:lineRule="auto"/>
        <w:ind w:firstLine="221" w:firstLineChars="100"/>
        <w:rPr>
          <w:rFonts w:ascii="宋体" w:hAnsi="宋体" w:cs="宋体"/>
          <w:b/>
          <w:bCs/>
          <w:color w:val="auto"/>
          <w:szCs w:val="21"/>
          <w:highlight w:val="none"/>
          <w:u w:val="single"/>
        </w:rPr>
      </w:pPr>
      <w:r>
        <w:rPr>
          <w:rFonts w:hint="eastAsia" w:ascii="宋体" w:hAnsi="宋体" w:eastAsia="宋体" w:cs="宋体"/>
          <w:b/>
          <w:bCs/>
          <w:color w:val="auto"/>
          <w:szCs w:val="21"/>
          <w:highlight w:val="none"/>
          <w:u w:val="single"/>
        </w:rPr>
        <w:t>二、</w:t>
      </w:r>
      <w:r>
        <w:rPr>
          <w:rFonts w:hint="eastAsia" w:ascii="宋体" w:hAnsi="宋体" w:eastAsia="宋体" w:cs="宋体"/>
          <w:b/>
          <w:bCs/>
          <w:color w:val="auto"/>
          <w:szCs w:val="21"/>
          <w:highlight w:val="none"/>
          <w:u w:val="single"/>
          <w:lang w:eastAsia="zh-CN"/>
        </w:rPr>
        <w:t>资信业绩</w:t>
      </w:r>
      <w:r>
        <w:rPr>
          <w:rFonts w:hint="eastAsia" w:ascii="宋体" w:hAnsi="宋体" w:eastAsia="宋体" w:cs="宋体"/>
          <w:b/>
          <w:bCs/>
          <w:color w:val="auto"/>
          <w:szCs w:val="21"/>
          <w:highlight w:val="none"/>
          <w:u w:val="single"/>
        </w:rPr>
        <w:t>部分</w:t>
      </w:r>
      <w:r>
        <w:rPr>
          <w:rFonts w:hint="eastAsia" w:ascii="宋体" w:hAnsi="宋体" w:cs="宋体"/>
          <w:b/>
          <w:bCs/>
          <w:color w:val="auto"/>
          <w:szCs w:val="21"/>
          <w:highlight w:val="none"/>
          <w:u w:val="single"/>
        </w:rPr>
        <w:t>（含资格审查文件）</w:t>
      </w:r>
      <w:r>
        <w:rPr>
          <w:rFonts w:hint="eastAsia" w:ascii="宋体" w:hAnsi="宋体" w:eastAsia="宋体" w:cs="宋体"/>
          <w:b/>
          <w:bCs/>
          <w:color w:val="auto"/>
          <w:szCs w:val="21"/>
          <w:highlight w:val="none"/>
          <w:u w:val="single"/>
        </w:rPr>
        <w:t>文件</w:t>
      </w:r>
      <w:r>
        <w:rPr>
          <w:rFonts w:hint="eastAsia" w:ascii="宋体" w:hAnsi="宋体" w:cs="宋体"/>
          <w:b/>
          <w:bCs/>
          <w:color w:val="auto"/>
          <w:szCs w:val="21"/>
          <w:highlight w:val="none"/>
          <w:u w:val="single"/>
        </w:rPr>
        <w:t>编制要求</w:t>
      </w:r>
    </w:p>
    <w:p>
      <w:pPr>
        <w:pStyle w:val="15"/>
        <w:shd w:val="clear"/>
        <w:spacing w:line="276" w:lineRule="auto"/>
        <w:ind w:left="440"/>
        <w:rPr>
          <w:rFonts w:hAnsi="宋体" w:cs="宋体"/>
          <w:color w:val="auto"/>
          <w:szCs w:val="21"/>
          <w:highlight w:val="none"/>
          <w:u w:val="single"/>
        </w:rPr>
      </w:pPr>
      <w:r>
        <w:rPr>
          <w:rFonts w:hint="eastAsia" w:hAnsi="宋体" w:cs="宋体"/>
          <w:color w:val="auto"/>
          <w:szCs w:val="21"/>
          <w:highlight w:val="none"/>
          <w:u w:val="single"/>
        </w:rPr>
        <w:t>1、资信业绩部分文件（含资格审查文件）包括但不限于以下资料：</w:t>
      </w:r>
    </w:p>
    <w:p>
      <w:pPr>
        <w:pStyle w:val="15"/>
        <w:shd w:val="clear"/>
        <w:spacing w:line="276" w:lineRule="auto"/>
        <w:ind w:left="440" w:firstLine="210" w:firstLineChars="100"/>
        <w:rPr>
          <w:rFonts w:hAnsi="宋体" w:cs="宋体"/>
          <w:color w:val="auto"/>
          <w:szCs w:val="21"/>
          <w:highlight w:val="none"/>
          <w:u w:val="single"/>
        </w:rPr>
      </w:pPr>
      <w:r>
        <w:rPr>
          <w:rFonts w:hint="eastAsia" w:hAnsi="宋体" w:cs="宋体"/>
          <w:color w:val="auto"/>
          <w:szCs w:val="21"/>
          <w:highlight w:val="none"/>
          <w:u w:val="single"/>
        </w:rPr>
        <w:t>（1）目录。</w:t>
      </w:r>
    </w:p>
    <w:p>
      <w:pPr>
        <w:pStyle w:val="15"/>
        <w:shd w:val="clear"/>
        <w:spacing w:line="276" w:lineRule="auto"/>
        <w:ind w:left="440" w:firstLine="210" w:firstLineChars="100"/>
        <w:rPr>
          <w:rFonts w:hAnsi="宋体" w:cs="宋体"/>
          <w:color w:val="auto"/>
          <w:szCs w:val="21"/>
          <w:highlight w:val="none"/>
          <w:u w:val="single"/>
        </w:rPr>
      </w:pPr>
      <w:r>
        <w:rPr>
          <w:rFonts w:hint="eastAsia" w:hAnsi="宋体" w:cs="宋体"/>
          <w:color w:val="auto"/>
          <w:szCs w:val="21"/>
          <w:highlight w:val="none"/>
          <w:u w:val="single"/>
        </w:rPr>
        <w:t>（2）填妥并签字盖章的《投标书》（格式见附录1）。</w:t>
      </w:r>
    </w:p>
    <w:p>
      <w:pPr>
        <w:pStyle w:val="15"/>
        <w:shd w:val="clear"/>
        <w:spacing w:line="276" w:lineRule="auto"/>
        <w:ind w:left="440" w:firstLine="210" w:firstLineChars="100"/>
        <w:rPr>
          <w:rFonts w:hAnsi="宋体" w:cs="宋体"/>
          <w:color w:val="auto"/>
          <w:szCs w:val="21"/>
          <w:highlight w:val="none"/>
          <w:u w:val="single"/>
        </w:rPr>
      </w:pPr>
      <w:r>
        <w:rPr>
          <w:rFonts w:hint="eastAsia" w:hAnsi="宋体" w:cs="宋体"/>
          <w:color w:val="auto"/>
          <w:szCs w:val="21"/>
          <w:highlight w:val="none"/>
          <w:u w:val="single"/>
        </w:rPr>
        <w:t>（3）填妥并签字盖章的《投标人声明》（格式见附录2）。</w:t>
      </w:r>
    </w:p>
    <w:p>
      <w:pPr>
        <w:pStyle w:val="15"/>
        <w:shd w:val="clear"/>
        <w:spacing w:line="276" w:lineRule="auto"/>
        <w:ind w:left="440" w:firstLine="210" w:firstLineChars="100"/>
        <w:rPr>
          <w:rFonts w:hAnsi="宋体" w:cs="宋体"/>
          <w:color w:val="auto"/>
          <w:szCs w:val="21"/>
          <w:highlight w:val="none"/>
          <w:u w:val="single"/>
        </w:rPr>
      </w:pPr>
      <w:r>
        <w:rPr>
          <w:rFonts w:hint="eastAsia" w:hAnsi="宋体" w:cs="宋体"/>
          <w:color w:val="auto"/>
          <w:szCs w:val="21"/>
          <w:highlight w:val="none"/>
          <w:u w:val="single"/>
        </w:rPr>
        <w:t>（4）法定代表人身份证明、授权委托书（格式见附录3）。</w:t>
      </w:r>
    </w:p>
    <w:p>
      <w:pPr>
        <w:pStyle w:val="15"/>
        <w:shd w:val="clear"/>
        <w:spacing w:line="276" w:lineRule="auto"/>
        <w:ind w:left="440" w:firstLine="210" w:firstLineChars="100"/>
        <w:rPr>
          <w:rFonts w:hint="eastAsia" w:hAnsi="宋体" w:cs="宋体"/>
          <w:color w:val="auto"/>
          <w:szCs w:val="21"/>
          <w:highlight w:val="none"/>
          <w:u w:val="single"/>
        </w:rPr>
      </w:pPr>
      <w:r>
        <w:rPr>
          <w:rFonts w:hint="eastAsia" w:hAnsi="宋体" w:cs="宋体"/>
          <w:color w:val="auto"/>
          <w:szCs w:val="21"/>
          <w:highlight w:val="none"/>
          <w:u w:val="single"/>
        </w:rPr>
        <w:t>（5）《超前钻勘察技术服务费计算表》（格式见附录4）。</w:t>
      </w:r>
    </w:p>
    <w:p>
      <w:pPr>
        <w:pStyle w:val="15"/>
        <w:shd w:val="clear"/>
        <w:spacing w:line="276" w:lineRule="auto"/>
        <w:ind w:left="440" w:firstLine="210" w:firstLineChars="100"/>
        <w:rPr>
          <w:rFonts w:hAnsi="宋体" w:cs="宋体"/>
          <w:color w:val="auto"/>
          <w:szCs w:val="21"/>
          <w:highlight w:val="none"/>
          <w:u w:val="single"/>
        </w:rPr>
      </w:pPr>
      <w:r>
        <w:rPr>
          <w:rFonts w:hint="eastAsia" w:hAnsi="宋体" w:cs="宋体"/>
          <w:color w:val="auto"/>
          <w:szCs w:val="21"/>
          <w:highlight w:val="none"/>
          <w:u w:val="single"/>
        </w:rPr>
        <w:t>（6）企业营业执照副本扫描件。</w:t>
      </w:r>
    </w:p>
    <w:p>
      <w:pPr>
        <w:pStyle w:val="15"/>
        <w:shd w:val="clear"/>
        <w:spacing w:line="276" w:lineRule="auto"/>
        <w:ind w:left="440" w:firstLine="210" w:firstLineChars="100"/>
        <w:rPr>
          <w:rFonts w:hAnsi="宋体" w:cs="宋体"/>
          <w:color w:val="auto"/>
          <w:szCs w:val="21"/>
          <w:highlight w:val="none"/>
          <w:u w:val="single"/>
        </w:rPr>
      </w:pPr>
      <w:r>
        <w:rPr>
          <w:rFonts w:hint="eastAsia" w:hAnsi="宋体" w:cs="宋体"/>
          <w:color w:val="auto"/>
          <w:szCs w:val="21"/>
          <w:highlight w:val="none"/>
          <w:u w:val="single"/>
        </w:rPr>
        <w:t>（7）企业资质证书副本扫描件。</w:t>
      </w:r>
    </w:p>
    <w:p>
      <w:pPr>
        <w:pStyle w:val="15"/>
        <w:shd w:val="clear"/>
        <w:spacing w:line="276" w:lineRule="auto"/>
        <w:ind w:left="440" w:firstLine="210" w:firstLineChars="100"/>
        <w:rPr>
          <w:rFonts w:hAnsi="宋体" w:cs="宋体"/>
          <w:color w:val="auto"/>
          <w:szCs w:val="21"/>
          <w:highlight w:val="none"/>
          <w:u w:val="single"/>
        </w:rPr>
      </w:pPr>
      <w:r>
        <w:rPr>
          <w:rFonts w:hint="eastAsia" w:hAnsi="宋体" w:cs="宋体"/>
          <w:color w:val="auto"/>
          <w:szCs w:val="21"/>
          <w:highlight w:val="none"/>
          <w:u w:val="single"/>
        </w:rPr>
        <w:t>（8）投标人及项目负责人已在广州市住房和城乡建设局建立企业信用档案的网页截图。</w:t>
      </w:r>
    </w:p>
    <w:p>
      <w:pPr>
        <w:pStyle w:val="15"/>
        <w:shd w:val="clear"/>
        <w:spacing w:line="276" w:lineRule="auto"/>
        <w:ind w:left="440" w:firstLine="210" w:firstLineChars="100"/>
        <w:rPr>
          <w:rFonts w:hAnsi="宋体" w:cs="宋体"/>
          <w:color w:val="auto"/>
          <w:szCs w:val="21"/>
          <w:highlight w:val="none"/>
          <w:u w:val="single"/>
        </w:rPr>
      </w:pPr>
      <w:r>
        <w:rPr>
          <w:rFonts w:hint="eastAsia" w:hAnsi="宋体" w:cs="宋体"/>
          <w:color w:val="auto"/>
          <w:szCs w:val="21"/>
          <w:highlight w:val="none"/>
          <w:u w:val="single"/>
        </w:rPr>
        <w:t>（9）项目负责人资历情况（格式见附录6）。</w:t>
      </w:r>
    </w:p>
    <w:p>
      <w:pPr>
        <w:pStyle w:val="15"/>
        <w:shd w:val="clear"/>
        <w:spacing w:line="276" w:lineRule="auto"/>
        <w:ind w:left="440" w:firstLine="210" w:firstLineChars="100"/>
        <w:rPr>
          <w:rFonts w:hint="eastAsia" w:hAnsi="宋体" w:cs="宋体"/>
          <w:color w:val="auto"/>
          <w:szCs w:val="21"/>
          <w:highlight w:val="none"/>
          <w:u w:val="single"/>
        </w:rPr>
      </w:pPr>
      <w:r>
        <w:rPr>
          <w:rFonts w:hint="eastAsia" w:hAnsi="宋体" w:cs="宋体"/>
          <w:color w:val="auto"/>
          <w:szCs w:val="21"/>
          <w:highlight w:val="none"/>
          <w:u w:val="single"/>
        </w:rPr>
        <w:t>（10）投标人完成过的项目业绩（格式见附录5）。</w:t>
      </w:r>
    </w:p>
    <w:p>
      <w:pPr>
        <w:pStyle w:val="15"/>
        <w:shd w:val="clear"/>
        <w:spacing w:line="276" w:lineRule="auto"/>
        <w:ind w:left="440" w:firstLine="210" w:firstLineChars="100"/>
        <w:rPr>
          <w:color w:val="auto"/>
          <w:highlight w:val="none"/>
        </w:rPr>
      </w:pPr>
      <w:r>
        <w:rPr>
          <w:rFonts w:hint="eastAsia" w:hAnsi="宋体" w:cs="宋体"/>
          <w:color w:val="auto"/>
          <w:szCs w:val="21"/>
          <w:highlight w:val="none"/>
          <w:u w:val="single"/>
        </w:rPr>
        <w:t>（11）</w:t>
      </w:r>
      <w:r>
        <w:rPr>
          <w:rFonts w:hint="eastAsia"/>
          <w:color w:val="auto"/>
          <w:highlight w:val="none"/>
          <w:u w:val="single"/>
        </w:rPr>
        <w:t>投入主要人员汇总表（格式见附录7）。</w:t>
      </w:r>
    </w:p>
    <w:p>
      <w:pPr>
        <w:pStyle w:val="15"/>
        <w:shd w:val="clear"/>
        <w:spacing w:line="276" w:lineRule="auto"/>
        <w:ind w:left="440" w:firstLine="210" w:firstLineChars="100"/>
        <w:rPr>
          <w:rFonts w:hint="eastAsia" w:hAnsi="宋体" w:cs="宋体"/>
          <w:color w:val="auto"/>
          <w:szCs w:val="21"/>
          <w:highlight w:val="none"/>
          <w:u w:val="single"/>
        </w:rPr>
      </w:pPr>
      <w:r>
        <w:rPr>
          <w:rFonts w:hint="eastAsia" w:hAnsi="宋体" w:cs="宋体"/>
          <w:color w:val="auto"/>
          <w:szCs w:val="21"/>
          <w:highlight w:val="none"/>
          <w:u w:val="single"/>
        </w:rPr>
        <w:t>（12）投标人企业资信评分项证明材料扫描件。</w:t>
      </w:r>
    </w:p>
    <w:p>
      <w:pPr>
        <w:pStyle w:val="15"/>
        <w:shd w:val="clear"/>
        <w:spacing w:line="276" w:lineRule="auto"/>
        <w:ind w:left="220" w:leftChars="100" w:firstLine="428" w:firstLineChars="204"/>
        <w:rPr>
          <w:rFonts w:hint="eastAsia" w:hAnsi="宋体" w:cs="宋体"/>
          <w:color w:val="auto"/>
          <w:szCs w:val="21"/>
          <w:highlight w:val="none"/>
          <w:u w:val="single"/>
        </w:rPr>
      </w:pPr>
      <w:r>
        <w:rPr>
          <w:rFonts w:hint="eastAsia" w:hAnsi="宋体" w:cs="宋体"/>
          <w:color w:val="auto"/>
          <w:szCs w:val="21"/>
          <w:highlight w:val="none"/>
          <w:u w:val="single"/>
        </w:rPr>
        <w:t>（13）投标人认为有必要提供的其他资料。</w:t>
      </w:r>
      <w:r>
        <w:rPr>
          <w:rFonts w:hint="eastAsia" w:hAnsi="宋体" w:cs="宋体"/>
          <w:color w:val="auto"/>
          <w:szCs w:val="21"/>
          <w:highlight w:val="none"/>
          <w:u w:val="single"/>
        </w:rPr>
        <w:br w:type="textWrapping"/>
      </w:r>
      <w:r>
        <w:rPr>
          <w:rFonts w:hint="eastAsia" w:ascii="宋体" w:hAnsi="宋体" w:cs="宋体"/>
          <w:b/>
          <w:bCs/>
          <w:color w:val="auto"/>
          <w:szCs w:val="21"/>
          <w:highlight w:val="none"/>
        </w:rPr>
        <w:t>三、技术部分文件编制要求</w:t>
      </w:r>
    </w:p>
    <w:p>
      <w:pPr>
        <w:pStyle w:val="15"/>
        <w:shd w:val="clear"/>
        <w:spacing w:line="276" w:lineRule="auto"/>
        <w:ind w:left="220" w:leftChars="100" w:firstLine="428" w:firstLineChars="204"/>
        <w:rPr>
          <w:rFonts w:hint="eastAsia" w:hAnsi="宋体" w:cs="宋体"/>
          <w:color w:val="auto"/>
          <w:szCs w:val="21"/>
          <w:highlight w:val="none"/>
          <w:u w:val="single"/>
        </w:rPr>
      </w:pPr>
      <w:r>
        <w:rPr>
          <w:rFonts w:hint="eastAsia" w:hAnsi="宋体" w:cs="宋体"/>
          <w:color w:val="auto"/>
          <w:szCs w:val="21"/>
          <w:highlight w:val="none"/>
          <w:u w:val="single"/>
        </w:rPr>
        <w:t>1、技术方案</w:t>
      </w:r>
    </w:p>
    <w:p>
      <w:pPr>
        <w:pStyle w:val="15"/>
        <w:shd w:val="clear"/>
        <w:spacing w:line="276" w:lineRule="auto"/>
        <w:ind w:left="440" w:firstLine="210" w:firstLineChars="100"/>
        <w:rPr>
          <w:rFonts w:hAnsi="宋体" w:cs="宋体"/>
          <w:color w:val="auto"/>
          <w:szCs w:val="21"/>
          <w:highlight w:val="none"/>
          <w:u w:val="single"/>
        </w:rPr>
      </w:pPr>
      <w:r>
        <w:rPr>
          <w:rFonts w:hint="eastAsia" w:hAnsi="宋体" w:cs="宋体"/>
          <w:color w:val="auto"/>
          <w:szCs w:val="21"/>
          <w:highlight w:val="none"/>
          <w:u w:val="single"/>
        </w:rPr>
        <w:t>2、投标人认为有必要提供的其他资料。</w:t>
      </w:r>
      <w:r>
        <w:rPr>
          <w:rFonts w:hint="eastAsia" w:hAnsi="宋体" w:cs="宋体"/>
          <w:color w:val="auto"/>
          <w:szCs w:val="21"/>
          <w:highlight w:val="none"/>
        </w:rPr>
        <w:br w:type="textWrapping"/>
      </w:r>
    </w:p>
    <w:p>
      <w:pPr>
        <w:pStyle w:val="16"/>
        <w:shd w:val="clear"/>
        <w:ind w:firstLine="22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四、其他资料：投标人认为需递交的其他资料。</w:t>
      </w:r>
    </w:p>
    <w:p>
      <w:pPr>
        <w:pStyle w:val="16"/>
        <w:shd w:val="clear"/>
        <w:ind w:firstLine="440" w:firstLineChars="200"/>
        <w:rPr>
          <w:rFonts w:hint="eastAsia"/>
          <w:color w:val="auto"/>
          <w:highlight w:val="none"/>
        </w:rPr>
      </w:pPr>
    </w:p>
    <w:p>
      <w:pPr>
        <w:shd w:val="clear"/>
        <w:rPr>
          <w:rFonts w:hint="eastAsia" w:ascii="宋体" w:hAnsi="宋体" w:eastAsia="宋体"/>
          <w:b/>
          <w:bCs/>
          <w:color w:val="auto"/>
          <w:highlight w:val="none"/>
        </w:rPr>
      </w:pPr>
      <w:r>
        <w:rPr>
          <w:rFonts w:hAnsi="宋体"/>
          <w:color w:val="auto"/>
          <w:highlight w:val="none"/>
          <w:u w:val="single"/>
        </w:rPr>
        <w:br w:type="page"/>
      </w:r>
      <w:r>
        <w:rPr>
          <w:rFonts w:hint="eastAsia" w:hAnsi="宋体"/>
          <w:b/>
          <w:bCs/>
          <w:color w:val="auto"/>
          <w:highlight w:val="none"/>
        </w:rPr>
        <w:t>附录1</w:t>
      </w:r>
      <w:r>
        <w:rPr>
          <w:rFonts w:hint="eastAsia" w:hAnsi="宋体" w:eastAsia="宋体"/>
          <w:b/>
          <w:bCs/>
          <w:color w:val="auto"/>
          <w:highlight w:val="none"/>
        </w:rPr>
        <w:t>：投标书</w:t>
      </w:r>
    </w:p>
    <w:p>
      <w:pPr>
        <w:shd w:val="clear"/>
        <w:jc w:val="center"/>
        <w:rPr>
          <w:rFonts w:ascii="宋体" w:hAnsi="宋体"/>
          <w:b/>
          <w:bCs/>
          <w:color w:val="auto"/>
          <w:sz w:val="32"/>
          <w:highlight w:val="none"/>
        </w:rPr>
      </w:pPr>
      <w:r>
        <w:rPr>
          <w:rFonts w:hint="eastAsia" w:ascii="宋体" w:hAnsi="宋体"/>
          <w:b/>
          <w:bCs/>
          <w:color w:val="auto"/>
          <w:sz w:val="32"/>
          <w:highlight w:val="none"/>
        </w:rPr>
        <w:t>投标书</w:t>
      </w:r>
    </w:p>
    <w:p>
      <w:pPr>
        <w:pStyle w:val="19"/>
        <w:shd w:val="clear"/>
        <w:spacing w:line="360" w:lineRule="auto"/>
        <w:ind w:firstLine="420"/>
        <w:rPr>
          <w:rFonts w:hAnsi="宋体"/>
          <w:color w:val="auto"/>
          <w:sz w:val="24"/>
          <w:szCs w:val="24"/>
          <w:highlight w:val="none"/>
        </w:rPr>
      </w:pPr>
      <w:r>
        <w:rPr>
          <w:rFonts w:hint="eastAsia" w:hAnsi="宋体"/>
          <w:color w:val="auto"/>
          <w:sz w:val="24"/>
          <w:szCs w:val="24"/>
          <w:highlight w:val="none"/>
        </w:rPr>
        <w:t>我方</w:t>
      </w:r>
      <w:r>
        <w:rPr>
          <w:rFonts w:hint="eastAsia" w:hAnsi="宋体"/>
          <w:color w:val="auto"/>
          <w:sz w:val="24"/>
          <w:szCs w:val="24"/>
          <w:highlight w:val="none"/>
          <w:u w:val="single"/>
        </w:rPr>
        <w:t xml:space="preserve">           </w:t>
      </w:r>
      <w:r>
        <w:rPr>
          <w:rFonts w:hint="eastAsia" w:hAnsi="宋体"/>
          <w:color w:val="auto"/>
          <w:sz w:val="24"/>
          <w:szCs w:val="24"/>
          <w:highlight w:val="none"/>
        </w:rPr>
        <w:t>（投标人的名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9"/>
        <w:shd w:val="clear"/>
        <w:spacing w:line="360" w:lineRule="auto"/>
        <w:ind w:firstLine="420"/>
        <w:rPr>
          <w:rFonts w:hAnsi="宋体"/>
          <w:color w:val="auto"/>
          <w:sz w:val="24"/>
          <w:szCs w:val="24"/>
          <w:highlight w:val="none"/>
        </w:rPr>
      </w:pPr>
      <w:r>
        <w:rPr>
          <w:rFonts w:hint="eastAsia" w:hAnsi="宋体"/>
          <w:color w:val="auto"/>
          <w:sz w:val="24"/>
          <w:szCs w:val="24"/>
          <w:highlight w:val="none"/>
        </w:rPr>
        <w:t>我方愿以《超前钻勘察技术服务费计算表》的投标总报价，承包本次招标所包含的工作，并承担质量缺陷责任。我方项目负责人是</w:t>
      </w:r>
      <w:r>
        <w:rPr>
          <w:rFonts w:hint="eastAsia" w:hAnsi="宋体"/>
          <w:color w:val="auto"/>
          <w:sz w:val="24"/>
          <w:szCs w:val="24"/>
          <w:highlight w:val="none"/>
          <w:u w:val="single"/>
        </w:rPr>
        <w:t xml:space="preserve">       </w:t>
      </w:r>
      <w:r>
        <w:rPr>
          <w:rFonts w:hint="eastAsia" w:hAnsi="宋体"/>
          <w:color w:val="auto"/>
          <w:sz w:val="24"/>
          <w:szCs w:val="24"/>
          <w:highlight w:val="none"/>
        </w:rPr>
        <w:t>。如我司成为本项目中标候选人，我司同意并授权招标人将我司投标文件资信业绩部分的人员、业绩、奖项等资料进行公开。</w:t>
      </w:r>
    </w:p>
    <w:p>
      <w:pPr>
        <w:pStyle w:val="19"/>
        <w:shd w:val="clear"/>
        <w:spacing w:line="360" w:lineRule="auto"/>
        <w:ind w:firstLine="420"/>
        <w:rPr>
          <w:rFonts w:hAnsi="宋体"/>
          <w:color w:val="auto"/>
          <w:sz w:val="24"/>
          <w:szCs w:val="24"/>
          <w:highlight w:val="none"/>
        </w:rPr>
      </w:pPr>
      <w:r>
        <w:rPr>
          <w:rFonts w:hint="eastAsia" w:hAnsi="宋体"/>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pStyle w:val="19"/>
        <w:shd w:val="clear"/>
        <w:spacing w:line="360" w:lineRule="auto"/>
        <w:ind w:firstLine="420"/>
        <w:rPr>
          <w:rFonts w:hAnsi="宋体"/>
          <w:color w:val="auto"/>
          <w:sz w:val="24"/>
          <w:szCs w:val="24"/>
          <w:highlight w:val="none"/>
        </w:rPr>
      </w:pPr>
      <w:r>
        <w:rPr>
          <w:rFonts w:hint="eastAsia" w:hAnsi="宋体"/>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pPr>
        <w:pStyle w:val="19"/>
        <w:shd w:val="clear"/>
        <w:spacing w:line="360" w:lineRule="auto"/>
        <w:ind w:firstLine="420"/>
        <w:rPr>
          <w:b/>
          <w:color w:val="auto"/>
          <w:sz w:val="24"/>
          <w:szCs w:val="24"/>
          <w:highlight w:val="none"/>
          <w:u w:val="single"/>
        </w:rPr>
      </w:pPr>
      <w:r>
        <w:rPr>
          <w:rFonts w:hint="eastAsia"/>
          <w:b/>
          <w:color w:val="auto"/>
          <w:sz w:val="24"/>
          <w:szCs w:val="24"/>
          <w:highlight w:val="none"/>
          <w:u w:val="single"/>
        </w:rPr>
        <w:t>如果我方中标，我方将在收到中标通知书5个工作日内按本项目合同条款要求的人员配备要求，组建本项目超前钻勘察技术项目组，并将人员名单作为合同签订的附件。如配备的人员不满足要求，我方承诺按合同约定承担违约责任。</w:t>
      </w:r>
    </w:p>
    <w:p>
      <w:pPr>
        <w:pStyle w:val="19"/>
        <w:shd w:val="clear"/>
        <w:spacing w:line="360" w:lineRule="auto"/>
        <w:ind w:firstLine="420"/>
        <w:rPr>
          <w:rFonts w:hAnsi="宋体"/>
          <w:color w:val="auto"/>
          <w:sz w:val="24"/>
          <w:szCs w:val="24"/>
          <w:highlight w:val="none"/>
        </w:rPr>
      </w:pPr>
      <w:r>
        <w:rPr>
          <w:rFonts w:hint="eastAsia" w:hAnsi="宋体"/>
          <w:color w:val="auto"/>
          <w:sz w:val="24"/>
          <w:szCs w:val="24"/>
          <w:highlight w:val="none"/>
        </w:rPr>
        <w:t>如果我方中标，我方将按规定在合同规定的日期开工，并在竣工时间内，按照上述文件完成项目。</w:t>
      </w:r>
    </w:p>
    <w:p>
      <w:pPr>
        <w:pStyle w:val="19"/>
        <w:shd w:val="clear"/>
        <w:spacing w:line="360" w:lineRule="auto"/>
        <w:ind w:firstLine="420"/>
        <w:rPr>
          <w:rFonts w:hAnsi="宋体"/>
          <w:color w:val="auto"/>
          <w:sz w:val="24"/>
          <w:szCs w:val="24"/>
          <w:highlight w:val="none"/>
        </w:rPr>
      </w:pPr>
      <w:r>
        <w:rPr>
          <w:rFonts w:hint="eastAsia" w:hAnsi="宋体"/>
          <w:color w:val="auto"/>
          <w:sz w:val="24"/>
          <w:szCs w:val="24"/>
          <w:highlight w:val="none"/>
        </w:rPr>
        <w:t>除非制订正式合同协议书并生效，本投标书以及你方中标通知书，应构成你我双方间具有约束力的合同。</w:t>
      </w:r>
    </w:p>
    <w:p>
      <w:pPr>
        <w:shd w:val="clear"/>
        <w:spacing w:line="360" w:lineRule="auto"/>
        <w:rPr>
          <w:rFonts w:hAnsi="宋体"/>
          <w:color w:val="auto"/>
          <w:sz w:val="24"/>
          <w:szCs w:val="24"/>
          <w:highlight w:val="none"/>
        </w:rPr>
      </w:pPr>
      <w:r>
        <w:rPr>
          <w:rFonts w:hint="eastAsia" w:hAnsi="宋体"/>
          <w:color w:val="auto"/>
          <w:sz w:val="24"/>
          <w:szCs w:val="24"/>
          <w:highlight w:val="none"/>
        </w:rPr>
        <w:t xml:space="preserve">    投标人：（盖章）</w:t>
      </w:r>
      <w:r>
        <w:rPr>
          <w:rFonts w:hint="eastAsia" w:hAnsi="宋体"/>
          <w:color w:val="auto"/>
          <w:sz w:val="24"/>
          <w:szCs w:val="24"/>
          <w:highlight w:val="none"/>
          <w:u w:val="single"/>
        </w:rPr>
        <w:t xml:space="preserve">                                  </w:t>
      </w:r>
    </w:p>
    <w:p>
      <w:pPr>
        <w:shd w:val="clear"/>
        <w:spacing w:line="360" w:lineRule="auto"/>
        <w:ind w:firstLine="408"/>
        <w:rPr>
          <w:rFonts w:hint="eastAsia" w:hAnsi="宋体" w:eastAsia="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pPr>
        <w:shd w:val="clear"/>
        <w:spacing w:line="360" w:lineRule="auto"/>
        <w:ind w:firstLine="408"/>
        <w:rPr>
          <w:rFonts w:hint="eastAsia" w:hAnsi="宋体" w:eastAsia="宋体"/>
          <w:color w:val="auto"/>
          <w:sz w:val="24"/>
          <w:szCs w:val="24"/>
          <w:highlight w:val="none"/>
        </w:rPr>
      </w:pPr>
      <w:r>
        <w:rPr>
          <w:rFonts w:hint="eastAsia" w:hAnsi="宋体" w:eastAsia="宋体"/>
          <w:color w:val="auto"/>
          <w:sz w:val="24"/>
          <w:szCs w:val="24"/>
          <w:highlight w:val="none"/>
        </w:rPr>
        <w:t>委托代理人</w:t>
      </w:r>
      <w:r>
        <w:rPr>
          <w:rFonts w:hint="eastAsia" w:hAnsi="宋体"/>
          <w:color w:val="auto"/>
          <w:sz w:val="24"/>
          <w:szCs w:val="24"/>
          <w:highlight w:val="none"/>
        </w:rPr>
        <w:t>：（签字或盖章）</w:t>
      </w:r>
      <w:r>
        <w:rPr>
          <w:rFonts w:hint="eastAsia" w:hAnsi="宋体"/>
          <w:color w:val="auto"/>
          <w:sz w:val="24"/>
          <w:szCs w:val="24"/>
          <w:highlight w:val="none"/>
          <w:u w:val="single"/>
        </w:rPr>
        <w:t xml:space="preserve">                        </w:t>
      </w:r>
    </w:p>
    <w:p>
      <w:pPr>
        <w:shd w:val="clear"/>
        <w:rPr>
          <w:rFonts w:hint="eastAsia" w:hAnsi="宋体"/>
          <w:color w:val="auto"/>
          <w:sz w:val="24"/>
          <w:szCs w:val="24"/>
          <w:highlight w:val="none"/>
          <w:u w:val="single"/>
        </w:rPr>
      </w:pPr>
      <w:r>
        <w:rPr>
          <w:rFonts w:hint="eastAsia" w:hAnsi="宋体"/>
          <w:color w:val="auto"/>
          <w:sz w:val="24"/>
          <w:szCs w:val="24"/>
          <w:highlight w:val="none"/>
        </w:rPr>
        <w:t xml:space="preserve">    项目负责人：（签字或盖章）</w:t>
      </w:r>
      <w:r>
        <w:rPr>
          <w:rFonts w:hint="eastAsia" w:hAnsi="宋体"/>
          <w:color w:val="auto"/>
          <w:sz w:val="24"/>
          <w:szCs w:val="24"/>
          <w:highlight w:val="none"/>
          <w:u w:val="single"/>
        </w:rPr>
        <w:t xml:space="preserve">                        </w:t>
      </w:r>
    </w:p>
    <w:p>
      <w:pPr>
        <w:shd w:val="clear"/>
        <w:jc w:val="center"/>
        <w:rPr>
          <w:rFonts w:ascii="宋体" w:hAnsi="宋体"/>
          <w:b/>
          <w:bCs/>
          <w:color w:val="auto"/>
          <w:sz w:val="32"/>
          <w:highlight w:val="none"/>
        </w:rPr>
      </w:pPr>
      <w:r>
        <w:rPr>
          <w:rFonts w:hint="eastAsia" w:hAnsi="宋体"/>
          <w:color w:val="auto"/>
          <w:sz w:val="21"/>
          <w:szCs w:val="21"/>
          <w:highlight w:val="none"/>
          <w:u w:val="single"/>
        </w:rPr>
        <w:br w:type="page"/>
      </w:r>
      <w:r>
        <w:rPr>
          <w:rFonts w:hint="eastAsia" w:ascii="宋体" w:hAnsi="宋体"/>
          <w:b/>
          <w:bCs/>
          <w:color w:val="auto"/>
          <w:sz w:val="32"/>
          <w:highlight w:val="none"/>
        </w:rPr>
        <w:t>投标书附录</w:t>
      </w:r>
    </w:p>
    <w:p>
      <w:pPr>
        <w:pStyle w:val="14"/>
        <w:shd w:val="clear"/>
        <w:kinsoku w:val="0"/>
        <w:overflowPunct w:val="0"/>
        <w:rPr>
          <w:color w:val="auto"/>
          <w:sz w:val="20"/>
          <w:szCs w:val="20"/>
          <w:highlight w:val="none"/>
        </w:rPr>
      </w:pPr>
    </w:p>
    <w:p>
      <w:pPr>
        <w:pStyle w:val="14"/>
        <w:shd w:val="clear"/>
        <w:kinsoku w:val="0"/>
        <w:overflowPunct w:val="0"/>
        <w:spacing w:before="3"/>
        <w:rPr>
          <w:color w:val="auto"/>
          <w:sz w:val="23"/>
          <w:szCs w:val="23"/>
          <w:highlight w:val="none"/>
        </w:rPr>
      </w:pPr>
    </w:p>
    <w:tbl>
      <w:tblPr>
        <w:tblStyle w:val="35"/>
        <w:tblW w:w="0" w:type="auto"/>
        <w:tblInd w:w="112" w:type="dxa"/>
        <w:tblLayout w:type="fixed"/>
        <w:tblCellMar>
          <w:top w:w="0" w:type="dxa"/>
          <w:left w:w="0" w:type="dxa"/>
          <w:bottom w:w="0" w:type="dxa"/>
          <w:right w:w="0" w:type="dxa"/>
        </w:tblCellMar>
      </w:tblPr>
      <w:tblGrid>
        <w:gridCol w:w="1356"/>
        <w:gridCol w:w="3073"/>
        <w:gridCol w:w="3648"/>
        <w:gridCol w:w="1314"/>
      </w:tblGrid>
      <w:tr>
        <w:tblPrEx>
          <w:tblCellMar>
            <w:top w:w="0" w:type="dxa"/>
            <w:left w:w="0" w:type="dxa"/>
            <w:bottom w:w="0" w:type="dxa"/>
            <w:right w:w="0" w:type="dxa"/>
          </w:tblCellMar>
        </w:tblPrEx>
        <w:trPr>
          <w:trHeight w:val="538" w:hRule="exact"/>
        </w:trPr>
        <w:tc>
          <w:tcPr>
            <w:tcW w:w="1356" w:type="dxa"/>
            <w:tcBorders>
              <w:top w:val="single" w:color="000000" w:sz="4" w:space="0"/>
              <w:left w:val="single" w:color="000000" w:sz="4" w:space="0"/>
              <w:bottom w:val="single" w:color="000000" w:sz="4" w:space="0"/>
              <w:right w:val="single" w:color="000000" w:sz="4" w:space="0"/>
            </w:tcBorders>
            <w:noWrap w:val="0"/>
            <w:vAlign w:val="top"/>
          </w:tcPr>
          <w:p>
            <w:pPr>
              <w:pStyle w:val="87"/>
              <w:keepNext w:val="0"/>
              <w:keepLines w:val="0"/>
              <w:suppressLineNumbers w:val="0"/>
              <w:shd w:val="clear"/>
              <w:kinsoku w:val="0"/>
              <w:overflowPunct w:val="0"/>
              <w:spacing w:before="92" w:beforeAutospacing="0" w:afterAutospacing="0"/>
              <w:ind w:left="0" w:right="0"/>
              <w:jc w:val="center"/>
              <w:rPr>
                <w:rFonts w:hint="default"/>
                <w:b/>
                <w:bCs/>
                <w:color w:val="auto"/>
                <w:sz w:val="24"/>
                <w:szCs w:val="24"/>
                <w:highlight w:val="none"/>
              </w:rPr>
            </w:pPr>
            <w:r>
              <w:rPr>
                <w:rFonts w:hint="eastAsia" w:ascii="宋体" w:cs="宋体"/>
                <w:b/>
                <w:bCs/>
                <w:color w:val="auto"/>
                <w:sz w:val="24"/>
                <w:szCs w:val="24"/>
                <w:highlight w:val="none"/>
              </w:rPr>
              <w:t>序号</w:t>
            </w:r>
          </w:p>
        </w:tc>
        <w:tc>
          <w:tcPr>
            <w:tcW w:w="3073" w:type="dxa"/>
            <w:tcBorders>
              <w:top w:val="single" w:color="000000" w:sz="4" w:space="0"/>
              <w:left w:val="single" w:color="000000" w:sz="4" w:space="0"/>
              <w:bottom w:val="single" w:color="000000" w:sz="4" w:space="0"/>
              <w:right w:val="single" w:color="000000" w:sz="4" w:space="0"/>
            </w:tcBorders>
            <w:noWrap w:val="0"/>
            <w:vAlign w:val="top"/>
          </w:tcPr>
          <w:p>
            <w:pPr>
              <w:pStyle w:val="87"/>
              <w:keepNext w:val="0"/>
              <w:keepLines w:val="0"/>
              <w:suppressLineNumbers w:val="0"/>
              <w:shd w:val="clear"/>
              <w:kinsoku w:val="0"/>
              <w:overflowPunct w:val="0"/>
              <w:spacing w:before="92" w:beforeAutospacing="0" w:afterAutospacing="0"/>
              <w:ind w:left="0" w:right="0"/>
              <w:jc w:val="center"/>
              <w:rPr>
                <w:rFonts w:hint="default"/>
                <w:b/>
                <w:bCs/>
                <w:color w:val="auto"/>
                <w:sz w:val="24"/>
                <w:szCs w:val="24"/>
                <w:highlight w:val="none"/>
              </w:rPr>
            </w:pPr>
            <w:r>
              <w:rPr>
                <w:rFonts w:hint="eastAsia" w:ascii="宋体" w:cs="宋体"/>
                <w:b/>
                <w:bCs/>
                <w:color w:val="auto"/>
                <w:sz w:val="24"/>
                <w:szCs w:val="24"/>
                <w:highlight w:val="none"/>
              </w:rPr>
              <w:t>条款名称</w:t>
            </w:r>
          </w:p>
        </w:tc>
        <w:tc>
          <w:tcPr>
            <w:tcW w:w="3648" w:type="dxa"/>
            <w:tcBorders>
              <w:top w:val="single" w:color="000000" w:sz="4" w:space="0"/>
              <w:left w:val="single" w:color="000000" w:sz="4" w:space="0"/>
              <w:bottom w:val="single" w:color="000000" w:sz="4" w:space="0"/>
              <w:right w:val="single" w:color="000000" w:sz="4" w:space="0"/>
            </w:tcBorders>
            <w:noWrap w:val="0"/>
            <w:vAlign w:val="top"/>
          </w:tcPr>
          <w:p>
            <w:pPr>
              <w:pStyle w:val="87"/>
              <w:keepNext w:val="0"/>
              <w:keepLines w:val="0"/>
              <w:suppressLineNumbers w:val="0"/>
              <w:shd w:val="clear"/>
              <w:kinsoku w:val="0"/>
              <w:overflowPunct w:val="0"/>
              <w:spacing w:before="92" w:beforeAutospacing="0" w:afterAutospacing="0"/>
              <w:ind w:left="0" w:right="0"/>
              <w:jc w:val="center"/>
              <w:rPr>
                <w:rFonts w:hint="default"/>
                <w:b/>
                <w:bCs/>
                <w:color w:val="auto"/>
                <w:sz w:val="24"/>
                <w:szCs w:val="24"/>
                <w:highlight w:val="none"/>
              </w:rPr>
            </w:pPr>
            <w:r>
              <w:rPr>
                <w:rFonts w:hint="eastAsia" w:ascii="宋体" w:cs="宋体"/>
                <w:b/>
                <w:bCs/>
                <w:color w:val="auto"/>
                <w:sz w:val="24"/>
                <w:szCs w:val="24"/>
                <w:highlight w:val="none"/>
              </w:rPr>
              <w:t>约定内容</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pPr>
              <w:pStyle w:val="87"/>
              <w:keepNext w:val="0"/>
              <w:keepLines w:val="0"/>
              <w:suppressLineNumbers w:val="0"/>
              <w:shd w:val="clear"/>
              <w:kinsoku w:val="0"/>
              <w:overflowPunct w:val="0"/>
              <w:spacing w:before="92" w:beforeAutospacing="0" w:afterAutospacing="0"/>
              <w:ind w:left="0" w:right="0"/>
              <w:jc w:val="center"/>
              <w:rPr>
                <w:rFonts w:hint="default"/>
                <w:b/>
                <w:bCs/>
                <w:color w:val="auto"/>
                <w:sz w:val="24"/>
                <w:szCs w:val="24"/>
                <w:highlight w:val="none"/>
              </w:rPr>
            </w:pPr>
            <w:r>
              <w:rPr>
                <w:rFonts w:hint="eastAsia" w:ascii="宋体" w:cs="宋体"/>
                <w:b/>
                <w:bCs/>
                <w:color w:val="auto"/>
                <w:sz w:val="24"/>
                <w:szCs w:val="24"/>
                <w:highlight w:val="none"/>
              </w:rPr>
              <w:t>备注</w:t>
            </w:r>
          </w:p>
        </w:tc>
      </w:tr>
      <w:tr>
        <w:tblPrEx>
          <w:tblCellMar>
            <w:top w:w="0" w:type="dxa"/>
            <w:left w:w="0" w:type="dxa"/>
            <w:bottom w:w="0" w:type="dxa"/>
            <w:right w:w="0"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93" w:beforeAutospacing="0" w:afterAutospacing="0"/>
              <w:ind w:left="0" w:right="0"/>
              <w:jc w:val="center"/>
              <w:rPr>
                <w:rFonts w:hint="default"/>
                <w:color w:val="auto"/>
                <w:sz w:val="24"/>
                <w:szCs w:val="24"/>
                <w:highlight w:val="none"/>
              </w:rPr>
            </w:pPr>
            <w:r>
              <w:rPr>
                <w:rFonts w:hint="default"/>
                <w:color w:val="auto"/>
                <w:sz w:val="24"/>
                <w:szCs w:val="24"/>
                <w:highlight w:val="none"/>
              </w:rPr>
              <w:t>1</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106" w:beforeAutospacing="0" w:afterAutospacing="0" w:line="240" w:lineRule="auto"/>
              <w:ind w:left="0" w:right="0"/>
              <w:jc w:val="center"/>
              <w:rPr>
                <w:rFonts w:hint="eastAsia" w:ascii="宋体" w:cs="宋体"/>
                <w:color w:val="auto"/>
                <w:spacing w:val="-1"/>
                <w:sz w:val="24"/>
                <w:szCs w:val="24"/>
                <w:highlight w:val="none"/>
              </w:rPr>
            </w:pPr>
            <w:r>
              <w:rPr>
                <w:rFonts w:hint="eastAsia" w:ascii="宋体" w:cs="宋体"/>
                <w:color w:val="auto"/>
                <w:spacing w:val="-1"/>
                <w:sz w:val="24"/>
                <w:szCs w:val="24"/>
                <w:highlight w:val="none"/>
              </w:rPr>
              <w:t>项目负责人</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106" w:beforeAutospacing="0" w:afterAutospacing="0" w:line="240" w:lineRule="auto"/>
              <w:ind w:left="0" w:right="0" w:firstLine="714" w:firstLineChars="300"/>
              <w:jc w:val="both"/>
              <w:rPr>
                <w:rFonts w:hint="eastAsia" w:ascii="宋体" w:cs="宋体"/>
                <w:color w:val="auto"/>
                <w:spacing w:val="-1"/>
                <w:sz w:val="24"/>
                <w:szCs w:val="24"/>
                <w:highlight w:val="none"/>
              </w:rPr>
            </w:pPr>
            <w:r>
              <w:rPr>
                <w:rFonts w:hint="eastAsia" w:ascii="宋体" w:cs="宋体"/>
                <w:color w:val="auto"/>
                <w:spacing w:val="-1"/>
                <w:sz w:val="24"/>
                <w:szCs w:val="24"/>
                <w:highlight w:val="none"/>
              </w:rPr>
              <w:t>姓名：</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spacing w:before="0" w:beforeAutospacing="0" w:afterAutospacing="0"/>
              <w:ind w:left="0" w:right="0"/>
              <w:rPr>
                <w:rFonts w:hint="default" w:ascii="Calibri" w:hAnsi="Calibri" w:cs="Times New Roman"/>
                <w:color w:val="auto"/>
                <w:sz w:val="24"/>
                <w:szCs w:val="24"/>
                <w:highlight w:val="none"/>
              </w:rPr>
            </w:pPr>
          </w:p>
        </w:tc>
      </w:tr>
      <w:tr>
        <w:tblPrEx>
          <w:tblCellMar>
            <w:top w:w="0" w:type="dxa"/>
            <w:left w:w="0" w:type="dxa"/>
            <w:bottom w:w="0" w:type="dxa"/>
            <w:right w:w="0"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91" w:beforeAutospacing="0" w:afterAutospacing="0"/>
              <w:ind w:left="0" w:right="0"/>
              <w:jc w:val="center"/>
              <w:rPr>
                <w:rFonts w:hint="default"/>
                <w:color w:val="auto"/>
                <w:sz w:val="24"/>
                <w:szCs w:val="24"/>
                <w:highlight w:val="none"/>
              </w:rPr>
            </w:pPr>
            <w:r>
              <w:rPr>
                <w:rFonts w:hint="default"/>
                <w:color w:val="auto"/>
                <w:sz w:val="24"/>
                <w:szCs w:val="24"/>
                <w:highlight w:val="none"/>
              </w:rPr>
              <w:t>2</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106" w:beforeAutospacing="0" w:afterAutospacing="0" w:line="240" w:lineRule="auto"/>
              <w:ind w:left="0" w:right="0"/>
              <w:jc w:val="center"/>
              <w:rPr>
                <w:rFonts w:hint="default" w:ascii="宋体" w:cs="宋体"/>
                <w:color w:val="auto"/>
                <w:spacing w:val="-1"/>
                <w:sz w:val="24"/>
                <w:szCs w:val="24"/>
                <w:highlight w:val="none"/>
              </w:rPr>
            </w:pPr>
            <w:r>
              <w:rPr>
                <w:rFonts w:hint="eastAsia" w:ascii="宋体" w:cs="宋体"/>
                <w:color w:val="auto"/>
                <w:spacing w:val="-1"/>
                <w:sz w:val="24"/>
                <w:szCs w:val="24"/>
                <w:highlight w:val="none"/>
              </w:rPr>
              <w:t>投标内容</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106" w:beforeAutospacing="0" w:afterAutospacing="0" w:line="240" w:lineRule="auto"/>
              <w:ind w:left="0" w:right="0"/>
              <w:jc w:val="center"/>
              <w:rPr>
                <w:rFonts w:hint="eastAsia" w:ascii="宋体" w:cs="宋体"/>
                <w:color w:val="auto"/>
                <w:spacing w:val="-1"/>
                <w:sz w:val="24"/>
                <w:szCs w:val="24"/>
                <w:highlight w:val="none"/>
              </w:rPr>
            </w:pPr>
            <w:r>
              <w:rPr>
                <w:rFonts w:hint="eastAsia" w:ascii="宋体" w:cs="宋体"/>
                <w:color w:val="auto"/>
                <w:spacing w:val="-1"/>
                <w:sz w:val="24"/>
                <w:szCs w:val="24"/>
                <w:highlight w:val="none"/>
              </w:rPr>
              <w:t>按招标文件要求</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spacing w:before="0" w:beforeAutospacing="0" w:afterAutospacing="0"/>
              <w:ind w:left="0" w:right="0"/>
              <w:rPr>
                <w:rFonts w:hint="default" w:ascii="Calibri" w:hAnsi="Calibri" w:cs="Times New Roman"/>
                <w:color w:val="auto"/>
                <w:sz w:val="24"/>
                <w:szCs w:val="24"/>
                <w:highlight w:val="none"/>
              </w:rPr>
            </w:pPr>
          </w:p>
        </w:tc>
      </w:tr>
      <w:tr>
        <w:tblPrEx>
          <w:tblCellMar>
            <w:top w:w="0" w:type="dxa"/>
            <w:left w:w="0" w:type="dxa"/>
            <w:bottom w:w="0" w:type="dxa"/>
            <w:right w:w="0" w:type="dxa"/>
          </w:tblCellMar>
        </w:tblPrEx>
        <w:trPr>
          <w:trHeight w:val="1323"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93" w:beforeAutospacing="0" w:afterAutospacing="0"/>
              <w:ind w:left="0" w:right="0"/>
              <w:jc w:val="center"/>
              <w:rPr>
                <w:rFonts w:hint="default"/>
                <w:color w:val="auto"/>
                <w:sz w:val="24"/>
                <w:szCs w:val="24"/>
                <w:highlight w:val="none"/>
              </w:rPr>
            </w:pPr>
            <w:r>
              <w:rPr>
                <w:rFonts w:hint="default"/>
                <w:color w:val="auto"/>
                <w:sz w:val="24"/>
                <w:szCs w:val="24"/>
                <w:highlight w:val="none"/>
              </w:rPr>
              <w:t>3</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106" w:beforeAutospacing="0" w:afterAutospacing="0" w:line="240" w:lineRule="auto"/>
              <w:ind w:left="0" w:right="0"/>
              <w:jc w:val="center"/>
              <w:rPr>
                <w:rFonts w:hint="eastAsia" w:ascii="宋体" w:cs="宋体"/>
                <w:color w:val="auto"/>
                <w:spacing w:val="-1"/>
                <w:sz w:val="24"/>
                <w:szCs w:val="24"/>
                <w:highlight w:val="none"/>
              </w:rPr>
            </w:pPr>
            <w:r>
              <w:rPr>
                <w:rFonts w:hint="eastAsia" w:ascii="宋体" w:cs="宋体"/>
                <w:color w:val="auto"/>
                <w:spacing w:val="-1"/>
                <w:sz w:val="24"/>
                <w:szCs w:val="24"/>
                <w:highlight w:val="none"/>
              </w:rPr>
              <w:t>服务工期</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106" w:beforeAutospacing="0" w:afterAutospacing="0" w:line="240" w:lineRule="auto"/>
              <w:ind w:left="0" w:right="0"/>
              <w:rPr>
                <w:rFonts w:hint="eastAsia" w:ascii="宋体" w:cs="宋体"/>
                <w:color w:val="auto"/>
                <w:spacing w:val="-1"/>
                <w:sz w:val="24"/>
                <w:szCs w:val="24"/>
                <w:highlight w:val="none"/>
              </w:rPr>
            </w:pPr>
            <w:r>
              <w:rPr>
                <w:rFonts w:hint="eastAsia" w:ascii="宋体" w:cs="宋体"/>
                <w:color w:val="auto"/>
                <w:spacing w:val="-1"/>
                <w:sz w:val="24"/>
                <w:szCs w:val="24"/>
                <w:highlight w:val="none"/>
              </w:rPr>
              <w:t>超前钻勘察技术服务工期为</w:t>
            </w:r>
            <w:r>
              <w:rPr>
                <w:rFonts w:hint="eastAsia" w:ascii="宋体" w:cs="宋体"/>
                <w:color w:val="auto"/>
                <w:spacing w:val="-1"/>
                <w:sz w:val="24"/>
                <w:szCs w:val="24"/>
                <w:highlight w:val="none"/>
                <w:u w:val="single"/>
              </w:rPr>
              <w:t xml:space="preserve">    </w:t>
            </w:r>
            <w:r>
              <w:rPr>
                <w:rFonts w:hint="eastAsia" w:ascii="宋体" w:cs="宋体"/>
                <w:color w:val="auto"/>
                <w:spacing w:val="-1"/>
                <w:sz w:val="24"/>
                <w:szCs w:val="24"/>
                <w:highlight w:val="none"/>
              </w:rPr>
              <w:t>个日历日，自收到招标人发出具备进场条件的通知之日起计。</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spacing w:before="0" w:beforeAutospacing="0" w:afterAutospacing="0"/>
              <w:ind w:left="0" w:right="0"/>
              <w:jc w:val="center"/>
              <w:rPr>
                <w:rFonts w:hint="default" w:ascii="Calibri" w:hAnsi="Calibri" w:cs="Times New Roman"/>
                <w:color w:val="auto"/>
                <w:sz w:val="24"/>
                <w:szCs w:val="24"/>
                <w:highlight w:val="none"/>
              </w:rPr>
            </w:pPr>
          </w:p>
        </w:tc>
      </w:tr>
      <w:tr>
        <w:tblPrEx>
          <w:tblCellMar>
            <w:top w:w="0" w:type="dxa"/>
            <w:left w:w="0" w:type="dxa"/>
            <w:bottom w:w="0" w:type="dxa"/>
            <w:right w:w="0"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0" w:beforeAutospacing="0" w:afterAutospacing="0" w:line="234" w:lineRule="exact"/>
              <w:ind w:left="0" w:right="0"/>
              <w:jc w:val="center"/>
              <w:rPr>
                <w:rFonts w:hint="default"/>
                <w:color w:val="auto"/>
                <w:sz w:val="24"/>
                <w:szCs w:val="24"/>
                <w:highlight w:val="none"/>
              </w:rPr>
            </w:pPr>
            <w:r>
              <w:rPr>
                <w:rFonts w:hint="eastAsia"/>
                <w:color w:val="auto"/>
                <w:sz w:val="24"/>
                <w:szCs w:val="24"/>
                <w:highlight w:val="none"/>
              </w:rPr>
              <w:t>4</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0" w:beforeAutospacing="0" w:afterAutospacing="0" w:line="240" w:lineRule="auto"/>
              <w:ind w:left="0" w:right="0"/>
              <w:jc w:val="center"/>
              <w:rPr>
                <w:rFonts w:hint="default" w:ascii="宋体" w:cs="宋体"/>
                <w:color w:val="auto"/>
                <w:spacing w:val="-1"/>
                <w:sz w:val="24"/>
                <w:szCs w:val="24"/>
                <w:highlight w:val="none"/>
              </w:rPr>
            </w:pPr>
            <w:r>
              <w:rPr>
                <w:rFonts w:hint="eastAsia" w:ascii="宋体" w:cs="宋体"/>
                <w:color w:val="auto"/>
                <w:spacing w:val="-1"/>
                <w:sz w:val="24"/>
                <w:szCs w:val="24"/>
                <w:highlight w:val="none"/>
              </w:rPr>
              <w:t>质量标准</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106" w:beforeAutospacing="0" w:afterAutospacing="0" w:line="240" w:lineRule="auto"/>
              <w:ind w:left="0" w:right="0"/>
              <w:jc w:val="center"/>
              <w:rPr>
                <w:rFonts w:hint="eastAsia" w:ascii="宋体" w:cs="宋体"/>
                <w:color w:val="auto"/>
                <w:spacing w:val="-1"/>
                <w:sz w:val="24"/>
                <w:szCs w:val="24"/>
                <w:highlight w:val="none"/>
              </w:rPr>
            </w:pPr>
            <w:r>
              <w:rPr>
                <w:rFonts w:hint="eastAsia" w:ascii="宋体" w:cs="宋体"/>
                <w:color w:val="auto"/>
                <w:spacing w:val="-1"/>
                <w:sz w:val="24"/>
                <w:szCs w:val="24"/>
                <w:highlight w:val="none"/>
              </w:rPr>
              <w:t>满足招标文件要求</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spacing w:before="106" w:beforeAutospacing="0" w:afterAutospacing="0"/>
              <w:ind w:left="548" w:right="0"/>
              <w:rPr>
                <w:rFonts w:hint="default" w:ascii="Calibri" w:hAnsi="Calibri" w:cs="Times New Roman"/>
                <w:color w:val="auto"/>
                <w:sz w:val="24"/>
                <w:szCs w:val="24"/>
                <w:highlight w:val="none"/>
              </w:rPr>
            </w:pPr>
          </w:p>
        </w:tc>
      </w:tr>
      <w:tr>
        <w:tblPrEx>
          <w:tblCellMar>
            <w:top w:w="0" w:type="dxa"/>
            <w:left w:w="0" w:type="dxa"/>
            <w:bottom w:w="0" w:type="dxa"/>
            <w:right w:w="0"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0" w:beforeAutospacing="0" w:afterAutospacing="0" w:line="234" w:lineRule="exact"/>
              <w:ind w:left="0" w:right="0"/>
              <w:jc w:val="center"/>
              <w:rPr>
                <w:rFonts w:hint="default"/>
                <w:color w:val="auto"/>
                <w:sz w:val="24"/>
                <w:szCs w:val="24"/>
                <w:highlight w:val="none"/>
              </w:rPr>
            </w:pPr>
            <w:r>
              <w:rPr>
                <w:rFonts w:hint="eastAsia"/>
                <w:color w:val="auto"/>
                <w:sz w:val="24"/>
                <w:szCs w:val="24"/>
                <w:highlight w:val="none"/>
              </w:rPr>
              <w:t>5</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106" w:beforeAutospacing="0" w:afterAutospacing="0" w:line="240" w:lineRule="auto"/>
              <w:ind w:left="0" w:right="0"/>
              <w:jc w:val="center"/>
              <w:rPr>
                <w:rFonts w:hint="default" w:ascii="宋体" w:cs="宋体"/>
                <w:color w:val="auto"/>
                <w:spacing w:val="-1"/>
                <w:sz w:val="24"/>
                <w:szCs w:val="24"/>
                <w:highlight w:val="none"/>
              </w:rPr>
            </w:pPr>
            <w:r>
              <w:rPr>
                <w:rFonts w:hint="eastAsia" w:ascii="宋体" w:cs="宋体"/>
                <w:color w:val="auto"/>
                <w:spacing w:val="-1"/>
                <w:sz w:val="24"/>
                <w:szCs w:val="24"/>
                <w:highlight w:val="none"/>
              </w:rPr>
              <w:t>投标有效期</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pPr>
              <w:pStyle w:val="87"/>
              <w:keepNext w:val="0"/>
              <w:keepLines w:val="0"/>
              <w:suppressLineNumbers w:val="0"/>
              <w:shd w:val="clear"/>
              <w:kinsoku w:val="0"/>
              <w:overflowPunct w:val="0"/>
              <w:spacing w:before="106" w:beforeAutospacing="0" w:afterAutospacing="0" w:line="240" w:lineRule="auto"/>
              <w:ind w:left="0" w:right="0"/>
              <w:jc w:val="center"/>
              <w:rPr>
                <w:rFonts w:hint="default" w:ascii="宋体" w:cs="宋体"/>
                <w:color w:val="auto"/>
                <w:spacing w:val="-1"/>
                <w:sz w:val="24"/>
                <w:szCs w:val="24"/>
                <w:highlight w:val="none"/>
              </w:rPr>
            </w:pPr>
            <w:r>
              <w:rPr>
                <w:rFonts w:hint="eastAsia" w:ascii="宋体" w:cs="宋体"/>
                <w:color w:val="auto"/>
                <w:spacing w:val="-1"/>
                <w:sz w:val="24"/>
                <w:szCs w:val="24"/>
                <w:highlight w:val="none"/>
              </w:rPr>
              <w:t>按招标文件要求</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hd w:val="clear"/>
              <w:spacing w:before="0" w:beforeAutospacing="0" w:afterAutospacing="0"/>
              <w:ind w:left="0" w:right="0"/>
              <w:rPr>
                <w:rFonts w:hint="default" w:ascii="Calibri" w:hAnsi="Calibri" w:cs="Times New Roman"/>
                <w:color w:val="auto"/>
                <w:sz w:val="24"/>
                <w:szCs w:val="24"/>
                <w:highlight w:val="none"/>
              </w:rPr>
            </w:pPr>
          </w:p>
        </w:tc>
      </w:tr>
    </w:tbl>
    <w:p>
      <w:pPr>
        <w:pStyle w:val="14"/>
        <w:shd w:val="clear"/>
        <w:kinsoku w:val="0"/>
        <w:overflowPunct w:val="0"/>
        <w:rPr>
          <w:color w:val="auto"/>
          <w:sz w:val="20"/>
          <w:szCs w:val="20"/>
          <w:highlight w:val="none"/>
        </w:rPr>
      </w:pPr>
    </w:p>
    <w:p>
      <w:pPr>
        <w:pStyle w:val="14"/>
        <w:shd w:val="clear"/>
        <w:kinsoku w:val="0"/>
        <w:overflowPunct w:val="0"/>
        <w:spacing w:before="6"/>
        <w:rPr>
          <w:color w:val="auto"/>
          <w:sz w:val="18"/>
          <w:szCs w:val="18"/>
          <w:highlight w:val="none"/>
        </w:rPr>
      </w:pPr>
    </w:p>
    <w:p>
      <w:pPr>
        <w:pStyle w:val="14"/>
        <w:shd w:val="clear"/>
        <w:tabs>
          <w:tab w:val="left" w:pos="7321"/>
        </w:tabs>
        <w:kinsoku w:val="0"/>
        <w:overflowPunct w:val="0"/>
        <w:spacing w:before="36"/>
        <w:ind w:left="2701" w:right="-1093" w:rightChars="-497"/>
        <w:rPr>
          <w:color w:val="auto"/>
          <w:spacing w:val="-1"/>
          <w:sz w:val="24"/>
          <w:szCs w:val="24"/>
          <w:highlight w:val="none"/>
        </w:rPr>
      </w:pPr>
      <w:r>
        <w:rPr>
          <w:rFonts w:hint="eastAsia"/>
          <w:color w:val="auto"/>
          <w:sz w:val="24"/>
          <w:szCs w:val="24"/>
          <w:highlight w:val="none"/>
        </w:rPr>
        <w:t>投</w:t>
      </w:r>
      <w:r>
        <w:rPr>
          <w:color w:val="auto"/>
          <w:sz w:val="24"/>
          <w:szCs w:val="24"/>
          <w:highlight w:val="none"/>
        </w:rPr>
        <w:t xml:space="preserve"> </w:t>
      </w:r>
      <w:r>
        <w:rPr>
          <w:rFonts w:hint="eastAsia"/>
          <w:color w:val="auto"/>
          <w:sz w:val="24"/>
          <w:szCs w:val="24"/>
          <w:highlight w:val="none"/>
        </w:rPr>
        <w:t>标</w:t>
      </w:r>
      <w:r>
        <w:rPr>
          <w:color w:val="auto"/>
          <w:spacing w:val="-2"/>
          <w:sz w:val="24"/>
          <w:szCs w:val="24"/>
          <w:highlight w:val="none"/>
        </w:rPr>
        <w:t xml:space="preserve"> </w:t>
      </w:r>
      <w:r>
        <w:rPr>
          <w:rFonts w:hint="eastAsia"/>
          <w:color w:val="auto"/>
          <w:spacing w:val="-2"/>
          <w:sz w:val="24"/>
          <w:szCs w:val="24"/>
          <w:highlight w:val="none"/>
        </w:rPr>
        <w:t>人：</w:t>
      </w:r>
      <w:r>
        <w:rPr>
          <w:color w:val="auto"/>
          <w:spacing w:val="-2"/>
          <w:sz w:val="24"/>
          <w:szCs w:val="24"/>
          <w:highlight w:val="none"/>
          <w:u w:val="single"/>
        </w:rPr>
        <w:tab/>
      </w:r>
      <w:r>
        <w:rPr>
          <w:rFonts w:hint="eastAsia"/>
          <w:color w:val="auto"/>
          <w:spacing w:val="-1"/>
          <w:sz w:val="24"/>
          <w:szCs w:val="24"/>
          <w:highlight w:val="none"/>
        </w:rPr>
        <w:t>（盖单位章）</w:t>
      </w:r>
    </w:p>
    <w:p>
      <w:pPr>
        <w:pStyle w:val="14"/>
        <w:shd w:val="clear"/>
        <w:kinsoku w:val="0"/>
        <w:overflowPunct w:val="0"/>
        <w:spacing w:before="13"/>
        <w:rPr>
          <w:color w:val="auto"/>
          <w:sz w:val="24"/>
          <w:szCs w:val="24"/>
          <w:highlight w:val="none"/>
        </w:rPr>
      </w:pPr>
    </w:p>
    <w:p>
      <w:pPr>
        <w:pStyle w:val="14"/>
        <w:shd w:val="clear"/>
        <w:tabs>
          <w:tab w:val="left" w:pos="6481"/>
        </w:tabs>
        <w:kinsoku w:val="0"/>
        <w:overflowPunct w:val="0"/>
        <w:spacing w:before="36"/>
        <w:ind w:left="2701" w:right="-944" w:rightChars="-429"/>
        <w:rPr>
          <w:color w:val="auto"/>
          <w:spacing w:val="-1"/>
          <w:sz w:val="24"/>
          <w:szCs w:val="24"/>
          <w:highlight w:val="none"/>
        </w:rPr>
      </w:pPr>
      <w:r>
        <w:rPr>
          <w:rFonts w:hint="eastAsia"/>
          <w:color w:val="auto"/>
          <w:spacing w:val="-2"/>
          <w:sz w:val="24"/>
          <w:szCs w:val="24"/>
          <w:highlight w:val="none"/>
        </w:rPr>
        <w:t>法定代表人或其委托代理人：</w:t>
      </w:r>
      <w:r>
        <w:rPr>
          <w:color w:val="auto"/>
          <w:spacing w:val="-2"/>
          <w:sz w:val="24"/>
          <w:szCs w:val="24"/>
          <w:highlight w:val="none"/>
          <w:u w:val="single"/>
        </w:rPr>
        <w:tab/>
      </w:r>
      <w:r>
        <w:rPr>
          <w:rFonts w:hint="eastAsia"/>
          <w:color w:val="auto"/>
          <w:spacing w:val="-1"/>
          <w:sz w:val="24"/>
          <w:szCs w:val="24"/>
          <w:highlight w:val="none"/>
        </w:rPr>
        <w:t>（签字或盖章）</w:t>
      </w:r>
    </w:p>
    <w:p>
      <w:pPr>
        <w:pStyle w:val="14"/>
        <w:shd w:val="clear"/>
        <w:kinsoku w:val="0"/>
        <w:overflowPunct w:val="0"/>
        <w:spacing w:before="10"/>
        <w:rPr>
          <w:color w:val="auto"/>
          <w:sz w:val="24"/>
          <w:szCs w:val="24"/>
          <w:highlight w:val="none"/>
        </w:rPr>
      </w:pPr>
    </w:p>
    <w:p>
      <w:pPr>
        <w:shd w:val="clear"/>
        <w:spacing w:line="360" w:lineRule="auto"/>
        <w:jc w:val="center"/>
        <w:rPr>
          <w:color w:val="auto"/>
          <w:sz w:val="24"/>
          <w:szCs w:val="24"/>
          <w:highlight w:val="none"/>
        </w:rPr>
      </w:pPr>
      <w:r>
        <w:rPr>
          <w:rFonts w:hint="eastAsia" w:eastAsia="宋体"/>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ab/>
      </w:r>
      <w:r>
        <w:rPr>
          <w:rFonts w:hint="eastAsia" w:eastAsia="宋体"/>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u w:val="single"/>
        </w:rPr>
        <w:tab/>
      </w:r>
      <w:r>
        <w:rPr>
          <w:rFonts w:hint="eastAsia" w:eastAsia="宋体"/>
          <w:color w:val="auto"/>
          <w:sz w:val="24"/>
          <w:szCs w:val="24"/>
          <w:highlight w:val="none"/>
          <w:u w:val="single"/>
        </w:rPr>
        <w:t xml:space="preserve"> </w:t>
      </w:r>
      <w:r>
        <w:rPr>
          <w:rFonts w:hint="eastAsia"/>
          <w:color w:val="auto"/>
          <w:sz w:val="24"/>
          <w:szCs w:val="24"/>
          <w:highlight w:val="none"/>
        </w:rPr>
        <w:t>日</w:t>
      </w:r>
    </w:p>
    <w:p>
      <w:pPr>
        <w:shd w:val="clear"/>
        <w:rPr>
          <w:rFonts w:hint="eastAsia" w:ascii="宋体" w:hAnsi="宋体" w:eastAsia="宋体"/>
          <w:color w:val="auto"/>
          <w:highlight w:val="none"/>
        </w:rPr>
      </w:pPr>
      <w:r>
        <w:rPr>
          <w:rFonts w:hint="eastAsia" w:ascii="宋体" w:hAnsi="宋体"/>
          <w:color w:val="auto"/>
          <w:highlight w:val="none"/>
        </w:rPr>
        <w:br w:type="page"/>
      </w:r>
      <w:r>
        <w:rPr>
          <w:rFonts w:hint="eastAsia" w:ascii="宋体" w:hAnsi="宋体" w:eastAsia="宋体"/>
          <w:b/>
          <w:bCs/>
          <w:color w:val="auto"/>
          <w:highlight w:val="none"/>
        </w:rPr>
        <w:t>附录2：投标人声明</w:t>
      </w:r>
      <w:r>
        <w:rPr>
          <w:rFonts w:hint="eastAsia" w:ascii="宋体" w:hAnsi="宋体" w:eastAsia="宋体"/>
          <w:color w:val="auto"/>
          <w:highlight w:val="none"/>
        </w:rPr>
        <w:br w:type="textWrapping"/>
      </w:r>
    </w:p>
    <w:p>
      <w:pPr>
        <w:shd w:val="clear"/>
        <w:jc w:val="center"/>
        <w:rPr>
          <w:rFonts w:ascii="宋体" w:hAnsi="宋体"/>
          <w:b/>
          <w:color w:val="auto"/>
          <w:sz w:val="32"/>
          <w:highlight w:val="none"/>
        </w:rPr>
      </w:pPr>
      <w:r>
        <w:rPr>
          <w:rFonts w:hint="eastAsia" w:ascii="宋体" w:hAnsi="宋体"/>
          <w:b/>
          <w:color w:val="auto"/>
          <w:sz w:val="32"/>
          <w:highlight w:val="none"/>
        </w:rPr>
        <w:t>投标人声明</w:t>
      </w:r>
    </w:p>
    <w:p>
      <w:pPr>
        <w:pStyle w:val="70"/>
        <w:shd w:val="clear"/>
        <w:spacing w:line="400" w:lineRule="exact"/>
        <w:rPr>
          <w:rFonts w:ascii="宋体" w:hAnsi="宋体" w:eastAsia="宋体"/>
          <w:color w:val="auto"/>
          <w:sz w:val="24"/>
          <w:szCs w:val="24"/>
          <w:highlight w:val="none"/>
        </w:rPr>
      </w:pPr>
    </w:p>
    <w:p>
      <w:pPr>
        <w:pStyle w:val="70"/>
        <w:shd w:val="clear"/>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广州市建设工程招标管理办公室、广州厦广仕有限责任公司：</w:t>
      </w:r>
    </w:p>
    <w:p>
      <w:pPr>
        <w:pStyle w:val="70"/>
        <w:shd w:val="clear"/>
        <w:rPr>
          <w:rFonts w:ascii="宋体" w:hAnsi="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投标工作，作出郑重声明：我方与招标人过去3年内无合同履约纠纷，没有不得参加投标的情形。与本公司单位负责人为同一人或者与本公司存在控股、管理关系的其他单位包括：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。（注：本条由投标人如实填写，如有，应列出全部满足招标公告资质要求的相关单位的名称；如无，则填写“无”。）不存在招标文件第二章第1.4.3项规定的任何一种情形。</w:t>
      </w:r>
    </w:p>
    <w:p>
      <w:pPr>
        <w:pStyle w:val="70"/>
        <w:shd w:val="clea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70"/>
        <w:shd w:val="clear"/>
        <w:spacing w:line="400" w:lineRule="exact"/>
        <w:rPr>
          <w:rFonts w:hint="eastAsia" w:ascii="宋体" w:hAnsi="宋体" w:eastAsia="宋体"/>
          <w:color w:val="auto"/>
          <w:sz w:val="24"/>
          <w:szCs w:val="24"/>
          <w:highlight w:val="none"/>
        </w:rPr>
      </w:pPr>
    </w:p>
    <w:p>
      <w:pPr>
        <w:pStyle w:val="79"/>
        <w:shd w:val="clear"/>
        <w:spacing w:line="400" w:lineRule="exact"/>
        <w:ind w:left="0" w:right="1449"/>
        <w:jc w:val="both"/>
        <w:rPr>
          <w:rFonts w:hint="eastAsia" w:ascii="宋体" w:hAnsi="宋体" w:eastAsia="宋体"/>
          <w:color w:val="auto"/>
          <w:sz w:val="24"/>
          <w:szCs w:val="24"/>
          <w:highlight w:val="none"/>
        </w:rPr>
      </w:pPr>
    </w:p>
    <w:p>
      <w:pPr>
        <w:pStyle w:val="79"/>
        <w:shd w:val="clear"/>
        <w:spacing w:line="400" w:lineRule="exact"/>
        <w:ind w:left="0" w:right="1449" w:firstLine="3120" w:firstLineChars="13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投标人：              (盖章)</w:t>
      </w:r>
    </w:p>
    <w:p>
      <w:pPr>
        <w:pStyle w:val="70"/>
        <w:shd w:val="clear"/>
        <w:spacing w:line="400" w:lineRule="exact"/>
        <w:ind w:right="1449"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法定代表人或其委托代理人：   （签字或盖章）                  </w:t>
      </w:r>
    </w:p>
    <w:p>
      <w:pPr>
        <w:pStyle w:val="70"/>
        <w:shd w:val="clear"/>
        <w:spacing w:line="400" w:lineRule="exact"/>
        <w:ind w:right="2079" w:firstLine="2160" w:firstLineChars="900"/>
        <w:jc w:val="right"/>
        <w:rPr>
          <w:rFonts w:ascii="宋体" w:hAnsi="宋体"/>
          <w:color w:val="auto"/>
          <w:sz w:val="24"/>
          <w:szCs w:val="24"/>
          <w:highlight w:val="none"/>
        </w:rPr>
      </w:pPr>
      <w:r>
        <w:rPr>
          <w:rFonts w:hint="eastAsia" w:ascii="宋体" w:hAnsi="宋体" w:eastAsia="宋体"/>
          <w:color w:val="auto"/>
          <w:sz w:val="24"/>
          <w:szCs w:val="24"/>
          <w:highlight w:val="none"/>
        </w:rPr>
        <w:t>年   月   日</w:t>
      </w:r>
    </w:p>
    <w:p>
      <w:pPr>
        <w:shd w:val="clear"/>
        <w:rPr>
          <w:rFonts w:hint="eastAsia" w:ascii="宋体" w:hAnsi="宋体" w:eastAsia="宋体"/>
          <w:color w:val="auto"/>
          <w:sz w:val="24"/>
          <w:szCs w:val="24"/>
          <w:highlight w:val="none"/>
        </w:rPr>
      </w:pPr>
    </w:p>
    <w:p>
      <w:pPr>
        <w:shd w:val="clear"/>
        <w:spacing w:line="360" w:lineRule="auto"/>
        <w:rPr>
          <w:rFonts w:ascii="宋体" w:hAnsi="宋体" w:eastAsia="宋体"/>
          <w:color w:val="auto"/>
          <w:highlight w:val="none"/>
        </w:rPr>
      </w:pPr>
      <w:r>
        <w:rPr>
          <w:rFonts w:hint="eastAsia" w:ascii="宋体" w:hAnsi="宋体"/>
          <w:color w:val="auto"/>
          <w:highlight w:val="none"/>
        </w:rPr>
        <w:br w:type="page"/>
      </w:r>
      <w:r>
        <w:rPr>
          <w:rFonts w:hint="eastAsia" w:ascii="宋体" w:hAnsi="宋体" w:eastAsia="宋体"/>
          <w:b/>
          <w:bCs/>
          <w:color w:val="auto"/>
          <w:highlight w:val="none"/>
        </w:rPr>
        <w:t>附录3：法定代表人身份证明、授权委托书</w:t>
      </w:r>
    </w:p>
    <w:p>
      <w:pPr>
        <w:shd w:val="clear"/>
        <w:spacing w:line="360" w:lineRule="auto"/>
        <w:jc w:val="center"/>
        <w:rPr>
          <w:rFonts w:ascii="宋体" w:hAnsi="宋体"/>
          <w:b/>
          <w:color w:val="auto"/>
          <w:sz w:val="28"/>
          <w:highlight w:val="none"/>
        </w:rPr>
      </w:pPr>
    </w:p>
    <w:p>
      <w:pPr>
        <w:shd w:val="clear"/>
        <w:spacing w:line="360" w:lineRule="auto"/>
        <w:jc w:val="center"/>
        <w:rPr>
          <w:rFonts w:ascii="宋体" w:hAnsi="宋体"/>
          <w:b/>
          <w:color w:val="auto"/>
          <w:sz w:val="28"/>
          <w:highlight w:val="none"/>
        </w:rPr>
      </w:pPr>
      <w:r>
        <w:rPr>
          <w:rFonts w:ascii="宋体" w:hAnsi="宋体"/>
          <w:b/>
          <w:color w:val="auto"/>
          <w:sz w:val="28"/>
          <w:highlight w:val="none"/>
        </w:rPr>
        <w:t>法定代表人</w:t>
      </w:r>
      <w:r>
        <w:rPr>
          <w:rFonts w:hint="eastAsia" w:ascii="宋体" w:hAnsi="宋体"/>
          <w:b/>
          <w:color w:val="auto"/>
          <w:sz w:val="28"/>
          <w:highlight w:val="none"/>
        </w:rPr>
        <w:t>（负责人）</w:t>
      </w:r>
      <w:r>
        <w:rPr>
          <w:rFonts w:ascii="宋体" w:hAnsi="宋体"/>
          <w:b/>
          <w:color w:val="auto"/>
          <w:sz w:val="28"/>
          <w:highlight w:val="none"/>
        </w:rPr>
        <w:t>证明书</w:t>
      </w:r>
    </w:p>
    <w:p>
      <w:pPr>
        <w:shd w:val="clear"/>
        <w:spacing w:line="240" w:lineRule="auto"/>
        <w:jc w:val="center"/>
        <w:rPr>
          <w:rFonts w:ascii="宋体" w:hAnsi="宋体"/>
          <w:color w:val="auto"/>
          <w:sz w:val="24"/>
          <w:highlight w:val="none"/>
        </w:rPr>
      </w:pPr>
      <w:r>
        <w:rPr>
          <w:rFonts w:hint="eastAsia" w:ascii="宋体" w:hAnsi="宋体" w:eastAsia="宋体"/>
          <w:color w:val="auto"/>
          <w:highlight w:val="none"/>
        </w:rPr>
        <w:t xml:space="preserve">                                                               </w:t>
      </w:r>
      <w:r>
        <w:rPr>
          <w:rFonts w:ascii="宋体" w:hAnsi="宋体"/>
          <w:color w:val="auto"/>
          <w:highlight w:val="none"/>
        </w:rPr>
        <w:t>（　 ）第　号</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noWrap w:val="0"/>
            <w:vAlign w:val="top"/>
          </w:tcPr>
          <w:p>
            <w:pPr>
              <w:keepNext w:val="0"/>
              <w:keepLines w:val="0"/>
              <w:widowControl/>
              <w:suppressLineNumbers w:val="0"/>
              <w:pBdr>
                <w:top w:val="single" w:color="auto" w:sz="4" w:space="1"/>
                <w:left w:val="single" w:color="auto" w:sz="4" w:space="4"/>
                <w:bottom w:val="single" w:color="auto" w:sz="4" w:space="1"/>
                <w:right w:val="single" w:color="auto" w:sz="4" w:space="4"/>
              </w:pBdr>
              <w:shd w:val="clear"/>
              <w:spacing w:before="0" w:beforeAutospacing="0" w:afterAutospacing="0" w:line="240" w:lineRule="auto"/>
              <w:ind w:left="0" w:right="0"/>
              <w:rPr>
                <w:rFonts w:hint="default" w:ascii="宋体" w:hAnsi="宋体" w:cs="Times New Roman"/>
                <w:color w:val="auto"/>
                <w:sz w:val="24"/>
                <w:szCs w:val="24"/>
                <w:highlight w:val="none"/>
              </w:rPr>
            </w:pPr>
            <w:r>
              <w:rPr>
                <w:rFonts w:hint="eastAsia" w:ascii="宋体" w:hAnsi="宋体" w:cs="Times New Roman"/>
                <w:color w:val="auto"/>
                <w:sz w:val="24"/>
                <w:szCs w:val="24"/>
                <w:highlight w:val="none"/>
                <w:u w:val="single"/>
              </w:rPr>
              <w:t>　　　　　　</w:t>
            </w:r>
            <w:r>
              <w:rPr>
                <w:rFonts w:hint="eastAsia" w:ascii="宋体" w:hAnsi="宋体" w:cs="Times New Roman"/>
                <w:color w:val="auto"/>
                <w:sz w:val="24"/>
                <w:szCs w:val="24"/>
                <w:highlight w:val="none"/>
              </w:rPr>
              <w:t>现任我单位</w:t>
            </w:r>
            <w:r>
              <w:rPr>
                <w:rFonts w:hint="eastAsia" w:ascii="宋体" w:hAnsi="宋体" w:cs="Times New Roman"/>
                <w:color w:val="auto"/>
                <w:sz w:val="24"/>
                <w:szCs w:val="24"/>
                <w:highlight w:val="none"/>
                <w:u w:val="single"/>
              </w:rPr>
              <w:t>　　　　　</w:t>
            </w:r>
            <w:r>
              <w:rPr>
                <w:rFonts w:hint="eastAsia" w:ascii="宋体" w:hAnsi="宋体" w:cs="Times New Roman"/>
                <w:color w:val="auto"/>
                <w:sz w:val="24"/>
                <w:szCs w:val="24"/>
                <w:highlight w:val="none"/>
              </w:rPr>
              <w:t>职务，为法定代表人（负责人），特此证明。</w:t>
            </w:r>
          </w:p>
          <w:p>
            <w:pPr>
              <w:keepNext w:val="0"/>
              <w:keepLines w:val="0"/>
              <w:widowControl/>
              <w:suppressLineNumbers w:val="0"/>
              <w:pBdr>
                <w:top w:val="single" w:color="auto" w:sz="4" w:space="1"/>
                <w:left w:val="single" w:color="auto" w:sz="4" w:space="4"/>
                <w:bottom w:val="single" w:color="auto" w:sz="4" w:space="1"/>
                <w:right w:val="single" w:color="auto" w:sz="4" w:space="4"/>
              </w:pBdr>
              <w:shd w:val="clear"/>
              <w:spacing w:before="0" w:beforeAutospacing="0" w:afterAutospacing="0" w:line="240" w:lineRule="auto"/>
              <w:ind w:left="0" w:right="0"/>
              <w:rPr>
                <w:rFonts w:hint="default" w:ascii="宋体" w:hAnsi="宋体" w:cs="Times New Roman"/>
                <w:color w:val="auto"/>
                <w:sz w:val="24"/>
                <w:szCs w:val="24"/>
                <w:highlight w:val="none"/>
                <w:u w:val="single"/>
              </w:rPr>
            </w:pPr>
            <w:r>
              <w:rPr>
                <w:rFonts w:hint="eastAsia" w:ascii="宋体" w:hAnsi="宋体" w:cs="Times New Roman"/>
                <w:color w:val="auto"/>
                <w:sz w:val="24"/>
                <w:szCs w:val="24"/>
                <w:highlight w:val="none"/>
              </w:rPr>
              <w:t>有效期限：</w:t>
            </w:r>
            <w:r>
              <w:rPr>
                <w:rFonts w:hint="eastAsia" w:ascii="宋体" w:hAnsi="宋体" w:cs="Times New Roman"/>
                <w:color w:val="auto"/>
                <w:sz w:val="24"/>
                <w:szCs w:val="24"/>
                <w:highlight w:val="none"/>
                <w:u w:val="single"/>
              </w:rPr>
              <w:t xml:space="preserve">                                </w:t>
            </w:r>
          </w:p>
          <w:p>
            <w:pPr>
              <w:keepNext w:val="0"/>
              <w:keepLines w:val="0"/>
              <w:widowControl/>
              <w:suppressLineNumbers w:val="0"/>
              <w:pBdr>
                <w:top w:val="single" w:color="auto" w:sz="4" w:space="1"/>
                <w:left w:val="single" w:color="auto" w:sz="4" w:space="4"/>
                <w:bottom w:val="single" w:color="auto" w:sz="4" w:space="1"/>
                <w:right w:val="single" w:color="auto" w:sz="4" w:space="4"/>
              </w:pBdr>
              <w:shd w:val="clear"/>
              <w:spacing w:before="0" w:beforeAutospacing="0" w:afterAutospacing="0" w:line="240" w:lineRule="auto"/>
              <w:ind w:left="0" w:right="0"/>
              <w:rPr>
                <w:rFonts w:hint="default" w:ascii="宋体" w:hAnsi="宋体" w:cs="Times New Roman"/>
                <w:color w:val="auto"/>
                <w:sz w:val="24"/>
                <w:szCs w:val="24"/>
                <w:highlight w:val="none"/>
                <w:u w:val="single"/>
              </w:rPr>
            </w:pPr>
            <w:r>
              <w:rPr>
                <w:rFonts w:hint="eastAsia" w:ascii="宋体" w:hAnsi="宋体" w:cs="Times New Roman"/>
                <w:color w:val="auto"/>
                <w:sz w:val="24"/>
                <w:szCs w:val="24"/>
                <w:highlight w:val="none"/>
              </w:rPr>
              <w:t>附：法定代表人（负责人）性别：</w:t>
            </w:r>
            <w:r>
              <w:rPr>
                <w:rFonts w:hint="eastAsia" w:ascii="宋体" w:hAnsi="宋体" w:cs="Times New Roman"/>
                <w:color w:val="auto"/>
                <w:sz w:val="24"/>
                <w:szCs w:val="24"/>
                <w:highlight w:val="none"/>
                <w:u w:val="single"/>
              </w:rPr>
              <w:t>　　</w:t>
            </w:r>
            <w:r>
              <w:rPr>
                <w:rFonts w:hint="eastAsia" w:ascii="宋体" w:hAnsi="宋体" w:cs="Times New Roman"/>
                <w:color w:val="auto"/>
                <w:sz w:val="24"/>
                <w:szCs w:val="24"/>
                <w:highlight w:val="none"/>
              </w:rPr>
              <w:t>年龄：</w:t>
            </w:r>
            <w:r>
              <w:rPr>
                <w:rFonts w:hint="eastAsia" w:ascii="宋体" w:hAnsi="宋体" w:cs="Times New Roman"/>
                <w:color w:val="auto"/>
                <w:sz w:val="24"/>
                <w:szCs w:val="24"/>
                <w:highlight w:val="none"/>
                <w:u w:val="single"/>
              </w:rPr>
              <w:t>　　</w:t>
            </w:r>
            <w:r>
              <w:rPr>
                <w:rFonts w:hint="eastAsia" w:ascii="宋体" w:hAnsi="宋体" w:cs="Times New Roman"/>
                <w:color w:val="auto"/>
                <w:sz w:val="24"/>
                <w:szCs w:val="24"/>
                <w:highlight w:val="none"/>
              </w:rPr>
              <w:t>身份证号码：</w:t>
            </w:r>
            <w:r>
              <w:rPr>
                <w:rFonts w:hint="eastAsia" w:ascii="宋体" w:hAnsi="宋体" w:cs="Times New Roman"/>
                <w:color w:val="auto"/>
                <w:sz w:val="24"/>
                <w:szCs w:val="24"/>
                <w:highlight w:val="none"/>
                <w:u w:val="single"/>
              </w:rPr>
              <w:t xml:space="preserve">         </w:t>
            </w:r>
          </w:p>
          <w:p>
            <w:pPr>
              <w:keepNext w:val="0"/>
              <w:keepLines w:val="0"/>
              <w:widowControl/>
              <w:suppressLineNumbers w:val="0"/>
              <w:pBdr>
                <w:top w:val="single" w:color="auto" w:sz="4" w:space="1"/>
                <w:left w:val="single" w:color="auto" w:sz="4" w:space="4"/>
                <w:bottom w:val="single" w:color="auto" w:sz="4" w:space="1"/>
                <w:right w:val="single" w:color="auto" w:sz="4" w:space="4"/>
              </w:pBdr>
              <w:shd w:val="clear"/>
              <w:spacing w:before="0" w:beforeAutospacing="0" w:afterAutospacing="0" w:line="240" w:lineRule="auto"/>
              <w:ind w:left="0" w:right="0"/>
              <w:rPr>
                <w:rFonts w:hint="default" w:ascii="宋体" w:hAnsi="宋体" w:cs="Times New Roman"/>
                <w:color w:val="auto"/>
                <w:sz w:val="24"/>
                <w:szCs w:val="24"/>
                <w:highlight w:val="none"/>
                <w:u w:val="single"/>
              </w:rPr>
            </w:pPr>
            <w:r>
              <w:rPr>
                <w:rFonts w:hint="eastAsia" w:ascii="宋体" w:hAnsi="宋体" w:cs="Times New Roman"/>
                <w:color w:val="auto"/>
                <w:sz w:val="24"/>
                <w:szCs w:val="24"/>
                <w:highlight w:val="none"/>
              </w:rPr>
              <w:t>注册号码：</w:t>
            </w:r>
            <w:r>
              <w:rPr>
                <w:rFonts w:hint="eastAsia" w:ascii="宋体" w:hAnsi="宋体" w:cs="Times New Roman"/>
                <w:color w:val="auto"/>
                <w:sz w:val="24"/>
                <w:szCs w:val="24"/>
                <w:highlight w:val="none"/>
                <w:u w:val="single"/>
              </w:rPr>
              <w:t>　　　　　　　　　　</w:t>
            </w:r>
            <w:r>
              <w:rPr>
                <w:rFonts w:hint="eastAsia" w:ascii="宋体" w:hAnsi="宋体" w:cs="Times New Roman"/>
                <w:color w:val="auto"/>
                <w:sz w:val="24"/>
                <w:szCs w:val="24"/>
                <w:highlight w:val="none"/>
              </w:rPr>
              <w:t>企业类型：</w:t>
            </w:r>
            <w:r>
              <w:rPr>
                <w:rFonts w:hint="eastAsia" w:ascii="宋体" w:hAnsi="宋体" w:cs="Times New Roman"/>
                <w:color w:val="auto"/>
                <w:sz w:val="24"/>
                <w:szCs w:val="24"/>
                <w:highlight w:val="none"/>
                <w:u w:val="single"/>
              </w:rPr>
              <w:t xml:space="preserve">                   </w:t>
            </w:r>
          </w:p>
          <w:p>
            <w:pPr>
              <w:keepNext w:val="0"/>
              <w:keepLines w:val="0"/>
              <w:widowControl/>
              <w:suppressLineNumbers w:val="0"/>
              <w:pBdr>
                <w:top w:val="single" w:color="auto" w:sz="4" w:space="1"/>
                <w:left w:val="single" w:color="auto" w:sz="4" w:space="4"/>
                <w:bottom w:val="single" w:color="auto" w:sz="4" w:space="1"/>
                <w:right w:val="single" w:color="auto" w:sz="4" w:space="4"/>
              </w:pBdr>
              <w:shd w:val="clear"/>
              <w:spacing w:before="0" w:beforeAutospacing="0" w:afterAutospacing="0" w:line="240" w:lineRule="auto"/>
              <w:ind w:left="0" w:right="0"/>
              <w:rPr>
                <w:rFonts w:hint="default" w:ascii="宋体" w:hAnsi="宋体" w:cs="Times New Roman"/>
                <w:color w:val="auto"/>
                <w:sz w:val="24"/>
                <w:szCs w:val="24"/>
                <w:highlight w:val="none"/>
                <w:u w:val="single"/>
              </w:rPr>
            </w:pPr>
            <w:r>
              <w:rPr>
                <w:rFonts w:hint="eastAsia" w:ascii="宋体" w:hAnsi="宋体" w:cs="Times New Roman"/>
                <w:color w:val="auto"/>
                <w:sz w:val="24"/>
                <w:szCs w:val="24"/>
                <w:highlight w:val="none"/>
              </w:rPr>
              <w:t>经营范围：</w:t>
            </w:r>
            <w:r>
              <w:rPr>
                <w:rFonts w:hint="eastAsia" w:ascii="宋体" w:hAnsi="宋体" w:cs="Times New Roman"/>
                <w:color w:val="auto"/>
                <w:sz w:val="24"/>
                <w:szCs w:val="24"/>
                <w:highlight w:val="none"/>
                <w:u w:val="single"/>
              </w:rPr>
              <w:t xml:space="preserve">                          </w:t>
            </w:r>
          </w:p>
          <w:p>
            <w:pPr>
              <w:keepNext w:val="0"/>
              <w:keepLines w:val="0"/>
              <w:widowControl/>
              <w:suppressLineNumbers w:val="0"/>
              <w:pBdr>
                <w:top w:val="single" w:color="auto" w:sz="4" w:space="1"/>
                <w:left w:val="single" w:color="auto" w:sz="4" w:space="4"/>
                <w:bottom w:val="single" w:color="auto" w:sz="4" w:space="1"/>
                <w:right w:val="single" w:color="auto" w:sz="4" w:space="4"/>
              </w:pBdr>
              <w:shd w:val="clear"/>
              <w:spacing w:before="0" w:beforeAutospacing="0" w:afterAutospacing="0" w:line="240" w:lineRule="auto"/>
              <w:ind w:left="0" w:right="0"/>
              <w:rPr>
                <w:rFonts w:hint="default" w:ascii="宋体" w:hAnsi="宋体" w:cs="Times New Roman"/>
                <w:color w:val="auto"/>
                <w:sz w:val="24"/>
                <w:szCs w:val="24"/>
                <w:highlight w:val="none"/>
              </w:rPr>
            </w:pPr>
            <w:r>
              <w:rPr>
                <w:rFonts w:hint="eastAsia" w:ascii="宋体" w:hAnsi="宋体" w:cs="Times New Roman"/>
                <w:color w:val="auto"/>
                <w:sz w:val="24"/>
                <w:szCs w:val="24"/>
                <w:highlight w:val="none"/>
                <w:u w:val="single"/>
              </w:rPr>
              <w:t>　　　　　　　　　　　　　　　　</w:t>
            </w:r>
            <w:r>
              <w:rPr>
                <w:rFonts w:hint="eastAsia" w:ascii="宋体" w:hAnsi="宋体" w:cs="Times New Roman"/>
                <w:color w:val="auto"/>
                <w:sz w:val="24"/>
                <w:szCs w:val="24"/>
                <w:highlight w:val="none"/>
              </w:rPr>
              <w:t>单位：　　　　　　（盖章）</w:t>
            </w:r>
          </w:p>
          <w:p>
            <w:pPr>
              <w:keepNext w:val="0"/>
              <w:keepLines w:val="0"/>
              <w:widowControl/>
              <w:suppressLineNumbers w:val="0"/>
              <w:pBdr>
                <w:top w:val="single" w:color="auto" w:sz="4" w:space="1"/>
                <w:left w:val="single" w:color="auto" w:sz="4" w:space="4"/>
                <w:bottom w:val="single" w:color="auto" w:sz="4" w:space="1"/>
                <w:right w:val="single" w:color="auto" w:sz="4" w:space="4"/>
              </w:pBdr>
              <w:shd w:val="clear"/>
              <w:spacing w:before="0" w:beforeAutospacing="0" w:afterAutospacing="0" w:line="240" w:lineRule="auto"/>
              <w:ind w:left="0" w:right="0"/>
              <w:rPr>
                <w:rFonts w:hint="default" w:ascii="宋体" w:hAnsi="宋体" w:cs="Times New Roman"/>
                <w:color w:val="auto"/>
                <w:sz w:val="24"/>
                <w:szCs w:val="24"/>
                <w:highlight w:val="none"/>
              </w:rPr>
            </w:pPr>
            <w:r>
              <w:rPr>
                <w:rFonts w:hint="eastAsia" w:ascii="宋体" w:hAnsi="宋体" w:cs="Times New Roman"/>
                <w:color w:val="auto"/>
                <w:sz w:val="24"/>
                <w:szCs w:val="24"/>
                <w:highlight w:val="none"/>
                <w:u w:val="single"/>
              </w:rPr>
              <w:t>　　　　　　　　　　　　　　　　</w:t>
            </w:r>
            <w:r>
              <w:rPr>
                <w:rFonts w:hint="eastAsia" w:ascii="宋体" w:hAnsi="宋体" w:cs="Times New Roman"/>
                <w:color w:val="auto"/>
                <w:sz w:val="24"/>
                <w:szCs w:val="24"/>
                <w:highlight w:val="none"/>
              </w:rPr>
              <w:t>　　　　　    年　月　　日</w:t>
            </w:r>
          </w:p>
        </w:tc>
      </w:tr>
    </w:tbl>
    <w:p>
      <w:pPr>
        <w:shd w:val="clear"/>
        <w:spacing w:line="240" w:lineRule="auto"/>
        <w:rPr>
          <w:rFonts w:ascii="宋体" w:hAnsi="宋体"/>
          <w:b/>
          <w:color w:val="auto"/>
          <w:sz w:val="21"/>
          <w:szCs w:val="21"/>
          <w:highlight w:val="none"/>
        </w:rPr>
      </w:pPr>
      <w:r>
        <w:rPr>
          <w:rFonts w:hint="eastAsia" w:ascii="宋体" w:hAnsi="宋体"/>
          <w:color w:val="auto"/>
          <w:sz w:val="21"/>
          <w:szCs w:val="21"/>
          <w:highlight w:val="none"/>
        </w:rPr>
        <w:t>注：法定代表人证明书也可以采用工商行政管理局统一印制的格式。</w:t>
      </w:r>
    </w:p>
    <w:p>
      <w:pPr>
        <w:shd w:val="clear"/>
        <w:spacing w:line="240" w:lineRule="auto"/>
        <w:jc w:val="center"/>
        <w:rPr>
          <w:rFonts w:hint="eastAsia" w:ascii="宋体" w:hAnsi="宋体"/>
          <w:b/>
          <w:color w:val="auto"/>
          <w:sz w:val="28"/>
          <w:szCs w:val="28"/>
          <w:highlight w:val="none"/>
        </w:rPr>
      </w:pPr>
    </w:p>
    <w:p>
      <w:pPr>
        <w:shd w:val="clear"/>
        <w:spacing w:line="240" w:lineRule="auto"/>
        <w:jc w:val="center"/>
        <w:rPr>
          <w:rFonts w:ascii="宋体" w:hAnsi="宋体"/>
          <w:b/>
          <w:color w:val="auto"/>
          <w:sz w:val="28"/>
          <w:szCs w:val="28"/>
          <w:highlight w:val="none"/>
        </w:rPr>
      </w:pPr>
      <w:r>
        <w:rPr>
          <w:rFonts w:hint="eastAsia" w:ascii="宋体" w:hAnsi="宋体"/>
          <w:b/>
          <w:color w:val="auto"/>
          <w:sz w:val="28"/>
          <w:szCs w:val="28"/>
          <w:highlight w:val="none"/>
        </w:rPr>
        <w:t>法定代表人授权委托</w:t>
      </w:r>
      <w:r>
        <w:rPr>
          <w:rFonts w:ascii="宋体" w:hAnsi="宋体"/>
          <w:b/>
          <w:color w:val="auto"/>
          <w:sz w:val="28"/>
          <w:szCs w:val="28"/>
          <w:highlight w:val="none"/>
        </w:rPr>
        <w:t>书</w:t>
      </w:r>
    </w:p>
    <w:tbl>
      <w:tblPr>
        <w:tblStyle w:val="35"/>
        <w:tblpPr w:leftFromText="180" w:rightFromText="180" w:vertAnchor="text" w:horzAnchor="page" w:tblpX="1342" w:tblpY="42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9400" w:type="dxa"/>
            <w:noWrap w:val="0"/>
            <w:vAlign w:val="top"/>
          </w:tcPr>
          <w:p>
            <w:pPr>
              <w:keepNext w:val="0"/>
              <w:keepLines w:val="0"/>
              <w:widowControl/>
              <w:suppressLineNumbers w:val="0"/>
              <w:shd w:val="clear"/>
              <w:spacing w:before="0" w:beforeAutospacing="0" w:afterAutospacing="0" w:line="240" w:lineRule="auto"/>
              <w:ind w:left="0" w:right="0" w:firstLine="480" w:firstLineChars="200"/>
              <w:rPr>
                <w:rFonts w:hint="default" w:ascii="宋体" w:hAnsi="宋体" w:cs="Times New Roman"/>
                <w:color w:val="auto"/>
                <w:sz w:val="24"/>
                <w:szCs w:val="24"/>
                <w:highlight w:val="none"/>
                <w:u w:val="single"/>
              </w:rPr>
            </w:pPr>
            <w:r>
              <w:rPr>
                <w:rFonts w:hint="eastAsia" w:ascii="宋体" w:hAnsi="宋体" w:cs="Times New Roman"/>
                <w:color w:val="auto"/>
                <w:sz w:val="24"/>
                <w:szCs w:val="24"/>
                <w:highlight w:val="none"/>
              </w:rPr>
              <w:t>兹授权</w:t>
            </w:r>
            <w:r>
              <w:rPr>
                <w:rFonts w:hint="default"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为我方委托代理人，其权限是：</w:t>
            </w:r>
            <w:r>
              <w:rPr>
                <w:rFonts w:hint="default"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u w:val="single"/>
              </w:rPr>
              <w:t xml:space="preserve">              </w:t>
            </w:r>
          </w:p>
          <w:p>
            <w:pPr>
              <w:keepNext w:val="0"/>
              <w:keepLines w:val="0"/>
              <w:widowControl/>
              <w:suppressLineNumbers w:val="0"/>
              <w:shd w:val="clear"/>
              <w:spacing w:before="0" w:beforeAutospacing="0" w:afterAutospacing="0" w:line="240" w:lineRule="auto"/>
              <w:ind w:left="0" w:right="0"/>
              <w:rPr>
                <w:rFonts w:hint="default" w:ascii="宋体" w:hAnsi="宋体" w:cs="Times New Roman"/>
                <w:color w:val="auto"/>
                <w:sz w:val="24"/>
                <w:szCs w:val="24"/>
                <w:highlight w:val="none"/>
                <w:u w:val="single"/>
              </w:rPr>
            </w:pPr>
            <w:r>
              <w:rPr>
                <w:rFonts w:hint="default"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u w:val="single"/>
              </w:rPr>
              <w:t xml:space="preserve">              </w:t>
            </w:r>
          </w:p>
          <w:p>
            <w:pPr>
              <w:keepNext w:val="0"/>
              <w:keepLines w:val="0"/>
              <w:widowControl/>
              <w:suppressLineNumbers w:val="0"/>
              <w:shd w:val="clear"/>
              <w:spacing w:before="0" w:beforeAutospacing="0" w:afterAutospacing="0" w:line="240" w:lineRule="auto"/>
              <w:ind w:left="0" w:right="0"/>
              <w:rPr>
                <w:rFonts w:hint="eastAsia" w:ascii="宋体" w:hAnsi="宋体" w:eastAsia="宋体" w:cs="Times New Roman"/>
                <w:color w:val="auto"/>
                <w:sz w:val="24"/>
                <w:szCs w:val="24"/>
                <w:highlight w:val="none"/>
                <w:u w:val="single"/>
              </w:rPr>
            </w:pPr>
            <w:r>
              <w:rPr>
                <w:rFonts w:hint="eastAsia" w:ascii="宋体" w:hAnsi="宋体" w:cs="Times New Roman"/>
                <w:color w:val="auto"/>
                <w:sz w:val="24"/>
                <w:szCs w:val="24"/>
                <w:highlight w:val="none"/>
              </w:rPr>
              <w:t>有效期限：</w:t>
            </w:r>
            <w:r>
              <w:rPr>
                <w:rFonts w:hint="eastAsia" w:ascii="宋体" w:hAnsi="宋体" w:eastAsia="宋体" w:cs="Times New Roman"/>
                <w:color w:val="auto"/>
                <w:sz w:val="24"/>
                <w:szCs w:val="24"/>
                <w:highlight w:val="none"/>
                <w:u w:val="single"/>
              </w:rPr>
              <w:t>自本委托书签署之日起至投标有效期期满。</w:t>
            </w:r>
          </w:p>
          <w:p>
            <w:pPr>
              <w:keepNext w:val="0"/>
              <w:keepLines w:val="0"/>
              <w:widowControl/>
              <w:suppressLineNumbers w:val="0"/>
              <w:shd w:val="clear"/>
              <w:spacing w:before="0" w:beforeAutospacing="0" w:afterAutospacing="0" w:line="240" w:lineRule="auto"/>
              <w:ind w:left="0" w:right="0"/>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附：代理人性别：</w:t>
            </w:r>
            <w:r>
              <w:rPr>
                <w:rFonts w:hint="default"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年龄：</w:t>
            </w:r>
            <w:r>
              <w:rPr>
                <w:rFonts w:hint="default"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身份证号码：</w:t>
            </w:r>
            <w:r>
              <w:rPr>
                <w:rFonts w:hint="default" w:ascii="宋体" w:hAnsi="宋体" w:cs="Times New Roman"/>
                <w:color w:val="auto"/>
                <w:sz w:val="24"/>
                <w:szCs w:val="24"/>
                <w:highlight w:val="none"/>
                <w:u w:val="single"/>
              </w:rPr>
              <w:t xml:space="preserve">                    </w:t>
            </w:r>
          </w:p>
          <w:p>
            <w:pPr>
              <w:keepNext w:val="0"/>
              <w:keepLines w:val="0"/>
              <w:widowControl/>
              <w:suppressLineNumbers w:val="0"/>
              <w:shd w:val="clear"/>
              <w:spacing w:before="0" w:beforeAutospacing="0" w:afterAutospacing="0" w:line="240" w:lineRule="auto"/>
              <w:ind w:left="0" w:right="0"/>
              <w:rPr>
                <w:rFonts w:hint="default" w:ascii="宋体" w:hAnsi="宋体" w:cs="Times New Roman"/>
                <w:color w:val="auto"/>
                <w:sz w:val="24"/>
                <w:szCs w:val="24"/>
                <w:highlight w:val="none"/>
                <w:u w:val="single"/>
              </w:rPr>
            </w:pPr>
            <w:r>
              <w:rPr>
                <w:rFonts w:hint="eastAsia" w:ascii="宋体" w:hAnsi="宋体" w:cs="Times New Roman"/>
                <w:color w:val="auto"/>
                <w:sz w:val="24"/>
                <w:szCs w:val="24"/>
                <w:highlight w:val="none"/>
              </w:rPr>
              <w:t>注册号码：</w:t>
            </w:r>
            <w:r>
              <w:rPr>
                <w:rFonts w:hint="default"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企业类型：</w:t>
            </w:r>
            <w:r>
              <w:rPr>
                <w:rFonts w:hint="default" w:ascii="宋体" w:hAnsi="宋体" w:cs="Times New Roman"/>
                <w:color w:val="auto"/>
                <w:sz w:val="24"/>
                <w:szCs w:val="24"/>
                <w:highlight w:val="none"/>
                <w:u w:val="single"/>
              </w:rPr>
              <w:t xml:space="preserve">                      </w:t>
            </w:r>
          </w:p>
          <w:p>
            <w:pPr>
              <w:keepNext w:val="0"/>
              <w:keepLines w:val="0"/>
              <w:widowControl/>
              <w:suppressLineNumbers w:val="0"/>
              <w:shd w:val="clear"/>
              <w:spacing w:before="0" w:beforeAutospacing="0" w:afterAutospacing="0" w:line="240" w:lineRule="auto"/>
              <w:ind w:left="0" w:right="0"/>
              <w:rPr>
                <w:rFonts w:hint="default" w:ascii="宋体" w:hAnsi="宋体" w:cs="Times New Roman"/>
                <w:color w:val="auto"/>
                <w:sz w:val="24"/>
                <w:szCs w:val="24"/>
                <w:highlight w:val="none"/>
                <w:u w:val="single"/>
              </w:rPr>
            </w:pPr>
            <w:r>
              <w:rPr>
                <w:rFonts w:hint="eastAsia" w:ascii="宋体" w:hAnsi="宋体" w:cs="Times New Roman"/>
                <w:color w:val="auto"/>
                <w:sz w:val="24"/>
                <w:szCs w:val="24"/>
                <w:highlight w:val="none"/>
              </w:rPr>
              <w:t>经营范围：</w:t>
            </w:r>
            <w:r>
              <w:rPr>
                <w:rFonts w:hint="default" w:ascii="宋体" w:hAnsi="宋体" w:cs="Times New Roman"/>
                <w:color w:val="auto"/>
                <w:sz w:val="24"/>
                <w:szCs w:val="24"/>
                <w:highlight w:val="none"/>
                <w:u w:val="single"/>
              </w:rPr>
              <w:t xml:space="preserve">                                                  </w:t>
            </w:r>
          </w:p>
          <w:p>
            <w:pPr>
              <w:keepNext w:val="0"/>
              <w:keepLines w:val="0"/>
              <w:widowControl/>
              <w:suppressLineNumbers w:val="0"/>
              <w:shd w:val="clear"/>
              <w:spacing w:before="0" w:beforeAutospacing="0" w:afterAutospacing="0" w:line="240" w:lineRule="auto"/>
              <w:ind w:left="0" w:right="0"/>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法定代表人（负责人）：</w:t>
            </w:r>
            <w:r>
              <w:rPr>
                <w:rFonts w:hint="default"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（签名或盖章）</w:t>
            </w:r>
          </w:p>
          <w:p>
            <w:pPr>
              <w:keepNext w:val="0"/>
              <w:keepLines w:val="0"/>
              <w:widowControl/>
              <w:suppressLineNumbers w:val="0"/>
              <w:shd w:val="clear"/>
              <w:spacing w:before="0" w:beforeAutospacing="0" w:afterAutospacing="0" w:line="240" w:lineRule="auto"/>
              <w:ind w:left="0" w:right="0"/>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授权单位：（盖章）</w:t>
            </w:r>
            <w:r>
              <w:rPr>
                <w:rFonts w:hint="default" w:ascii="宋体" w:hAnsi="宋体" w:cs="Times New Roman"/>
                <w:color w:val="auto"/>
                <w:sz w:val="24"/>
                <w:szCs w:val="24"/>
                <w:highlight w:val="none"/>
                <w:u w:val="single"/>
              </w:rPr>
              <w:t xml:space="preserve">                     </w:t>
            </w:r>
            <w:r>
              <w:rPr>
                <w:rFonts w:hint="default" w:ascii="宋体" w:hAnsi="宋体" w:cs="Times New Roman"/>
                <w:color w:val="auto"/>
                <w:sz w:val="24"/>
                <w:szCs w:val="24"/>
                <w:highlight w:val="none"/>
              </w:rPr>
              <w:t xml:space="preserve"> </w:t>
            </w:r>
          </w:p>
          <w:p>
            <w:pPr>
              <w:keepNext w:val="0"/>
              <w:keepLines w:val="0"/>
              <w:widowControl/>
              <w:suppressLineNumbers w:val="0"/>
              <w:shd w:val="clear"/>
              <w:spacing w:before="0" w:beforeAutospacing="0" w:afterAutospacing="0" w:line="240" w:lineRule="auto"/>
              <w:ind w:left="0" w:right="0" w:firstLine="5880" w:firstLineChars="2450"/>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年</w:t>
            </w:r>
            <w:r>
              <w:rPr>
                <w:rFonts w:hint="default" w:ascii="宋体" w:hAnsi="宋体" w:cs="Times New Roman"/>
                <w:color w:val="auto"/>
                <w:sz w:val="24"/>
                <w:szCs w:val="24"/>
                <w:highlight w:val="none"/>
              </w:rPr>
              <w:t xml:space="preserve">  </w:t>
            </w:r>
            <w:r>
              <w:rPr>
                <w:rFonts w:hint="eastAsia" w:ascii="宋体" w:hAnsi="宋体" w:cs="Times New Roman"/>
                <w:color w:val="auto"/>
                <w:sz w:val="24"/>
                <w:szCs w:val="24"/>
                <w:highlight w:val="none"/>
              </w:rPr>
              <w:t>月</w:t>
            </w:r>
            <w:r>
              <w:rPr>
                <w:rFonts w:hint="default" w:ascii="宋体" w:hAnsi="宋体" w:cs="Times New Roman"/>
                <w:color w:val="auto"/>
                <w:sz w:val="24"/>
                <w:szCs w:val="24"/>
                <w:highlight w:val="none"/>
              </w:rPr>
              <w:t xml:space="preserve">   </w:t>
            </w:r>
            <w:r>
              <w:rPr>
                <w:rFonts w:hint="eastAsia" w:ascii="宋体" w:hAnsi="宋体" w:cs="Times New Roman"/>
                <w:color w:val="auto"/>
                <w:sz w:val="24"/>
                <w:szCs w:val="24"/>
                <w:highlight w:val="none"/>
              </w:rPr>
              <w:t>日</w:t>
            </w:r>
          </w:p>
        </w:tc>
      </w:tr>
    </w:tbl>
    <w:p>
      <w:pPr>
        <w:shd w:val="clear"/>
        <w:spacing w:line="240" w:lineRule="auto"/>
        <w:jc w:val="center"/>
        <w:rPr>
          <w:rFonts w:ascii="宋体" w:hAnsi="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color w:val="auto"/>
          <w:sz w:val="21"/>
          <w:szCs w:val="21"/>
          <w:highlight w:val="none"/>
        </w:rPr>
        <w:t>（　 ）第　号</w:t>
      </w:r>
    </w:p>
    <w:p>
      <w:pPr>
        <w:shd w:val="clear"/>
        <w:spacing w:line="24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注：</w:t>
      </w:r>
      <w:r>
        <w:rPr>
          <w:rFonts w:hint="eastAsia" w:ascii="宋体" w:hAnsi="宋体" w:eastAsia="宋体"/>
          <w:color w:val="auto"/>
          <w:sz w:val="21"/>
          <w:szCs w:val="21"/>
          <w:highlight w:val="none"/>
        </w:rPr>
        <w:t>1.</w:t>
      </w:r>
      <w:r>
        <w:rPr>
          <w:rFonts w:hint="eastAsia" w:ascii="宋体" w:hAnsi="宋体"/>
          <w:color w:val="auto"/>
          <w:sz w:val="21"/>
          <w:szCs w:val="21"/>
          <w:highlight w:val="none"/>
        </w:rPr>
        <w:t>法定代表人授权委托书也可以采用工商行政管理局统一印制的格式。</w:t>
      </w:r>
    </w:p>
    <w:p>
      <w:pPr>
        <w:pStyle w:val="80"/>
        <w:shd w:val="clear"/>
        <w:ind w:firstLine="840" w:firstLineChars="400"/>
        <w:rPr>
          <w:rFonts w:hint="eastAsia"/>
          <w:color w:val="auto"/>
          <w:sz w:val="21"/>
          <w:szCs w:val="21"/>
          <w:highlight w:val="none"/>
        </w:rPr>
      </w:pPr>
      <w:r>
        <w:rPr>
          <w:rFonts w:hint="eastAsia"/>
          <w:color w:val="auto"/>
          <w:sz w:val="21"/>
          <w:szCs w:val="21"/>
          <w:highlight w:val="none"/>
        </w:rPr>
        <w:t>2.</w:t>
      </w:r>
      <w:r>
        <w:rPr>
          <w:rFonts w:hint="eastAsia"/>
          <w:b/>
          <w:bCs/>
          <w:color w:val="auto"/>
          <w:sz w:val="21"/>
          <w:szCs w:val="21"/>
          <w:highlight w:val="none"/>
        </w:rPr>
        <w:t>后附法定代表人及委托代理人身份证扫描件加盖电子签章。</w:t>
      </w:r>
    </w:p>
    <w:p>
      <w:pPr>
        <w:pStyle w:val="80"/>
        <w:shd w:val="clear"/>
        <w:rPr>
          <w:b/>
          <w:bCs/>
          <w:color w:val="auto"/>
          <w:sz w:val="21"/>
          <w:szCs w:val="21"/>
          <w:highlight w:val="none"/>
        </w:rPr>
      </w:pPr>
      <w:r>
        <w:rPr>
          <w:rFonts w:hint="eastAsia"/>
          <w:color w:val="auto"/>
          <w:highlight w:val="none"/>
        </w:rPr>
        <w:br w:type="page"/>
      </w:r>
      <w:r>
        <w:rPr>
          <w:rFonts w:hint="eastAsia"/>
          <w:b/>
          <w:bCs/>
          <w:color w:val="auto"/>
          <w:sz w:val="21"/>
          <w:szCs w:val="21"/>
          <w:highlight w:val="none"/>
        </w:rPr>
        <w:t>附录4：超前钻勘察技术服务费计算表</w:t>
      </w:r>
    </w:p>
    <w:p>
      <w:pPr>
        <w:shd w:val="clear"/>
        <w:rPr>
          <w:rFonts w:ascii="宋体" w:hAnsi="宋体"/>
          <w:bCs/>
          <w:color w:val="auto"/>
          <w:highlight w:val="none"/>
        </w:rPr>
      </w:pPr>
    </w:p>
    <w:p>
      <w:pPr>
        <w:shd w:val="clear"/>
        <w:jc w:val="center"/>
        <w:rPr>
          <w:rFonts w:ascii="宋体" w:hAnsi="宋体"/>
          <w:b/>
          <w:color w:val="auto"/>
          <w:sz w:val="28"/>
          <w:szCs w:val="28"/>
          <w:highlight w:val="none"/>
        </w:rPr>
      </w:pPr>
      <w:r>
        <w:rPr>
          <w:rFonts w:hint="eastAsia" w:ascii="宋体" w:hAnsi="宋体"/>
          <w:b/>
          <w:bCs/>
          <w:color w:val="auto"/>
          <w:sz w:val="28"/>
          <w:szCs w:val="28"/>
          <w:highlight w:val="none"/>
        </w:rPr>
        <w:t>超前钻勘察技术服务费计算表</w:t>
      </w:r>
    </w:p>
    <w:p>
      <w:pPr>
        <w:shd w:val="clear"/>
        <w:rPr>
          <w:rFonts w:ascii="宋体" w:hAnsi="宋体"/>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716"/>
        <w:gridCol w:w="1386"/>
        <w:gridCol w:w="4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noWrap w:val="0"/>
            <w:vAlign w:val="center"/>
          </w:tcPr>
          <w:p>
            <w:pPr>
              <w:keepNext w:val="0"/>
              <w:keepLines w:val="0"/>
              <w:widowControl/>
              <w:suppressLineNumbers w:val="0"/>
              <w:shd w:val="clear"/>
              <w:spacing w:before="0" w:beforeAutospacing="0" w:afterAutospacing="0"/>
              <w:ind w:left="0" w:right="0"/>
              <w:rPr>
                <w:rFonts w:hint="default" w:ascii="宋体" w:hAnsi="宋体" w:cs="Times New Roman"/>
                <w:b/>
                <w:bCs/>
                <w:color w:val="auto"/>
                <w:sz w:val="24"/>
                <w:szCs w:val="24"/>
                <w:highlight w:val="none"/>
              </w:rPr>
            </w:pPr>
            <w:r>
              <w:rPr>
                <w:rFonts w:hint="eastAsia" w:ascii="宋体" w:hAnsi="宋体" w:cs="Times New Roman"/>
                <w:b/>
                <w:bCs/>
                <w:color w:val="auto"/>
                <w:sz w:val="24"/>
                <w:szCs w:val="24"/>
                <w:highlight w:val="none"/>
              </w:rPr>
              <w:t>序号</w:t>
            </w:r>
          </w:p>
        </w:tc>
        <w:tc>
          <w:tcPr>
            <w:tcW w:w="2716" w:type="dxa"/>
            <w:noWrap w:val="0"/>
            <w:vAlign w:val="center"/>
          </w:tcPr>
          <w:p>
            <w:pPr>
              <w:keepNext w:val="0"/>
              <w:keepLines w:val="0"/>
              <w:widowControl/>
              <w:suppressLineNumbers w:val="0"/>
              <w:shd w:val="clear"/>
              <w:spacing w:before="0" w:beforeAutospacing="0" w:afterAutospacing="0"/>
              <w:ind w:left="0" w:right="0"/>
              <w:rPr>
                <w:rFonts w:hint="default" w:ascii="宋体" w:hAnsi="宋体" w:cs="Times New Roman"/>
                <w:b/>
                <w:bCs/>
                <w:color w:val="auto"/>
                <w:sz w:val="24"/>
                <w:szCs w:val="24"/>
                <w:highlight w:val="none"/>
              </w:rPr>
            </w:pPr>
            <w:r>
              <w:rPr>
                <w:rFonts w:hint="eastAsia" w:ascii="宋体" w:hAnsi="宋体" w:cs="Times New Roman"/>
                <w:b/>
                <w:bCs/>
                <w:color w:val="auto"/>
                <w:sz w:val="24"/>
                <w:szCs w:val="24"/>
                <w:highlight w:val="none"/>
              </w:rPr>
              <w:t>超前钻勘察技术服务费</w:t>
            </w:r>
          </w:p>
        </w:tc>
        <w:tc>
          <w:tcPr>
            <w:tcW w:w="1386"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eastAsia="宋体" w:cs="Times New Roman"/>
                <w:b/>
                <w:bCs/>
                <w:color w:val="auto"/>
                <w:sz w:val="24"/>
                <w:szCs w:val="24"/>
                <w:highlight w:val="none"/>
              </w:rPr>
            </w:pPr>
            <w:r>
              <w:rPr>
                <w:rFonts w:hint="eastAsia" w:ascii="宋体" w:hAnsi="宋体" w:cs="Times New Roman"/>
                <w:b/>
                <w:bCs/>
                <w:color w:val="auto"/>
                <w:sz w:val="24"/>
                <w:szCs w:val="24"/>
                <w:highlight w:val="none"/>
              </w:rPr>
              <w:t>投标</w:t>
            </w:r>
            <w:r>
              <w:rPr>
                <w:rFonts w:hint="eastAsia" w:ascii="宋体" w:hAnsi="宋体" w:eastAsia="宋体" w:cs="Times New Roman"/>
                <w:b/>
                <w:bCs/>
                <w:color w:val="auto"/>
                <w:sz w:val="24"/>
                <w:szCs w:val="24"/>
                <w:highlight w:val="none"/>
              </w:rPr>
              <w:t>值</w:t>
            </w:r>
          </w:p>
        </w:tc>
        <w:tc>
          <w:tcPr>
            <w:tcW w:w="451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b/>
                <w:bCs/>
                <w:color w:val="auto"/>
                <w:sz w:val="24"/>
                <w:szCs w:val="24"/>
                <w:highlight w:val="none"/>
              </w:rPr>
            </w:pPr>
            <w:r>
              <w:rPr>
                <w:rFonts w:hint="eastAsia" w:ascii="宋体" w:hAnsi="宋体" w:cs="Times New Roman"/>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（1）</w:t>
            </w:r>
          </w:p>
        </w:tc>
        <w:tc>
          <w:tcPr>
            <w:tcW w:w="2716"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b w:val="0"/>
                <w:bCs w:val="0"/>
                <w:color w:val="auto"/>
                <w:sz w:val="24"/>
                <w:szCs w:val="24"/>
                <w:highlight w:val="none"/>
              </w:rPr>
            </w:pPr>
            <w:r>
              <w:rPr>
                <w:rFonts w:hint="eastAsia" w:ascii="宋体" w:hAnsi="宋体" w:cs="Times New Roman"/>
                <w:b w:val="0"/>
                <w:bCs w:val="0"/>
                <w:color w:val="auto"/>
                <w:sz w:val="24"/>
                <w:szCs w:val="24"/>
                <w:highlight w:val="none"/>
              </w:rPr>
              <w:t>每米综合包干单价（元）</w:t>
            </w:r>
          </w:p>
        </w:tc>
        <w:tc>
          <w:tcPr>
            <w:tcW w:w="1386"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eastAsia="宋体" w:cs="Times New Roman"/>
                <w:color w:val="auto"/>
                <w:sz w:val="24"/>
                <w:szCs w:val="24"/>
                <w:highlight w:val="none"/>
                <w:u w:val="single"/>
              </w:rPr>
            </w:pPr>
          </w:p>
        </w:tc>
        <w:tc>
          <w:tcPr>
            <w:tcW w:w="4514" w:type="dxa"/>
            <w:noWrap w:val="0"/>
            <w:vAlign w:val="center"/>
          </w:tcPr>
          <w:p>
            <w:pPr>
              <w:keepNext w:val="0"/>
              <w:keepLines w:val="0"/>
              <w:widowControl/>
              <w:suppressLineNumbers w:val="0"/>
              <w:shd w:val="clear"/>
              <w:spacing w:before="0" w:beforeAutospacing="0" w:afterAutospacing="0"/>
              <w:ind w:left="0" w:right="0"/>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综合包干单价限价为</w:t>
            </w:r>
            <w:r>
              <w:rPr>
                <w:rFonts w:hint="eastAsia" w:ascii="宋体" w:hAnsi="宋体" w:eastAsia="宋体" w:cs="Times New Roman"/>
                <w:color w:val="auto"/>
                <w:sz w:val="24"/>
                <w:szCs w:val="24"/>
                <w:highlight w:val="none"/>
                <w:u w:val="single"/>
                <w:lang w:val="en-US" w:eastAsia="zh-CN"/>
              </w:rPr>
              <w:t>90</w:t>
            </w:r>
            <w:r>
              <w:rPr>
                <w:rFonts w:hint="eastAsia" w:ascii="宋体" w:hAnsi="宋体" w:cs="Times New Roman"/>
                <w:color w:val="auto"/>
                <w:sz w:val="24"/>
                <w:szCs w:val="24"/>
                <w:highlight w:val="none"/>
              </w:rPr>
              <w:t>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（2）</w:t>
            </w:r>
          </w:p>
        </w:tc>
        <w:tc>
          <w:tcPr>
            <w:tcW w:w="2716"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b w:val="0"/>
                <w:bCs w:val="0"/>
                <w:color w:val="auto"/>
                <w:sz w:val="24"/>
                <w:szCs w:val="24"/>
                <w:highlight w:val="none"/>
              </w:rPr>
            </w:pPr>
            <w:r>
              <w:rPr>
                <w:rFonts w:hint="eastAsia" w:ascii="宋体" w:hAnsi="宋体" w:cs="Times New Roman"/>
                <w:b w:val="0"/>
                <w:bCs w:val="0"/>
                <w:color w:val="auto"/>
                <w:sz w:val="24"/>
                <w:szCs w:val="24"/>
                <w:highlight w:val="none"/>
              </w:rPr>
              <w:t>暂定工程量（米）</w:t>
            </w:r>
          </w:p>
        </w:tc>
        <w:tc>
          <w:tcPr>
            <w:tcW w:w="1386"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94500</w:t>
            </w:r>
          </w:p>
        </w:tc>
        <w:tc>
          <w:tcPr>
            <w:tcW w:w="4514" w:type="dxa"/>
            <w:noWrap w:val="0"/>
            <w:vAlign w:val="center"/>
          </w:tcPr>
          <w:p>
            <w:pPr>
              <w:keepNext w:val="0"/>
              <w:keepLines w:val="0"/>
              <w:widowControl/>
              <w:suppressLineNumbers w:val="0"/>
              <w:shd w:val="clear"/>
              <w:spacing w:before="0" w:beforeAutospacing="0" w:afterAutospacing="0"/>
              <w:ind w:left="0" w:right="0"/>
              <w:rPr>
                <w:rFonts w:hint="default" w:ascii="宋体" w:hAnsi="宋体" w:eastAsia="宋体" w:cs="Times New Roman"/>
                <w:color w:val="auto"/>
                <w:sz w:val="24"/>
                <w:szCs w:val="24"/>
                <w:highlight w:val="none"/>
              </w:rPr>
            </w:pPr>
            <w:r>
              <w:rPr>
                <w:rFonts w:hint="eastAsia" w:ascii="宋体" w:hAnsi="宋体" w:cs="Times New Roman"/>
                <w:color w:val="auto"/>
                <w:sz w:val="24"/>
                <w:szCs w:val="24"/>
                <w:highlight w:val="none"/>
              </w:rPr>
              <w:t>暂定工程量</w:t>
            </w:r>
            <w:r>
              <w:rPr>
                <w:rFonts w:hint="eastAsia" w:ascii="宋体" w:hAnsi="宋体" w:eastAsia="宋体" w:cs="Times New Roman"/>
                <w:color w:val="auto"/>
                <w:sz w:val="24"/>
                <w:szCs w:val="24"/>
                <w:highlight w:val="none"/>
                <w:u w:val="single"/>
              </w:rPr>
              <w:t>94500</w:t>
            </w:r>
            <w:r>
              <w:rPr>
                <w:rFonts w:hint="eastAsia" w:ascii="宋体" w:hAnsi="宋体" w:eastAsia="宋体" w:cs="Times New Roman"/>
                <w:color w:val="auto"/>
                <w:sz w:val="24"/>
                <w:szCs w:val="24"/>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（3）</w:t>
            </w:r>
          </w:p>
        </w:tc>
        <w:tc>
          <w:tcPr>
            <w:tcW w:w="2716"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b w:val="0"/>
                <w:bCs w:val="0"/>
                <w:color w:val="auto"/>
                <w:sz w:val="24"/>
                <w:szCs w:val="24"/>
                <w:highlight w:val="none"/>
              </w:rPr>
            </w:pPr>
            <w:r>
              <w:rPr>
                <w:rFonts w:hint="eastAsia" w:ascii="宋体" w:hAnsi="宋体" w:cs="Times New Roman"/>
                <w:b w:val="0"/>
                <w:bCs w:val="0"/>
                <w:color w:val="auto"/>
                <w:sz w:val="24"/>
                <w:szCs w:val="24"/>
                <w:highlight w:val="none"/>
              </w:rPr>
              <w:t>暂定勘察费（元）</w:t>
            </w:r>
          </w:p>
        </w:tc>
        <w:tc>
          <w:tcPr>
            <w:tcW w:w="1386"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eastAsia="宋体" w:cs="Times New Roman"/>
                <w:color w:val="auto"/>
                <w:sz w:val="24"/>
                <w:szCs w:val="24"/>
                <w:highlight w:val="none"/>
                <w:u w:val="single"/>
              </w:rPr>
            </w:pPr>
          </w:p>
        </w:tc>
        <w:tc>
          <w:tcPr>
            <w:tcW w:w="4514" w:type="dxa"/>
            <w:noWrap w:val="0"/>
            <w:vAlign w:val="center"/>
          </w:tcPr>
          <w:p>
            <w:pPr>
              <w:keepNext w:val="0"/>
              <w:keepLines w:val="0"/>
              <w:widowControl/>
              <w:suppressLineNumbers w:val="0"/>
              <w:shd w:val="clear"/>
              <w:spacing w:before="0" w:beforeAutospacing="0" w:afterAutospacing="0"/>
              <w:ind w:left="0" w:right="0"/>
              <w:rPr>
                <w:rFonts w:hint="default" w:ascii="宋体" w:hAnsi="宋体" w:cs="Times New Roman"/>
                <w:color w:val="auto"/>
                <w:sz w:val="24"/>
                <w:szCs w:val="24"/>
                <w:highlight w:val="none"/>
              </w:rPr>
            </w:pPr>
            <w:r>
              <w:rPr>
                <w:rFonts w:hint="eastAsia" w:ascii="宋体" w:hAnsi="宋体" w:eastAsia="宋体" w:cs="Times New Roman"/>
                <w:b/>
                <w:color w:val="auto"/>
                <w:sz w:val="24"/>
                <w:szCs w:val="24"/>
                <w:highlight w:val="none"/>
              </w:rPr>
              <w:t>暂定勘察费投标值=每米综合包干单价投标值 ×</w:t>
            </w:r>
            <w:r>
              <w:rPr>
                <w:rFonts w:hint="eastAsia" w:ascii="宋体" w:hAnsi="宋体" w:eastAsia="宋体" w:cs="Times New Roman"/>
                <w:b/>
                <w:bCs/>
                <w:color w:val="auto"/>
                <w:sz w:val="24"/>
                <w:szCs w:val="24"/>
                <w:highlight w:val="none"/>
                <w:u w:val="single"/>
              </w:rPr>
              <w:t>94500</w:t>
            </w:r>
            <w:r>
              <w:rPr>
                <w:rFonts w:hint="eastAsia" w:ascii="Calibri" w:hAnsi="Calibri" w:eastAsia="宋体" w:cs="Times New Roman"/>
                <w:b/>
                <w:color w:val="auto"/>
                <w:sz w:val="24"/>
                <w:szCs w:val="24"/>
                <w:highlight w:val="none"/>
              </w:rPr>
              <w:t>米</w:t>
            </w:r>
          </w:p>
        </w:tc>
      </w:tr>
    </w:tbl>
    <w:p>
      <w:pPr>
        <w:shd w:val="clear"/>
        <w:rPr>
          <w:rFonts w:ascii="宋体" w:hAnsi="宋体"/>
          <w:color w:val="auto"/>
          <w:highlight w:val="none"/>
        </w:rPr>
      </w:pPr>
    </w:p>
    <w:p>
      <w:pPr>
        <w:shd w:val="clear"/>
        <w:spacing w:line="360" w:lineRule="auto"/>
        <w:jc w:val="both"/>
        <w:rPr>
          <w:rFonts w:hAnsi="宋体"/>
          <w:color w:val="auto"/>
          <w:sz w:val="24"/>
          <w:szCs w:val="24"/>
          <w:highlight w:val="none"/>
        </w:rPr>
      </w:pPr>
      <w:r>
        <w:rPr>
          <w:rFonts w:hint="eastAsia" w:hAnsi="宋体"/>
          <w:color w:val="auto"/>
          <w:sz w:val="24"/>
          <w:szCs w:val="24"/>
          <w:highlight w:val="none"/>
        </w:rPr>
        <w:t>注：1、超前钻勘察技术服务费用，按照承发包双方确认的实际工程量（投标时暂由按招标人提供的工程量）乘以中标综合包干单价结算，费用包含但不限于考虑土质、勘探方式、钻探位置的地面障碍物清理、规费、税金等一切为完成本项目所需的费用。对于超过深度要求的超钻部分，其工程量不予计量。超前钻综合包干单价</w:t>
      </w:r>
      <w:r>
        <w:rPr>
          <w:rFonts w:hint="eastAsia" w:hAnsi="宋体" w:eastAsia="宋体"/>
          <w:color w:val="auto"/>
          <w:sz w:val="24"/>
          <w:szCs w:val="24"/>
          <w:highlight w:val="none"/>
        </w:rPr>
        <w:t>报价</w:t>
      </w:r>
      <w:r>
        <w:rPr>
          <w:rFonts w:hint="eastAsia" w:hAnsi="宋体"/>
          <w:color w:val="auto"/>
          <w:sz w:val="24"/>
          <w:szCs w:val="24"/>
          <w:highlight w:val="none"/>
        </w:rPr>
        <w:t>不得高于</w:t>
      </w:r>
      <w:r>
        <w:rPr>
          <w:rFonts w:hint="eastAsia" w:ascii="宋体" w:hAnsi="宋体" w:eastAsia="宋体"/>
          <w:color w:val="auto"/>
          <w:sz w:val="24"/>
          <w:szCs w:val="24"/>
          <w:highlight w:val="none"/>
          <w:u w:val="single"/>
          <w:lang w:val="en-US" w:eastAsia="zh-CN"/>
        </w:rPr>
        <w:t>90</w:t>
      </w:r>
      <w:r>
        <w:rPr>
          <w:rFonts w:hint="eastAsia" w:hAnsi="宋体"/>
          <w:color w:val="auto"/>
          <w:sz w:val="24"/>
          <w:szCs w:val="24"/>
          <w:highlight w:val="none"/>
        </w:rPr>
        <w:t>元/米，综合包干单价在整个合同实施过程中不作调整。</w:t>
      </w:r>
      <w:r>
        <w:rPr>
          <w:rFonts w:hint="eastAsia" w:hAnsi="宋体"/>
          <w:b/>
          <w:bCs/>
          <w:color w:val="auto"/>
          <w:sz w:val="24"/>
          <w:szCs w:val="24"/>
          <w:highlight w:val="none"/>
        </w:rPr>
        <w:t>投标人</w:t>
      </w:r>
      <w:r>
        <w:rPr>
          <w:rFonts w:hint="eastAsia" w:hAnsi="宋体" w:eastAsia="宋体"/>
          <w:b/>
          <w:color w:val="auto"/>
          <w:sz w:val="24"/>
          <w:szCs w:val="24"/>
          <w:highlight w:val="none"/>
        </w:rPr>
        <w:t>投标报价</w:t>
      </w:r>
      <w:r>
        <w:rPr>
          <w:rFonts w:hint="eastAsia" w:hAnsi="宋体"/>
          <w:b/>
          <w:color w:val="auto"/>
          <w:sz w:val="24"/>
          <w:szCs w:val="24"/>
          <w:highlight w:val="none"/>
        </w:rPr>
        <w:t>不得超过</w:t>
      </w:r>
      <w:r>
        <w:rPr>
          <w:rFonts w:hint="eastAsia" w:ascii="宋体" w:hAnsi="宋体" w:eastAsia="宋体"/>
          <w:b/>
          <w:color w:val="auto"/>
          <w:sz w:val="24"/>
          <w:szCs w:val="24"/>
          <w:highlight w:val="none"/>
        </w:rPr>
        <w:t>相应的限价，</w:t>
      </w:r>
      <w:r>
        <w:rPr>
          <w:rFonts w:hint="eastAsia" w:hAnsi="宋体"/>
          <w:b/>
          <w:color w:val="auto"/>
          <w:sz w:val="24"/>
          <w:szCs w:val="24"/>
          <w:highlight w:val="none"/>
        </w:rPr>
        <w:t>否则由评标委员作废标处理。</w:t>
      </w:r>
    </w:p>
    <w:p>
      <w:pPr>
        <w:shd w:val="clear"/>
        <w:spacing w:line="360" w:lineRule="auto"/>
        <w:rPr>
          <w:rFonts w:hAnsi="宋体"/>
          <w:color w:val="auto"/>
          <w:sz w:val="24"/>
          <w:szCs w:val="24"/>
          <w:highlight w:val="none"/>
        </w:rPr>
      </w:pPr>
      <w:r>
        <w:rPr>
          <w:rFonts w:hint="eastAsia" w:hAnsi="宋体"/>
          <w:color w:val="auto"/>
          <w:sz w:val="24"/>
          <w:szCs w:val="24"/>
          <w:highlight w:val="none"/>
        </w:rPr>
        <w:t>2、当序号（1）</w:t>
      </w:r>
      <w:r>
        <w:rPr>
          <w:rFonts w:hint="eastAsia" w:hAnsi="宋体" w:eastAsia="宋体"/>
          <w:color w:val="auto"/>
          <w:sz w:val="24"/>
          <w:szCs w:val="24"/>
          <w:highlight w:val="none"/>
        </w:rPr>
        <w:t>与</w:t>
      </w:r>
      <w:r>
        <w:rPr>
          <w:rFonts w:hint="eastAsia" w:hAnsi="宋体"/>
          <w:color w:val="auto"/>
          <w:sz w:val="24"/>
          <w:szCs w:val="24"/>
          <w:highlight w:val="none"/>
        </w:rPr>
        <w:t>号（2）的乘积与序号（3）不一致时，</w:t>
      </w:r>
      <w:r>
        <w:rPr>
          <w:rFonts w:hint="eastAsia" w:hAnsi="宋体" w:eastAsia="宋体"/>
          <w:color w:val="auto"/>
          <w:sz w:val="24"/>
          <w:szCs w:val="24"/>
          <w:highlight w:val="none"/>
        </w:rPr>
        <w:t>由评标委员会进行修正</w:t>
      </w:r>
      <w:r>
        <w:rPr>
          <w:rFonts w:hint="eastAsia" w:hAnsi="宋体"/>
          <w:color w:val="auto"/>
          <w:sz w:val="24"/>
          <w:szCs w:val="24"/>
          <w:highlight w:val="none"/>
        </w:rPr>
        <w:t>。如修正后的投标报价超出相应的最高投标限价，则由评标委员会作废标处理。</w:t>
      </w:r>
    </w:p>
    <w:p>
      <w:pPr>
        <w:shd w:val="clear"/>
        <w:spacing w:line="360" w:lineRule="auto"/>
        <w:rPr>
          <w:rFonts w:hAnsi="宋体"/>
          <w:color w:val="auto"/>
          <w:sz w:val="24"/>
          <w:szCs w:val="24"/>
          <w:highlight w:val="none"/>
        </w:rPr>
      </w:pPr>
      <w:r>
        <w:rPr>
          <w:rFonts w:hint="eastAsia" w:hAnsi="宋体"/>
          <w:color w:val="auto"/>
          <w:sz w:val="24"/>
          <w:szCs w:val="24"/>
          <w:highlight w:val="none"/>
        </w:rPr>
        <w:t>3、超前钻勘察技术服务费的结算原则具体详见合同条款的约定。</w:t>
      </w:r>
    </w:p>
    <w:p>
      <w:pPr>
        <w:shd w:val="clear"/>
        <w:spacing w:line="480" w:lineRule="exact"/>
        <w:ind w:firstLine="2673" w:firstLineChars="1215"/>
        <w:rPr>
          <w:rFonts w:hint="eastAsia" w:ascii="宋体" w:hAnsi="宋体"/>
          <w:color w:val="auto"/>
          <w:highlight w:val="none"/>
        </w:rPr>
      </w:pPr>
    </w:p>
    <w:p>
      <w:pPr>
        <w:shd w:val="clear"/>
        <w:spacing w:after="177"/>
        <w:rPr>
          <w:rFonts w:ascii="宋体" w:hAnsi="宋体" w:eastAsia="宋体"/>
          <w:color w:val="auto"/>
          <w:highlight w:val="none"/>
        </w:rPr>
      </w:pPr>
    </w:p>
    <w:p>
      <w:pPr>
        <w:shd w:val="clear"/>
        <w:rPr>
          <w:rFonts w:hint="eastAsia" w:ascii="宋体" w:hAnsi="宋体" w:eastAsia="宋体"/>
          <w:color w:val="auto"/>
          <w:szCs w:val="21"/>
          <w:highlight w:val="none"/>
        </w:rPr>
      </w:pPr>
      <w:r>
        <w:rPr>
          <w:rFonts w:ascii="宋体" w:hAnsi="宋体" w:eastAsia="宋体"/>
          <w:color w:val="auto"/>
          <w:highlight w:val="none"/>
        </w:rPr>
        <w:br w:type="page"/>
      </w:r>
      <w:r>
        <w:rPr>
          <w:rFonts w:ascii="宋体" w:hAnsi="宋体" w:eastAsia="宋体"/>
          <w:color w:val="auto"/>
          <w:sz w:val="21"/>
          <w:highlight w:val="none"/>
        </w:rPr>
        <w:t xml:space="preserve"> </w:t>
      </w:r>
      <w:r>
        <w:rPr>
          <w:rFonts w:hint="eastAsia" w:ascii="宋体" w:hAnsi="宋体"/>
          <w:b/>
          <w:bCs/>
          <w:color w:val="auto"/>
          <w:szCs w:val="21"/>
          <w:highlight w:val="none"/>
        </w:rPr>
        <w:t>附录</w:t>
      </w:r>
      <w:r>
        <w:rPr>
          <w:rFonts w:hint="eastAsia" w:ascii="宋体" w:hAnsi="宋体" w:eastAsia="宋体"/>
          <w:b/>
          <w:bCs/>
          <w:color w:val="auto"/>
          <w:szCs w:val="21"/>
          <w:highlight w:val="none"/>
        </w:rPr>
        <w:t>5：投标人完成过的项目业绩</w:t>
      </w:r>
    </w:p>
    <w:p>
      <w:pPr>
        <w:shd w:val="clear"/>
        <w:jc w:val="center"/>
        <w:rPr>
          <w:rFonts w:hint="eastAsia" w:ascii="宋体" w:hAnsi="宋体"/>
          <w:b/>
          <w:bCs/>
          <w:color w:val="auto"/>
          <w:sz w:val="32"/>
          <w:szCs w:val="32"/>
          <w:highlight w:val="none"/>
        </w:rPr>
      </w:pPr>
    </w:p>
    <w:p>
      <w:pPr>
        <w:shd w:val="clear"/>
        <w:jc w:val="center"/>
        <w:rPr>
          <w:rFonts w:ascii="宋体" w:hAnsi="宋体" w:eastAsia="宋体"/>
          <w:b/>
          <w:bCs/>
          <w:color w:val="auto"/>
          <w:sz w:val="28"/>
          <w:szCs w:val="28"/>
          <w:highlight w:val="none"/>
        </w:rPr>
      </w:pPr>
      <w:r>
        <w:rPr>
          <w:rFonts w:hint="eastAsia" w:ascii="宋体" w:hAnsi="宋体"/>
          <w:b/>
          <w:bCs/>
          <w:color w:val="auto"/>
          <w:sz w:val="28"/>
          <w:szCs w:val="28"/>
          <w:highlight w:val="none"/>
        </w:rPr>
        <w:t>投标人</w:t>
      </w:r>
      <w:r>
        <w:rPr>
          <w:rFonts w:hint="eastAsia" w:ascii="宋体" w:hAnsi="宋体" w:eastAsia="宋体"/>
          <w:b/>
          <w:bCs/>
          <w:color w:val="auto"/>
          <w:sz w:val="28"/>
          <w:szCs w:val="28"/>
          <w:highlight w:val="none"/>
        </w:rPr>
        <w:t>承接过的</w:t>
      </w:r>
      <w:r>
        <w:rPr>
          <w:rFonts w:hint="eastAsia" w:ascii="宋体" w:hAnsi="宋体"/>
          <w:b/>
          <w:bCs/>
          <w:color w:val="auto"/>
          <w:sz w:val="28"/>
          <w:szCs w:val="28"/>
          <w:highlight w:val="none"/>
        </w:rPr>
        <w:t>项目</w:t>
      </w:r>
      <w:r>
        <w:rPr>
          <w:rFonts w:hint="eastAsia" w:ascii="宋体" w:hAnsi="宋体" w:eastAsia="宋体"/>
          <w:b/>
          <w:bCs/>
          <w:color w:val="auto"/>
          <w:sz w:val="28"/>
          <w:szCs w:val="28"/>
          <w:highlight w:val="none"/>
        </w:rPr>
        <w:t>业绩</w:t>
      </w:r>
    </w:p>
    <w:tbl>
      <w:tblPr>
        <w:tblStyle w:val="35"/>
        <w:tblW w:w="10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22"/>
        <w:gridCol w:w="1824"/>
        <w:gridCol w:w="1824"/>
        <w:gridCol w:w="1824"/>
        <w:gridCol w:w="1551"/>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45" w:type="dxa"/>
            <w:noWrap w:val="0"/>
            <w:vAlign w:val="center"/>
          </w:tcPr>
          <w:p>
            <w:pPr>
              <w:keepNext w:val="0"/>
              <w:keepLines w:val="0"/>
              <w:widowControl/>
              <w:suppressLineNumbers w:val="0"/>
              <w:shd w:val="clear"/>
              <w:spacing w:before="0" w:beforeAutospacing="0" w:after="0" w:afterAutospacing="0" w:line="260" w:lineRule="auto"/>
              <w:ind w:left="0" w:right="0"/>
              <w:jc w:val="center"/>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序号</w:t>
            </w:r>
          </w:p>
        </w:tc>
        <w:tc>
          <w:tcPr>
            <w:tcW w:w="1822" w:type="dxa"/>
            <w:noWrap w:val="0"/>
            <w:vAlign w:val="center"/>
          </w:tcPr>
          <w:p>
            <w:pPr>
              <w:keepNext w:val="0"/>
              <w:keepLines w:val="0"/>
              <w:widowControl/>
              <w:suppressLineNumbers w:val="0"/>
              <w:shd w:val="clear"/>
              <w:spacing w:before="0" w:beforeAutospacing="0" w:after="0" w:afterAutospacing="0" w:line="260" w:lineRule="auto"/>
              <w:ind w:left="0" w:right="0"/>
              <w:jc w:val="center"/>
              <w:rPr>
                <w:rFonts w:hint="default" w:ascii="宋体" w:hAnsi="宋体" w:cs="Times New Roman"/>
                <w:b/>
                <w:bCs/>
                <w:color w:val="auto"/>
                <w:sz w:val="21"/>
                <w:szCs w:val="21"/>
                <w:highlight w:val="none"/>
              </w:rPr>
            </w:pPr>
            <w:r>
              <w:rPr>
                <w:rFonts w:hint="eastAsia" w:ascii="宋体" w:hAnsi="宋体" w:cs="Times New Roman"/>
                <w:b/>
                <w:bCs/>
                <w:color w:val="auto"/>
                <w:sz w:val="21"/>
                <w:szCs w:val="21"/>
                <w:highlight w:val="none"/>
              </w:rPr>
              <w:t>项目</w:t>
            </w:r>
            <w:r>
              <w:rPr>
                <w:rFonts w:hint="eastAsia" w:ascii="宋体" w:hAnsi="宋体" w:eastAsia="宋体" w:cs="Times New Roman"/>
                <w:b/>
                <w:bCs/>
                <w:color w:val="auto"/>
                <w:sz w:val="21"/>
                <w:szCs w:val="21"/>
                <w:highlight w:val="none"/>
              </w:rPr>
              <w:t>名称</w:t>
            </w:r>
          </w:p>
        </w:tc>
        <w:tc>
          <w:tcPr>
            <w:tcW w:w="1824" w:type="dxa"/>
            <w:noWrap w:val="0"/>
            <w:vAlign w:val="center"/>
          </w:tcPr>
          <w:p>
            <w:pPr>
              <w:keepNext w:val="0"/>
              <w:keepLines w:val="0"/>
              <w:widowControl/>
              <w:suppressLineNumbers w:val="0"/>
              <w:shd w:val="clear"/>
              <w:spacing w:before="0" w:beforeAutospacing="0" w:after="0" w:afterAutospacing="0" w:line="260" w:lineRule="auto"/>
              <w:ind w:left="0" w:right="0"/>
              <w:jc w:val="center"/>
              <w:rPr>
                <w:rFonts w:hint="eastAsia" w:ascii="宋体" w:hAnsi="宋体" w:eastAsia="宋体" w:cs="Times New Roman"/>
                <w:b/>
                <w:bCs/>
                <w:color w:val="auto"/>
                <w:sz w:val="21"/>
                <w:szCs w:val="21"/>
                <w:highlight w:val="none"/>
              </w:rPr>
            </w:pPr>
            <w:r>
              <w:rPr>
                <w:rFonts w:hint="eastAsia" w:ascii="宋体" w:hAnsi="宋体" w:cs="Times New Roman"/>
                <w:b/>
                <w:bCs/>
                <w:color w:val="auto"/>
                <w:sz w:val="21"/>
                <w:szCs w:val="21"/>
                <w:highlight w:val="none"/>
              </w:rPr>
              <w:t>业主单位</w:t>
            </w:r>
          </w:p>
        </w:tc>
        <w:tc>
          <w:tcPr>
            <w:tcW w:w="1824" w:type="dxa"/>
            <w:noWrap w:val="0"/>
            <w:vAlign w:val="center"/>
          </w:tcPr>
          <w:p>
            <w:pPr>
              <w:keepNext w:val="0"/>
              <w:keepLines w:val="0"/>
              <w:widowControl/>
              <w:suppressLineNumbers w:val="0"/>
              <w:shd w:val="clear"/>
              <w:spacing w:before="0" w:beforeAutospacing="0" w:after="0" w:afterAutospacing="0" w:line="260" w:lineRule="auto"/>
              <w:ind w:left="0" w:right="0"/>
              <w:jc w:val="center"/>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合同金额</w:t>
            </w:r>
          </w:p>
          <w:p>
            <w:pPr>
              <w:keepNext w:val="0"/>
              <w:keepLines w:val="0"/>
              <w:widowControl/>
              <w:suppressLineNumbers w:val="0"/>
              <w:shd w:val="clear"/>
              <w:spacing w:before="0" w:beforeAutospacing="0" w:after="0" w:afterAutospacing="0" w:line="260" w:lineRule="auto"/>
              <w:ind w:left="0" w:right="0"/>
              <w:jc w:val="center"/>
              <w:rPr>
                <w:rFonts w:hint="default" w:ascii="宋体" w:hAnsi="宋体" w:cs="Times New Roman"/>
                <w:b/>
                <w:bCs/>
                <w:color w:val="auto"/>
                <w:sz w:val="21"/>
                <w:szCs w:val="21"/>
                <w:highlight w:val="none"/>
              </w:rPr>
            </w:pPr>
            <w:r>
              <w:rPr>
                <w:rFonts w:hint="eastAsia" w:ascii="宋体" w:hAnsi="宋体" w:eastAsia="宋体" w:cs="Times New Roman"/>
                <w:b/>
                <w:bCs/>
                <w:color w:val="auto"/>
                <w:sz w:val="21"/>
                <w:szCs w:val="21"/>
                <w:highlight w:val="none"/>
              </w:rPr>
              <w:t>（万元）</w:t>
            </w:r>
          </w:p>
        </w:tc>
        <w:tc>
          <w:tcPr>
            <w:tcW w:w="1824" w:type="dxa"/>
            <w:noWrap w:val="0"/>
            <w:vAlign w:val="center"/>
          </w:tcPr>
          <w:p>
            <w:pPr>
              <w:keepNext w:val="0"/>
              <w:keepLines w:val="0"/>
              <w:widowControl/>
              <w:suppressLineNumbers w:val="0"/>
              <w:shd w:val="clear"/>
              <w:spacing w:before="0" w:beforeAutospacing="0" w:after="0" w:afterAutospacing="0" w:line="260" w:lineRule="auto"/>
              <w:ind w:left="0" w:right="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完成</w:t>
            </w:r>
            <w:r>
              <w:rPr>
                <w:rFonts w:hint="eastAsia" w:ascii="宋体" w:hAnsi="宋体" w:cs="Times New Roman"/>
                <w:b/>
                <w:bCs/>
                <w:color w:val="auto"/>
                <w:sz w:val="21"/>
                <w:szCs w:val="21"/>
                <w:highlight w:val="none"/>
              </w:rPr>
              <w:t>时间</w:t>
            </w:r>
          </w:p>
        </w:tc>
        <w:tc>
          <w:tcPr>
            <w:tcW w:w="1551" w:type="dxa"/>
            <w:noWrap w:val="0"/>
            <w:vAlign w:val="center"/>
          </w:tcPr>
          <w:p>
            <w:pPr>
              <w:keepNext w:val="0"/>
              <w:keepLines w:val="0"/>
              <w:widowControl/>
              <w:suppressLineNumbers w:val="0"/>
              <w:shd w:val="clear"/>
              <w:spacing w:before="0" w:beforeAutospacing="0" w:after="0" w:afterAutospacing="0" w:line="260" w:lineRule="auto"/>
              <w:ind w:left="0" w:right="0"/>
              <w:jc w:val="center"/>
              <w:rPr>
                <w:rFonts w:hint="default"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获得的奖项</w:t>
            </w:r>
          </w:p>
        </w:tc>
        <w:tc>
          <w:tcPr>
            <w:tcW w:w="1030" w:type="dxa"/>
            <w:noWrap w:val="0"/>
            <w:vAlign w:val="center"/>
          </w:tcPr>
          <w:p>
            <w:pPr>
              <w:keepNext w:val="0"/>
              <w:keepLines w:val="0"/>
              <w:widowControl/>
              <w:suppressLineNumbers w:val="0"/>
              <w:shd w:val="clear"/>
              <w:spacing w:before="0" w:beforeAutospacing="0" w:after="0" w:afterAutospacing="0" w:line="260" w:lineRule="auto"/>
              <w:ind w:left="0" w:right="0"/>
              <w:jc w:val="center"/>
              <w:rPr>
                <w:rFonts w:hint="default" w:ascii="宋体" w:hAnsi="宋体" w:cs="Times New Roman"/>
                <w:b/>
                <w:bCs/>
                <w:color w:val="auto"/>
                <w:sz w:val="21"/>
                <w:szCs w:val="21"/>
                <w:highlight w:val="none"/>
              </w:rPr>
            </w:pPr>
            <w:r>
              <w:rPr>
                <w:rFonts w:hint="eastAsia" w:ascii="宋体" w:hAnsi="宋体" w:cs="Times New Roman"/>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45"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2"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551"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030"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45"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2"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551"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030"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5"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2"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551"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030"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45"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2"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551"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030"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45"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2"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551"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030"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45"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2"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824"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551"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c>
          <w:tcPr>
            <w:tcW w:w="1030" w:type="dxa"/>
            <w:noWrap w:val="0"/>
            <w:vAlign w:val="center"/>
          </w:tcPr>
          <w:p>
            <w:pPr>
              <w:keepNext w:val="0"/>
              <w:keepLines w:val="0"/>
              <w:widowControl/>
              <w:suppressLineNumbers w:val="0"/>
              <w:shd w:val="clear"/>
              <w:spacing w:before="0" w:beforeAutospacing="0" w:afterAutospacing="0"/>
              <w:ind w:left="0" w:right="0"/>
              <w:jc w:val="center"/>
              <w:rPr>
                <w:rFonts w:hint="default" w:ascii="宋体" w:hAnsi="宋体" w:cs="Times New Roman"/>
                <w:color w:val="auto"/>
                <w:sz w:val="21"/>
                <w:szCs w:val="21"/>
                <w:highlight w:val="none"/>
              </w:rPr>
            </w:pPr>
          </w:p>
        </w:tc>
      </w:tr>
    </w:tbl>
    <w:p>
      <w:pPr>
        <w:shd w:val="clear"/>
        <w:spacing w:after="0" w:line="240" w:lineRule="auto"/>
        <w:jc w:val="both"/>
        <w:rPr>
          <w:rFonts w:eastAsia="宋体"/>
          <w:color w:val="auto"/>
          <w:highlight w:val="none"/>
        </w:rPr>
      </w:pPr>
      <w:r>
        <w:rPr>
          <w:rFonts w:hint="eastAsia" w:ascii="宋体" w:hAnsi="宋体"/>
          <w:color w:val="auto"/>
          <w:sz w:val="21"/>
          <w:szCs w:val="21"/>
          <w:highlight w:val="none"/>
        </w:rPr>
        <w:t>注：</w:t>
      </w:r>
      <w:r>
        <w:rPr>
          <w:rFonts w:hint="eastAsia" w:ascii="宋体" w:hAnsi="宋体" w:eastAsia="宋体"/>
          <w:color w:val="auto"/>
          <w:sz w:val="21"/>
          <w:szCs w:val="21"/>
          <w:highlight w:val="none"/>
        </w:rPr>
        <w:t>需提供相关证明资料。</w:t>
      </w:r>
    </w:p>
    <w:p>
      <w:pPr>
        <w:shd w:val="clear"/>
        <w:spacing w:line="360" w:lineRule="auto"/>
        <w:rPr>
          <w:rFonts w:hAnsi="宋体"/>
          <w:color w:val="auto"/>
          <w:highlight w:val="none"/>
        </w:rPr>
      </w:pPr>
    </w:p>
    <w:p>
      <w:pPr>
        <w:shd w:val="clear"/>
        <w:spacing w:line="360" w:lineRule="auto"/>
        <w:jc w:val="center"/>
        <w:rPr>
          <w:color w:val="auto"/>
          <w:szCs w:val="21"/>
          <w:highlight w:val="none"/>
        </w:rPr>
      </w:pPr>
      <w:r>
        <w:rPr>
          <w:color w:val="auto"/>
          <w:szCs w:val="21"/>
          <w:highlight w:val="none"/>
        </w:rPr>
        <w:br w:type="page"/>
      </w:r>
    </w:p>
    <w:p>
      <w:pPr>
        <w:shd w:val="clear"/>
        <w:spacing w:line="360" w:lineRule="auto"/>
        <w:rPr>
          <w:rFonts w:hint="eastAsia" w:ascii="宋体" w:hAnsi="宋体" w:eastAsia="宋体"/>
          <w:b/>
          <w:bCs/>
          <w:color w:val="auto"/>
          <w:highlight w:val="none"/>
        </w:rPr>
      </w:pPr>
      <w:r>
        <w:rPr>
          <w:rFonts w:hint="eastAsia" w:ascii="宋体" w:hAnsi="宋体"/>
          <w:b/>
          <w:bCs/>
          <w:color w:val="auto"/>
          <w:highlight w:val="none"/>
        </w:rPr>
        <w:t>附录</w:t>
      </w:r>
      <w:r>
        <w:rPr>
          <w:rFonts w:hint="eastAsia" w:ascii="宋体" w:hAnsi="宋体" w:eastAsia="宋体"/>
          <w:b/>
          <w:bCs/>
          <w:color w:val="auto"/>
          <w:highlight w:val="none"/>
        </w:rPr>
        <w:t>6：</w:t>
      </w:r>
      <w:r>
        <w:rPr>
          <w:rFonts w:ascii="宋体" w:hAnsi="宋体" w:eastAsia="宋体"/>
          <w:b/>
          <w:bCs/>
          <w:color w:val="auto"/>
          <w:highlight w:val="none"/>
        </w:rPr>
        <w:t>项目负责人资历情况</w:t>
      </w:r>
    </w:p>
    <w:p>
      <w:pPr>
        <w:shd w:val="clear"/>
        <w:spacing w:line="360" w:lineRule="auto"/>
        <w:jc w:val="center"/>
        <w:rPr>
          <w:rFonts w:hint="eastAsia" w:eastAsia="宋体"/>
          <w:b/>
          <w:color w:val="auto"/>
          <w:sz w:val="28"/>
          <w:szCs w:val="28"/>
          <w:highlight w:val="none"/>
        </w:rPr>
      </w:pPr>
    </w:p>
    <w:p>
      <w:pPr>
        <w:shd w:val="clear"/>
        <w:spacing w:line="360" w:lineRule="auto"/>
        <w:jc w:val="center"/>
        <w:rPr>
          <w:rFonts w:ascii="宋体" w:hAnsi="宋体"/>
          <w:color w:val="auto"/>
          <w:szCs w:val="21"/>
          <w:highlight w:val="none"/>
        </w:rPr>
      </w:pPr>
      <w:r>
        <w:rPr>
          <w:rFonts w:eastAsia="宋体"/>
          <w:b/>
          <w:color w:val="auto"/>
          <w:sz w:val="28"/>
          <w:szCs w:val="28"/>
          <w:highlight w:val="none"/>
        </w:rPr>
        <w:t>项目负责人资历情况</w:t>
      </w:r>
    </w:p>
    <w:tbl>
      <w:tblPr>
        <w:tblStyle w:val="35"/>
        <w:tblW w:w="0" w:type="auto"/>
        <w:tblInd w:w="133" w:type="dxa"/>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1203"/>
        <w:gridCol w:w="1683"/>
        <w:gridCol w:w="373"/>
        <w:gridCol w:w="428"/>
        <w:gridCol w:w="1633"/>
        <w:gridCol w:w="1768"/>
        <w:gridCol w:w="292"/>
        <w:gridCol w:w="2058"/>
      </w:tblGrid>
      <w:tr>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66" w:hRule="atLeast"/>
        </w:trPr>
        <w:tc>
          <w:tcPr>
            <w:tcW w:w="1203"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1683"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c>
          <w:tcPr>
            <w:tcW w:w="801" w:type="dxa"/>
            <w:gridSpan w:val="2"/>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年龄</w:t>
            </w:r>
          </w:p>
        </w:tc>
        <w:tc>
          <w:tcPr>
            <w:tcW w:w="1633"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c>
          <w:tcPr>
            <w:tcW w:w="1768"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出生日期</w:t>
            </w:r>
          </w:p>
        </w:tc>
        <w:tc>
          <w:tcPr>
            <w:tcW w:w="2350" w:type="dxa"/>
            <w:gridSpan w:val="2"/>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r>
      <w:tr>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63" w:hRule="atLeast"/>
        </w:trPr>
        <w:tc>
          <w:tcPr>
            <w:tcW w:w="1203"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最高学历</w:t>
            </w:r>
          </w:p>
        </w:tc>
        <w:tc>
          <w:tcPr>
            <w:tcW w:w="1683"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c>
          <w:tcPr>
            <w:tcW w:w="801" w:type="dxa"/>
            <w:gridSpan w:val="2"/>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专业</w:t>
            </w:r>
          </w:p>
        </w:tc>
        <w:tc>
          <w:tcPr>
            <w:tcW w:w="1633"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c>
          <w:tcPr>
            <w:tcW w:w="1768"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职称</w:t>
            </w:r>
          </w:p>
        </w:tc>
        <w:tc>
          <w:tcPr>
            <w:tcW w:w="2350" w:type="dxa"/>
            <w:gridSpan w:val="2"/>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r>
      <w:tr>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23" w:hRule="atLeast"/>
        </w:trPr>
        <w:tc>
          <w:tcPr>
            <w:tcW w:w="1203"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相关注</w:t>
            </w:r>
          </w:p>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册资格</w:t>
            </w:r>
          </w:p>
        </w:tc>
        <w:tc>
          <w:tcPr>
            <w:tcW w:w="8235" w:type="dxa"/>
            <w:gridSpan w:val="7"/>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r>
      <w:tr>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78" w:hRule="atLeast"/>
        </w:trPr>
        <w:tc>
          <w:tcPr>
            <w:tcW w:w="1203" w:type="dxa"/>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工作</w:t>
            </w:r>
          </w:p>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简历</w:t>
            </w:r>
          </w:p>
        </w:tc>
        <w:tc>
          <w:tcPr>
            <w:tcW w:w="8235" w:type="dxa"/>
            <w:gridSpan w:val="7"/>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r>
      <w:tr>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93" w:hRule="atLeast"/>
        </w:trPr>
        <w:tc>
          <w:tcPr>
            <w:tcW w:w="1203" w:type="dxa"/>
            <w:vMerge w:val="restart"/>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现在手</w:t>
            </w:r>
          </w:p>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持业务</w:t>
            </w:r>
          </w:p>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的状况</w:t>
            </w:r>
          </w:p>
        </w:tc>
        <w:tc>
          <w:tcPr>
            <w:tcW w:w="2056" w:type="dxa"/>
            <w:gridSpan w:val="2"/>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业务名称</w:t>
            </w:r>
          </w:p>
        </w:tc>
        <w:tc>
          <w:tcPr>
            <w:tcW w:w="2061" w:type="dxa"/>
            <w:gridSpan w:val="2"/>
            <w:noWrap w:val="0"/>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业主名称</w:t>
            </w:r>
          </w:p>
        </w:tc>
        <w:tc>
          <w:tcPr>
            <w:tcW w:w="2060" w:type="dxa"/>
            <w:gridSpan w:val="2"/>
            <w:noWrap w:val="0"/>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业务金额</w:t>
            </w:r>
          </w:p>
        </w:tc>
        <w:tc>
          <w:tcPr>
            <w:tcW w:w="2058" w:type="dxa"/>
            <w:noWrap w:val="0"/>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预</w:t>
            </w:r>
            <w:r>
              <w:rPr>
                <w:rFonts w:hint="eastAsia" w:ascii="宋体" w:hAnsi="宋体" w:eastAsia="宋体" w:cs="宋体"/>
                <w:color w:val="auto"/>
                <w:kern w:val="0"/>
                <w:sz w:val="21"/>
                <w:szCs w:val="21"/>
                <w:highlight w:val="none"/>
              </w:rPr>
              <w:t>计</w:t>
            </w:r>
            <w:r>
              <w:rPr>
                <w:rFonts w:hint="eastAsia" w:ascii="宋体" w:hAnsi="宋体" w:cs="宋体"/>
                <w:color w:val="auto"/>
                <w:kern w:val="0"/>
                <w:sz w:val="21"/>
                <w:szCs w:val="21"/>
                <w:highlight w:val="none"/>
              </w:rPr>
              <w:t>完成时间</w:t>
            </w:r>
          </w:p>
        </w:tc>
      </w:tr>
      <w:tr>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02" w:hRule="atLeast"/>
        </w:trPr>
        <w:tc>
          <w:tcPr>
            <w:tcW w:w="1203" w:type="dxa"/>
            <w:vMerge w:val="continue"/>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c>
          <w:tcPr>
            <w:tcW w:w="2056" w:type="dxa"/>
            <w:gridSpan w:val="2"/>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line="400" w:lineRule="exact"/>
              <w:ind w:left="0" w:right="0"/>
              <w:jc w:val="center"/>
              <w:rPr>
                <w:rFonts w:hint="default" w:ascii="宋体" w:hAnsi="宋体" w:cs="宋体"/>
                <w:color w:val="auto"/>
                <w:kern w:val="0"/>
                <w:sz w:val="21"/>
                <w:szCs w:val="21"/>
                <w:highlight w:val="none"/>
              </w:rPr>
            </w:pPr>
          </w:p>
        </w:tc>
        <w:tc>
          <w:tcPr>
            <w:tcW w:w="2061" w:type="dxa"/>
            <w:gridSpan w:val="2"/>
            <w:noWrap w:val="0"/>
            <w:vAlign w:val="center"/>
          </w:tcPr>
          <w:p>
            <w:pPr>
              <w:keepNext w:val="0"/>
              <w:keepLines w:val="0"/>
              <w:widowControl/>
              <w:suppressLineNumbers w:val="0"/>
              <w:shd w:val="clear"/>
              <w:adjustRightInd w:val="0"/>
              <w:spacing w:before="0" w:beforeAutospacing="0" w:after="0" w:afterAutospacing="0" w:line="400" w:lineRule="exact"/>
              <w:ind w:left="0" w:right="0"/>
              <w:jc w:val="center"/>
              <w:rPr>
                <w:rFonts w:hint="default" w:ascii="宋体" w:hAnsi="宋体" w:cs="宋体"/>
                <w:color w:val="auto"/>
                <w:kern w:val="0"/>
                <w:sz w:val="21"/>
                <w:szCs w:val="21"/>
                <w:highlight w:val="none"/>
              </w:rPr>
            </w:pPr>
          </w:p>
        </w:tc>
        <w:tc>
          <w:tcPr>
            <w:tcW w:w="2060" w:type="dxa"/>
            <w:gridSpan w:val="2"/>
            <w:noWrap w:val="0"/>
            <w:vAlign w:val="center"/>
          </w:tcPr>
          <w:p>
            <w:pPr>
              <w:keepNext w:val="0"/>
              <w:keepLines w:val="0"/>
              <w:widowControl/>
              <w:suppressLineNumbers w:val="0"/>
              <w:shd w:val="clear"/>
              <w:adjustRightInd w:val="0"/>
              <w:spacing w:before="0" w:beforeAutospacing="0" w:after="0" w:afterAutospacing="0" w:line="400" w:lineRule="exact"/>
              <w:ind w:left="0" w:right="0"/>
              <w:jc w:val="center"/>
              <w:rPr>
                <w:rFonts w:hint="default" w:ascii="宋体" w:hAnsi="宋体" w:cs="宋体"/>
                <w:color w:val="auto"/>
                <w:kern w:val="0"/>
                <w:sz w:val="21"/>
                <w:szCs w:val="21"/>
                <w:highlight w:val="none"/>
              </w:rPr>
            </w:pPr>
          </w:p>
        </w:tc>
        <w:tc>
          <w:tcPr>
            <w:tcW w:w="2058" w:type="dxa"/>
            <w:noWrap w:val="0"/>
            <w:vAlign w:val="center"/>
          </w:tcPr>
          <w:p>
            <w:pPr>
              <w:keepNext w:val="0"/>
              <w:keepLines w:val="0"/>
              <w:widowControl/>
              <w:suppressLineNumbers w:val="0"/>
              <w:shd w:val="clear"/>
              <w:adjustRightInd w:val="0"/>
              <w:spacing w:before="0" w:beforeAutospacing="0" w:after="0" w:afterAutospacing="0" w:line="400" w:lineRule="exact"/>
              <w:ind w:left="0" w:right="0"/>
              <w:jc w:val="center"/>
              <w:rPr>
                <w:rFonts w:hint="default" w:ascii="宋体" w:hAnsi="宋体" w:cs="宋体"/>
                <w:color w:val="auto"/>
                <w:kern w:val="0"/>
                <w:sz w:val="21"/>
                <w:szCs w:val="21"/>
                <w:highlight w:val="none"/>
              </w:rPr>
            </w:pPr>
          </w:p>
        </w:tc>
      </w:tr>
      <w:tr>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02" w:hRule="atLeast"/>
        </w:trPr>
        <w:tc>
          <w:tcPr>
            <w:tcW w:w="1203" w:type="dxa"/>
            <w:vMerge w:val="continue"/>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c>
          <w:tcPr>
            <w:tcW w:w="2056" w:type="dxa"/>
            <w:gridSpan w:val="2"/>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line="400" w:lineRule="exact"/>
              <w:ind w:left="0" w:right="0"/>
              <w:jc w:val="center"/>
              <w:rPr>
                <w:rFonts w:hint="default" w:ascii="宋体" w:hAnsi="宋体" w:cs="宋体"/>
                <w:color w:val="auto"/>
                <w:kern w:val="0"/>
                <w:sz w:val="21"/>
                <w:szCs w:val="21"/>
                <w:highlight w:val="none"/>
              </w:rPr>
            </w:pPr>
          </w:p>
        </w:tc>
        <w:tc>
          <w:tcPr>
            <w:tcW w:w="2061" w:type="dxa"/>
            <w:gridSpan w:val="2"/>
            <w:noWrap w:val="0"/>
            <w:vAlign w:val="center"/>
          </w:tcPr>
          <w:p>
            <w:pPr>
              <w:keepNext w:val="0"/>
              <w:keepLines w:val="0"/>
              <w:widowControl/>
              <w:suppressLineNumbers w:val="0"/>
              <w:shd w:val="clear"/>
              <w:adjustRightInd w:val="0"/>
              <w:spacing w:before="0" w:beforeAutospacing="0" w:after="0" w:afterAutospacing="0" w:line="400" w:lineRule="exact"/>
              <w:ind w:left="0" w:right="0"/>
              <w:jc w:val="center"/>
              <w:rPr>
                <w:rFonts w:hint="default" w:ascii="宋体" w:hAnsi="宋体" w:cs="宋体"/>
                <w:color w:val="auto"/>
                <w:kern w:val="0"/>
                <w:sz w:val="21"/>
                <w:szCs w:val="21"/>
                <w:highlight w:val="none"/>
              </w:rPr>
            </w:pPr>
          </w:p>
        </w:tc>
        <w:tc>
          <w:tcPr>
            <w:tcW w:w="2060" w:type="dxa"/>
            <w:gridSpan w:val="2"/>
            <w:noWrap w:val="0"/>
            <w:vAlign w:val="center"/>
          </w:tcPr>
          <w:p>
            <w:pPr>
              <w:keepNext w:val="0"/>
              <w:keepLines w:val="0"/>
              <w:widowControl/>
              <w:suppressLineNumbers w:val="0"/>
              <w:shd w:val="clear"/>
              <w:adjustRightInd w:val="0"/>
              <w:spacing w:before="0" w:beforeAutospacing="0" w:after="0" w:afterAutospacing="0" w:line="400" w:lineRule="exact"/>
              <w:ind w:left="0" w:right="0"/>
              <w:jc w:val="center"/>
              <w:rPr>
                <w:rFonts w:hint="default" w:ascii="宋体" w:hAnsi="宋体" w:cs="宋体"/>
                <w:color w:val="auto"/>
                <w:kern w:val="0"/>
                <w:sz w:val="21"/>
                <w:szCs w:val="21"/>
                <w:highlight w:val="none"/>
              </w:rPr>
            </w:pPr>
          </w:p>
        </w:tc>
        <w:tc>
          <w:tcPr>
            <w:tcW w:w="2058" w:type="dxa"/>
            <w:noWrap w:val="0"/>
            <w:vAlign w:val="center"/>
          </w:tcPr>
          <w:p>
            <w:pPr>
              <w:keepNext w:val="0"/>
              <w:keepLines w:val="0"/>
              <w:widowControl/>
              <w:suppressLineNumbers w:val="0"/>
              <w:shd w:val="clear"/>
              <w:adjustRightInd w:val="0"/>
              <w:spacing w:before="0" w:beforeAutospacing="0" w:after="0" w:afterAutospacing="0" w:line="400" w:lineRule="exact"/>
              <w:ind w:left="0" w:right="0"/>
              <w:jc w:val="center"/>
              <w:rPr>
                <w:rFonts w:hint="default" w:ascii="宋体" w:hAnsi="宋体" w:cs="宋体"/>
                <w:color w:val="auto"/>
                <w:kern w:val="0"/>
                <w:sz w:val="21"/>
                <w:szCs w:val="21"/>
                <w:highlight w:val="none"/>
              </w:rPr>
            </w:pPr>
          </w:p>
        </w:tc>
      </w:tr>
      <w:tr>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392" w:hRule="atLeast"/>
        </w:trPr>
        <w:tc>
          <w:tcPr>
            <w:tcW w:w="1203" w:type="dxa"/>
            <w:tcBorders>
              <w:bottom w:val="single" w:color="auto" w:sz="4" w:space="0"/>
            </w:tcBorders>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拟在本项</w:t>
            </w:r>
          </w:p>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目中担任</w:t>
            </w:r>
          </w:p>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角色</w:t>
            </w:r>
          </w:p>
        </w:tc>
        <w:tc>
          <w:tcPr>
            <w:tcW w:w="8235" w:type="dxa"/>
            <w:gridSpan w:val="7"/>
            <w:tcBorders>
              <w:bottom w:val="single" w:color="auto" w:sz="4" w:space="0"/>
            </w:tcBorders>
            <w:noWrap w:val="0"/>
            <w:tcMar>
              <w:top w:w="0" w:type="dxa"/>
              <w:left w:w="0" w:type="dxa"/>
              <w:bottom w:w="0" w:type="dxa"/>
              <w:right w:w="0" w:type="dxa"/>
            </w:tcMar>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auto"/>
                <w:kern w:val="0"/>
                <w:sz w:val="21"/>
                <w:szCs w:val="21"/>
                <w:highlight w:val="none"/>
              </w:rPr>
            </w:pPr>
          </w:p>
        </w:tc>
      </w:tr>
    </w:tbl>
    <w:p>
      <w:pPr>
        <w:shd w:val="clear"/>
        <w:spacing w:line="240" w:lineRule="auto"/>
        <w:ind w:left="658" w:leftChars="95" w:hanging="449" w:hangingChars="214"/>
        <w:jc w:val="both"/>
        <w:rPr>
          <w:rFonts w:hint="eastAsia" w:ascii="宋体" w:hAnsi="宋体" w:eastAsia="宋体"/>
          <w:color w:val="auto"/>
          <w:sz w:val="21"/>
          <w:szCs w:val="21"/>
          <w:highlight w:val="none"/>
        </w:rPr>
      </w:pPr>
    </w:p>
    <w:p>
      <w:pPr>
        <w:shd w:val="clear"/>
        <w:spacing w:line="240" w:lineRule="auto"/>
        <w:ind w:left="658" w:leftChars="95" w:hanging="449" w:hangingChars="214"/>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注：后附人员相关证明资料。</w:t>
      </w:r>
    </w:p>
    <w:p>
      <w:pPr>
        <w:shd w:val="clear"/>
        <w:rPr>
          <w:rFonts w:hint="eastAsia" w:ascii="宋体" w:hAnsi="宋体" w:eastAsia="宋体"/>
          <w:strike/>
          <w:color w:val="auto"/>
          <w:highlight w:val="none"/>
        </w:rPr>
      </w:pPr>
      <w:r>
        <w:rPr>
          <w:rFonts w:hint="eastAsia" w:ascii="宋体" w:hAnsi="宋体"/>
          <w:color w:val="auto"/>
          <w:szCs w:val="21"/>
          <w:highlight w:val="none"/>
          <w:u w:val="single"/>
        </w:rPr>
        <w:br w:type="page"/>
      </w:r>
      <w:r>
        <w:rPr>
          <w:rFonts w:hint="eastAsia" w:ascii="宋体" w:hAnsi="宋体"/>
          <w:b/>
          <w:color w:val="auto"/>
          <w:highlight w:val="none"/>
        </w:rPr>
        <w:t>附件</w:t>
      </w:r>
      <w:r>
        <w:rPr>
          <w:rFonts w:hint="eastAsia" w:ascii="宋体" w:hAnsi="宋体" w:eastAsia="宋体"/>
          <w:b/>
          <w:color w:val="auto"/>
          <w:highlight w:val="none"/>
        </w:rPr>
        <w:t>7：投入主要人员汇总表</w:t>
      </w:r>
    </w:p>
    <w:p>
      <w:pPr>
        <w:pStyle w:val="84"/>
        <w:shd w:val="clear"/>
        <w:ind w:firstLine="616"/>
        <w:rPr>
          <w:rFonts w:hint="eastAsia" w:ascii="宋体" w:hAnsi="宋体" w:eastAsia="宋体" w:cs="宋体"/>
          <w:b w:val="0"/>
          <w:color w:val="auto"/>
          <w:highlight w:val="none"/>
        </w:rPr>
      </w:pPr>
    </w:p>
    <w:p>
      <w:pPr>
        <w:pStyle w:val="84"/>
        <w:shd w:val="clear"/>
        <w:ind w:firstLine="616"/>
        <w:rPr>
          <w:rFonts w:hint="eastAsia" w:ascii="宋体" w:hAnsi="宋体" w:eastAsia="宋体" w:cs="宋体"/>
          <w:b w:val="0"/>
          <w:color w:val="auto"/>
          <w:highlight w:val="none"/>
        </w:rPr>
      </w:pPr>
      <w:r>
        <w:rPr>
          <w:rFonts w:hint="eastAsia" w:ascii="宋体" w:hAnsi="宋体" w:eastAsia="宋体" w:cs="宋体"/>
          <w:b w:val="0"/>
          <w:color w:val="auto"/>
          <w:highlight w:val="none"/>
        </w:rPr>
        <w:t>投入主要人员汇总表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703"/>
        <w:gridCol w:w="959"/>
        <w:gridCol w:w="906"/>
        <w:gridCol w:w="2245"/>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9" w:type="dxa"/>
            <w:noWrap w:val="0"/>
            <w:vAlign w:val="center"/>
          </w:tcPr>
          <w:p>
            <w:pPr>
              <w:pStyle w:val="74"/>
              <w:keepNext w:val="0"/>
              <w:keepLines w:val="0"/>
              <w:suppressLineNumbers w:val="0"/>
              <w:shd w:val="clear"/>
              <w:spacing w:before="0" w:beforeAutospacing="0" w:afterAutospacing="0" w:line="240" w:lineRule="atLeast"/>
              <w:ind w:left="0" w:right="0"/>
              <w:jc w:val="center"/>
              <w:rPr>
                <w:rFonts w:hint="eastAsia" w:cs="宋体"/>
                <w:b/>
                <w:bCs/>
                <w:color w:val="auto"/>
                <w:sz w:val="24"/>
                <w:szCs w:val="24"/>
                <w:highlight w:val="none"/>
              </w:rPr>
            </w:pPr>
            <w:r>
              <w:rPr>
                <w:rFonts w:hint="eastAsia" w:cs="宋体"/>
                <w:b/>
                <w:bCs/>
                <w:color w:val="auto"/>
                <w:sz w:val="24"/>
                <w:szCs w:val="24"/>
                <w:highlight w:val="none"/>
              </w:rPr>
              <w:t>序号</w:t>
            </w:r>
          </w:p>
        </w:tc>
        <w:tc>
          <w:tcPr>
            <w:tcW w:w="1703" w:type="dxa"/>
            <w:noWrap w:val="0"/>
            <w:vAlign w:val="center"/>
          </w:tcPr>
          <w:p>
            <w:pPr>
              <w:pStyle w:val="74"/>
              <w:keepNext w:val="0"/>
              <w:keepLines w:val="0"/>
              <w:suppressLineNumbers w:val="0"/>
              <w:shd w:val="clear"/>
              <w:spacing w:before="0" w:beforeAutospacing="0" w:afterAutospacing="0" w:line="240" w:lineRule="atLeast"/>
              <w:ind w:left="0" w:right="0"/>
              <w:jc w:val="center"/>
              <w:rPr>
                <w:rFonts w:hint="eastAsia" w:cs="宋体"/>
                <w:b/>
                <w:bCs/>
                <w:color w:val="auto"/>
                <w:sz w:val="24"/>
                <w:szCs w:val="24"/>
                <w:highlight w:val="none"/>
              </w:rPr>
            </w:pPr>
            <w:r>
              <w:rPr>
                <w:rFonts w:hint="eastAsia" w:cs="宋体"/>
                <w:b/>
                <w:bCs/>
                <w:color w:val="auto"/>
                <w:sz w:val="24"/>
                <w:szCs w:val="24"/>
                <w:highlight w:val="none"/>
              </w:rPr>
              <w:t>姓名</w:t>
            </w:r>
          </w:p>
        </w:tc>
        <w:tc>
          <w:tcPr>
            <w:tcW w:w="959" w:type="dxa"/>
            <w:noWrap w:val="0"/>
            <w:vAlign w:val="center"/>
          </w:tcPr>
          <w:p>
            <w:pPr>
              <w:pStyle w:val="74"/>
              <w:keepNext w:val="0"/>
              <w:keepLines w:val="0"/>
              <w:suppressLineNumbers w:val="0"/>
              <w:shd w:val="clear"/>
              <w:spacing w:before="0" w:beforeAutospacing="0" w:afterAutospacing="0" w:line="240" w:lineRule="atLeast"/>
              <w:ind w:left="0" w:right="0"/>
              <w:jc w:val="center"/>
              <w:rPr>
                <w:rFonts w:hint="eastAsia" w:cs="宋体"/>
                <w:b/>
                <w:bCs/>
                <w:color w:val="auto"/>
                <w:sz w:val="24"/>
                <w:szCs w:val="24"/>
                <w:highlight w:val="none"/>
              </w:rPr>
            </w:pPr>
            <w:r>
              <w:rPr>
                <w:rFonts w:hint="eastAsia" w:cs="宋体"/>
                <w:b/>
                <w:bCs/>
                <w:color w:val="auto"/>
                <w:sz w:val="24"/>
                <w:szCs w:val="24"/>
                <w:highlight w:val="none"/>
              </w:rPr>
              <w:t>年龄</w:t>
            </w:r>
          </w:p>
        </w:tc>
        <w:tc>
          <w:tcPr>
            <w:tcW w:w="906" w:type="dxa"/>
            <w:noWrap w:val="0"/>
            <w:vAlign w:val="center"/>
          </w:tcPr>
          <w:p>
            <w:pPr>
              <w:pStyle w:val="74"/>
              <w:keepNext w:val="0"/>
              <w:keepLines w:val="0"/>
              <w:suppressLineNumbers w:val="0"/>
              <w:shd w:val="clear"/>
              <w:spacing w:before="0" w:beforeAutospacing="0" w:afterAutospacing="0" w:line="240" w:lineRule="atLeast"/>
              <w:ind w:left="0" w:right="0"/>
              <w:jc w:val="center"/>
              <w:rPr>
                <w:rFonts w:hint="eastAsia" w:cs="宋体"/>
                <w:b/>
                <w:bCs/>
                <w:color w:val="auto"/>
                <w:sz w:val="24"/>
                <w:szCs w:val="24"/>
                <w:highlight w:val="none"/>
              </w:rPr>
            </w:pPr>
            <w:r>
              <w:rPr>
                <w:rFonts w:hint="eastAsia" w:cs="宋体"/>
                <w:b/>
                <w:bCs/>
                <w:color w:val="auto"/>
                <w:sz w:val="24"/>
                <w:szCs w:val="24"/>
                <w:highlight w:val="none"/>
              </w:rPr>
              <w:t>职称</w:t>
            </w:r>
          </w:p>
        </w:tc>
        <w:tc>
          <w:tcPr>
            <w:tcW w:w="2245" w:type="dxa"/>
            <w:noWrap w:val="0"/>
            <w:vAlign w:val="center"/>
          </w:tcPr>
          <w:p>
            <w:pPr>
              <w:pStyle w:val="74"/>
              <w:keepNext w:val="0"/>
              <w:keepLines w:val="0"/>
              <w:suppressLineNumbers w:val="0"/>
              <w:shd w:val="clear"/>
              <w:spacing w:before="0" w:beforeAutospacing="0" w:afterAutospacing="0" w:line="240" w:lineRule="atLeast"/>
              <w:ind w:left="0" w:right="0"/>
              <w:jc w:val="center"/>
              <w:rPr>
                <w:rFonts w:hint="eastAsia" w:cs="宋体"/>
                <w:b/>
                <w:bCs/>
                <w:color w:val="auto"/>
                <w:sz w:val="24"/>
                <w:szCs w:val="24"/>
                <w:highlight w:val="none"/>
              </w:rPr>
            </w:pPr>
            <w:r>
              <w:rPr>
                <w:rFonts w:hint="eastAsia" w:cs="宋体"/>
                <w:b/>
                <w:bCs/>
                <w:color w:val="auto"/>
                <w:sz w:val="24"/>
                <w:szCs w:val="24"/>
                <w:highlight w:val="none"/>
              </w:rPr>
              <w:t>在本项目任职</w:t>
            </w:r>
          </w:p>
        </w:tc>
        <w:tc>
          <w:tcPr>
            <w:tcW w:w="2556" w:type="dxa"/>
            <w:noWrap w:val="0"/>
            <w:vAlign w:val="center"/>
          </w:tcPr>
          <w:p>
            <w:pPr>
              <w:pStyle w:val="74"/>
              <w:keepNext w:val="0"/>
              <w:keepLines w:val="0"/>
              <w:suppressLineNumbers w:val="0"/>
              <w:shd w:val="clear"/>
              <w:spacing w:before="0" w:beforeAutospacing="0" w:afterAutospacing="0" w:line="240" w:lineRule="atLeast"/>
              <w:ind w:left="0" w:right="0"/>
              <w:jc w:val="center"/>
              <w:rPr>
                <w:rFonts w:hint="eastAsia" w:cs="宋体"/>
                <w:b/>
                <w:bCs/>
                <w:color w:val="auto"/>
                <w:sz w:val="24"/>
                <w:szCs w:val="24"/>
                <w:highlight w:val="none"/>
              </w:rPr>
            </w:pPr>
            <w:r>
              <w:rPr>
                <w:rFonts w:hint="eastAsia" w:cs="宋体"/>
                <w:b/>
                <w:bCs/>
                <w:color w:val="auto"/>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1703"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5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0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2245"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255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1703"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5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0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2245"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cs="宋体"/>
                <w:bCs/>
                <w:color w:val="auto"/>
                <w:sz w:val="24"/>
                <w:szCs w:val="24"/>
                <w:highlight w:val="none"/>
              </w:rPr>
            </w:pPr>
          </w:p>
        </w:tc>
        <w:tc>
          <w:tcPr>
            <w:tcW w:w="255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1703"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5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0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2245"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cs="宋体"/>
                <w:bCs/>
                <w:color w:val="auto"/>
                <w:sz w:val="24"/>
                <w:szCs w:val="24"/>
                <w:highlight w:val="none"/>
              </w:rPr>
            </w:pPr>
          </w:p>
        </w:tc>
        <w:tc>
          <w:tcPr>
            <w:tcW w:w="255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1703"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5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0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2245"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p>
        </w:tc>
        <w:tc>
          <w:tcPr>
            <w:tcW w:w="255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1703"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5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0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2245"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cs="宋体"/>
                <w:bCs/>
                <w:color w:val="auto"/>
                <w:sz w:val="24"/>
                <w:szCs w:val="24"/>
                <w:highlight w:val="none"/>
              </w:rPr>
            </w:pPr>
          </w:p>
        </w:tc>
        <w:tc>
          <w:tcPr>
            <w:tcW w:w="255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1703"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5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0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2245"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cs="宋体"/>
                <w:bCs/>
                <w:color w:val="auto"/>
                <w:sz w:val="24"/>
                <w:szCs w:val="24"/>
                <w:highlight w:val="none"/>
              </w:rPr>
            </w:pPr>
          </w:p>
        </w:tc>
        <w:tc>
          <w:tcPr>
            <w:tcW w:w="255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0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1703"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59"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90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c>
          <w:tcPr>
            <w:tcW w:w="2245" w:type="dxa"/>
            <w:noWrap w:val="0"/>
            <w:vAlign w:val="center"/>
          </w:tcPr>
          <w:p>
            <w:pPr>
              <w:keepNext w:val="0"/>
              <w:keepLines w:val="0"/>
              <w:widowControl/>
              <w:suppressLineNumbers w:val="0"/>
              <w:shd w:val="clear"/>
              <w:spacing w:before="0" w:beforeAutospacing="0" w:after="0" w:afterAutospacing="0" w:line="240" w:lineRule="auto"/>
              <w:ind w:left="0" w:right="0"/>
              <w:jc w:val="center"/>
              <w:rPr>
                <w:rFonts w:hint="eastAsia" w:ascii="宋体" w:hAnsi="宋体" w:cs="宋体"/>
                <w:bCs/>
                <w:color w:val="auto"/>
                <w:sz w:val="24"/>
                <w:szCs w:val="24"/>
                <w:highlight w:val="none"/>
              </w:rPr>
            </w:pPr>
          </w:p>
        </w:tc>
        <w:tc>
          <w:tcPr>
            <w:tcW w:w="2556" w:type="dxa"/>
            <w:noWrap w:val="0"/>
            <w:vAlign w:val="center"/>
          </w:tcPr>
          <w:p>
            <w:pPr>
              <w:pStyle w:val="74"/>
              <w:keepNext w:val="0"/>
              <w:keepLines w:val="0"/>
              <w:suppressLineNumbers w:val="0"/>
              <w:shd w:val="clear"/>
              <w:spacing w:before="0" w:beforeAutospacing="0" w:afterAutospacing="0"/>
              <w:ind w:left="0" w:right="0"/>
              <w:jc w:val="center"/>
              <w:rPr>
                <w:rFonts w:hint="eastAsia" w:cs="宋体"/>
                <w:color w:val="auto"/>
                <w:sz w:val="24"/>
                <w:szCs w:val="24"/>
                <w:highlight w:val="none"/>
              </w:rPr>
            </w:pPr>
          </w:p>
        </w:tc>
      </w:tr>
    </w:tbl>
    <w:p>
      <w:pPr>
        <w:pStyle w:val="78"/>
        <w:shd w:val="clear"/>
        <w:spacing w:line="300" w:lineRule="exact"/>
        <w:ind w:firstLine="436"/>
        <w:rPr>
          <w:rFonts w:hint="eastAsia" w:ascii="宋体" w:hAnsi="宋体"/>
          <w:color w:val="auto"/>
          <w:sz w:val="32"/>
          <w:highlight w:val="none"/>
        </w:rPr>
      </w:pPr>
      <w:r>
        <w:rPr>
          <w:rFonts w:hint="eastAsia" w:ascii="宋体" w:hAnsi="宋体" w:cs="宋体"/>
          <w:color w:val="auto"/>
          <w:sz w:val="21"/>
          <w:szCs w:val="21"/>
          <w:highlight w:val="none"/>
        </w:rPr>
        <w:t>注：后附人员相关证明资料。</w:t>
      </w:r>
    </w:p>
    <w:sectPr>
      <w:headerReference r:id="rId8" w:type="default"/>
      <w:footerReference r:id="rId9" w:type="default"/>
      <w:pgSz w:w="11907" w:h="16840"/>
      <w:pgMar w:top="1446" w:right="1134" w:bottom="1469"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8"/>
      </w:rPr>
    </w:pPr>
    <w:r>
      <w:fldChar w:fldCharType="begin"/>
    </w:r>
    <w:r>
      <w:rPr>
        <w:rStyle w:val="38"/>
      </w:rPr>
      <w:instrText xml:space="preserve">PAGE  </w:instrText>
    </w:r>
    <w:r>
      <w:fldChar w:fldCharType="end"/>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8"/>
      </w:rPr>
    </w:pPr>
    <w:r>
      <w:fldChar w:fldCharType="begin"/>
    </w:r>
    <w:r>
      <w:rPr>
        <w:rStyle w:val="38"/>
      </w:rPr>
      <w:instrText xml:space="preserve">PAGE  </w:instrText>
    </w:r>
    <w:r>
      <w:fldChar w:fldCharType="separate"/>
    </w:r>
    <w:r>
      <w:rPr>
        <w:rStyle w:val="38"/>
      </w:rPr>
      <w:t>1</w:t>
    </w:r>
    <w: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8"/>
      </w:rPr>
    </w:pPr>
    <w:r>
      <w:fldChar w:fldCharType="begin"/>
    </w:r>
    <w:r>
      <w:rPr>
        <w:rStyle w:val="38"/>
      </w:rPr>
      <w:instrText xml:space="preserve">PAGE  </w:instrText>
    </w:r>
    <w:r>
      <w:fldChar w:fldCharType="separate"/>
    </w:r>
    <w:r>
      <w:rPr>
        <w:rStyle w:val="38"/>
      </w:rPr>
      <w:t>9</w:t>
    </w:r>
    <w:r>
      <w:fldChar w:fldCharType="end"/>
    </w:r>
  </w:p>
  <w:p>
    <w:pPr>
      <w:spacing w:after="0"/>
      <w:ind w:right="8233"/>
      <w:jc w:val="right"/>
    </w:pPr>
    <w:r>
      <w:rPr>
        <w:sz w:val="18"/>
      </w:rPr>
      <w:t xml:space="preserve"> </w:t>
    </w:r>
  </w:p>
  <w:p>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1FCB8"/>
    <w:multiLevelType w:val="singleLevel"/>
    <w:tmpl w:val="8161FCB8"/>
    <w:lvl w:ilvl="0" w:tentative="0">
      <w:start w:val="2"/>
      <w:numFmt w:val="decimal"/>
      <w:suff w:val="nothing"/>
      <w:lvlText w:val="（%1）"/>
      <w:lvlJc w:val="left"/>
    </w:lvl>
  </w:abstractNum>
  <w:abstractNum w:abstractNumId="1">
    <w:nsid w:val="E27EB334"/>
    <w:multiLevelType w:val="singleLevel"/>
    <w:tmpl w:val="E27EB334"/>
    <w:lvl w:ilvl="0" w:tentative="0">
      <w:start w:val="3"/>
      <w:numFmt w:val="decimal"/>
      <w:suff w:val="space"/>
      <w:lvlText w:val="%1."/>
      <w:lvlJc w:val="left"/>
    </w:lvl>
  </w:abstractNum>
  <w:abstractNum w:abstractNumId="2">
    <w:nsid w:val="0C7C114D"/>
    <w:multiLevelType w:val="multilevel"/>
    <w:tmpl w:val="0C7C114D"/>
    <w:lvl w:ilvl="0" w:tentative="0">
      <w:start w:val="1"/>
      <w:numFmt w:val="decimal"/>
      <w:lvlText w:val="（%1）"/>
      <w:lvlJc w:val="left"/>
      <w:pPr>
        <w:ind w:left="204"/>
      </w:pPr>
      <w:rPr>
        <w:rFonts w:hint="default" w:ascii="宋体" w:hAnsi="宋体" w:eastAsia="宋体" w:cs="宋体"/>
        <w:b w:val="0"/>
        <w:i w:val="0"/>
        <w:strike w:val="0"/>
        <w:dstrike w:val="0"/>
        <w:color w:val="000000"/>
        <w:sz w:val="21"/>
        <w:szCs w:val="21"/>
        <w:highlight w:val="none"/>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3">
    <w:nsid w:val="119B2B79"/>
    <w:multiLevelType w:val="multilevel"/>
    <w:tmpl w:val="119B2B79"/>
    <w:lvl w:ilvl="0" w:tentative="0">
      <w:start w:val="3"/>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4">
    <w:nsid w:val="401A620A"/>
    <w:multiLevelType w:val="multilevel"/>
    <w:tmpl w:val="401A620A"/>
    <w:lvl w:ilvl="0" w:tentative="0">
      <w:start w:val="3"/>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5">
    <w:nsid w:val="5E3156E4"/>
    <w:multiLevelType w:val="multilevel"/>
    <w:tmpl w:val="5E3156E4"/>
    <w:lvl w:ilvl="0" w:tentative="0">
      <w:start w:val="1"/>
      <w:numFmt w:val="decimal"/>
      <w:lvlText w:val="（%1）"/>
      <w:lvlJc w:val="left"/>
      <w:pPr>
        <w:ind w:left="407"/>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6">
    <w:nsid w:val="66226E52"/>
    <w:multiLevelType w:val="multilevel"/>
    <w:tmpl w:val="66226E52"/>
    <w:lvl w:ilvl="0" w:tentative="0">
      <w:start w:val="1"/>
      <w:numFmt w:val="decimal"/>
      <w:lvlText w:val="（%1）"/>
      <w:lvlJc w:val="left"/>
      <w:pPr>
        <w:ind w:left="31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7">
    <w:nsid w:val="69455A11"/>
    <w:multiLevelType w:val="multilevel"/>
    <w:tmpl w:val="69455A11"/>
    <w:lvl w:ilvl="0" w:tentative="0">
      <w:start w:val="1"/>
      <w:numFmt w:val="decimal"/>
      <w:lvlText w:val="（%1）"/>
      <w:lvlJc w:val="left"/>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8">
    <w:nsid w:val="783B3B81"/>
    <w:multiLevelType w:val="multilevel"/>
    <w:tmpl w:val="783B3B81"/>
    <w:lvl w:ilvl="0" w:tentative="0">
      <w:start w:val="1"/>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vertAlign w:val="baseline"/>
      </w:rPr>
    </w:lvl>
  </w:abstractNum>
  <w:num w:numId="1">
    <w:abstractNumId w:val="0"/>
  </w:num>
  <w:num w:numId="2">
    <w:abstractNumId w:val="6"/>
  </w:num>
  <w:num w:numId="3">
    <w:abstractNumId w:val="7"/>
  </w:num>
  <w:num w:numId="4">
    <w:abstractNumId w:val="5"/>
  </w:num>
  <w:num w:numId="5">
    <w:abstractNumId w:val="8"/>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isplayHorizontalDrawingGridEvery w:val="1"/>
  <w:displayVerticalDrawingGridEvery w:val="1"/>
  <w:noPunctuationKerning w:val="1"/>
  <w:characterSpacingControl w:val="doNotCompress"/>
  <w:noLineBreaksAfter w:lang="zh-CN" w:val="([{·‘“〈《「『【〔〖（．［｛￡￥"/>
  <w:noLineBreaksBefore w:lang="zh-CN" w:val="!),.:;?]}¨·ˇˉ―‖’”…∶、。〃々〉》」』】〕〗！＂＇），．：；？］｀｜｝～￠"/>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YjZmM2IzYWY5M2JjZTc4ODNhN2QwZWFjZTg5NjIifQ=="/>
  </w:docVars>
  <w:rsids>
    <w:rsidRoot w:val="007F0DCA"/>
    <w:rsid w:val="00001191"/>
    <w:rsid w:val="000011F3"/>
    <w:rsid w:val="0000449D"/>
    <w:rsid w:val="000047AF"/>
    <w:rsid w:val="00011105"/>
    <w:rsid w:val="00015A09"/>
    <w:rsid w:val="000165BF"/>
    <w:rsid w:val="00016ABA"/>
    <w:rsid w:val="00021096"/>
    <w:rsid w:val="0002222D"/>
    <w:rsid w:val="00024269"/>
    <w:rsid w:val="000254CA"/>
    <w:rsid w:val="0002583D"/>
    <w:rsid w:val="0002688F"/>
    <w:rsid w:val="000338C8"/>
    <w:rsid w:val="00035153"/>
    <w:rsid w:val="00035788"/>
    <w:rsid w:val="000358C2"/>
    <w:rsid w:val="00041E26"/>
    <w:rsid w:val="000425D3"/>
    <w:rsid w:val="00045B51"/>
    <w:rsid w:val="000512D4"/>
    <w:rsid w:val="000522E6"/>
    <w:rsid w:val="00054275"/>
    <w:rsid w:val="00054316"/>
    <w:rsid w:val="00057610"/>
    <w:rsid w:val="00057661"/>
    <w:rsid w:val="00060851"/>
    <w:rsid w:val="00061E6C"/>
    <w:rsid w:val="0006206D"/>
    <w:rsid w:val="0006346C"/>
    <w:rsid w:val="000649B3"/>
    <w:rsid w:val="000665F3"/>
    <w:rsid w:val="00067AFC"/>
    <w:rsid w:val="000711A4"/>
    <w:rsid w:val="00072F39"/>
    <w:rsid w:val="0008197A"/>
    <w:rsid w:val="00081A2E"/>
    <w:rsid w:val="00082CFB"/>
    <w:rsid w:val="000848F9"/>
    <w:rsid w:val="0008506A"/>
    <w:rsid w:val="00091D8C"/>
    <w:rsid w:val="00093558"/>
    <w:rsid w:val="00093877"/>
    <w:rsid w:val="00094B58"/>
    <w:rsid w:val="00096B68"/>
    <w:rsid w:val="000A0F24"/>
    <w:rsid w:val="000A34C3"/>
    <w:rsid w:val="000A3DF2"/>
    <w:rsid w:val="000A4F40"/>
    <w:rsid w:val="000A5053"/>
    <w:rsid w:val="000A5EBC"/>
    <w:rsid w:val="000A67EF"/>
    <w:rsid w:val="000A6A9A"/>
    <w:rsid w:val="000A70FD"/>
    <w:rsid w:val="000B2171"/>
    <w:rsid w:val="000B3E09"/>
    <w:rsid w:val="000B41AE"/>
    <w:rsid w:val="000B444B"/>
    <w:rsid w:val="000B6DB1"/>
    <w:rsid w:val="000C18D0"/>
    <w:rsid w:val="000C4276"/>
    <w:rsid w:val="000C75C2"/>
    <w:rsid w:val="000D1E43"/>
    <w:rsid w:val="000D76E1"/>
    <w:rsid w:val="000E02AB"/>
    <w:rsid w:val="000E0DD5"/>
    <w:rsid w:val="000E1AE9"/>
    <w:rsid w:val="000E25E5"/>
    <w:rsid w:val="000E42B7"/>
    <w:rsid w:val="000E550A"/>
    <w:rsid w:val="000E72DD"/>
    <w:rsid w:val="000E7D05"/>
    <w:rsid w:val="000F10DC"/>
    <w:rsid w:val="000F208D"/>
    <w:rsid w:val="000F2C5D"/>
    <w:rsid w:val="000F6418"/>
    <w:rsid w:val="001000CD"/>
    <w:rsid w:val="001030DF"/>
    <w:rsid w:val="001037C7"/>
    <w:rsid w:val="00110F44"/>
    <w:rsid w:val="00112596"/>
    <w:rsid w:val="00113569"/>
    <w:rsid w:val="00114517"/>
    <w:rsid w:val="00115FB0"/>
    <w:rsid w:val="001161F6"/>
    <w:rsid w:val="0011650B"/>
    <w:rsid w:val="00120F86"/>
    <w:rsid w:val="00121C3A"/>
    <w:rsid w:val="0012597C"/>
    <w:rsid w:val="00126DE5"/>
    <w:rsid w:val="0012734E"/>
    <w:rsid w:val="00131F97"/>
    <w:rsid w:val="00132426"/>
    <w:rsid w:val="0013322C"/>
    <w:rsid w:val="001341BC"/>
    <w:rsid w:val="00134BE0"/>
    <w:rsid w:val="0013761B"/>
    <w:rsid w:val="00141333"/>
    <w:rsid w:val="0014134E"/>
    <w:rsid w:val="00141A32"/>
    <w:rsid w:val="00142ABD"/>
    <w:rsid w:val="00144B4D"/>
    <w:rsid w:val="001550A6"/>
    <w:rsid w:val="0016223B"/>
    <w:rsid w:val="00162435"/>
    <w:rsid w:val="00163D55"/>
    <w:rsid w:val="00164638"/>
    <w:rsid w:val="00164667"/>
    <w:rsid w:val="00173435"/>
    <w:rsid w:val="00173970"/>
    <w:rsid w:val="0017520A"/>
    <w:rsid w:val="00176906"/>
    <w:rsid w:val="00177FBA"/>
    <w:rsid w:val="00181240"/>
    <w:rsid w:val="001831CE"/>
    <w:rsid w:val="00184C2E"/>
    <w:rsid w:val="00187CBF"/>
    <w:rsid w:val="0019431F"/>
    <w:rsid w:val="0019792B"/>
    <w:rsid w:val="001A04C7"/>
    <w:rsid w:val="001A176C"/>
    <w:rsid w:val="001A2168"/>
    <w:rsid w:val="001A233C"/>
    <w:rsid w:val="001A36DA"/>
    <w:rsid w:val="001A46F1"/>
    <w:rsid w:val="001A6222"/>
    <w:rsid w:val="001A776B"/>
    <w:rsid w:val="001B040E"/>
    <w:rsid w:val="001B2E61"/>
    <w:rsid w:val="001B362B"/>
    <w:rsid w:val="001B4990"/>
    <w:rsid w:val="001B5B3E"/>
    <w:rsid w:val="001B5FDA"/>
    <w:rsid w:val="001C12B2"/>
    <w:rsid w:val="001C2509"/>
    <w:rsid w:val="001C7B45"/>
    <w:rsid w:val="001D54AC"/>
    <w:rsid w:val="001D5D6C"/>
    <w:rsid w:val="001D742F"/>
    <w:rsid w:val="001E1B67"/>
    <w:rsid w:val="001E2691"/>
    <w:rsid w:val="001E46BC"/>
    <w:rsid w:val="001E4D5C"/>
    <w:rsid w:val="001E5D99"/>
    <w:rsid w:val="001E6EBA"/>
    <w:rsid w:val="001E7D0C"/>
    <w:rsid w:val="001F1E34"/>
    <w:rsid w:val="001F26B3"/>
    <w:rsid w:val="001F2DE4"/>
    <w:rsid w:val="001F698E"/>
    <w:rsid w:val="001F6EFB"/>
    <w:rsid w:val="002025BE"/>
    <w:rsid w:val="00203C55"/>
    <w:rsid w:val="0020616D"/>
    <w:rsid w:val="00207FD5"/>
    <w:rsid w:val="00212FF7"/>
    <w:rsid w:val="00213BD1"/>
    <w:rsid w:val="00215F0F"/>
    <w:rsid w:val="00217D03"/>
    <w:rsid w:val="0022094B"/>
    <w:rsid w:val="0022128D"/>
    <w:rsid w:val="002234B0"/>
    <w:rsid w:val="002256F5"/>
    <w:rsid w:val="00225EAB"/>
    <w:rsid w:val="0022666C"/>
    <w:rsid w:val="00227440"/>
    <w:rsid w:val="00230019"/>
    <w:rsid w:val="00230306"/>
    <w:rsid w:val="0023204B"/>
    <w:rsid w:val="002321BA"/>
    <w:rsid w:val="00236F11"/>
    <w:rsid w:val="002376D0"/>
    <w:rsid w:val="00242BB1"/>
    <w:rsid w:val="00244452"/>
    <w:rsid w:val="002468B2"/>
    <w:rsid w:val="0025010E"/>
    <w:rsid w:val="0025050E"/>
    <w:rsid w:val="00252078"/>
    <w:rsid w:val="00253193"/>
    <w:rsid w:val="00255D7B"/>
    <w:rsid w:val="0025656A"/>
    <w:rsid w:val="00256F79"/>
    <w:rsid w:val="002576ED"/>
    <w:rsid w:val="0026220D"/>
    <w:rsid w:val="00262E1E"/>
    <w:rsid w:val="002642A5"/>
    <w:rsid w:val="00264E7A"/>
    <w:rsid w:val="0027386C"/>
    <w:rsid w:val="0027723B"/>
    <w:rsid w:val="002805B8"/>
    <w:rsid w:val="002842AB"/>
    <w:rsid w:val="00284485"/>
    <w:rsid w:val="00284D09"/>
    <w:rsid w:val="002850FB"/>
    <w:rsid w:val="002879ED"/>
    <w:rsid w:val="00291870"/>
    <w:rsid w:val="00297B4A"/>
    <w:rsid w:val="002A0987"/>
    <w:rsid w:val="002A4BDD"/>
    <w:rsid w:val="002A7A13"/>
    <w:rsid w:val="002B3DB0"/>
    <w:rsid w:val="002B50E6"/>
    <w:rsid w:val="002B5781"/>
    <w:rsid w:val="002B773A"/>
    <w:rsid w:val="002C0327"/>
    <w:rsid w:val="002C09DA"/>
    <w:rsid w:val="002C11B2"/>
    <w:rsid w:val="002C1536"/>
    <w:rsid w:val="002C1800"/>
    <w:rsid w:val="002C5DA9"/>
    <w:rsid w:val="002C675F"/>
    <w:rsid w:val="002D02A9"/>
    <w:rsid w:val="002D1CEB"/>
    <w:rsid w:val="002D3FBC"/>
    <w:rsid w:val="002D5EE7"/>
    <w:rsid w:val="002D7B23"/>
    <w:rsid w:val="002E0E4E"/>
    <w:rsid w:val="002E1A55"/>
    <w:rsid w:val="002E39DA"/>
    <w:rsid w:val="002E54FB"/>
    <w:rsid w:val="002E6032"/>
    <w:rsid w:val="002E69AD"/>
    <w:rsid w:val="002E7027"/>
    <w:rsid w:val="002F1EC1"/>
    <w:rsid w:val="00313DE9"/>
    <w:rsid w:val="003174A0"/>
    <w:rsid w:val="003241BE"/>
    <w:rsid w:val="00325709"/>
    <w:rsid w:val="00326803"/>
    <w:rsid w:val="00327857"/>
    <w:rsid w:val="00331FD9"/>
    <w:rsid w:val="0033321F"/>
    <w:rsid w:val="003336B5"/>
    <w:rsid w:val="00333FF8"/>
    <w:rsid w:val="003352FC"/>
    <w:rsid w:val="00342457"/>
    <w:rsid w:val="00342C17"/>
    <w:rsid w:val="003465D2"/>
    <w:rsid w:val="003469FC"/>
    <w:rsid w:val="00347031"/>
    <w:rsid w:val="00362BD5"/>
    <w:rsid w:val="00362EAD"/>
    <w:rsid w:val="00372218"/>
    <w:rsid w:val="00374466"/>
    <w:rsid w:val="003778B0"/>
    <w:rsid w:val="0038103F"/>
    <w:rsid w:val="00382D6F"/>
    <w:rsid w:val="00382EF9"/>
    <w:rsid w:val="003844A6"/>
    <w:rsid w:val="00390901"/>
    <w:rsid w:val="003922B7"/>
    <w:rsid w:val="003931CF"/>
    <w:rsid w:val="00393862"/>
    <w:rsid w:val="0039458E"/>
    <w:rsid w:val="0039703B"/>
    <w:rsid w:val="003A085F"/>
    <w:rsid w:val="003A2BF2"/>
    <w:rsid w:val="003A3755"/>
    <w:rsid w:val="003B0D8B"/>
    <w:rsid w:val="003B176A"/>
    <w:rsid w:val="003B18FE"/>
    <w:rsid w:val="003B26CC"/>
    <w:rsid w:val="003B2778"/>
    <w:rsid w:val="003B347C"/>
    <w:rsid w:val="003B477E"/>
    <w:rsid w:val="003B5AFC"/>
    <w:rsid w:val="003B7321"/>
    <w:rsid w:val="003B7458"/>
    <w:rsid w:val="003B7D0A"/>
    <w:rsid w:val="003C03FC"/>
    <w:rsid w:val="003C0616"/>
    <w:rsid w:val="003C08D0"/>
    <w:rsid w:val="003C2F75"/>
    <w:rsid w:val="003C6344"/>
    <w:rsid w:val="003D0B35"/>
    <w:rsid w:val="003D2785"/>
    <w:rsid w:val="003D2DFC"/>
    <w:rsid w:val="003D3229"/>
    <w:rsid w:val="003D3764"/>
    <w:rsid w:val="003D519A"/>
    <w:rsid w:val="003D77E7"/>
    <w:rsid w:val="003E16CC"/>
    <w:rsid w:val="003E29FA"/>
    <w:rsid w:val="003F079D"/>
    <w:rsid w:val="003F1751"/>
    <w:rsid w:val="003F1BFF"/>
    <w:rsid w:val="003F46B7"/>
    <w:rsid w:val="003F65D5"/>
    <w:rsid w:val="003F7684"/>
    <w:rsid w:val="003F7EC5"/>
    <w:rsid w:val="00400DD7"/>
    <w:rsid w:val="00402B64"/>
    <w:rsid w:val="00405EBA"/>
    <w:rsid w:val="004068A0"/>
    <w:rsid w:val="00412B2C"/>
    <w:rsid w:val="00415728"/>
    <w:rsid w:val="00417B59"/>
    <w:rsid w:val="00421E59"/>
    <w:rsid w:val="00423253"/>
    <w:rsid w:val="00425144"/>
    <w:rsid w:val="0042557B"/>
    <w:rsid w:val="00427562"/>
    <w:rsid w:val="004306D2"/>
    <w:rsid w:val="00431B1F"/>
    <w:rsid w:val="00432ECE"/>
    <w:rsid w:val="0043774A"/>
    <w:rsid w:val="00440010"/>
    <w:rsid w:val="004441EE"/>
    <w:rsid w:val="0044539E"/>
    <w:rsid w:val="00445F14"/>
    <w:rsid w:val="00447157"/>
    <w:rsid w:val="00450023"/>
    <w:rsid w:val="0045196C"/>
    <w:rsid w:val="00453219"/>
    <w:rsid w:val="004540EE"/>
    <w:rsid w:val="00455B7A"/>
    <w:rsid w:val="00457293"/>
    <w:rsid w:val="0046007D"/>
    <w:rsid w:val="00460F93"/>
    <w:rsid w:val="004617D2"/>
    <w:rsid w:val="00463AF2"/>
    <w:rsid w:val="00465AEB"/>
    <w:rsid w:val="00465D43"/>
    <w:rsid w:val="004664AC"/>
    <w:rsid w:val="00467EF7"/>
    <w:rsid w:val="004705EE"/>
    <w:rsid w:val="00473533"/>
    <w:rsid w:val="00480190"/>
    <w:rsid w:val="00482E84"/>
    <w:rsid w:val="00485223"/>
    <w:rsid w:val="00486E96"/>
    <w:rsid w:val="0049394B"/>
    <w:rsid w:val="004A0365"/>
    <w:rsid w:val="004A061A"/>
    <w:rsid w:val="004A0968"/>
    <w:rsid w:val="004A0B96"/>
    <w:rsid w:val="004A19FA"/>
    <w:rsid w:val="004A1CB2"/>
    <w:rsid w:val="004A28FB"/>
    <w:rsid w:val="004A5B7E"/>
    <w:rsid w:val="004A6B74"/>
    <w:rsid w:val="004A717F"/>
    <w:rsid w:val="004A74FE"/>
    <w:rsid w:val="004A7F69"/>
    <w:rsid w:val="004B2D59"/>
    <w:rsid w:val="004B302B"/>
    <w:rsid w:val="004B690B"/>
    <w:rsid w:val="004B7072"/>
    <w:rsid w:val="004B7DAE"/>
    <w:rsid w:val="004C27CC"/>
    <w:rsid w:val="004C3958"/>
    <w:rsid w:val="004C55E4"/>
    <w:rsid w:val="004D3961"/>
    <w:rsid w:val="004D4AFC"/>
    <w:rsid w:val="004E3AD7"/>
    <w:rsid w:val="004E5DC5"/>
    <w:rsid w:val="004F00A2"/>
    <w:rsid w:val="004F013B"/>
    <w:rsid w:val="004F080C"/>
    <w:rsid w:val="004F305B"/>
    <w:rsid w:val="004F464C"/>
    <w:rsid w:val="004F4DC8"/>
    <w:rsid w:val="00500020"/>
    <w:rsid w:val="00504623"/>
    <w:rsid w:val="00506B5A"/>
    <w:rsid w:val="0050712C"/>
    <w:rsid w:val="00511BF8"/>
    <w:rsid w:val="005142A2"/>
    <w:rsid w:val="00515053"/>
    <w:rsid w:val="00515680"/>
    <w:rsid w:val="00517D95"/>
    <w:rsid w:val="00521D8D"/>
    <w:rsid w:val="0053293F"/>
    <w:rsid w:val="005338BB"/>
    <w:rsid w:val="0053473F"/>
    <w:rsid w:val="00536534"/>
    <w:rsid w:val="00540DDE"/>
    <w:rsid w:val="00541673"/>
    <w:rsid w:val="00543344"/>
    <w:rsid w:val="005472B4"/>
    <w:rsid w:val="00547F73"/>
    <w:rsid w:val="00550003"/>
    <w:rsid w:val="0055486C"/>
    <w:rsid w:val="00555BAA"/>
    <w:rsid w:val="00557C5F"/>
    <w:rsid w:val="00561DCE"/>
    <w:rsid w:val="0056221B"/>
    <w:rsid w:val="00562FB6"/>
    <w:rsid w:val="0056447F"/>
    <w:rsid w:val="005647A5"/>
    <w:rsid w:val="00564B5D"/>
    <w:rsid w:val="005659E6"/>
    <w:rsid w:val="00565C16"/>
    <w:rsid w:val="00570EB7"/>
    <w:rsid w:val="00571A71"/>
    <w:rsid w:val="00573259"/>
    <w:rsid w:val="00577C54"/>
    <w:rsid w:val="00580AD6"/>
    <w:rsid w:val="00582BD0"/>
    <w:rsid w:val="005874D4"/>
    <w:rsid w:val="0059288E"/>
    <w:rsid w:val="00597869"/>
    <w:rsid w:val="005A07BD"/>
    <w:rsid w:val="005A1929"/>
    <w:rsid w:val="005A1CDB"/>
    <w:rsid w:val="005A1DB4"/>
    <w:rsid w:val="005A31A9"/>
    <w:rsid w:val="005A538D"/>
    <w:rsid w:val="005A610E"/>
    <w:rsid w:val="005A622C"/>
    <w:rsid w:val="005B03CA"/>
    <w:rsid w:val="005B1D7B"/>
    <w:rsid w:val="005B4E05"/>
    <w:rsid w:val="005B5A47"/>
    <w:rsid w:val="005C2699"/>
    <w:rsid w:val="005C275A"/>
    <w:rsid w:val="005C3E5D"/>
    <w:rsid w:val="005C448A"/>
    <w:rsid w:val="005C47B2"/>
    <w:rsid w:val="005D1CA3"/>
    <w:rsid w:val="005D23C0"/>
    <w:rsid w:val="005D2C4C"/>
    <w:rsid w:val="005D31E9"/>
    <w:rsid w:val="005D3B26"/>
    <w:rsid w:val="005D48D7"/>
    <w:rsid w:val="005D7100"/>
    <w:rsid w:val="005E039F"/>
    <w:rsid w:val="005E1222"/>
    <w:rsid w:val="005E206B"/>
    <w:rsid w:val="005E2867"/>
    <w:rsid w:val="005E3E42"/>
    <w:rsid w:val="005E53A5"/>
    <w:rsid w:val="005E69ED"/>
    <w:rsid w:val="005E6A74"/>
    <w:rsid w:val="005E6BE0"/>
    <w:rsid w:val="005E715F"/>
    <w:rsid w:val="005F060D"/>
    <w:rsid w:val="005F14F6"/>
    <w:rsid w:val="005F4210"/>
    <w:rsid w:val="005F5D66"/>
    <w:rsid w:val="005F6002"/>
    <w:rsid w:val="00600182"/>
    <w:rsid w:val="00600F0C"/>
    <w:rsid w:val="00611BC9"/>
    <w:rsid w:val="00612233"/>
    <w:rsid w:val="006124C3"/>
    <w:rsid w:val="00612614"/>
    <w:rsid w:val="006129CD"/>
    <w:rsid w:val="0061377A"/>
    <w:rsid w:val="0061474F"/>
    <w:rsid w:val="00615A6E"/>
    <w:rsid w:val="00621CEE"/>
    <w:rsid w:val="0062336A"/>
    <w:rsid w:val="00624AFA"/>
    <w:rsid w:val="00627976"/>
    <w:rsid w:val="00627A92"/>
    <w:rsid w:val="00631F34"/>
    <w:rsid w:val="00633049"/>
    <w:rsid w:val="00634F40"/>
    <w:rsid w:val="00637E30"/>
    <w:rsid w:val="0064004B"/>
    <w:rsid w:val="006417EA"/>
    <w:rsid w:val="0064228C"/>
    <w:rsid w:val="006439A5"/>
    <w:rsid w:val="00646B05"/>
    <w:rsid w:val="00647B2B"/>
    <w:rsid w:val="006511D1"/>
    <w:rsid w:val="006534E8"/>
    <w:rsid w:val="00655039"/>
    <w:rsid w:val="0065652D"/>
    <w:rsid w:val="00657C7C"/>
    <w:rsid w:val="00661497"/>
    <w:rsid w:val="00666971"/>
    <w:rsid w:val="006731EA"/>
    <w:rsid w:val="00673A21"/>
    <w:rsid w:val="00674970"/>
    <w:rsid w:val="00675134"/>
    <w:rsid w:val="00676F85"/>
    <w:rsid w:val="006863BB"/>
    <w:rsid w:val="006874D4"/>
    <w:rsid w:val="00687888"/>
    <w:rsid w:val="00691386"/>
    <w:rsid w:val="00693AFD"/>
    <w:rsid w:val="0069561A"/>
    <w:rsid w:val="00695BC4"/>
    <w:rsid w:val="00696533"/>
    <w:rsid w:val="006978BE"/>
    <w:rsid w:val="006A0462"/>
    <w:rsid w:val="006A04C8"/>
    <w:rsid w:val="006A5FE2"/>
    <w:rsid w:val="006A7677"/>
    <w:rsid w:val="006A76A6"/>
    <w:rsid w:val="006A7C52"/>
    <w:rsid w:val="006B2076"/>
    <w:rsid w:val="006B378A"/>
    <w:rsid w:val="006B3AC3"/>
    <w:rsid w:val="006B720A"/>
    <w:rsid w:val="006C5405"/>
    <w:rsid w:val="006D4868"/>
    <w:rsid w:val="006D55FE"/>
    <w:rsid w:val="006D56B0"/>
    <w:rsid w:val="006D6171"/>
    <w:rsid w:val="006D71EE"/>
    <w:rsid w:val="006E0FC6"/>
    <w:rsid w:val="006E1EFC"/>
    <w:rsid w:val="006E30D0"/>
    <w:rsid w:val="006E7D11"/>
    <w:rsid w:val="006F0E43"/>
    <w:rsid w:val="006F15D4"/>
    <w:rsid w:val="006F1C05"/>
    <w:rsid w:val="006F1DB4"/>
    <w:rsid w:val="006F5981"/>
    <w:rsid w:val="006F649B"/>
    <w:rsid w:val="006F7661"/>
    <w:rsid w:val="006F7FA2"/>
    <w:rsid w:val="007150CE"/>
    <w:rsid w:val="00717793"/>
    <w:rsid w:val="00720E1C"/>
    <w:rsid w:val="00723877"/>
    <w:rsid w:val="00724E70"/>
    <w:rsid w:val="00726C06"/>
    <w:rsid w:val="007346F6"/>
    <w:rsid w:val="00737D56"/>
    <w:rsid w:val="00741316"/>
    <w:rsid w:val="0074210A"/>
    <w:rsid w:val="00745B1C"/>
    <w:rsid w:val="00745FE6"/>
    <w:rsid w:val="00746265"/>
    <w:rsid w:val="007476FA"/>
    <w:rsid w:val="00747D78"/>
    <w:rsid w:val="00751E9C"/>
    <w:rsid w:val="00753AE3"/>
    <w:rsid w:val="007541BB"/>
    <w:rsid w:val="00756B1E"/>
    <w:rsid w:val="007578FF"/>
    <w:rsid w:val="00760287"/>
    <w:rsid w:val="0076058D"/>
    <w:rsid w:val="007638B6"/>
    <w:rsid w:val="007640A5"/>
    <w:rsid w:val="007648E5"/>
    <w:rsid w:val="00765285"/>
    <w:rsid w:val="00765FE0"/>
    <w:rsid w:val="007706DA"/>
    <w:rsid w:val="007744AB"/>
    <w:rsid w:val="00774E8F"/>
    <w:rsid w:val="007808C8"/>
    <w:rsid w:val="00783AA7"/>
    <w:rsid w:val="00784103"/>
    <w:rsid w:val="00787880"/>
    <w:rsid w:val="0079044A"/>
    <w:rsid w:val="00790A03"/>
    <w:rsid w:val="00791B4B"/>
    <w:rsid w:val="00792ACA"/>
    <w:rsid w:val="0079646B"/>
    <w:rsid w:val="0079715B"/>
    <w:rsid w:val="007A09B0"/>
    <w:rsid w:val="007A46D6"/>
    <w:rsid w:val="007A58C0"/>
    <w:rsid w:val="007B0E3C"/>
    <w:rsid w:val="007B106B"/>
    <w:rsid w:val="007B405C"/>
    <w:rsid w:val="007B7B40"/>
    <w:rsid w:val="007C04DC"/>
    <w:rsid w:val="007C32E6"/>
    <w:rsid w:val="007C3D55"/>
    <w:rsid w:val="007C5691"/>
    <w:rsid w:val="007C74CB"/>
    <w:rsid w:val="007D5B98"/>
    <w:rsid w:val="007E0AD5"/>
    <w:rsid w:val="007E0BB9"/>
    <w:rsid w:val="007E2CA8"/>
    <w:rsid w:val="007E357D"/>
    <w:rsid w:val="007E3B2C"/>
    <w:rsid w:val="007E5638"/>
    <w:rsid w:val="007E5B01"/>
    <w:rsid w:val="007E5D43"/>
    <w:rsid w:val="007F0DCA"/>
    <w:rsid w:val="007F1360"/>
    <w:rsid w:val="007F29FE"/>
    <w:rsid w:val="007F49B4"/>
    <w:rsid w:val="007F511B"/>
    <w:rsid w:val="007F6CF7"/>
    <w:rsid w:val="00801E4C"/>
    <w:rsid w:val="00803376"/>
    <w:rsid w:val="008038B9"/>
    <w:rsid w:val="00804DAD"/>
    <w:rsid w:val="00805DEB"/>
    <w:rsid w:val="0081175C"/>
    <w:rsid w:val="008126B7"/>
    <w:rsid w:val="00813057"/>
    <w:rsid w:val="008148B0"/>
    <w:rsid w:val="008150EF"/>
    <w:rsid w:val="0081533B"/>
    <w:rsid w:val="00815CBF"/>
    <w:rsid w:val="00816668"/>
    <w:rsid w:val="0081674F"/>
    <w:rsid w:val="00822D3A"/>
    <w:rsid w:val="008267BF"/>
    <w:rsid w:val="00827200"/>
    <w:rsid w:val="00830273"/>
    <w:rsid w:val="00831DAB"/>
    <w:rsid w:val="00831EDF"/>
    <w:rsid w:val="00832E6E"/>
    <w:rsid w:val="00841AB0"/>
    <w:rsid w:val="00843115"/>
    <w:rsid w:val="00847B9A"/>
    <w:rsid w:val="0085048D"/>
    <w:rsid w:val="00852232"/>
    <w:rsid w:val="00853A1E"/>
    <w:rsid w:val="00865E1E"/>
    <w:rsid w:val="00866128"/>
    <w:rsid w:val="008665D5"/>
    <w:rsid w:val="00870B86"/>
    <w:rsid w:val="00875FED"/>
    <w:rsid w:val="008763BF"/>
    <w:rsid w:val="00876410"/>
    <w:rsid w:val="00877E2A"/>
    <w:rsid w:val="0088186E"/>
    <w:rsid w:val="00883197"/>
    <w:rsid w:val="00884287"/>
    <w:rsid w:val="00884986"/>
    <w:rsid w:val="00885B2C"/>
    <w:rsid w:val="008912C5"/>
    <w:rsid w:val="00891B69"/>
    <w:rsid w:val="008921AA"/>
    <w:rsid w:val="008927AC"/>
    <w:rsid w:val="00893EA8"/>
    <w:rsid w:val="008941EB"/>
    <w:rsid w:val="008A1354"/>
    <w:rsid w:val="008A1B99"/>
    <w:rsid w:val="008A2F4B"/>
    <w:rsid w:val="008A4716"/>
    <w:rsid w:val="008A5A81"/>
    <w:rsid w:val="008A5F8E"/>
    <w:rsid w:val="008A7D90"/>
    <w:rsid w:val="008B05C2"/>
    <w:rsid w:val="008B208A"/>
    <w:rsid w:val="008B371B"/>
    <w:rsid w:val="008B4B71"/>
    <w:rsid w:val="008B5B2C"/>
    <w:rsid w:val="008B605D"/>
    <w:rsid w:val="008B7D7F"/>
    <w:rsid w:val="008C1104"/>
    <w:rsid w:val="008C50F9"/>
    <w:rsid w:val="008D0A6F"/>
    <w:rsid w:val="008D0EE3"/>
    <w:rsid w:val="008D14E5"/>
    <w:rsid w:val="008D4C8B"/>
    <w:rsid w:val="008D754A"/>
    <w:rsid w:val="008E3219"/>
    <w:rsid w:val="008E3E28"/>
    <w:rsid w:val="008E4707"/>
    <w:rsid w:val="008E7670"/>
    <w:rsid w:val="008F0176"/>
    <w:rsid w:val="008F1A14"/>
    <w:rsid w:val="008F4E36"/>
    <w:rsid w:val="008F640D"/>
    <w:rsid w:val="008F64EA"/>
    <w:rsid w:val="00904FA5"/>
    <w:rsid w:val="00906D46"/>
    <w:rsid w:val="00907D71"/>
    <w:rsid w:val="00910141"/>
    <w:rsid w:val="00911AFD"/>
    <w:rsid w:val="00913B7D"/>
    <w:rsid w:val="0091523C"/>
    <w:rsid w:val="00921604"/>
    <w:rsid w:val="00921F1E"/>
    <w:rsid w:val="0092351B"/>
    <w:rsid w:val="00925E36"/>
    <w:rsid w:val="0093115F"/>
    <w:rsid w:val="00931A41"/>
    <w:rsid w:val="00934354"/>
    <w:rsid w:val="00935181"/>
    <w:rsid w:val="0093577D"/>
    <w:rsid w:val="0093623A"/>
    <w:rsid w:val="009431E4"/>
    <w:rsid w:val="009437A4"/>
    <w:rsid w:val="00945537"/>
    <w:rsid w:val="00945A97"/>
    <w:rsid w:val="0095193D"/>
    <w:rsid w:val="00952453"/>
    <w:rsid w:val="009542C4"/>
    <w:rsid w:val="00954F47"/>
    <w:rsid w:val="00955BF6"/>
    <w:rsid w:val="0096376E"/>
    <w:rsid w:val="00965272"/>
    <w:rsid w:val="00966C2B"/>
    <w:rsid w:val="00967868"/>
    <w:rsid w:val="00973CB2"/>
    <w:rsid w:val="009759DA"/>
    <w:rsid w:val="00976A11"/>
    <w:rsid w:val="00976D9B"/>
    <w:rsid w:val="00977798"/>
    <w:rsid w:val="00980018"/>
    <w:rsid w:val="00986B9D"/>
    <w:rsid w:val="00987619"/>
    <w:rsid w:val="00987869"/>
    <w:rsid w:val="00990571"/>
    <w:rsid w:val="009908B9"/>
    <w:rsid w:val="009923ED"/>
    <w:rsid w:val="009928E4"/>
    <w:rsid w:val="00993536"/>
    <w:rsid w:val="00994DB3"/>
    <w:rsid w:val="0099526F"/>
    <w:rsid w:val="009976C7"/>
    <w:rsid w:val="00997814"/>
    <w:rsid w:val="009A01D7"/>
    <w:rsid w:val="009B0564"/>
    <w:rsid w:val="009B0E66"/>
    <w:rsid w:val="009B1EC5"/>
    <w:rsid w:val="009B26D1"/>
    <w:rsid w:val="009B5227"/>
    <w:rsid w:val="009B544E"/>
    <w:rsid w:val="009C2AA9"/>
    <w:rsid w:val="009C3B54"/>
    <w:rsid w:val="009C3E18"/>
    <w:rsid w:val="009C6619"/>
    <w:rsid w:val="009C7AC3"/>
    <w:rsid w:val="009C7E1E"/>
    <w:rsid w:val="009D01D3"/>
    <w:rsid w:val="009D1CD6"/>
    <w:rsid w:val="009D3091"/>
    <w:rsid w:val="009D7719"/>
    <w:rsid w:val="009E20CA"/>
    <w:rsid w:val="009E33A6"/>
    <w:rsid w:val="009E553F"/>
    <w:rsid w:val="009E5AFA"/>
    <w:rsid w:val="009F02EC"/>
    <w:rsid w:val="009F1971"/>
    <w:rsid w:val="009F3B44"/>
    <w:rsid w:val="009F47D5"/>
    <w:rsid w:val="009F6900"/>
    <w:rsid w:val="009F69A2"/>
    <w:rsid w:val="00A00EE1"/>
    <w:rsid w:val="00A01722"/>
    <w:rsid w:val="00A03FB4"/>
    <w:rsid w:val="00A0719F"/>
    <w:rsid w:val="00A10B0D"/>
    <w:rsid w:val="00A10DE7"/>
    <w:rsid w:val="00A10EA5"/>
    <w:rsid w:val="00A1101F"/>
    <w:rsid w:val="00A11C66"/>
    <w:rsid w:val="00A12434"/>
    <w:rsid w:val="00A26544"/>
    <w:rsid w:val="00A310A8"/>
    <w:rsid w:val="00A31768"/>
    <w:rsid w:val="00A31F4F"/>
    <w:rsid w:val="00A3393E"/>
    <w:rsid w:val="00A350A2"/>
    <w:rsid w:val="00A35175"/>
    <w:rsid w:val="00A35AA4"/>
    <w:rsid w:val="00A416F5"/>
    <w:rsid w:val="00A426B9"/>
    <w:rsid w:val="00A42A37"/>
    <w:rsid w:val="00A46559"/>
    <w:rsid w:val="00A466C5"/>
    <w:rsid w:val="00A468F1"/>
    <w:rsid w:val="00A4729E"/>
    <w:rsid w:val="00A508E2"/>
    <w:rsid w:val="00A521C8"/>
    <w:rsid w:val="00A5279D"/>
    <w:rsid w:val="00A52B25"/>
    <w:rsid w:val="00A55F05"/>
    <w:rsid w:val="00A57583"/>
    <w:rsid w:val="00A6167B"/>
    <w:rsid w:val="00A666B5"/>
    <w:rsid w:val="00A712A6"/>
    <w:rsid w:val="00A73157"/>
    <w:rsid w:val="00A750CF"/>
    <w:rsid w:val="00A76264"/>
    <w:rsid w:val="00A80CC3"/>
    <w:rsid w:val="00A8493E"/>
    <w:rsid w:val="00A868AE"/>
    <w:rsid w:val="00A94397"/>
    <w:rsid w:val="00A948A2"/>
    <w:rsid w:val="00A97C25"/>
    <w:rsid w:val="00AA18F0"/>
    <w:rsid w:val="00AA28D6"/>
    <w:rsid w:val="00AB29FE"/>
    <w:rsid w:val="00AB7EEE"/>
    <w:rsid w:val="00AC0BCB"/>
    <w:rsid w:val="00AC1BFD"/>
    <w:rsid w:val="00AC2B1A"/>
    <w:rsid w:val="00AC2CCC"/>
    <w:rsid w:val="00AC3662"/>
    <w:rsid w:val="00AC3FE9"/>
    <w:rsid w:val="00AC5800"/>
    <w:rsid w:val="00AC6EB8"/>
    <w:rsid w:val="00AC7C27"/>
    <w:rsid w:val="00AD1F25"/>
    <w:rsid w:val="00AD7D3A"/>
    <w:rsid w:val="00AE4C84"/>
    <w:rsid w:val="00AE5281"/>
    <w:rsid w:val="00AE5FDD"/>
    <w:rsid w:val="00AE68EF"/>
    <w:rsid w:val="00AF0334"/>
    <w:rsid w:val="00AF1E3F"/>
    <w:rsid w:val="00AF2BD8"/>
    <w:rsid w:val="00AF4F5C"/>
    <w:rsid w:val="00AF7558"/>
    <w:rsid w:val="00B023C3"/>
    <w:rsid w:val="00B026C9"/>
    <w:rsid w:val="00B05E2C"/>
    <w:rsid w:val="00B07313"/>
    <w:rsid w:val="00B07CC3"/>
    <w:rsid w:val="00B07FE1"/>
    <w:rsid w:val="00B11272"/>
    <w:rsid w:val="00B1475C"/>
    <w:rsid w:val="00B1534B"/>
    <w:rsid w:val="00B15B3D"/>
    <w:rsid w:val="00B17EFE"/>
    <w:rsid w:val="00B20258"/>
    <w:rsid w:val="00B22CE8"/>
    <w:rsid w:val="00B231D0"/>
    <w:rsid w:val="00B23B97"/>
    <w:rsid w:val="00B23CEC"/>
    <w:rsid w:val="00B270AF"/>
    <w:rsid w:val="00B273F4"/>
    <w:rsid w:val="00B275E5"/>
    <w:rsid w:val="00B330B4"/>
    <w:rsid w:val="00B3317C"/>
    <w:rsid w:val="00B34A88"/>
    <w:rsid w:val="00B34DE7"/>
    <w:rsid w:val="00B3653F"/>
    <w:rsid w:val="00B37244"/>
    <w:rsid w:val="00B40725"/>
    <w:rsid w:val="00B45623"/>
    <w:rsid w:val="00B46079"/>
    <w:rsid w:val="00B5017A"/>
    <w:rsid w:val="00B51C74"/>
    <w:rsid w:val="00B52D34"/>
    <w:rsid w:val="00B5614E"/>
    <w:rsid w:val="00B601EF"/>
    <w:rsid w:val="00B60E44"/>
    <w:rsid w:val="00B70C37"/>
    <w:rsid w:val="00B72AF8"/>
    <w:rsid w:val="00B74C0B"/>
    <w:rsid w:val="00B75994"/>
    <w:rsid w:val="00B76326"/>
    <w:rsid w:val="00B81D7F"/>
    <w:rsid w:val="00B81E69"/>
    <w:rsid w:val="00B82630"/>
    <w:rsid w:val="00B86DB9"/>
    <w:rsid w:val="00B86F8A"/>
    <w:rsid w:val="00B8723E"/>
    <w:rsid w:val="00B87C7A"/>
    <w:rsid w:val="00B92237"/>
    <w:rsid w:val="00B93547"/>
    <w:rsid w:val="00B9496D"/>
    <w:rsid w:val="00B94F6C"/>
    <w:rsid w:val="00B953CB"/>
    <w:rsid w:val="00B958BD"/>
    <w:rsid w:val="00BA05C1"/>
    <w:rsid w:val="00BA0942"/>
    <w:rsid w:val="00BA14A6"/>
    <w:rsid w:val="00BA14C7"/>
    <w:rsid w:val="00BA3B68"/>
    <w:rsid w:val="00BB0BB6"/>
    <w:rsid w:val="00BB0F2D"/>
    <w:rsid w:val="00BB3DEF"/>
    <w:rsid w:val="00BB5C0C"/>
    <w:rsid w:val="00BB6E47"/>
    <w:rsid w:val="00BB7ADC"/>
    <w:rsid w:val="00BC02F9"/>
    <w:rsid w:val="00BC03EA"/>
    <w:rsid w:val="00BC1AEA"/>
    <w:rsid w:val="00BC25ED"/>
    <w:rsid w:val="00BC2D9F"/>
    <w:rsid w:val="00BC4903"/>
    <w:rsid w:val="00BC4C99"/>
    <w:rsid w:val="00BC4D84"/>
    <w:rsid w:val="00BC5FB1"/>
    <w:rsid w:val="00BD0995"/>
    <w:rsid w:val="00BD0E5D"/>
    <w:rsid w:val="00BD1AF5"/>
    <w:rsid w:val="00BD3FBF"/>
    <w:rsid w:val="00BD5D0C"/>
    <w:rsid w:val="00BD6159"/>
    <w:rsid w:val="00BD6F0D"/>
    <w:rsid w:val="00BD7E13"/>
    <w:rsid w:val="00BE0F95"/>
    <w:rsid w:val="00BE0FD7"/>
    <w:rsid w:val="00BE18D8"/>
    <w:rsid w:val="00BE5675"/>
    <w:rsid w:val="00BE6010"/>
    <w:rsid w:val="00BF0317"/>
    <w:rsid w:val="00BF073A"/>
    <w:rsid w:val="00C05EC4"/>
    <w:rsid w:val="00C060BE"/>
    <w:rsid w:val="00C1065A"/>
    <w:rsid w:val="00C1186F"/>
    <w:rsid w:val="00C136DA"/>
    <w:rsid w:val="00C14A3D"/>
    <w:rsid w:val="00C15B48"/>
    <w:rsid w:val="00C165DF"/>
    <w:rsid w:val="00C213F5"/>
    <w:rsid w:val="00C2144A"/>
    <w:rsid w:val="00C241DD"/>
    <w:rsid w:val="00C2615B"/>
    <w:rsid w:val="00C2621C"/>
    <w:rsid w:val="00C26C29"/>
    <w:rsid w:val="00C271A9"/>
    <w:rsid w:val="00C31352"/>
    <w:rsid w:val="00C31D8B"/>
    <w:rsid w:val="00C346DE"/>
    <w:rsid w:val="00C351EF"/>
    <w:rsid w:val="00C3596B"/>
    <w:rsid w:val="00C4272B"/>
    <w:rsid w:val="00C42F10"/>
    <w:rsid w:val="00C44865"/>
    <w:rsid w:val="00C4772D"/>
    <w:rsid w:val="00C4781C"/>
    <w:rsid w:val="00C50142"/>
    <w:rsid w:val="00C50574"/>
    <w:rsid w:val="00C51876"/>
    <w:rsid w:val="00C5440E"/>
    <w:rsid w:val="00C556B5"/>
    <w:rsid w:val="00C60C56"/>
    <w:rsid w:val="00C61090"/>
    <w:rsid w:val="00C63BCD"/>
    <w:rsid w:val="00C65B7D"/>
    <w:rsid w:val="00C66FAC"/>
    <w:rsid w:val="00C738F4"/>
    <w:rsid w:val="00C74031"/>
    <w:rsid w:val="00C74965"/>
    <w:rsid w:val="00C74A90"/>
    <w:rsid w:val="00C75911"/>
    <w:rsid w:val="00C7596C"/>
    <w:rsid w:val="00C775C1"/>
    <w:rsid w:val="00C81524"/>
    <w:rsid w:val="00C843DB"/>
    <w:rsid w:val="00C85732"/>
    <w:rsid w:val="00C85C2A"/>
    <w:rsid w:val="00C86352"/>
    <w:rsid w:val="00C90488"/>
    <w:rsid w:val="00C90EF6"/>
    <w:rsid w:val="00C922C6"/>
    <w:rsid w:val="00C92684"/>
    <w:rsid w:val="00CA00FA"/>
    <w:rsid w:val="00CA0B12"/>
    <w:rsid w:val="00CA121F"/>
    <w:rsid w:val="00CA1735"/>
    <w:rsid w:val="00CA5D0A"/>
    <w:rsid w:val="00CB021B"/>
    <w:rsid w:val="00CB056C"/>
    <w:rsid w:val="00CB1768"/>
    <w:rsid w:val="00CB659A"/>
    <w:rsid w:val="00CC06FE"/>
    <w:rsid w:val="00CC1A61"/>
    <w:rsid w:val="00CC2A28"/>
    <w:rsid w:val="00CC3E23"/>
    <w:rsid w:val="00CC4191"/>
    <w:rsid w:val="00CC4413"/>
    <w:rsid w:val="00CD0618"/>
    <w:rsid w:val="00CD0796"/>
    <w:rsid w:val="00CD35A9"/>
    <w:rsid w:val="00CE5B32"/>
    <w:rsid w:val="00CE7C73"/>
    <w:rsid w:val="00CF5236"/>
    <w:rsid w:val="00CF5274"/>
    <w:rsid w:val="00D001E9"/>
    <w:rsid w:val="00D0162A"/>
    <w:rsid w:val="00D0613A"/>
    <w:rsid w:val="00D06928"/>
    <w:rsid w:val="00D077F9"/>
    <w:rsid w:val="00D10A6D"/>
    <w:rsid w:val="00D10B21"/>
    <w:rsid w:val="00D13B0A"/>
    <w:rsid w:val="00D167E7"/>
    <w:rsid w:val="00D20545"/>
    <w:rsid w:val="00D20A69"/>
    <w:rsid w:val="00D21F8D"/>
    <w:rsid w:val="00D221DC"/>
    <w:rsid w:val="00D22557"/>
    <w:rsid w:val="00D22640"/>
    <w:rsid w:val="00D33031"/>
    <w:rsid w:val="00D33107"/>
    <w:rsid w:val="00D3431A"/>
    <w:rsid w:val="00D35D42"/>
    <w:rsid w:val="00D428AC"/>
    <w:rsid w:val="00D455E2"/>
    <w:rsid w:val="00D473B4"/>
    <w:rsid w:val="00D47B8D"/>
    <w:rsid w:val="00D504B0"/>
    <w:rsid w:val="00D510ED"/>
    <w:rsid w:val="00D526CB"/>
    <w:rsid w:val="00D53BC3"/>
    <w:rsid w:val="00D56AA2"/>
    <w:rsid w:val="00D632B1"/>
    <w:rsid w:val="00D641D1"/>
    <w:rsid w:val="00D652C5"/>
    <w:rsid w:val="00D675A0"/>
    <w:rsid w:val="00D70397"/>
    <w:rsid w:val="00D73337"/>
    <w:rsid w:val="00D73F69"/>
    <w:rsid w:val="00D74078"/>
    <w:rsid w:val="00D74703"/>
    <w:rsid w:val="00D74DE0"/>
    <w:rsid w:val="00D757F1"/>
    <w:rsid w:val="00D76619"/>
    <w:rsid w:val="00D82F38"/>
    <w:rsid w:val="00D83474"/>
    <w:rsid w:val="00D871BD"/>
    <w:rsid w:val="00D874B2"/>
    <w:rsid w:val="00D90307"/>
    <w:rsid w:val="00D90521"/>
    <w:rsid w:val="00D90599"/>
    <w:rsid w:val="00D90B30"/>
    <w:rsid w:val="00D91925"/>
    <w:rsid w:val="00D95EC4"/>
    <w:rsid w:val="00DA4357"/>
    <w:rsid w:val="00DA7A09"/>
    <w:rsid w:val="00DB06D0"/>
    <w:rsid w:val="00DB073F"/>
    <w:rsid w:val="00DB10E3"/>
    <w:rsid w:val="00DB1FAC"/>
    <w:rsid w:val="00DB28DE"/>
    <w:rsid w:val="00DB296E"/>
    <w:rsid w:val="00DB6069"/>
    <w:rsid w:val="00DB7636"/>
    <w:rsid w:val="00DC1C91"/>
    <w:rsid w:val="00DC2F45"/>
    <w:rsid w:val="00DC458D"/>
    <w:rsid w:val="00DC7339"/>
    <w:rsid w:val="00DC7758"/>
    <w:rsid w:val="00DC7841"/>
    <w:rsid w:val="00DD0916"/>
    <w:rsid w:val="00DD487A"/>
    <w:rsid w:val="00DD5A5C"/>
    <w:rsid w:val="00DD5FD5"/>
    <w:rsid w:val="00DD66BB"/>
    <w:rsid w:val="00DE3582"/>
    <w:rsid w:val="00DE3DDE"/>
    <w:rsid w:val="00DE6F46"/>
    <w:rsid w:val="00DE7977"/>
    <w:rsid w:val="00DF0D36"/>
    <w:rsid w:val="00DF3BD1"/>
    <w:rsid w:val="00DF4732"/>
    <w:rsid w:val="00DF608B"/>
    <w:rsid w:val="00E041B2"/>
    <w:rsid w:val="00E07F00"/>
    <w:rsid w:val="00E10016"/>
    <w:rsid w:val="00E12D62"/>
    <w:rsid w:val="00E13BA4"/>
    <w:rsid w:val="00E14737"/>
    <w:rsid w:val="00E17566"/>
    <w:rsid w:val="00E17624"/>
    <w:rsid w:val="00E20887"/>
    <w:rsid w:val="00E24671"/>
    <w:rsid w:val="00E247F9"/>
    <w:rsid w:val="00E25B8B"/>
    <w:rsid w:val="00E25F98"/>
    <w:rsid w:val="00E2706B"/>
    <w:rsid w:val="00E275FB"/>
    <w:rsid w:val="00E3335B"/>
    <w:rsid w:val="00E421A8"/>
    <w:rsid w:val="00E42CD3"/>
    <w:rsid w:val="00E4513F"/>
    <w:rsid w:val="00E452B4"/>
    <w:rsid w:val="00E45F59"/>
    <w:rsid w:val="00E555F0"/>
    <w:rsid w:val="00E55907"/>
    <w:rsid w:val="00E6181F"/>
    <w:rsid w:val="00E618F1"/>
    <w:rsid w:val="00E61B8D"/>
    <w:rsid w:val="00E640E3"/>
    <w:rsid w:val="00E64568"/>
    <w:rsid w:val="00E70A52"/>
    <w:rsid w:val="00E72C3B"/>
    <w:rsid w:val="00E77139"/>
    <w:rsid w:val="00E8136C"/>
    <w:rsid w:val="00E81457"/>
    <w:rsid w:val="00E8519C"/>
    <w:rsid w:val="00E8590B"/>
    <w:rsid w:val="00E906ED"/>
    <w:rsid w:val="00E908BA"/>
    <w:rsid w:val="00E93615"/>
    <w:rsid w:val="00E93B0B"/>
    <w:rsid w:val="00E9464C"/>
    <w:rsid w:val="00E95329"/>
    <w:rsid w:val="00E96907"/>
    <w:rsid w:val="00E97476"/>
    <w:rsid w:val="00EA01E9"/>
    <w:rsid w:val="00EA265D"/>
    <w:rsid w:val="00EA4228"/>
    <w:rsid w:val="00EA43E4"/>
    <w:rsid w:val="00EB2F2A"/>
    <w:rsid w:val="00EB41B8"/>
    <w:rsid w:val="00EB45B6"/>
    <w:rsid w:val="00EB45F6"/>
    <w:rsid w:val="00EB5A07"/>
    <w:rsid w:val="00EB6C3F"/>
    <w:rsid w:val="00EC7AC4"/>
    <w:rsid w:val="00ED087D"/>
    <w:rsid w:val="00ED176A"/>
    <w:rsid w:val="00ED1F59"/>
    <w:rsid w:val="00ED20D1"/>
    <w:rsid w:val="00ED3033"/>
    <w:rsid w:val="00ED4933"/>
    <w:rsid w:val="00ED4B23"/>
    <w:rsid w:val="00ED6A4E"/>
    <w:rsid w:val="00ED7FBE"/>
    <w:rsid w:val="00EE55C4"/>
    <w:rsid w:val="00EE55F1"/>
    <w:rsid w:val="00EE5AC7"/>
    <w:rsid w:val="00EE5C69"/>
    <w:rsid w:val="00EF0115"/>
    <w:rsid w:val="00EF2282"/>
    <w:rsid w:val="00EF520E"/>
    <w:rsid w:val="00F0156A"/>
    <w:rsid w:val="00F02113"/>
    <w:rsid w:val="00F028AA"/>
    <w:rsid w:val="00F058BE"/>
    <w:rsid w:val="00F06043"/>
    <w:rsid w:val="00F07975"/>
    <w:rsid w:val="00F11EF0"/>
    <w:rsid w:val="00F12E6A"/>
    <w:rsid w:val="00F1762A"/>
    <w:rsid w:val="00F2256B"/>
    <w:rsid w:val="00F226F6"/>
    <w:rsid w:val="00F231D3"/>
    <w:rsid w:val="00F232FF"/>
    <w:rsid w:val="00F236EC"/>
    <w:rsid w:val="00F24B63"/>
    <w:rsid w:val="00F24F0B"/>
    <w:rsid w:val="00F2705B"/>
    <w:rsid w:val="00F30835"/>
    <w:rsid w:val="00F32EF3"/>
    <w:rsid w:val="00F34B3A"/>
    <w:rsid w:val="00F34CD7"/>
    <w:rsid w:val="00F37BBA"/>
    <w:rsid w:val="00F37FD3"/>
    <w:rsid w:val="00F4105E"/>
    <w:rsid w:val="00F46FF7"/>
    <w:rsid w:val="00F537E7"/>
    <w:rsid w:val="00F5454B"/>
    <w:rsid w:val="00F62928"/>
    <w:rsid w:val="00F65FEB"/>
    <w:rsid w:val="00F66FA8"/>
    <w:rsid w:val="00F67BCF"/>
    <w:rsid w:val="00F67E6A"/>
    <w:rsid w:val="00F70F28"/>
    <w:rsid w:val="00F72A9D"/>
    <w:rsid w:val="00F74574"/>
    <w:rsid w:val="00F81F54"/>
    <w:rsid w:val="00F83030"/>
    <w:rsid w:val="00F844F8"/>
    <w:rsid w:val="00F856DD"/>
    <w:rsid w:val="00F85B33"/>
    <w:rsid w:val="00F871D5"/>
    <w:rsid w:val="00F91268"/>
    <w:rsid w:val="00F93E57"/>
    <w:rsid w:val="00F94822"/>
    <w:rsid w:val="00F955BB"/>
    <w:rsid w:val="00FA507A"/>
    <w:rsid w:val="00FA5510"/>
    <w:rsid w:val="00FA5B25"/>
    <w:rsid w:val="00FA6782"/>
    <w:rsid w:val="00FB1A00"/>
    <w:rsid w:val="00FB63FB"/>
    <w:rsid w:val="00FB67C5"/>
    <w:rsid w:val="00FB6CED"/>
    <w:rsid w:val="00FB6EF5"/>
    <w:rsid w:val="00FC1067"/>
    <w:rsid w:val="00FC40C9"/>
    <w:rsid w:val="00FC53C3"/>
    <w:rsid w:val="00FD2408"/>
    <w:rsid w:val="00FD3707"/>
    <w:rsid w:val="00FD46F5"/>
    <w:rsid w:val="00FD6547"/>
    <w:rsid w:val="00FD7759"/>
    <w:rsid w:val="00FD78E4"/>
    <w:rsid w:val="00FE02EB"/>
    <w:rsid w:val="00FE16F0"/>
    <w:rsid w:val="00FE4D4C"/>
    <w:rsid w:val="00FE7908"/>
    <w:rsid w:val="00FF26AC"/>
    <w:rsid w:val="00FF28C0"/>
    <w:rsid w:val="00FF2DD2"/>
    <w:rsid w:val="00FF3B33"/>
    <w:rsid w:val="00FF44C0"/>
    <w:rsid w:val="01197B09"/>
    <w:rsid w:val="0126160D"/>
    <w:rsid w:val="01CF64D7"/>
    <w:rsid w:val="0272010D"/>
    <w:rsid w:val="02AD1871"/>
    <w:rsid w:val="03464743"/>
    <w:rsid w:val="03F359AA"/>
    <w:rsid w:val="042416F5"/>
    <w:rsid w:val="058F7927"/>
    <w:rsid w:val="05C1113D"/>
    <w:rsid w:val="05D638CA"/>
    <w:rsid w:val="0624393A"/>
    <w:rsid w:val="064C04EA"/>
    <w:rsid w:val="065F0673"/>
    <w:rsid w:val="06602682"/>
    <w:rsid w:val="06674FC4"/>
    <w:rsid w:val="06E45734"/>
    <w:rsid w:val="06F81D5F"/>
    <w:rsid w:val="0805282B"/>
    <w:rsid w:val="091009ED"/>
    <w:rsid w:val="09770072"/>
    <w:rsid w:val="0A0972C5"/>
    <w:rsid w:val="0A1931C5"/>
    <w:rsid w:val="0A262C1C"/>
    <w:rsid w:val="0A5F4817"/>
    <w:rsid w:val="0AA0748C"/>
    <w:rsid w:val="0B135760"/>
    <w:rsid w:val="0CEB11F7"/>
    <w:rsid w:val="0D910827"/>
    <w:rsid w:val="0DBB3DDD"/>
    <w:rsid w:val="0E36192F"/>
    <w:rsid w:val="0E4C26F2"/>
    <w:rsid w:val="0EAF68F8"/>
    <w:rsid w:val="0F0B17D6"/>
    <w:rsid w:val="0F2F18CF"/>
    <w:rsid w:val="106F3254"/>
    <w:rsid w:val="10FA4487"/>
    <w:rsid w:val="11525ABA"/>
    <w:rsid w:val="11C45259"/>
    <w:rsid w:val="12281E79"/>
    <w:rsid w:val="123118D1"/>
    <w:rsid w:val="12931F83"/>
    <w:rsid w:val="13915869"/>
    <w:rsid w:val="140C38C8"/>
    <w:rsid w:val="147338B0"/>
    <w:rsid w:val="15095912"/>
    <w:rsid w:val="159C52AE"/>
    <w:rsid w:val="169676FF"/>
    <w:rsid w:val="16CB58D9"/>
    <w:rsid w:val="179213A3"/>
    <w:rsid w:val="17A94A6F"/>
    <w:rsid w:val="17B12F51"/>
    <w:rsid w:val="17B46DA6"/>
    <w:rsid w:val="17EC6540"/>
    <w:rsid w:val="18441E79"/>
    <w:rsid w:val="186B5AD7"/>
    <w:rsid w:val="195C5E8E"/>
    <w:rsid w:val="197D34ED"/>
    <w:rsid w:val="19A36F89"/>
    <w:rsid w:val="19DC357C"/>
    <w:rsid w:val="1A290733"/>
    <w:rsid w:val="1A310B82"/>
    <w:rsid w:val="1A375F1E"/>
    <w:rsid w:val="1A6D5519"/>
    <w:rsid w:val="1B6905D8"/>
    <w:rsid w:val="1B720B5E"/>
    <w:rsid w:val="1C062028"/>
    <w:rsid w:val="1CAA14C2"/>
    <w:rsid w:val="1CDD7656"/>
    <w:rsid w:val="1CEE4FD9"/>
    <w:rsid w:val="1D3632D6"/>
    <w:rsid w:val="1D44554B"/>
    <w:rsid w:val="1E2A6CC3"/>
    <w:rsid w:val="1E9F6F04"/>
    <w:rsid w:val="1EAB73FC"/>
    <w:rsid w:val="1F5833E5"/>
    <w:rsid w:val="1FA36450"/>
    <w:rsid w:val="1FA376E0"/>
    <w:rsid w:val="20D4290D"/>
    <w:rsid w:val="211F6FB4"/>
    <w:rsid w:val="21CD59D5"/>
    <w:rsid w:val="21DC7625"/>
    <w:rsid w:val="227F1DA6"/>
    <w:rsid w:val="22E63C01"/>
    <w:rsid w:val="24253A31"/>
    <w:rsid w:val="24396A70"/>
    <w:rsid w:val="243F3E9B"/>
    <w:rsid w:val="24E862E1"/>
    <w:rsid w:val="251C4C6F"/>
    <w:rsid w:val="25231F71"/>
    <w:rsid w:val="252F1686"/>
    <w:rsid w:val="25490174"/>
    <w:rsid w:val="255D6ADF"/>
    <w:rsid w:val="25CC1CD8"/>
    <w:rsid w:val="26EF5658"/>
    <w:rsid w:val="277919FF"/>
    <w:rsid w:val="27C3592D"/>
    <w:rsid w:val="27CC1EEA"/>
    <w:rsid w:val="28210569"/>
    <w:rsid w:val="282F0A32"/>
    <w:rsid w:val="286935A5"/>
    <w:rsid w:val="29172FA0"/>
    <w:rsid w:val="29537B68"/>
    <w:rsid w:val="29FE1735"/>
    <w:rsid w:val="2A146170"/>
    <w:rsid w:val="2A5E4E12"/>
    <w:rsid w:val="2A9E7B6E"/>
    <w:rsid w:val="2B2F5CFC"/>
    <w:rsid w:val="2B5C143C"/>
    <w:rsid w:val="2B69242B"/>
    <w:rsid w:val="2BC2473C"/>
    <w:rsid w:val="2BCF1FDB"/>
    <w:rsid w:val="2BDB2B53"/>
    <w:rsid w:val="2C847775"/>
    <w:rsid w:val="2C8B647D"/>
    <w:rsid w:val="2D797FE3"/>
    <w:rsid w:val="2DB22C9D"/>
    <w:rsid w:val="2E0510E9"/>
    <w:rsid w:val="2EA860EC"/>
    <w:rsid w:val="2EBE177D"/>
    <w:rsid w:val="2EE87092"/>
    <w:rsid w:val="2EF74931"/>
    <w:rsid w:val="303572FC"/>
    <w:rsid w:val="307F7E02"/>
    <w:rsid w:val="3086676E"/>
    <w:rsid w:val="30A83165"/>
    <w:rsid w:val="30EE7407"/>
    <w:rsid w:val="30F304E8"/>
    <w:rsid w:val="32031456"/>
    <w:rsid w:val="32714DD7"/>
    <w:rsid w:val="329B36A3"/>
    <w:rsid w:val="32C44F6E"/>
    <w:rsid w:val="330A6245"/>
    <w:rsid w:val="331B73B5"/>
    <w:rsid w:val="3347500D"/>
    <w:rsid w:val="33541711"/>
    <w:rsid w:val="35214446"/>
    <w:rsid w:val="35874E7E"/>
    <w:rsid w:val="35A962DE"/>
    <w:rsid w:val="365A463B"/>
    <w:rsid w:val="36780FC4"/>
    <w:rsid w:val="372A2B9E"/>
    <w:rsid w:val="374F7218"/>
    <w:rsid w:val="38353B4C"/>
    <w:rsid w:val="38AC2F77"/>
    <w:rsid w:val="3946541F"/>
    <w:rsid w:val="395E3DBA"/>
    <w:rsid w:val="3983530D"/>
    <w:rsid w:val="39A046EB"/>
    <w:rsid w:val="3A8D79C7"/>
    <w:rsid w:val="3AF06AE8"/>
    <w:rsid w:val="3BC862EB"/>
    <w:rsid w:val="3C035B00"/>
    <w:rsid w:val="3C067A62"/>
    <w:rsid w:val="3C0C6370"/>
    <w:rsid w:val="3C0E3524"/>
    <w:rsid w:val="3C6D3837"/>
    <w:rsid w:val="3C9608F4"/>
    <w:rsid w:val="3D8A2E1C"/>
    <w:rsid w:val="3DDC3638"/>
    <w:rsid w:val="3E286214"/>
    <w:rsid w:val="3EC3741E"/>
    <w:rsid w:val="3EEA117C"/>
    <w:rsid w:val="3F394FD6"/>
    <w:rsid w:val="3F8143AD"/>
    <w:rsid w:val="41B65839"/>
    <w:rsid w:val="42936187"/>
    <w:rsid w:val="43016A94"/>
    <w:rsid w:val="4326034E"/>
    <w:rsid w:val="436479D9"/>
    <w:rsid w:val="443801C5"/>
    <w:rsid w:val="444C2EAF"/>
    <w:rsid w:val="44E64FE3"/>
    <w:rsid w:val="45CE26E6"/>
    <w:rsid w:val="45FD3B73"/>
    <w:rsid w:val="468D7510"/>
    <w:rsid w:val="46D71FE6"/>
    <w:rsid w:val="47766FEA"/>
    <w:rsid w:val="47C73555"/>
    <w:rsid w:val="47C87B7B"/>
    <w:rsid w:val="482F5E51"/>
    <w:rsid w:val="487E46E3"/>
    <w:rsid w:val="48F8416B"/>
    <w:rsid w:val="4A9825C3"/>
    <w:rsid w:val="4B26294E"/>
    <w:rsid w:val="4B702FF0"/>
    <w:rsid w:val="4CC845B7"/>
    <w:rsid w:val="4D11120F"/>
    <w:rsid w:val="4D9D1E3D"/>
    <w:rsid w:val="4DCC6D2C"/>
    <w:rsid w:val="4DE36885"/>
    <w:rsid w:val="4E3E5E77"/>
    <w:rsid w:val="4E5120D2"/>
    <w:rsid w:val="4E735467"/>
    <w:rsid w:val="4E93362F"/>
    <w:rsid w:val="4FBB1F26"/>
    <w:rsid w:val="4FD33DC3"/>
    <w:rsid w:val="5080765E"/>
    <w:rsid w:val="5081489C"/>
    <w:rsid w:val="50AB7E37"/>
    <w:rsid w:val="50AC77E5"/>
    <w:rsid w:val="50B875C4"/>
    <w:rsid w:val="51BF7CFD"/>
    <w:rsid w:val="522B5A9D"/>
    <w:rsid w:val="52365BCC"/>
    <w:rsid w:val="5244074B"/>
    <w:rsid w:val="529219E8"/>
    <w:rsid w:val="52C3042E"/>
    <w:rsid w:val="52F6796A"/>
    <w:rsid w:val="530B2B81"/>
    <w:rsid w:val="53171558"/>
    <w:rsid w:val="531A30B6"/>
    <w:rsid w:val="534E1410"/>
    <w:rsid w:val="53A400D4"/>
    <w:rsid w:val="54290AF1"/>
    <w:rsid w:val="550C27A1"/>
    <w:rsid w:val="55293A66"/>
    <w:rsid w:val="55D220AA"/>
    <w:rsid w:val="568D0145"/>
    <w:rsid w:val="56BB6A9A"/>
    <w:rsid w:val="57460AC2"/>
    <w:rsid w:val="576F507E"/>
    <w:rsid w:val="579176FC"/>
    <w:rsid w:val="57A03263"/>
    <w:rsid w:val="58291FBF"/>
    <w:rsid w:val="5845173C"/>
    <w:rsid w:val="58FA6DBB"/>
    <w:rsid w:val="5A33603C"/>
    <w:rsid w:val="5A854D8F"/>
    <w:rsid w:val="5B2E0C7A"/>
    <w:rsid w:val="5BB376FC"/>
    <w:rsid w:val="5BD60004"/>
    <w:rsid w:val="5C2B191C"/>
    <w:rsid w:val="5C7E5F81"/>
    <w:rsid w:val="5C8D1C69"/>
    <w:rsid w:val="5D5C4D05"/>
    <w:rsid w:val="5D9B076F"/>
    <w:rsid w:val="5DDD25C7"/>
    <w:rsid w:val="5DFD67C8"/>
    <w:rsid w:val="5E0C371F"/>
    <w:rsid w:val="5E382A3F"/>
    <w:rsid w:val="5E567866"/>
    <w:rsid w:val="5EA7708F"/>
    <w:rsid w:val="5F2A7DDD"/>
    <w:rsid w:val="5F717906"/>
    <w:rsid w:val="5F9F470A"/>
    <w:rsid w:val="614E60BD"/>
    <w:rsid w:val="618D487D"/>
    <w:rsid w:val="61B62FE6"/>
    <w:rsid w:val="61F73E39"/>
    <w:rsid w:val="623965F1"/>
    <w:rsid w:val="62684A1E"/>
    <w:rsid w:val="637871F9"/>
    <w:rsid w:val="63B8285B"/>
    <w:rsid w:val="63EC2825"/>
    <w:rsid w:val="64432A77"/>
    <w:rsid w:val="64C53683"/>
    <w:rsid w:val="65D116F9"/>
    <w:rsid w:val="65EC234D"/>
    <w:rsid w:val="660A7C87"/>
    <w:rsid w:val="66257469"/>
    <w:rsid w:val="6638390B"/>
    <w:rsid w:val="666255AA"/>
    <w:rsid w:val="66A17D30"/>
    <w:rsid w:val="66BA6D6E"/>
    <w:rsid w:val="6752452C"/>
    <w:rsid w:val="67940B21"/>
    <w:rsid w:val="680D117E"/>
    <w:rsid w:val="69500FAA"/>
    <w:rsid w:val="6971009B"/>
    <w:rsid w:val="697F1145"/>
    <w:rsid w:val="69A25468"/>
    <w:rsid w:val="69B82571"/>
    <w:rsid w:val="69D5518A"/>
    <w:rsid w:val="69F7061A"/>
    <w:rsid w:val="6A3030A5"/>
    <w:rsid w:val="6A8420FC"/>
    <w:rsid w:val="6AE20789"/>
    <w:rsid w:val="6AEC469C"/>
    <w:rsid w:val="6B0C5E52"/>
    <w:rsid w:val="6B232FF4"/>
    <w:rsid w:val="6B547D3C"/>
    <w:rsid w:val="6C1373D8"/>
    <w:rsid w:val="6C86656D"/>
    <w:rsid w:val="6D63392D"/>
    <w:rsid w:val="6D8F7D83"/>
    <w:rsid w:val="6D962DD3"/>
    <w:rsid w:val="6EB02E3A"/>
    <w:rsid w:val="6EDF2C20"/>
    <w:rsid w:val="6FD02417"/>
    <w:rsid w:val="6FE87B03"/>
    <w:rsid w:val="6FE95A23"/>
    <w:rsid w:val="701124A9"/>
    <w:rsid w:val="717464FF"/>
    <w:rsid w:val="71FE3CB7"/>
    <w:rsid w:val="72767276"/>
    <w:rsid w:val="7325446B"/>
    <w:rsid w:val="73474266"/>
    <w:rsid w:val="74634CC3"/>
    <w:rsid w:val="74E952ED"/>
    <w:rsid w:val="75252153"/>
    <w:rsid w:val="75462388"/>
    <w:rsid w:val="755A3244"/>
    <w:rsid w:val="763240E6"/>
    <w:rsid w:val="774E6DDF"/>
    <w:rsid w:val="77B83D30"/>
    <w:rsid w:val="784C6E39"/>
    <w:rsid w:val="788E7956"/>
    <w:rsid w:val="7A1864C9"/>
    <w:rsid w:val="7A534DBF"/>
    <w:rsid w:val="7AC025F9"/>
    <w:rsid w:val="7AED5B2D"/>
    <w:rsid w:val="7AF60CD7"/>
    <w:rsid w:val="7B3304A9"/>
    <w:rsid w:val="7B5A49B8"/>
    <w:rsid w:val="7B980667"/>
    <w:rsid w:val="7C426D8A"/>
    <w:rsid w:val="7C6B036F"/>
    <w:rsid w:val="7C7625AF"/>
    <w:rsid w:val="7CD37B9B"/>
    <w:rsid w:val="7CDA41AD"/>
    <w:rsid w:val="7CEE735A"/>
    <w:rsid w:val="7D3E02AC"/>
    <w:rsid w:val="7E173883"/>
    <w:rsid w:val="7E655D61"/>
    <w:rsid w:val="7E965FE0"/>
    <w:rsid w:val="7F2253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3">
    <w:name w:val="heading 1"/>
    <w:basedOn w:val="1"/>
    <w:next w:val="1"/>
    <w:link w:val="44"/>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2">
    <w:name w:val="heading 2"/>
    <w:basedOn w:val="1"/>
    <w:next w:val="1"/>
    <w:link w:val="43"/>
    <w:qFormat/>
    <w:uiPriority w:val="0"/>
    <w:pPr>
      <w:keepNext/>
      <w:keepLines/>
      <w:spacing w:after="172" w:line="265" w:lineRule="auto"/>
      <w:ind w:left="10" w:right="116" w:hanging="10"/>
      <w:outlineLvl w:val="1"/>
    </w:pPr>
    <w:rPr>
      <w:rFonts w:ascii="黑体" w:hAnsi="黑体" w:eastAsia="黑体"/>
      <w:kern w:val="0"/>
      <w:szCs w:val="20"/>
    </w:rPr>
  </w:style>
  <w:style w:type="paragraph" w:styleId="4">
    <w:name w:val="heading 3"/>
    <w:basedOn w:val="1"/>
    <w:next w:val="1"/>
    <w:link w:val="45"/>
    <w:qFormat/>
    <w:uiPriority w:val="0"/>
    <w:pPr>
      <w:keepNext/>
      <w:keepLines/>
      <w:spacing w:after="172" w:line="265" w:lineRule="auto"/>
      <w:ind w:left="10" w:right="116" w:hanging="10"/>
      <w:outlineLvl w:val="2"/>
    </w:pPr>
    <w:rPr>
      <w:rFonts w:ascii="黑体" w:hAnsi="黑体" w:eastAsia="黑体"/>
      <w:kern w:val="0"/>
      <w:szCs w:val="20"/>
    </w:rPr>
  </w:style>
  <w:style w:type="paragraph" w:styleId="5">
    <w:name w:val="heading 4"/>
    <w:basedOn w:val="1"/>
    <w:next w:val="1"/>
    <w:link w:val="46"/>
    <w:qFormat/>
    <w:uiPriority w:val="0"/>
    <w:pPr>
      <w:keepNext/>
      <w:keepLines/>
      <w:spacing w:after="172" w:line="265" w:lineRule="auto"/>
      <w:ind w:left="10" w:right="116" w:hanging="10"/>
      <w:outlineLvl w:val="3"/>
    </w:pPr>
    <w:rPr>
      <w:rFonts w:ascii="黑体" w:hAnsi="黑体" w:eastAsia="黑体"/>
      <w:kern w:val="0"/>
      <w:szCs w:val="20"/>
    </w:rPr>
  </w:style>
  <w:style w:type="paragraph" w:styleId="6">
    <w:name w:val="heading 5"/>
    <w:basedOn w:val="1"/>
    <w:next w:val="1"/>
    <w:link w:val="47"/>
    <w:qFormat/>
    <w:uiPriority w:val="0"/>
    <w:pPr>
      <w:keepNext/>
      <w:keepLines/>
      <w:spacing w:after="172" w:line="265" w:lineRule="auto"/>
      <w:ind w:left="10" w:right="116" w:hanging="10"/>
      <w:outlineLvl w:val="4"/>
    </w:pPr>
    <w:rPr>
      <w:rFonts w:ascii="黑体" w:hAnsi="黑体" w:eastAsia="黑体"/>
      <w:kern w:val="0"/>
      <w:szCs w:val="20"/>
    </w:rPr>
  </w:style>
  <w:style w:type="paragraph" w:styleId="7">
    <w:name w:val="heading 6"/>
    <w:basedOn w:val="1"/>
    <w:next w:val="1"/>
    <w:link w:val="48"/>
    <w:qFormat/>
    <w:uiPriority w:val="0"/>
    <w:pPr>
      <w:keepNext/>
      <w:keepLines/>
      <w:spacing w:before="50" w:beforeLines="50" w:after="172" w:line="264" w:lineRule="auto"/>
      <w:ind w:left="11" w:right="113" w:hanging="11"/>
      <w:outlineLvl w:val="5"/>
    </w:pPr>
    <w:rPr>
      <w:rFonts w:ascii="黑体" w:hAnsi="黑体" w:eastAsia="黑体"/>
      <w:kern w:val="0"/>
      <w:sz w:val="24"/>
      <w:szCs w:val="20"/>
    </w:rPr>
  </w:style>
  <w:style w:type="paragraph" w:styleId="8">
    <w:name w:val="heading 7"/>
    <w:basedOn w:val="1"/>
    <w:next w:val="1"/>
    <w:link w:val="49"/>
    <w:qFormat/>
    <w:uiPriority w:val="0"/>
    <w:pPr>
      <w:keepNext/>
      <w:keepLines/>
      <w:spacing w:after="172" w:line="265" w:lineRule="auto"/>
      <w:ind w:left="10" w:right="116" w:hanging="10"/>
      <w:outlineLvl w:val="6"/>
    </w:pPr>
    <w:rPr>
      <w:rFonts w:ascii="黑体" w:hAnsi="黑体" w:eastAsia="黑体"/>
      <w:kern w:val="0"/>
      <w:szCs w:val="20"/>
    </w:rPr>
  </w:style>
  <w:style w:type="character" w:default="1" w:styleId="36">
    <w:name w:val="Default Paragraph Font"/>
    <w:semiHidden/>
    <w:qFormat/>
    <w:uiPriority w:val="0"/>
  </w:style>
  <w:style w:type="table" w:default="1" w:styleId="3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9">
    <w:name w:val="toc 7"/>
    <w:basedOn w:val="1"/>
    <w:next w:val="1"/>
    <w:qFormat/>
    <w:uiPriority w:val="0"/>
    <w:pPr>
      <w:widowControl w:val="0"/>
      <w:spacing w:after="0" w:line="240" w:lineRule="auto"/>
      <w:ind w:left="2520" w:leftChars="1200"/>
      <w:jc w:val="both"/>
    </w:pPr>
    <w:rPr>
      <w:rFonts w:ascii="等线" w:hAnsi="等线" w:eastAsia="等线" w:cs="Times New Roman"/>
      <w:color w:val="auto"/>
      <w:sz w:val="21"/>
    </w:rPr>
  </w:style>
  <w:style w:type="paragraph" w:styleId="10">
    <w:name w:val="Normal Indent"/>
    <w:basedOn w:val="1"/>
    <w:qFormat/>
    <w:uiPriority w:val="0"/>
    <w:pPr>
      <w:ind w:firstLine="420"/>
    </w:pPr>
  </w:style>
  <w:style w:type="paragraph" w:styleId="11">
    <w:name w:val="Document Map"/>
    <w:basedOn w:val="1"/>
    <w:semiHidden/>
    <w:qFormat/>
    <w:uiPriority w:val="0"/>
    <w:pPr>
      <w:widowControl w:val="0"/>
      <w:shd w:val="clear" w:color="auto" w:fill="000080"/>
      <w:spacing w:after="0" w:line="240" w:lineRule="auto"/>
      <w:jc w:val="both"/>
    </w:pPr>
    <w:rPr>
      <w:rFonts w:ascii="Times New Roman" w:hAnsi="Times New Roman" w:eastAsia="宋体" w:cs="Times New Roman"/>
      <w:color w:val="auto"/>
      <w:sz w:val="21"/>
      <w:szCs w:val="20"/>
    </w:rPr>
  </w:style>
  <w:style w:type="paragraph" w:styleId="12">
    <w:name w:val="annotation text"/>
    <w:basedOn w:val="1"/>
    <w:semiHidden/>
    <w:qFormat/>
    <w:uiPriority w:val="0"/>
    <w:pPr>
      <w:widowControl w:val="0"/>
      <w:spacing w:after="0" w:line="240" w:lineRule="auto"/>
    </w:pPr>
    <w:rPr>
      <w:rFonts w:ascii="Times New Roman" w:hAnsi="Times New Roman" w:eastAsia="宋体" w:cs="Times New Roman"/>
      <w:color w:val="auto"/>
      <w:sz w:val="21"/>
      <w:szCs w:val="20"/>
    </w:rPr>
  </w:style>
  <w:style w:type="paragraph" w:styleId="13">
    <w:name w:val="Body Text 3"/>
    <w:basedOn w:val="1"/>
    <w:link w:val="50"/>
    <w:qFormat/>
    <w:uiPriority w:val="0"/>
    <w:pPr>
      <w:spacing w:after="120"/>
    </w:pPr>
    <w:rPr>
      <w:rFonts w:ascii="Calibri" w:hAnsi="Calibri"/>
      <w:sz w:val="16"/>
      <w:szCs w:val="16"/>
    </w:rPr>
  </w:style>
  <w:style w:type="paragraph" w:styleId="14">
    <w:name w:val="Body Text"/>
    <w:basedOn w:val="1"/>
    <w:next w:val="1"/>
    <w:link w:val="51"/>
    <w:qFormat/>
    <w:uiPriority w:val="0"/>
    <w:pPr>
      <w:spacing w:after="120"/>
    </w:pPr>
  </w:style>
  <w:style w:type="paragraph" w:styleId="15">
    <w:name w:val="Body Text Indent"/>
    <w:basedOn w:val="1"/>
    <w:next w:val="16"/>
    <w:link w:val="52"/>
    <w:qFormat/>
    <w:uiPriority w:val="0"/>
    <w:pPr>
      <w:widowControl w:val="0"/>
      <w:spacing w:after="120" w:line="240" w:lineRule="auto"/>
      <w:ind w:left="420" w:leftChars="200"/>
      <w:jc w:val="both"/>
    </w:pPr>
    <w:rPr>
      <w:rFonts w:eastAsia="宋体"/>
      <w:color w:val="auto"/>
      <w:sz w:val="21"/>
      <w:szCs w:val="20"/>
    </w:rPr>
  </w:style>
  <w:style w:type="paragraph" w:styleId="16">
    <w:name w:val="envelope return"/>
    <w:basedOn w:val="1"/>
    <w:qFormat/>
    <w:uiPriority w:val="0"/>
    <w:pPr>
      <w:snapToGrid w:val="0"/>
    </w:pPr>
    <w:rPr>
      <w:rFonts w:ascii="Arial" w:hAnsi="Arial" w:eastAsia="宋体" w:cs="Times New Roman"/>
      <w:szCs w:val="24"/>
      <w:lang w:bidi="ar-SA"/>
    </w:rPr>
  </w:style>
  <w:style w:type="paragraph" w:styleId="17">
    <w:name w:val="toc 5"/>
    <w:basedOn w:val="1"/>
    <w:next w:val="1"/>
    <w:qFormat/>
    <w:uiPriority w:val="0"/>
    <w:pPr>
      <w:widowControl w:val="0"/>
      <w:spacing w:after="0" w:line="240" w:lineRule="auto"/>
      <w:ind w:left="1680" w:leftChars="800"/>
      <w:jc w:val="both"/>
    </w:pPr>
    <w:rPr>
      <w:rFonts w:ascii="等线" w:hAnsi="等线" w:eastAsia="等线" w:cs="Times New Roman"/>
      <w:color w:val="auto"/>
      <w:sz w:val="21"/>
    </w:rPr>
  </w:style>
  <w:style w:type="paragraph" w:styleId="18">
    <w:name w:val="toc 3"/>
    <w:basedOn w:val="1"/>
    <w:next w:val="1"/>
    <w:qFormat/>
    <w:uiPriority w:val="0"/>
    <w:pPr>
      <w:spacing w:after="6" w:line="257" w:lineRule="auto"/>
      <w:ind w:left="847" w:right="129" w:hanging="10"/>
      <w:jc w:val="both"/>
    </w:pPr>
    <w:rPr>
      <w:sz w:val="21"/>
    </w:rPr>
  </w:style>
  <w:style w:type="paragraph" w:styleId="19">
    <w:name w:val="Plain Text"/>
    <w:basedOn w:val="1"/>
    <w:link w:val="53"/>
    <w:qFormat/>
    <w:uiPriority w:val="0"/>
    <w:pPr>
      <w:widowControl w:val="0"/>
      <w:spacing w:after="0" w:line="240" w:lineRule="auto"/>
      <w:jc w:val="both"/>
    </w:pPr>
    <w:rPr>
      <w:rFonts w:ascii="宋体" w:hAnsi="Courier New" w:eastAsia="宋体"/>
      <w:color w:val="auto"/>
      <w:kern w:val="0"/>
      <w:sz w:val="20"/>
      <w:szCs w:val="21"/>
    </w:rPr>
  </w:style>
  <w:style w:type="paragraph" w:styleId="20">
    <w:name w:val="toc 8"/>
    <w:basedOn w:val="1"/>
    <w:next w:val="1"/>
    <w:qFormat/>
    <w:uiPriority w:val="0"/>
    <w:pPr>
      <w:widowControl w:val="0"/>
      <w:spacing w:after="0" w:line="240" w:lineRule="auto"/>
      <w:ind w:left="2940" w:leftChars="1400"/>
      <w:jc w:val="both"/>
    </w:pPr>
    <w:rPr>
      <w:rFonts w:ascii="等线" w:hAnsi="等线" w:eastAsia="等线" w:cs="Times New Roman"/>
      <w:color w:val="auto"/>
      <w:sz w:val="21"/>
    </w:rPr>
  </w:style>
  <w:style w:type="paragraph" w:styleId="21">
    <w:name w:val="Date"/>
    <w:basedOn w:val="1"/>
    <w:next w:val="1"/>
    <w:qFormat/>
    <w:uiPriority w:val="0"/>
  </w:style>
  <w:style w:type="paragraph" w:styleId="22">
    <w:name w:val="Balloon Text"/>
    <w:basedOn w:val="1"/>
    <w:semiHidden/>
    <w:qFormat/>
    <w:uiPriority w:val="0"/>
    <w:pPr>
      <w:widowControl w:val="0"/>
      <w:spacing w:after="0" w:line="240" w:lineRule="auto"/>
      <w:jc w:val="both"/>
    </w:pPr>
    <w:rPr>
      <w:rFonts w:ascii="Times New Roman" w:hAnsi="Times New Roman" w:eastAsia="宋体" w:cs="Times New Roman"/>
      <w:color w:val="auto"/>
      <w:sz w:val="18"/>
      <w:szCs w:val="18"/>
    </w:rPr>
  </w:style>
  <w:style w:type="paragraph" w:styleId="23">
    <w:name w:val="footer"/>
    <w:basedOn w:val="1"/>
    <w:link w:val="54"/>
    <w:qFormat/>
    <w:uiPriority w:val="0"/>
    <w:pPr>
      <w:widowControl w:val="0"/>
      <w:tabs>
        <w:tab w:val="center" w:pos="4153"/>
        <w:tab w:val="right" w:pos="8306"/>
      </w:tabs>
      <w:snapToGrid w:val="0"/>
      <w:spacing w:after="0" w:line="240" w:lineRule="auto"/>
    </w:pPr>
    <w:rPr>
      <w:rFonts w:eastAsia="宋体"/>
      <w:color w:val="auto"/>
      <w:sz w:val="18"/>
      <w:szCs w:val="20"/>
    </w:rPr>
  </w:style>
  <w:style w:type="paragraph" w:styleId="24">
    <w:name w:val="header"/>
    <w:basedOn w:val="1"/>
    <w:link w:val="55"/>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pPr>
    <w:rPr>
      <w:rFonts w:eastAsia="宋体"/>
      <w:color w:val="auto"/>
      <w:sz w:val="18"/>
      <w:szCs w:val="20"/>
    </w:rPr>
  </w:style>
  <w:style w:type="paragraph" w:styleId="25">
    <w:name w:val="toc 1"/>
    <w:basedOn w:val="1"/>
    <w:next w:val="1"/>
    <w:qFormat/>
    <w:uiPriority w:val="0"/>
    <w:pPr>
      <w:spacing w:after="3" w:line="261" w:lineRule="auto"/>
      <w:ind w:left="25" w:right="134" w:hanging="10"/>
      <w:jc w:val="right"/>
    </w:pPr>
    <w:rPr>
      <w:sz w:val="21"/>
    </w:rPr>
  </w:style>
  <w:style w:type="paragraph" w:styleId="26">
    <w:name w:val="toc 4"/>
    <w:basedOn w:val="1"/>
    <w:next w:val="1"/>
    <w:uiPriority w:val="0"/>
    <w:pPr>
      <w:widowControl w:val="0"/>
      <w:spacing w:after="0" w:line="240" w:lineRule="auto"/>
      <w:ind w:left="1260" w:leftChars="600"/>
      <w:jc w:val="both"/>
    </w:pPr>
    <w:rPr>
      <w:rFonts w:ascii="等线" w:hAnsi="等线" w:eastAsia="等线" w:cs="Times New Roman"/>
      <w:color w:val="auto"/>
      <w:sz w:val="21"/>
    </w:rPr>
  </w:style>
  <w:style w:type="paragraph" w:styleId="27">
    <w:name w:val="toc 6"/>
    <w:basedOn w:val="1"/>
    <w:next w:val="1"/>
    <w:uiPriority w:val="0"/>
    <w:pPr>
      <w:widowControl w:val="0"/>
      <w:spacing w:after="0" w:line="240" w:lineRule="auto"/>
      <w:ind w:left="2100" w:leftChars="1000"/>
      <w:jc w:val="both"/>
    </w:pPr>
    <w:rPr>
      <w:rFonts w:ascii="等线" w:hAnsi="等线" w:eastAsia="等线" w:cs="Times New Roman"/>
      <w:color w:val="auto"/>
      <w:sz w:val="21"/>
    </w:rPr>
  </w:style>
  <w:style w:type="paragraph" w:styleId="28">
    <w:name w:val="toc 2"/>
    <w:basedOn w:val="1"/>
    <w:next w:val="1"/>
    <w:qFormat/>
    <w:uiPriority w:val="0"/>
    <w:pPr>
      <w:spacing w:after="6" w:line="257" w:lineRule="auto"/>
      <w:ind w:left="430" w:right="127" w:hanging="10"/>
      <w:jc w:val="both"/>
    </w:pPr>
    <w:rPr>
      <w:sz w:val="21"/>
    </w:rPr>
  </w:style>
  <w:style w:type="paragraph" w:styleId="29">
    <w:name w:val="toc 9"/>
    <w:basedOn w:val="1"/>
    <w:next w:val="1"/>
    <w:qFormat/>
    <w:uiPriority w:val="0"/>
    <w:pPr>
      <w:widowControl w:val="0"/>
      <w:spacing w:after="0" w:line="240" w:lineRule="auto"/>
      <w:ind w:left="3360" w:leftChars="1600"/>
      <w:jc w:val="both"/>
    </w:pPr>
    <w:rPr>
      <w:rFonts w:ascii="等线" w:hAnsi="等线" w:eastAsia="等线" w:cs="Times New Roman"/>
      <w:color w:val="auto"/>
      <w:sz w:val="21"/>
    </w:rPr>
  </w:style>
  <w:style w:type="paragraph" w:styleId="30">
    <w:name w:val="Body Text 2"/>
    <w:basedOn w:val="1"/>
    <w:link w:val="56"/>
    <w:uiPriority w:val="0"/>
    <w:pPr>
      <w:widowControl w:val="0"/>
      <w:spacing w:after="120" w:line="480" w:lineRule="auto"/>
      <w:jc w:val="both"/>
    </w:pPr>
    <w:rPr>
      <w:rFonts w:ascii="Calibri" w:hAnsi="Calibri"/>
    </w:rPr>
  </w:style>
  <w:style w:type="paragraph" w:styleId="31">
    <w:name w:val="Normal (Web)"/>
    <w:basedOn w:val="1"/>
    <w:qFormat/>
    <w:uiPriority w:val="99"/>
    <w:pPr>
      <w:spacing w:before="100" w:beforeAutospacing="1" w:after="100" w:afterAutospacing="1" w:line="240" w:lineRule="auto"/>
    </w:pPr>
    <w:rPr>
      <w:rFonts w:ascii="宋体" w:hAnsi="宋体" w:eastAsia="宋体" w:cs="Times New Roman"/>
      <w:color w:val="auto"/>
      <w:kern w:val="0"/>
      <w:sz w:val="24"/>
      <w:szCs w:val="24"/>
    </w:rPr>
  </w:style>
  <w:style w:type="paragraph" w:styleId="32">
    <w:name w:val="annotation subject"/>
    <w:basedOn w:val="12"/>
    <w:next w:val="12"/>
    <w:semiHidden/>
    <w:qFormat/>
    <w:uiPriority w:val="0"/>
    <w:pPr>
      <w:widowControl/>
      <w:spacing w:after="160" w:line="259" w:lineRule="auto"/>
    </w:pPr>
    <w:rPr>
      <w:rFonts w:ascii="Calibri" w:hAnsi="Calibri" w:eastAsia="Times New Roman" w:cs="Calibri"/>
      <w:b/>
      <w:bCs/>
      <w:color w:val="000000"/>
      <w:sz w:val="22"/>
      <w:szCs w:val="22"/>
    </w:rPr>
  </w:style>
  <w:style w:type="paragraph" w:styleId="33">
    <w:name w:val="Body Text First Indent"/>
    <w:basedOn w:val="14"/>
    <w:next w:val="14"/>
    <w:link w:val="57"/>
    <w:uiPriority w:val="0"/>
    <w:pPr>
      <w:widowControl w:val="0"/>
      <w:spacing w:line="240" w:lineRule="auto"/>
      <w:ind w:firstLine="420"/>
      <w:jc w:val="both"/>
    </w:pPr>
    <w:rPr>
      <w:rFonts w:eastAsia="宋体"/>
      <w:color w:val="auto"/>
      <w:kern w:val="0"/>
      <w:sz w:val="20"/>
      <w:szCs w:val="20"/>
    </w:rPr>
  </w:style>
  <w:style w:type="paragraph" w:styleId="34">
    <w:name w:val="Body Text First Indent 2"/>
    <w:basedOn w:val="15"/>
    <w:qFormat/>
    <w:uiPriority w:val="0"/>
    <w:pPr>
      <w:spacing w:after="120" w:line="240" w:lineRule="auto"/>
      <w:ind w:left="200" w:leftChars="200" w:firstLine="200" w:firstLineChars="200"/>
    </w:pPr>
    <w:rPr>
      <w:rFonts w:ascii="Calibri" w:hAnsi="Calibri"/>
      <w:kern w:val="2"/>
      <w:sz w:val="21"/>
      <w:szCs w:val="24"/>
    </w:rPr>
  </w:style>
  <w:style w:type="character" w:styleId="37">
    <w:name w:val="Strong"/>
    <w:qFormat/>
    <w:locked/>
    <w:uiPriority w:val="22"/>
    <w:rPr>
      <w:b/>
      <w:bCs/>
    </w:rPr>
  </w:style>
  <w:style w:type="character" w:styleId="38">
    <w:name w:val="page number"/>
    <w:qFormat/>
    <w:uiPriority w:val="0"/>
  </w:style>
  <w:style w:type="character" w:styleId="39">
    <w:name w:val="FollowedHyperlink"/>
    <w:uiPriority w:val="0"/>
    <w:rPr>
      <w:color w:val="000000"/>
      <w:u w:val="none"/>
    </w:rPr>
  </w:style>
  <w:style w:type="character" w:styleId="40">
    <w:name w:val="Emphasis"/>
    <w:qFormat/>
    <w:locked/>
    <w:uiPriority w:val="0"/>
    <w:rPr>
      <w:i/>
    </w:rPr>
  </w:style>
  <w:style w:type="character" w:styleId="41">
    <w:name w:val="Hyperlink"/>
    <w:uiPriority w:val="0"/>
    <w:rPr>
      <w:rFonts w:cs="Times New Roman"/>
      <w:color w:val="0563C1"/>
      <w:u w:val="single"/>
    </w:rPr>
  </w:style>
  <w:style w:type="character" w:styleId="42">
    <w:name w:val="annotation reference"/>
    <w:semiHidden/>
    <w:qFormat/>
    <w:uiPriority w:val="0"/>
    <w:rPr>
      <w:sz w:val="21"/>
      <w:szCs w:val="21"/>
    </w:rPr>
  </w:style>
  <w:style w:type="character" w:customStyle="1" w:styleId="43">
    <w:name w:val="标题 2 字符"/>
    <w:link w:val="2"/>
    <w:locked/>
    <w:uiPriority w:val="0"/>
    <w:rPr>
      <w:rFonts w:ascii="黑体" w:hAnsi="黑体" w:eastAsia="黑体"/>
      <w:color w:val="000000"/>
      <w:sz w:val="22"/>
    </w:rPr>
  </w:style>
  <w:style w:type="character" w:customStyle="1" w:styleId="44">
    <w:name w:val="标题 1 字符"/>
    <w:link w:val="3"/>
    <w:locked/>
    <w:uiPriority w:val="0"/>
    <w:rPr>
      <w:rFonts w:ascii="黑体" w:hAnsi="黑体" w:eastAsia="黑体"/>
      <w:color w:val="000000"/>
      <w:sz w:val="22"/>
    </w:rPr>
  </w:style>
  <w:style w:type="character" w:customStyle="1" w:styleId="45">
    <w:name w:val="标题 3 字符"/>
    <w:link w:val="4"/>
    <w:qFormat/>
    <w:locked/>
    <w:uiPriority w:val="0"/>
    <w:rPr>
      <w:rFonts w:ascii="黑体" w:hAnsi="黑体" w:eastAsia="黑体"/>
      <w:color w:val="000000"/>
      <w:sz w:val="22"/>
    </w:rPr>
  </w:style>
  <w:style w:type="character" w:customStyle="1" w:styleId="46">
    <w:name w:val="标题 4 字符"/>
    <w:link w:val="5"/>
    <w:qFormat/>
    <w:locked/>
    <w:uiPriority w:val="0"/>
    <w:rPr>
      <w:rFonts w:ascii="黑体" w:hAnsi="黑体" w:eastAsia="黑体"/>
      <w:color w:val="000000"/>
      <w:sz w:val="22"/>
    </w:rPr>
  </w:style>
  <w:style w:type="character" w:customStyle="1" w:styleId="47">
    <w:name w:val="标题 5 字符"/>
    <w:link w:val="6"/>
    <w:locked/>
    <w:uiPriority w:val="0"/>
    <w:rPr>
      <w:rFonts w:ascii="黑体" w:hAnsi="黑体" w:eastAsia="黑体"/>
      <w:color w:val="000000"/>
      <w:sz w:val="22"/>
    </w:rPr>
  </w:style>
  <w:style w:type="character" w:customStyle="1" w:styleId="48">
    <w:name w:val="标题 6 字符"/>
    <w:link w:val="7"/>
    <w:locked/>
    <w:uiPriority w:val="0"/>
    <w:rPr>
      <w:rFonts w:ascii="黑体" w:hAnsi="黑体" w:eastAsia="黑体"/>
      <w:color w:val="000000"/>
      <w:sz w:val="24"/>
    </w:rPr>
  </w:style>
  <w:style w:type="character" w:customStyle="1" w:styleId="49">
    <w:name w:val="标题 7 字符"/>
    <w:link w:val="8"/>
    <w:qFormat/>
    <w:locked/>
    <w:uiPriority w:val="0"/>
    <w:rPr>
      <w:rFonts w:ascii="黑体" w:hAnsi="黑体" w:eastAsia="黑体"/>
      <w:color w:val="000000"/>
      <w:sz w:val="22"/>
    </w:rPr>
  </w:style>
  <w:style w:type="character" w:customStyle="1" w:styleId="50">
    <w:name w:val="正文文本 3 字符"/>
    <w:link w:val="13"/>
    <w:qFormat/>
    <w:uiPriority w:val="0"/>
    <w:rPr>
      <w:rFonts w:ascii="Calibri" w:hAnsi="Calibri" w:eastAsia="Times New Roman" w:cs="Calibri"/>
      <w:color w:val="000000"/>
      <w:kern w:val="2"/>
      <w:sz w:val="16"/>
      <w:szCs w:val="16"/>
    </w:rPr>
  </w:style>
  <w:style w:type="character" w:customStyle="1" w:styleId="51">
    <w:name w:val="正文文本 字符"/>
    <w:link w:val="14"/>
    <w:qFormat/>
    <w:uiPriority w:val="0"/>
    <w:rPr>
      <w:rFonts w:eastAsia="Times New Roman"/>
      <w:color w:val="000000"/>
      <w:kern w:val="2"/>
      <w:sz w:val="22"/>
      <w:szCs w:val="22"/>
    </w:rPr>
  </w:style>
  <w:style w:type="character" w:customStyle="1" w:styleId="52">
    <w:name w:val="正文文本缩进 字符"/>
    <w:link w:val="15"/>
    <w:qFormat/>
    <w:uiPriority w:val="0"/>
    <w:rPr>
      <w:rFonts w:eastAsia="宋体"/>
      <w:kern w:val="2"/>
      <w:sz w:val="21"/>
      <w:lang w:val="en-US" w:eastAsia="zh-CN" w:bidi="ar-SA"/>
    </w:rPr>
  </w:style>
  <w:style w:type="character" w:customStyle="1" w:styleId="53">
    <w:name w:val="纯文本 字符"/>
    <w:link w:val="19"/>
    <w:qFormat/>
    <w:uiPriority w:val="0"/>
    <w:rPr>
      <w:rFonts w:ascii="宋体" w:hAnsi="Courier New" w:cs="Courier New"/>
      <w:szCs w:val="21"/>
    </w:rPr>
  </w:style>
  <w:style w:type="character" w:customStyle="1" w:styleId="54">
    <w:name w:val="页脚 字符"/>
    <w:link w:val="23"/>
    <w:qFormat/>
    <w:uiPriority w:val="0"/>
    <w:rPr>
      <w:kern w:val="2"/>
      <w:sz w:val="18"/>
    </w:rPr>
  </w:style>
  <w:style w:type="character" w:customStyle="1" w:styleId="55">
    <w:name w:val="页眉 字符"/>
    <w:link w:val="24"/>
    <w:qFormat/>
    <w:uiPriority w:val="0"/>
    <w:rPr>
      <w:kern w:val="2"/>
      <w:sz w:val="18"/>
    </w:rPr>
  </w:style>
  <w:style w:type="character" w:customStyle="1" w:styleId="56">
    <w:name w:val="正文文本 2 字符"/>
    <w:link w:val="30"/>
    <w:qFormat/>
    <w:uiPriority w:val="0"/>
  </w:style>
  <w:style w:type="character" w:customStyle="1" w:styleId="57">
    <w:name w:val="正文文本首行缩进 字符"/>
    <w:link w:val="33"/>
    <w:qFormat/>
    <w:uiPriority w:val="0"/>
    <w:rPr>
      <w:rFonts w:eastAsia="宋体"/>
      <w:lang w:bidi="ar-SA"/>
    </w:rPr>
  </w:style>
  <w:style w:type="character" w:customStyle="1" w:styleId="58">
    <w:name w:val="times"/>
    <w:qFormat/>
    <w:uiPriority w:val="0"/>
    <w:rPr>
      <w:color w:val="CDCDCD"/>
      <w:bdr w:val="single" w:color="CDCDCD" w:sz="6" w:space="0"/>
      <w:shd w:val="clear" w:color="auto" w:fill="EFEFEF"/>
    </w:rPr>
  </w:style>
  <w:style w:type="character" w:customStyle="1" w:styleId="59">
    <w:name w:val="正文文本 2 Char1"/>
    <w:qFormat/>
    <w:uiPriority w:val="0"/>
    <w:rPr>
      <w:rFonts w:ascii="Calibri" w:hAnsi="Calibri" w:eastAsia="Times New Roman" w:cs="Calibri"/>
      <w:color w:val="000000"/>
      <w:kern w:val="2"/>
      <w:sz w:val="22"/>
      <w:szCs w:val="22"/>
    </w:rPr>
  </w:style>
  <w:style w:type="character" w:customStyle="1" w:styleId="60">
    <w:name w:val="纯文本 Char1"/>
    <w:qFormat/>
    <w:uiPriority w:val="0"/>
    <w:rPr>
      <w:rFonts w:ascii="宋体" w:hAnsi="Courier New" w:cs="Courier New"/>
      <w:color w:val="000000"/>
      <w:kern w:val="2"/>
      <w:sz w:val="21"/>
      <w:szCs w:val="21"/>
    </w:rPr>
  </w:style>
  <w:style w:type="character" w:customStyle="1" w:styleId="61">
    <w:name w:val="hover42"/>
    <w:qFormat/>
    <w:uiPriority w:val="0"/>
  </w:style>
  <w:style w:type="character" w:customStyle="1" w:styleId="62">
    <w:name w:val="hover35"/>
    <w:qFormat/>
    <w:uiPriority w:val="0"/>
  </w:style>
  <w:style w:type="character" w:customStyle="1" w:styleId="63">
    <w:name w:val="hover34"/>
    <w:qFormat/>
    <w:uiPriority w:val="0"/>
  </w:style>
  <w:style w:type="character" w:customStyle="1" w:styleId="64">
    <w:name w:val="hover37"/>
    <w:qFormat/>
    <w:uiPriority w:val="0"/>
  </w:style>
  <w:style w:type="character" w:customStyle="1" w:styleId="65">
    <w:name w:val="times1"/>
    <w:qFormat/>
    <w:uiPriority w:val="0"/>
    <w:rPr>
      <w:color w:val="3399FF"/>
      <w:bdr w:val="single" w:color="D1EDF8" w:sz="6" w:space="0"/>
      <w:shd w:val="clear" w:color="auto" w:fill="EAF9FF"/>
    </w:rPr>
  </w:style>
  <w:style w:type="paragraph" w:customStyle="1" w:styleId="66">
    <w:name w:val="表格文字"/>
    <w:basedOn w:val="1"/>
    <w:next w:val="1"/>
    <w:qFormat/>
    <w:uiPriority w:val="0"/>
    <w:pPr>
      <w:snapToGrid w:val="0"/>
      <w:spacing w:line="360" w:lineRule="atLeast"/>
      <w:jc w:val="center"/>
    </w:pPr>
    <w:rPr>
      <w:rFonts w:ascii="宋体" w:eastAsia="幼圆"/>
      <w:szCs w:val="20"/>
    </w:rPr>
  </w:style>
  <w:style w:type="paragraph" w:customStyle="1" w:styleId="67">
    <w:name w:val="_Style 58"/>
    <w:basedOn w:val="1"/>
    <w:qFormat/>
    <w:uiPriority w:val="0"/>
    <w:pPr>
      <w:spacing w:line="240" w:lineRule="exact"/>
    </w:pPr>
    <w:rPr>
      <w:rFonts w:eastAsia="楷体_GB2312"/>
      <w:color w:val="auto"/>
      <w:sz w:val="21"/>
      <w:szCs w:val="20"/>
    </w:rPr>
  </w:style>
  <w:style w:type="paragraph" w:customStyle="1" w:styleId="68">
    <w:name w:val="_Style 2"/>
    <w:basedOn w:val="1"/>
    <w:qFormat/>
    <w:uiPriority w:val="0"/>
    <w:pPr>
      <w:ind w:firstLine="420" w:firstLineChars="200"/>
    </w:pPr>
  </w:style>
  <w:style w:type="paragraph" w:customStyle="1" w:styleId="69">
    <w:name w:val="正文2"/>
    <w:basedOn w:val="13"/>
    <w:next w:val="1"/>
    <w:qFormat/>
    <w:uiPriority w:val="0"/>
    <w:pPr>
      <w:widowControl w:val="0"/>
      <w:spacing w:after="0" w:line="360" w:lineRule="auto"/>
    </w:pPr>
    <w:rPr>
      <w:rFonts w:ascii="Times New Roman" w:hAnsi="Times New Roman" w:eastAsia="宋体" w:cs="Times New Roman"/>
      <w:color w:val="auto"/>
      <w:sz w:val="24"/>
      <w:szCs w:val="20"/>
    </w:rPr>
  </w:style>
  <w:style w:type="paragraph" w:customStyle="1" w:styleId="7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1">
    <w:name w:val="正文 New"/>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72">
    <w:name w:val="List Paragraph"/>
    <w:basedOn w:val="1"/>
    <w:qFormat/>
    <w:uiPriority w:val="0"/>
    <w:pPr>
      <w:widowControl w:val="0"/>
      <w:spacing w:after="0" w:line="240" w:lineRule="auto"/>
      <w:ind w:firstLine="420" w:firstLineChars="200"/>
      <w:jc w:val="both"/>
    </w:pPr>
    <w:rPr>
      <w:rFonts w:ascii="Calibri" w:hAnsi="Calibri" w:eastAsia="宋体" w:cs="Calibri"/>
      <w:color w:val="auto"/>
      <w:sz w:val="21"/>
      <w:szCs w:val="21"/>
    </w:rPr>
  </w:style>
  <w:style w:type="paragraph" w:customStyle="1" w:styleId="7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文二"/>
    <w:basedOn w:val="1"/>
    <w:qFormat/>
    <w:uiPriority w:val="0"/>
    <w:pPr>
      <w:widowControl w:val="0"/>
      <w:spacing w:after="0" w:line="240" w:lineRule="auto"/>
    </w:pPr>
    <w:rPr>
      <w:rFonts w:ascii="宋体" w:hAnsi="宋体" w:eastAsia="宋体" w:cs="Times New Roman"/>
      <w:color w:val="auto"/>
      <w:sz w:val="21"/>
      <w:szCs w:val="21"/>
    </w:rPr>
  </w:style>
  <w:style w:type="paragraph" w:customStyle="1" w:styleId="75">
    <w:name w:val="正文文本1"/>
    <w:basedOn w:val="76"/>
    <w:qFormat/>
    <w:uiPriority w:val="0"/>
    <w:pPr>
      <w:spacing w:after="120"/>
    </w:pPr>
  </w:style>
  <w:style w:type="paragraph" w:customStyle="1" w:styleId="76">
    <w:name w:val="正文1"/>
    <w:next w:val="77"/>
    <w:qFormat/>
    <w:uiPriority w:val="0"/>
    <w:pPr>
      <w:spacing w:after="160" w:line="259" w:lineRule="auto"/>
    </w:pPr>
    <w:rPr>
      <w:rFonts w:ascii="Times New Roman" w:hAnsi="Times New Roman" w:eastAsia="Times New Roman" w:cs="Times New Roman"/>
      <w:color w:val="000000"/>
      <w:sz w:val="22"/>
      <w:szCs w:val="22"/>
      <w:lang w:val="en-US" w:eastAsia="zh-CN" w:bidi="ar-SA"/>
    </w:rPr>
  </w:style>
  <w:style w:type="paragraph" w:customStyle="1" w:styleId="77">
    <w:name w:val="正文首行缩进1"/>
    <w:basedOn w:val="75"/>
    <w:qFormat/>
    <w:uiPriority w:val="0"/>
    <w:pPr>
      <w:widowControl w:val="0"/>
      <w:spacing w:line="240" w:lineRule="auto"/>
      <w:ind w:firstLine="420"/>
      <w:jc w:val="both"/>
    </w:pPr>
    <w:rPr>
      <w:rFonts w:eastAsia="宋体"/>
      <w:color w:val="000000"/>
      <w:sz w:val="20"/>
      <w:szCs w:val="20"/>
    </w:rPr>
  </w:style>
  <w:style w:type="paragraph" w:customStyle="1" w:styleId="78">
    <w:name w:val="文一"/>
    <w:basedOn w:val="1"/>
    <w:qFormat/>
    <w:uiPriority w:val="0"/>
    <w:pPr>
      <w:widowControl w:val="0"/>
      <w:topLinePunct/>
      <w:adjustRightInd w:val="0"/>
      <w:snapToGrid w:val="0"/>
      <w:spacing w:after="0" w:line="360" w:lineRule="auto"/>
      <w:ind w:firstLine="200" w:firstLineChars="200"/>
      <w:jc w:val="both"/>
    </w:pPr>
    <w:rPr>
      <w:rFonts w:ascii="Times New Roman" w:hAnsi="Times New Roman" w:eastAsia="宋体" w:cs="Times New Roman"/>
      <w:snapToGrid w:val="0"/>
      <w:color w:val="auto"/>
      <w:spacing w:val="4"/>
      <w:kern w:val="0"/>
      <w:sz w:val="24"/>
      <w:szCs w:val="24"/>
    </w:rPr>
  </w:style>
  <w:style w:type="paragraph" w:customStyle="1" w:styleId="79">
    <w:name w:val="发文落款"/>
    <w:basedOn w:val="70"/>
    <w:qFormat/>
    <w:uiPriority w:val="0"/>
    <w:pPr>
      <w:ind w:left="4094" w:right="607" w:firstLine="0"/>
      <w:jc w:val="center"/>
    </w:pPr>
  </w:style>
  <w:style w:type="paragraph" w:customStyle="1" w:styleId="8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1">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82">
    <w:name w:val="Char Char Char Char"/>
    <w:basedOn w:val="1"/>
    <w:qFormat/>
    <w:uiPriority w:val="0"/>
    <w:pPr>
      <w:widowControl w:val="0"/>
      <w:spacing w:after="0" w:line="240" w:lineRule="auto"/>
      <w:jc w:val="both"/>
    </w:pPr>
    <w:rPr>
      <w:rFonts w:ascii="Times New Roman" w:hAnsi="Times New Roman" w:eastAsia="宋体" w:cs="Times New Roman"/>
      <w:color w:val="auto"/>
      <w:sz w:val="30"/>
      <w:szCs w:val="24"/>
    </w:rPr>
  </w:style>
  <w:style w:type="paragraph" w:customStyle="1" w:styleId="83">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正题"/>
    <w:basedOn w:val="78"/>
    <w:next w:val="78"/>
    <w:qFormat/>
    <w:uiPriority w:val="0"/>
    <w:pPr>
      <w:ind w:firstLine="0" w:firstLineChars="0"/>
      <w:jc w:val="center"/>
    </w:pPr>
    <w:rPr>
      <w:rFonts w:eastAsia="黑体"/>
      <w:b/>
      <w:sz w:val="36"/>
      <w:szCs w:val="36"/>
    </w:rPr>
  </w:style>
  <w:style w:type="paragraph" w:customStyle="1" w:styleId="85">
    <w:name w:val="Heading 3"/>
    <w:basedOn w:val="1"/>
    <w:unhideWhenUsed/>
    <w:qFormat/>
    <w:uiPriority w:val="1"/>
    <w:pPr>
      <w:widowControl w:val="0"/>
      <w:autoSpaceDE w:val="0"/>
      <w:autoSpaceDN w:val="0"/>
      <w:spacing w:after="0" w:line="240" w:lineRule="auto"/>
      <w:ind w:left="237"/>
      <w:outlineLvl w:val="2"/>
    </w:pPr>
    <w:rPr>
      <w:rFonts w:hint="eastAsia" w:ascii="宋体" w:hAnsi="宋体" w:eastAsia="宋体" w:cs="Times New Roman"/>
      <w:color w:val="auto"/>
      <w:kern w:val="0"/>
      <w:sz w:val="28"/>
      <w:szCs w:val="20"/>
    </w:rPr>
  </w:style>
  <w:style w:type="paragraph" w:customStyle="1" w:styleId="86">
    <w:name w:val="我的正文"/>
    <w:basedOn w:val="1"/>
    <w:next w:val="1"/>
    <w:qFormat/>
    <w:uiPriority w:val="0"/>
    <w:pPr>
      <w:widowControl w:val="0"/>
      <w:spacing w:after="0" w:line="360" w:lineRule="auto"/>
      <w:ind w:firstLine="480" w:firstLineChars="200"/>
      <w:jc w:val="both"/>
    </w:pPr>
    <w:rPr>
      <w:rFonts w:ascii="Times New Roman" w:hAnsi="Times New Roman" w:eastAsia="宋体" w:cs="Times New Roman"/>
      <w:color w:val="FF0000"/>
      <w:sz w:val="24"/>
      <w:szCs w:val="24"/>
    </w:rPr>
  </w:style>
  <w:style w:type="paragraph" w:customStyle="1" w:styleId="87">
    <w:name w:val="Table Paragraph"/>
    <w:basedOn w:val="1"/>
    <w:unhideWhenUsed/>
    <w:qFormat/>
    <w:uiPriority w:val="1"/>
    <w:pPr>
      <w:widowControl w:val="0"/>
      <w:autoSpaceDE w:val="0"/>
      <w:autoSpaceDN w:val="0"/>
      <w:spacing w:after="0" w:line="240" w:lineRule="auto"/>
    </w:pPr>
    <w:rPr>
      <w:rFonts w:ascii="Times New Roman" w:hAnsi="Times New Roman" w:eastAsia="宋体" w:cs="Times New Roman"/>
      <w:color w:val="auto"/>
      <w:kern w:val="0"/>
      <w:sz w:val="20"/>
      <w:szCs w:val="20"/>
    </w:rPr>
  </w:style>
  <w:style w:type="paragraph" w:customStyle="1" w:styleId="88">
    <w:name w:val="BodyText"/>
    <w:basedOn w:val="1"/>
    <w:qFormat/>
    <w:uiPriority w:val="0"/>
    <w:pPr>
      <w:spacing w:after="120"/>
    </w:pPr>
    <w:rPr>
      <w:rFonts w:ascii="Times New Roman" w:hAnsi="Times New Roman"/>
      <w:kern w:val="0"/>
      <w:sz w:val="20"/>
      <w:szCs w:val="20"/>
    </w:rPr>
  </w:style>
  <w:style w:type="paragraph" w:customStyle="1" w:styleId="89">
    <w:name w:val="_Style 88"/>
    <w:semiHidden/>
    <w:qFormat/>
    <w:uiPriority w:val="99"/>
    <w:rPr>
      <w:rFonts w:ascii="Times New Roman" w:hAnsi="Times New Roman" w:eastAsia="Times New Roman" w:cs="Times New Roman"/>
      <w:color w:val="000000"/>
      <w:kern w:val="2"/>
      <w:sz w:val="22"/>
      <w:szCs w:val="22"/>
      <w:lang w:val="en-US" w:eastAsia="zh-CN" w:bidi="ar-SA"/>
    </w:rPr>
  </w:style>
  <w:style w:type="paragraph" w:customStyle="1" w:styleId="90">
    <w:name w:val="Blockquote"/>
    <w:basedOn w:val="1"/>
    <w:qFormat/>
    <w:uiPriority w:val="0"/>
    <w:pPr>
      <w:widowControl w:val="0"/>
      <w:autoSpaceDE w:val="0"/>
      <w:autoSpaceDN w:val="0"/>
      <w:adjustRightInd w:val="0"/>
      <w:spacing w:before="100" w:after="100" w:line="240" w:lineRule="auto"/>
      <w:ind w:left="360" w:right="360"/>
    </w:pPr>
    <w:rPr>
      <w:rFonts w:ascii="Times New Roman" w:hAnsi="Times New Roman" w:eastAsia="宋体" w:cs="Times New Roman"/>
      <w:color w:val="auto"/>
      <w:kern w:val="0"/>
      <w:sz w:val="24"/>
      <w:szCs w:val="20"/>
    </w:rPr>
  </w:style>
  <w:style w:type="paragraph" w:customStyle="1" w:styleId="91">
    <w:name w:val="标题 11"/>
    <w:basedOn w:val="76"/>
    <w:next w:val="76"/>
    <w:qFormat/>
    <w:uiPriority w:val="0"/>
    <w:pPr>
      <w:keepNext/>
      <w:keepLines/>
      <w:spacing w:after="573" w:line="265" w:lineRule="auto"/>
      <w:ind w:left="10" w:right="122" w:hanging="10"/>
      <w:jc w:val="center"/>
      <w:outlineLvl w:val="0"/>
    </w:pPr>
    <w:rPr>
      <w:rFonts w:ascii="黑体" w:hAnsi="黑体" w:eastAsia="黑体"/>
      <w:sz w:val="20"/>
      <w:szCs w:val="20"/>
    </w:rPr>
  </w:style>
  <w:style w:type="paragraph" w:customStyle="1" w:styleId="92">
    <w:name w:val="_Style 4"/>
    <w:basedOn w:val="11"/>
    <w:qFormat/>
    <w:uiPriority w:val="0"/>
    <w:rPr>
      <w:rFonts w:ascii="Tahoma" w:hAnsi="Tahoma"/>
      <w:sz w:val="24"/>
      <w:szCs w:val="24"/>
    </w:rPr>
  </w:style>
  <w:style w:type="table" w:customStyle="1" w:styleId="93">
    <w:name w:val="TableGrid"/>
    <w:qFormat/>
    <w:uiPriority w:val="0"/>
    <w:rPr>
      <w:kern w:val="2"/>
      <w:sz w:val="21"/>
      <w:szCs w:val="22"/>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26935</Words>
  <Characters>28363</Characters>
  <Lines>235</Lines>
  <Paragraphs>66</Paragraphs>
  <TotalTime>37</TotalTime>
  <ScaleCrop>false</ScaleCrop>
  <LinksUpToDate>false</LinksUpToDate>
  <CharactersWithSpaces>30462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2023-06-02T07:26:00Z</dcterms:created>
  <dc:creator>袁静</dc:creator>
  <cp:lastModifiedBy>AA</cp:lastModifiedBy>
  <cp:lastPrinted>2020-11-27T08:21:00Z</cp:lastPrinted>
  <dcterms:modified xsi:type="dcterms:W3CDTF">2023-06-12T16:01:13Z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9C963F97F0EE4CAD82CD88F01EC1FF4D_13</vt:lpwstr>
  </property>
</Properties>
</file>