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8" w:firstLineChars="45"/>
        <w:jc w:val="center"/>
        <w:rPr>
          <w:rFonts w:ascii="黑体" w:hAnsi="黑体" w:eastAsia="黑体"/>
          <w:sz w:val="44"/>
          <w:szCs w:val="44"/>
        </w:rPr>
      </w:pPr>
    </w:p>
    <w:p>
      <w:pPr>
        <w:ind w:firstLine="198" w:firstLineChars="45"/>
        <w:jc w:val="center"/>
        <w:rPr>
          <w:rFonts w:ascii="黑体" w:hAnsi="黑体" w:eastAsia="黑体"/>
          <w:sz w:val="44"/>
          <w:szCs w:val="44"/>
        </w:rPr>
      </w:pPr>
    </w:p>
    <w:p>
      <w:pPr>
        <w:ind w:firstLine="216" w:firstLineChars="45"/>
        <w:jc w:val="center"/>
        <w:rPr>
          <w:rFonts w:hint="eastAsia" w:ascii="黑体" w:hAnsi="黑体" w:eastAsia="黑体"/>
          <w:sz w:val="48"/>
          <w:szCs w:val="48"/>
        </w:rPr>
      </w:pPr>
      <w:r>
        <w:rPr>
          <w:rFonts w:hint="eastAsia" w:ascii="黑体" w:hAnsi="黑体" w:eastAsia="黑体"/>
          <w:sz w:val="48"/>
          <w:szCs w:val="48"/>
        </w:rPr>
        <w:t>荔湾区桥梓大街南侧地块</w:t>
      </w:r>
      <w:r>
        <w:rPr>
          <w:rFonts w:hint="eastAsia" w:ascii="黑体" w:hAnsi="黑体" w:eastAsia="黑体"/>
          <w:sz w:val="48"/>
          <w:szCs w:val="48"/>
          <w:lang w:val="en-US" w:eastAsia="zh-CN"/>
        </w:rPr>
        <w:t>项目</w:t>
      </w:r>
      <w:r>
        <w:rPr>
          <w:rFonts w:hint="eastAsia" w:ascii="黑体" w:hAnsi="黑体" w:eastAsia="黑体"/>
          <w:sz w:val="48"/>
          <w:szCs w:val="48"/>
        </w:rPr>
        <w:t>土壤</w:t>
      </w:r>
    </w:p>
    <w:p>
      <w:pPr>
        <w:ind w:firstLine="216" w:firstLineChars="45"/>
        <w:jc w:val="center"/>
        <w:rPr>
          <w:sz w:val="30"/>
          <w:szCs w:val="30"/>
        </w:rPr>
      </w:pPr>
      <w:r>
        <w:rPr>
          <w:rFonts w:hint="eastAsia" w:ascii="黑体" w:hAnsi="黑体" w:eastAsia="黑体"/>
          <w:sz w:val="48"/>
          <w:szCs w:val="48"/>
        </w:rPr>
        <w:t>污染治理与修复项目</w:t>
      </w:r>
    </w:p>
    <w:p>
      <w:pPr>
        <w:spacing w:line="200" w:lineRule="exact"/>
        <w:ind w:firstLine="480"/>
        <w:rPr>
          <w:sz w:val="24"/>
          <w:szCs w:val="24"/>
        </w:rPr>
      </w:pPr>
      <w:r>
        <w:rPr>
          <w:sz w:val="24"/>
          <w:szCs w:val="24"/>
        </w:rPr>
        <w:t xml:space="preserve"> </w:t>
      </w:r>
    </w:p>
    <w:p>
      <w:pPr>
        <w:spacing w:line="200" w:lineRule="exact"/>
        <w:ind w:firstLine="480"/>
        <w:rPr>
          <w:sz w:val="24"/>
          <w:szCs w:val="24"/>
        </w:rPr>
      </w:pPr>
      <w:r>
        <w:rPr>
          <w:sz w:val="24"/>
          <w:szCs w:val="24"/>
        </w:rPr>
        <w:t xml:space="preserve"> </w:t>
      </w:r>
    </w:p>
    <w:p>
      <w:pPr>
        <w:spacing w:line="200" w:lineRule="exact"/>
        <w:ind w:firstLine="480"/>
        <w:rPr>
          <w:sz w:val="24"/>
          <w:szCs w:val="24"/>
        </w:rPr>
      </w:pPr>
    </w:p>
    <w:p>
      <w:pPr>
        <w:spacing w:line="200" w:lineRule="exact"/>
        <w:ind w:firstLine="480"/>
        <w:rPr>
          <w:sz w:val="24"/>
          <w:szCs w:val="24"/>
        </w:rPr>
      </w:pPr>
    </w:p>
    <w:p>
      <w:pPr>
        <w:spacing w:line="200" w:lineRule="exact"/>
        <w:ind w:firstLine="480"/>
        <w:rPr>
          <w:sz w:val="24"/>
          <w:szCs w:val="24"/>
        </w:rPr>
      </w:pPr>
    </w:p>
    <w:p>
      <w:pPr>
        <w:spacing w:line="200" w:lineRule="exact"/>
        <w:ind w:firstLine="480"/>
        <w:rPr>
          <w:sz w:val="24"/>
          <w:szCs w:val="24"/>
        </w:rPr>
      </w:pPr>
    </w:p>
    <w:p>
      <w:pPr>
        <w:spacing w:line="200" w:lineRule="exact"/>
        <w:ind w:firstLine="480"/>
        <w:rPr>
          <w:sz w:val="24"/>
          <w:szCs w:val="24"/>
        </w:rPr>
      </w:pPr>
    </w:p>
    <w:p>
      <w:pPr>
        <w:spacing w:line="200" w:lineRule="exact"/>
        <w:ind w:firstLine="480"/>
        <w:rPr>
          <w:sz w:val="24"/>
          <w:szCs w:val="24"/>
        </w:rPr>
      </w:pPr>
    </w:p>
    <w:p>
      <w:pPr>
        <w:spacing w:line="200" w:lineRule="exact"/>
        <w:ind w:firstLine="480"/>
        <w:rPr>
          <w:sz w:val="24"/>
          <w:szCs w:val="24"/>
        </w:rPr>
      </w:pPr>
    </w:p>
    <w:p>
      <w:pPr>
        <w:spacing w:line="200" w:lineRule="exact"/>
        <w:ind w:firstLine="480"/>
        <w:rPr>
          <w:sz w:val="24"/>
          <w:szCs w:val="24"/>
        </w:rPr>
      </w:pPr>
    </w:p>
    <w:p>
      <w:pPr>
        <w:spacing w:line="200" w:lineRule="exact"/>
        <w:ind w:firstLine="480"/>
        <w:rPr>
          <w:sz w:val="24"/>
          <w:szCs w:val="24"/>
        </w:rPr>
      </w:pPr>
    </w:p>
    <w:p>
      <w:pPr>
        <w:spacing w:line="200" w:lineRule="exact"/>
        <w:ind w:firstLine="480"/>
        <w:rPr>
          <w:sz w:val="24"/>
          <w:szCs w:val="24"/>
        </w:rPr>
      </w:pPr>
    </w:p>
    <w:p>
      <w:pPr>
        <w:spacing w:line="200" w:lineRule="exact"/>
        <w:ind w:firstLine="480"/>
        <w:rPr>
          <w:sz w:val="24"/>
          <w:szCs w:val="24"/>
        </w:rPr>
      </w:pPr>
      <w:r>
        <w:rPr>
          <w:sz w:val="24"/>
          <w:szCs w:val="24"/>
        </w:rPr>
        <w:t xml:space="preserve"> </w:t>
      </w:r>
    </w:p>
    <w:p>
      <w:pPr>
        <w:spacing w:line="822" w:lineRule="exact"/>
        <w:ind w:right="60" w:firstLine="151" w:firstLineChars="27"/>
        <w:jc w:val="center"/>
        <w:rPr>
          <w:rFonts w:ascii="黑体" w:hAnsi="黑体" w:eastAsia="黑体"/>
          <w:sz w:val="56"/>
          <w:szCs w:val="56"/>
        </w:rPr>
      </w:pPr>
      <w:r>
        <w:rPr>
          <w:rFonts w:hint="eastAsia" w:ascii="黑体" w:hAnsi="黑体" w:eastAsia="黑体"/>
          <w:sz w:val="56"/>
          <w:szCs w:val="56"/>
        </w:rPr>
        <w:t>招标公告</w:t>
      </w:r>
    </w:p>
    <w:p>
      <w:pPr>
        <w:spacing w:line="200" w:lineRule="exact"/>
        <w:ind w:firstLine="480"/>
        <w:rPr>
          <w:sz w:val="24"/>
          <w:szCs w:val="24"/>
        </w:rPr>
      </w:pPr>
      <w:r>
        <w:rPr>
          <w:sz w:val="24"/>
          <w:szCs w:val="24"/>
        </w:rPr>
        <w:t xml:space="preserve"> </w:t>
      </w:r>
    </w:p>
    <w:p>
      <w:pPr>
        <w:spacing w:line="365" w:lineRule="exact"/>
        <w:ind w:right="60" w:firstLine="602"/>
        <w:jc w:val="center"/>
        <w:rPr>
          <w:rFonts w:ascii="宋体" w:hAnsi="宋体"/>
          <w:b/>
          <w:bCs/>
          <w:sz w:val="30"/>
          <w:szCs w:val="30"/>
        </w:rPr>
      </w:pPr>
    </w:p>
    <w:p>
      <w:pPr>
        <w:spacing w:line="365" w:lineRule="exact"/>
        <w:ind w:right="60" w:firstLine="602"/>
        <w:jc w:val="center"/>
        <w:rPr>
          <w:b/>
          <w:bCs/>
          <w:sz w:val="30"/>
          <w:szCs w:val="30"/>
        </w:rPr>
      </w:pPr>
    </w:p>
    <w:p>
      <w:pPr>
        <w:spacing w:line="200" w:lineRule="exact"/>
        <w:ind w:firstLine="480"/>
        <w:rPr>
          <w:sz w:val="24"/>
          <w:szCs w:val="24"/>
        </w:rPr>
      </w:pPr>
      <w:r>
        <w:rPr>
          <w:sz w:val="24"/>
          <w:szCs w:val="24"/>
        </w:rPr>
        <w:t xml:space="preserve"> </w:t>
      </w:r>
    </w:p>
    <w:p>
      <w:pPr>
        <w:spacing w:line="200" w:lineRule="exact"/>
        <w:ind w:firstLine="480"/>
        <w:rPr>
          <w:sz w:val="24"/>
          <w:szCs w:val="24"/>
        </w:rPr>
      </w:pPr>
      <w:r>
        <w:rPr>
          <w:sz w:val="24"/>
          <w:szCs w:val="24"/>
        </w:rPr>
        <w:t xml:space="preserve"> </w:t>
      </w:r>
    </w:p>
    <w:p>
      <w:pPr>
        <w:spacing w:line="200" w:lineRule="exact"/>
        <w:ind w:firstLine="480"/>
        <w:rPr>
          <w:sz w:val="24"/>
          <w:szCs w:val="24"/>
        </w:rPr>
      </w:pPr>
      <w:r>
        <w:rPr>
          <w:sz w:val="24"/>
          <w:szCs w:val="24"/>
        </w:rPr>
        <w:t xml:space="preserve"> </w:t>
      </w:r>
    </w:p>
    <w:p>
      <w:pPr>
        <w:spacing w:line="200" w:lineRule="exact"/>
        <w:ind w:firstLine="480"/>
        <w:rPr>
          <w:sz w:val="24"/>
          <w:szCs w:val="24"/>
        </w:rPr>
      </w:pPr>
      <w:r>
        <w:rPr>
          <w:sz w:val="24"/>
          <w:szCs w:val="24"/>
        </w:rPr>
        <w:t xml:space="preserve"> </w:t>
      </w:r>
    </w:p>
    <w:p>
      <w:pPr>
        <w:spacing w:line="200" w:lineRule="exact"/>
        <w:ind w:firstLine="480"/>
        <w:rPr>
          <w:sz w:val="24"/>
          <w:szCs w:val="24"/>
        </w:rPr>
      </w:pPr>
      <w:r>
        <w:rPr>
          <w:sz w:val="24"/>
          <w:szCs w:val="24"/>
        </w:rPr>
        <w:t xml:space="preserve"> </w:t>
      </w:r>
    </w:p>
    <w:p>
      <w:pPr>
        <w:spacing w:line="200" w:lineRule="exact"/>
        <w:ind w:firstLine="480"/>
        <w:rPr>
          <w:sz w:val="24"/>
          <w:szCs w:val="24"/>
        </w:rPr>
      </w:pPr>
      <w:r>
        <w:rPr>
          <w:sz w:val="24"/>
          <w:szCs w:val="24"/>
        </w:rPr>
        <w:t xml:space="preserve"> </w:t>
      </w:r>
    </w:p>
    <w:p>
      <w:pPr>
        <w:spacing w:line="200" w:lineRule="exact"/>
        <w:ind w:firstLine="480"/>
        <w:rPr>
          <w:sz w:val="24"/>
          <w:szCs w:val="24"/>
        </w:rPr>
      </w:pPr>
      <w:r>
        <w:rPr>
          <w:sz w:val="24"/>
          <w:szCs w:val="24"/>
        </w:rPr>
        <w:t xml:space="preserve"> </w:t>
      </w:r>
    </w:p>
    <w:p>
      <w:pPr>
        <w:spacing w:line="200" w:lineRule="exact"/>
        <w:ind w:firstLine="480"/>
        <w:rPr>
          <w:sz w:val="24"/>
          <w:szCs w:val="24"/>
        </w:rPr>
      </w:pPr>
      <w:r>
        <w:rPr>
          <w:sz w:val="24"/>
          <w:szCs w:val="24"/>
        </w:rPr>
        <w:t xml:space="preserve"> </w:t>
      </w:r>
    </w:p>
    <w:p>
      <w:pPr>
        <w:spacing w:line="200" w:lineRule="exact"/>
        <w:ind w:firstLine="480"/>
        <w:rPr>
          <w:sz w:val="24"/>
          <w:szCs w:val="24"/>
        </w:rPr>
      </w:pPr>
    </w:p>
    <w:p>
      <w:pPr>
        <w:spacing w:line="200" w:lineRule="exact"/>
        <w:ind w:firstLine="480"/>
        <w:rPr>
          <w:sz w:val="24"/>
          <w:szCs w:val="24"/>
        </w:rPr>
      </w:pPr>
    </w:p>
    <w:p>
      <w:pPr>
        <w:spacing w:line="200" w:lineRule="exact"/>
        <w:ind w:firstLine="480"/>
        <w:rPr>
          <w:sz w:val="24"/>
          <w:szCs w:val="24"/>
        </w:rPr>
      </w:pPr>
    </w:p>
    <w:p>
      <w:pPr>
        <w:spacing w:line="200" w:lineRule="exact"/>
        <w:ind w:firstLine="480"/>
        <w:rPr>
          <w:sz w:val="24"/>
          <w:szCs w:val="24"/>
        </w:rPr>
      </w:pPr>
    </w:p>
    <w:p>
      <w:pPr>
        <w:spacing w:line="200" w:lineRule="exact"/>
        <w:ind w:firstLine="480"/>
        <w:rPr>
          <w:sz w:val="24"/>
          <w:szCs w:val="24"/>
        </w:rPr>
      </w:pPr>
    </w:p>
    <w:p>
      <w:pPr>
        <w:spacing w:line="200" w:lineRule="exact"/>
        <w:ind w:firstLine="480"/>
        <w:rPr>
          <w:sz w:val="24"/>
          <w:szCs w:val="24"/>
        </w:rPr>
      </w:pPr>
    </w:p>
    <w:p>
      <w:pPr>
        <w:spacing w:line="200" w:lineRule="exact"/>
        <w:ind w:firstLine="480"/>
        <w:rPr>
          <w:sz w:val="24"/>
          <w:szCs w:val="24"/>
        </w:rPr>
      </w:pPr>
    </w:p>
    <w:p>
      <w:pPr>
        <w:spacing w:line="200" w:lineRule="exact"/>
        <w:ind w:firstLine="480"/>
        <w:rPr>
          <w:sz w:val="24"/>
          <w:szCs w:val="24"/>
        </w:rPr>
      </w:pPr>
    </w:p>
    <w:p>
      <w:pPr>
        <w:spacing w:line="200" w:lineRule="exact"/>
        <w:ind w:firstLine="480"/>
        <w:rPr>
          <w:sz w:val="24"/>
          <w:szCs w:val="24"/>
        </w:rPr>
      </w:pPr>
      <w:r>
        <w:rPr>
          <w:sz w:val="24"/>
          <w:szCs w:val="24"/>
        </w:rPr>
        <w:t xml:space="preserve"> </w:t>
      </w:r>
    </w:p>
    <w:p>
      <w:pPr>
        <w:spacing w:line="200" w:lineRule="exact"/>
        <w:ind w:firstLine="480"/>
        <w:rPr>
          <w:sz w:val="24"/>
          <w:szCs w:val="24"/>
        </w:rPr>
      </w:pPr>
      <w:r>
        <w:rPr>
          <w:sz w:val="24"/>
          <w:szCs w:val="24"/>
        </w:rPr>
        <w:t xml:space="preserve"> </w:t>
      </w:r>
    </w:p>
    <w:p>
      <w:pPr>
        <w:spacing w:line="200" w:lineRule="exact"/>
        <w:ind w:firstLine="480"/>
        <w:rPr>
          <w:sz w:val="24"/>
          <w:szCs w:val="24"/>
        </w:rPr>
      </w:pPr>
      <w:r>
        <w:rPr>
          <w:sz w:val="24"/>
          <w:szCs w:val="24"/>
        </w:rPr>
        <w:t xml:space="preserve"> </w:t>
      </w:r>
    </w:p>
    <w:p>
      <w:pPr>
        <w:ind w:left="1680" w:leftChars="800" w:right="61" w:rightChars="29" w:firstLine="198" w:firstLineChars="66"/>
        <w:rPr>
          <w:rFonts w:ascii="黑体" w:hAnsi="黑体" w:eastAsia="黑体"/>
          <w:sz w:val="30"/>
          <w:szCs w:val="30"/>
        </w:rPr>
      </w:pPr>
      <w:r>
        <w:rPr>
          <w:rFonts w:hint="eastAsia" w:ascii="黑体" w:hAnsi="黑体" w:eastAsia="黑体"/>
          <w:sz w:val="30"/>
          <w:szCs w:val="30"/>
        </w:rPr>
        <w:t>招标单位：广州建鑫嵘承房地产开发有限公司</w:t>
      </w:r>
      <w:r>
        <w:rPr>
          <w:rFonts w:ascii="黑体" w:hAnsi="黑体" w:eastAsia="黑体"/>
          <w:sz w:val="30"/>
          <w:szCs w:val="30"/>
        </w:rPr>
        <w:t xml:space="preserve"> </w:t>
      </w:r>
    </w:p>
    <w:p>
      <w:pPr>
        <w:ind w:left="1680" w:leftChars="800" w:right="61" w:rightChars="29" w:firstLine="198" w:firstLineChars="66"/>
        <w:rPr>
          <w:rFonts w:ascii="黑体" w:hAnsi="黑体" w:eastAsia="黑体"/>
          <w:sz w:val="30"/>
          <w:szCs w:val="30"/>
        </w:rPr>
      </w:pPr>
      <w:r>
        <w:rPr>
          <w:rFonts w:hint="eastAsia" w:ascii="黑体" w:hAnsi="黑体" w:eastAsia="黑体"/>
          <w:sz w:val="30"/>
          <w:szCs w:val="30"/>
        </w:rPr>
        <w:t>招标代理单位：广州高新工程顾问有限公司</w:t>
      </w:r>
      <w:r>
        <w:rPr>
          <w:rFonts w:ascii="黑体" w:hAnsi="黑体" w:eastAsia="黑体"/>
          <w:sz w:val="30"/>
          <w:szCs w:val="30"/>
        </w:rPr>
        <w:t xml:space="preserve"> </w:t>
      </w:r>
    </w:p>
    <w:p>
      <w:pPr>
        <w:ind w:left="1680" w:leftChars="800" w:right="61" w:rightChars="29" w:firstLine="198" w:firstLineChars="66"/>
        <w:jc w:val="both"/>
        <w:rPr>
          <w:rFonts w:ascii="黑体" w:hAnsi="黑体" w:eastAsia="黑体"/>
          <w:b/>
          <w:sz w:val="30"/>
          <w:szCs w:val="30"/>
        </w:rPr>
      </w:pPr>
      <w:r>
        <w:rPr>
          <w:rFonts w:hint="eastAsia" w:ascii="黑体" w:hAnsi="黑体" w:eastAsia="黑体"/>
          <w:sz w:val="30"/>
          <w:szCs w:val="30"/>
        </w:rPr>
        <w:t>日期：2023年</w:t>
      </w:r>
      <w:r>
        <w:rPr>
          <w:rFonts w:hint="eastAsia" w:ascii="黑体" w:hAnsi="黑体" w:eastAsia="黑体"/>
          <w:sz w:val="30"/>
          <w:szCs w:val="30"/>
          <w:lang w:val="en-US" w:eastAsia="zh-CN"/>
        </w:rPr>
        <w:t>6</w:t>
      </w:r>
      <w:r>
        <w:rPr>
          <w:rFonts w:hint="eastAsia" w:ascii="黑体" w:hAnsi="黑体" w:eastAsia="黑体"/>
          <w:sz w:val="30"/>
          <w:szCs w:val="30"/>
        </w:rPr>
        <w:t>月</w:t>
      </w:r>
    </w:p>
    <w:p>
      <w:pPr>
        <w:pStyle w:val="3"/>
        <w:keepLines w:val="0"/>
        <w:pageBreakBefore w:val="0"/>
        <w:kinsoku/>
        <w:wordWrap/>
        <w:overflowPunct/>
        <w:topLinePunct w:val="0"/>
        <w:autoSpaceDE/>
        <w:autoSpaceDN/>
        <w:bidi w:val="0"/>
        <w:spacing w:before="0" w:after="0" w:line="540" w:lineRule="exact"/>
        <w:textAlignment w:val="auto"/>
      </w:pPr>
      <w:r>
        <w:rPr>
          <w:rFonts w:hint="eastAsia"/>
        </w:rPr>
        <w:br w:type="page"/>
      </w:r>
      <w:r>
        <w:rPr>
          <w:rFonts w:hint="eastAsia"/>
        </w:rPr>
        <w:t>招标公告</w:t>
      </w:r>
    </w:p>
    <w:p>
      <w:pPr>
        <w:pStyle w:val="5"/>
        <w:keepLines w:val="0"/>
        <w:pageBreakBefore w:val="0"/>
        <w:kinsoku/>
        <w:wordWrap/>
        <w:overflowPunct/>
        <w:topLinePunct w:val="0"/>
        <w:autoSpaceDE/>
        <w:autoSpaceDN/>
        <w:bidi w:val="0"/>
        <w:spacing w:after="0" w:line="540" w:lineRule="exact"/>
        <w:ind w:firstLine="210"/>
        <w:textAlignment w:val="auto"/>
      </w:pP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rPr>
        <w:t>广州高新工程顾问有限公司</w:t>
      </w:r>
      <w:r>
        <w:rPr>
          <w:rFonts w:ascii="宋体" w:hAnsi="宋体" w:cs="仿宋"/>
          <w:sz w:val="24"/>
        </w:rPr>
        <w:t>（以下简称“招标代理机构”）受</w:t>
      </w:r>
      <w:r>
        <w:rPr>
          <w:rFonts w:hint="eastAsia" w:ascii="宋体" w:hAnsi="宋体" w:cs="仿宋"/>
          <w:sz w:val="24"/>
        </w:rPr>
        <w:t>广州建鑫嵘承房地产开发有限公司</w:t>
      </w:r>
      <w:r>
        <w:rPr>
          <w:rFonts w:ascii="宋体" w:hAnsi="宋体" w:cs="仿宋"/>
          <w:sz w:val="24"/>
        </w:rPr>
        <w:t>（以下简称“招标人”）的委托，就</w:t>
      </w:r>
      <w:r>
        <w:rPr>
          <w:rFonts w:hint="eastAsia" w:ascii="宋体" w:hAnsi="宋体" w:cs="仿宋"/>
          <w:sz w:val="24"/>
        </w:rPr>
        <w:t>荔湾区桥梓大街南侧地块</w:t>
      </w:r>
      <w:r>
        <w:rPr>
          <w:rFonts w:hint="eastAsia" w:ascii="宋体" w:hAnsi="宋体" w:cs="仿宋"/>
          <w:sz w:val="24"/>
          <w:lang w:val="en-US" w:eastAsia="zh-CN"/>
        </w:rPr>
        <w:t>项目</w:t>
      </w:r>
      <w:r>
        <w:rPr>
          <w:rFonts w:hint="eastAsia" w:ascii="宋体" w:hAnsi="宋体" w:cs="仿宋"/>
          <w:sz w:val="24"/>
        </w:rPr>
        <w:t>土壤污染治理与修复项目</w:t>
      </w:r>
      <w:r>
        <w:rPr>
          <w:rFonts w:ascii="宋体" w:hAnsi="宋体" w:cs="仿宋"/>
          <w:sz w:val="24"/>
        </w:rPr>
        <w:t>进行</w:t>
      </w:r>
      <w:r>
        <w:rPr>
          <w:rFonts w:hint="eastAsia" w:ascii="宋体" w:hAnsi="宋体" w:cs="仿宋"/>
          <w:sz w:val="24"/>
        </w:rPr>
        <w:t>国内</w:t>
      </w:r>
      <w:r>
        <w:rPr>
          <w:rFonts w:ascii="宋体" w:hAnsi="宋体" w:cs="仿宋"/>
          <w:sz w:val="24"/>
        </w:rPr>
        <w:t>公开招标</w:t>
      </w:r>
      <w:r>
        <w:rPr>
          <w:rFonts w:hint="eastAsia" w:ascii="宋体" w:hAnsi="宋体" w:cs="仿宋"/>
          <w:sz w:val="24"/>
        </w:rPr>
        <w:t>，选定承包人。</w:t>
      </w:r>
    </w:p>
    <w:p>
      <w:pPr>
        <w:keepLines w:val="0"/>
        <w:pageBreakBefore w:val="0"/>
        <w:tabs>
          <w:tab w:val="center" w:pos="4415"/>
        </w:tabs>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u w:val="single"/>
        </w:rPr>
      </w:pPr>
      <w:r>
        <w:rPr>
          <w:rFonts w:hint="eastAsia" w:ascii="宋体" w:hAnsi="宋体" w:cs="仿宋"/>
          <w:sz w:val="24"/>
        </w:rPr>
        <w:t>一、工程名称：</w:t>
      </w:r>
      <w:r>
        <w:rPr>
          <w:rFonts w:hint="eastAsia" w:ascii="宋体" w:hAnsi="宋体" w:cs="仿宋"/>
          <w:sz w:val="24"/>
          <w:u w:val="single"/>
        </w:rPr>
        <w:t>荔湾区桥梓大街南侧地块</w:t>
      </w:r>
      <w:r>
        <w:rPr>
          <w:rFonts w:hint="eastAsia" w:ascii="宋体" w:hAnsi="宋体" w:cs="仿宋"/>
          <w:sz w:val="24"/>
          <w:u w:val="single"/>
          <w:lang w:val="en-US" w:eastAsia="zh-CN"/>
        </w:rPr>
        <w:t>项目</w:t>
      </w:r>
      <w:r>
        <w:rPr>
          <w:rFonts w:hint="eastAsia" w:ascii="宋体" w:hAnsi="宋体" w:cs="仿宋"/>
          <w:sz w:val="24"/>
          <w:u w:val="single"/>
        </w:rPr>
        <w:t>土壤污染治理与修复项目</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rPr>
        <w:t>二、招标人：</w:t>
      </w:r>
      <w:r>
        <w:rPr>
          <w:rFonts w:hint="eastAsia" w:ascii="宋体" w:hAnsi="宋体" w:cs="仿宋"/>
          <w:sz w:val="24"/>
          <w:u w:val="single"/>
        </w:rPr>
        <w:t>广州建鑫嵘承房地产开发有限公司</w:t>
      </w:r>
    </w:p>
    <w:p>
      <w:pPr>
        <w:keepLines w:val="0"/>
        <w:pageBreakBefore w:val="0"/>
        <w:kinsoku/>
        <w:wordWrap/>
        <w:overflowPunct/>
        <w:topLinePunct w:val="0"/>
        <w:autoSpaceDE/>
        <w:autoSpaceDN/>
        <w:bidi w:val="0"/>
        <w:snapToGrid w:val="0"/>
        <w:spacing w:line="540" w:lineRule="exact"/>
        <w:ind w:firstLine="960" w:firstLineChars="400"/>
        <w:jc w:val="both"/>
        <w:textAlignment w:val="auto"/>
        <w:rPr>
          <w:rFonts w:ascii="宋体" w:hAnsi="宋体" w:cs="仿宋"/>
          <w:sz w:val="24"/>
          <w:highlight w:val="none"/>
        </w:rPr>
      </w:pPr>
      <w:r>
        <w:rPr>
          <w:rFonts w:hint="eastAsia" w:ascii="宋体" w:hAnsi="宋体" w:cs="仿宋"/>
          <w:sz w:val="24"/>
          <w:highlight w:val="none"/>
        </w:rPr>
        <w:t>联系人：</w:t>
      </w:r>
      <w:r>
        <w:rPr>
          <w:rFonts w:hint="eastAsia" w:ascii="宋体" w:hAnsi="宋体" w:cs="仿宋"/>
          <w:sz w:val="24"/>
          <w:highlight w:val="none"/>
          <w:u w:val="single"/>
        </w:rPr>
        <w:t>林</w:t>
      </w:r>
      <w:r>
        <w:rPr>
          <w:rFonts w:hint="eastAsia" w:ascii="宋体" w:hAnsi="宋体" w:cs="仿宋"/>
          <w:sz w:val="24"/>
          <w:highlight w:val="none"/>
          <w:u w:val="single"/>
          <w:lang w:val="en-US" w:eastAsia="zh-CN"/>
        </w:rPr>
        <w:t>工</w:t>
      </w:r>
      <w:r>
        <w:rPr>
          <w:rFonts w:hint="eastAsia" w:ascii="宋体" w:hAnsi="宋体" w:cs="仿宋"/>
          <w:sz w:val="24"/>
          <w:highlight w:val="none"/>
        </w:rPr>
        <w:t xml:space="preserve">      联系电话：</w:t>
      </w:r>
      <w:r>
        <w:rPr>
          <w:rFonts w:hint="eastAsia" w:ascii="宋体" w:hAnsi="宋体" w:cs="仿宋"/>
          <w:sz w:val="24"/>
          <w:highlight w:val="none"/>
          <w:u w:val="single"/>
        </w:rPr>
        <w:t>020-38035911</w:t>
      </w:r>
    </w:p>
    <w:p>
      <w:pPr>
        <w:keepLines w:val="0"/>
        <w:pageBreakBefore w:val="0"/>
        <w:kinsoku/>
        <w:wordWrap/>
        <w:overflowPunct/>
        <w:topLinePunct w:val="0"/>
        <w:autoSpaceDE/>
        <w:autoSpaceDN/>
        <w:bidi w:val="0"/>
        <w:snapToGrid w:val="0"/>
        <w:spacing w:line="540" w:lineRule="exact"/>
        <w:ind w:firstLine="960" w:firstLineChars="400"/>
        <w:jc w:val="both"/>
        <w:textAlignment w:val="auto"/>
        <w:rPr>
          <w:rFonts w:ascii="宋体" w:hAnsi="宋体" w:cs="仿宋"/>
          <w:sz w:val="24"/>
        </w:rPr>
      </w:pPr>
      <w:r>
        <w:rPr>
          <w:rFonts w:hint="eastAsia" w:ascii="宋体" w:hAnsi="宋体" w:cs="仿宋"/>
          <w:sz w:val="24"/>
        </w:rPr>
        <w:t>招标代理：</w:t>
      </w:r>
      <w:r>
        <w:rPr>
          <w:rFonts w:hint="eastAsia" w:ascii="宋体" w:hAnsi="宋体" w:cs="仿宋"/>
          <w:sz w:val="24"/>
          <w:u w:val="single"/>
        </w:rPr>
        <w:t>广州高新工程顾问有限公司</w:t>
      </w:r>
    </w:p>
    <w:p>
      <w:pPr>
        <w:keepLines w:val="0"/>
        <w:pageBreakBefore w:val="0"/>
        <w:kinsoku/>
        <w:wordWrap/>
        <w:overflowPunct/>
        <w:topLinePunct w:val="0"/>
        <w:autoSpaceDE/>
        <w:autoSpaceDN/>
        <w:bidi w:val="0"/>
        <w:snapToGrid w:val="0"/>
        <w:spacing w:line="540" w:lineRule="exact"/>
        <w:ind w:firstLine="960" w:firstLineChars="400"/>
        <w:jc w:val="both"/>
        <w:textAlignment w:val="auto"/>
        <w:rPr>
          <w:rFonts w:ascii="宋体" w:hAnsi="宋体" w:cs="仿宋"/>
          <w:sz w:val="24"/>
          <w:u w:val="single"/>
        </w:rPr>
      </w:pPr>
      <w:r>
        <w:rPr>
          <w:rFonts w:hint="eastAsia" w:ascii="宋体" w:hAnsi="宋体" w:cs="仿宋"/>
          <w:sz w:val="24"/>
        </w:rPr>
        <w:t>联系人：</w:t>
      </w:r>
      <w:r>
        <w:rPr>
          <w:rFonts w:hint="eastAsia" w:ascii="宋体" w:hAnsi="宋体" w:cs="仿宋"/>
          <w:sz w:val="24"/>
          <w:u w:val="single"/>
        </w:rPr>
        <w:t>池工、王工</w:t>
      </w:r>
      <w:r>
        <w:rPr>
          <w:rFonts w:hint="eastAsia" w:ascii="宋体" w:hAnsi="宋体" w:cs="仿宋"/>
          <w:sz w:val="24"/>
        </w:rPr>
        <w:t xml:space="preserve">        联系电话：</w:t>
      </w:r>
      <w:r>
        <w:rPr>
          <w:rFonts w:hint="eastAsia" w:ascii="宋体" w:hAnsi="宋体" w:cs="仿宋"/>
          <w:sz w:val="24"/>
          <w:u w:val="single"/>
        </w:rPr>
        <w:t>020-85530825、15626296230</w:t>
      </w:r>
    </w:p>
    <w:p>
      <w:pPr>
        <w:keepLines w:val="0"/>
        <w:pageBreakBefore w:val="0"/>
        <w:kinsoku/>
        <w:wordWrap/>
        <w:overflowPunct/>
        <w:topLinePunct w:val="0"/>
        <w:autoSpaceDE/>
        <w:autoSpaceDN/>
        <w:bidi w:val="0"/>
        <w:snapToGrid w:val="0"/>
        <w:spacing w:line="540" w:lineRule="exact"/>
        <w:ind w:firstLine="960" w:firstLineChars="400"/>
        <w:jc w:val="both"/>
        <w:textAlignment w:val="auto"/>
        <w:rPr>
          <w:rFonts w:ascii="宋体" w:hAnsi="宋体" w:cs="仿宋"/>
          <w:sz w:val="24"/>
        </w:rPr>
      </w:pPr>
      <w:r>
        <w:rPr>
          <w:rFonts w:hint="eastAsia" w:ascii="宋体" w:hAnsi="宋体" w:cs="仿宋"/>
          <w:sz w:val="24"/>
        </w:rPr>
        <w:t xml:space="preserve">招标监督机构: </w:t>
      </w:r>
      <w:r>
        <w:rPr>
          <w:rFonts w:hint="eastAsia" w:ascii="宋体" w:hAnsi="宋体" w:cs="仿宋"/>
          <w:sz w:val="24"/>
          <w:u w:val="single"/>
        </w:rPr>
        <w:t>广州建鑫嵘承房地产开发有限公司</w:t>
      </w:r>
    </w:p>
    <w:p>
      <w:pPr>
        <w:keepLines w:val="0"/>
        <w:pageBreakBefore w:val="0"/>
        <w:kinsoku/>
        <w:wordWrap/>
        <w:overflowPunct/>
        <w:topLinePunct w:val="0"/>
        <w:autoSpaceDE/>
        <w:autoSpaceDN/>
        <w:bidi w:val="0"/>
        <w:snapToGrid w:val="0"/>
        <w:spacing w:line="540" w:lineRule="exact"/>
        <w:ind w:firstLine="960" w:firstLineChars="400"/>
        <w:jc w:val="both"/>
        <w:textAlignment w:val="auto"/>
        <w:rPr>
          <w:rFonts w:hint="default" w:ascii="宋体" w:hAnsi="宋体" w:eastAsia="宋体" w:cs="仿宋"/>
          <w:sz w:val="24"/>
          <w:highlight w:val="none"/>
          <w:u w:val="single"/>
          <w:lang w:val="en-US" w:eastAsia="zh-CN"/>
        </w:rPr>
      </w:pPr>
      <w:r>
        <w:rPr>
          <w:rFonts w:hint="eastAsia" w:ascii="宋体" w:hAnsi="宋体" w:cs="仿宋"/>
          <w:sz w:val="24"/>
          <w:highlight w:val="none"/>
        </w:rPr>
        <w:t>监督电话：</w:t>
      </w:r>
      <w:r>
        <w:rPr>
          <w:rFonts w:hint="eastAsia" w:ascii="宋体" w:hAnsi="宋体" w:cs="仿宋"/>
          <w:sz w:val="24"/>
          <w:highlight w:val="none"/>
          <w:u w:val="single"/>
          <w:lang w:val="en-US" w:eastAsia="zh-CN"/>
        </w:rPr>
        <w:t>020-83772653</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highlight w:val="none"/>
        </w:rPr>
      </w:pPr>
      <w:r>
        <w:rPr>
          <w:rFonts w:hint="eastAsia" w:ascii="宋体" w:hAnsi="宋体" w:cs="仿宋"/>
          <w:sz w:val="24"/>
          <w:highlight w:val="none"/>
        </w:rPr>
        <w:t>三、建设地点：</w:t>
      </w:r>
      <w:r>
        <w:rPr>
          <w:rFonts w:hint="eastAsia" w:ascii="宋体" w:hAnsi="宋体" w:cs="仿宋"/>
          <w:sz w:val="24"/>
          <w:highlight w:val="none"/>
          <w:u w:val="single"/>
        </w:rPr>
        <w:t>广州市荔湾区芳村大道桥梓大街</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rPr>
        <w:t>四、项目概况、规模</w:t>
      </w:r>
      <w:r>
        <w:rPr>
          <w:rFonts w:hint="eastAsia" w:ascii="宋体" w:hAnsi="宋体" w:cs="仿宋"/>
          <w:sz w:val="24"/>
          <w:highlight w:val="none"/>
        </w:rPr>
        <w:t>：</w:t>
      </w:r>
      <w:r>
        <w:rPr>
          <w:rFonts w:hint="eastAsia" w:ascii="宋体" w:hAnsi="宋体" w:cs="仿宋"/>
          <w:sz w:val="24"/>
          <w:highlight w:val="none"/>
          <w:u w:val="single"/>
        </w:rPr>
        <w:t>本项目位于广东省广州市荔湾区桥梓大街，治理范围包括两个相邻地块，占地面积约100,855平方米。其中广州铝材厂地块（下称“铝材厂地块”）位于荔湾区山村桥梓大街14号，广州钢管厂地块（下称“钢管厂地块”）位于荔湾区芳村大道桥梓大街15号。项目拟对场地内约</w:t>
      </w:r>
      <w:r>
        <w:rPr>
          <w:rFonts w:hint="eastAsia" w:ascii="宋体" w:hAnsi="宋体" w:cs="仿宋"/>
          <w:sz w:val="24"/>
          <w:highlight w:val="none"/>
          <w:u w:val="single"/>
          <w:lang w:eastAsia="zh-CN"/>
        </w:rPr>
        <w:t>66446.29</w:t>
      </w:r>
      <w:r>
        <w:rPr>
          <w:rFonts w:hint="eastAsia" w:ascii="宋体" w:hAnsi="宋体" w:cs="仿宋"/>
          <w:sz w:val="24"/>
          <w:highlight w:val="none"/>
          <w:u w:val="single"/>
        </w:rPr>
        <w:t>m³的污染土壤进行修复治理，其中铝材厂地块修复土方量为</w:t>
      </w:r>
      <w:r>
        <w:rPr>
          <w:rFonts w:hint="eastAsia" w:ascii="宋体" w:hAnsi="宋体" w:cs="仿宋"/>
          <w:sz w:val="24"/>
          <w:highlight w:val="none"/>
          <w:u w:val="single"/>
          <w:lang w:eastAsia="zh-CN"/>
        </w:rPr>
        <w:t>25285.0</w:t>
      </w:r>
      <w:r>
        <w:rPr>
          <w:rFonts w:hint="eastAsia" w:ascii="宋体" w:hAnsi="宋体" w:cs="仿宋"/>
          <w:sz w:val="24"/>
          <w:highlight w:val="none"/>
          <w:u w:val="single"/>
        </w:rPr>
        <w:t>m³，钢管厂地块修复土方量为41161.29m³。本项目铝材厂地块污染因子为铅、铜、砷和石油烃(C10-C40)和多氯联苯,钢管厂地块污染因子为砷、苯并(a)芘、二苯并(a, h)蒽、苯并(a)蒽、苯并(b)荧蒽、茚并(1,2,3-cd)芘、石油烃(C10-C40)和多氯联苯,两个地块内存在单独重金属污染土壤、单独有机污染土壤和复合污染土壤等类型。项目最大修复深度约为8m，其中铝材厂地块修复深度0-6.5m，钢管厂地块修复深度0-8m。工作范围和工作量暂按</w:t>
      </w:r>
      <w:r>
        <w:rPr>
          <w:rFonts w:hint="eastAsia" w:ascii="宋体" w:hAnsi="宋体" w:cs="仿宋"/>
          <w:color w:val="auto"/>
          <w:sz w:val="24"/>
          <w:highlight w:val="none"/>
          <w:u w:val="single"/>
        </w:rPr>
        <w:t>《广州钢管厂地块土壤</w:t>
      </w:r>
      <w:r>
        <w:rPr>
          <w:rFonts w:hint="eastAsia" w:ascii="宋体" w:hAnsi="宋体" w:cs="仿宋"/>
          <w:color w:val="auto"/>
          <w:sz w:val="24"/>
          <w:highlight w:val="none"/>
          <w:u w:val="single"/>
          <w:lang w:val="en-US" w:eastAsia="zh-CN"/>
        </w:rPr>
        <w:t>修复技术方案（简版）</w:t>
      </w:r>
      <w:r>
        <w:rPr>
          <w:rFonts w:hint="eastAsia" w:ascii="宋体" w:hAnsi="宋体" w:cs="仿宋"/>
          <w:color w:val="auto"/>
          <w:sz w:val="24"/>
          <w:highlight w:val="none"/>
          <w:u w:val="single"/>
        </w:rPr>
        <w:t>》及《广州铝材厂地块土壤污染</w:t>
      </w:r>
      <w:r>
        <w:rPr>
          <w:rFonts w:hint="eastAsia" w:ascii="宋体" w:hAnsi="宋体" w:cs="仿宋"/>
          <w:color w:val="auto"/>
          <w:sz w:val="24"/>
          <w:highlight w:val="none"/>
          <w:u w:val="single"/>
          <w:lang w:val="en-US" w:eastAsia="zh-CN"/>
        </w:rPr>
        <w:t>修复技术方案（简版）</w:t>
      </w:r>
      <w:r>
        <w:rPr>
          <w:rFonts w:hint="eastAsia" w:ascii="宋体" w:hAnsi="宋体" w:cs="仿宋"/>
          <w:color w:val="auto"/>
          <w:sz w:val="24"/>
          <w:highlight w:val="none"/>
          <w:u w:val="single"/>
        </w:rPr>
        <w:t>》</w:t>
      </w:r>
      <w:r>
        <w:rPr>
          <w:rFonts w:hint="eastAsia" w:ascii="宋体" w:hAnsi="宋体" w:cs="仿宋"/>
          <w:sz w:val="24"/>
          <w:highlight w:val="none"/>
          <w:u w:val="single"/>
        </w:rPr>
        <w:t>（下称“修复技术方案”），实际工作量不得少于前述总修复土方量，最终以通过生态环境主管部门备案的修复方案工作量为准。</w:t>
      </w:r>
    </w:p>
    <w:p>
      <w:pPr>
        <w:keepLines w:val="0"/>
        <w:pageBreakBefore w:val="0"/>
        <w:numPr>
          <w:ilvl w:val="0"/>
          <w:numId w:val="0"/>
        </w:numPr>
        <w:kinsoku/>
        <w:wordWrap/>
        <w:overflowPunct/>
        <w:topLinePunct w:val="0"/>
        <w:autoSpaceDE/>
        <w:autoSpaceDN/>
        <w:bidi w:val="0"/>
        <w:snapToGrid w:val="0"/>
        <w:spacing w:line="540" w:lineRule="exact"/>
        <w:ind w:firstLine="480" w:firstLineChars="200"/>
        <w:jc w:val="both"/>
        <w:textAlignment w:val="auto"/>
        <w:rPr>
          <w:rFonts w:ascii="宋体" w:hAnsi="宋体" w:cs="仿宋"/>
          <w:sz w:val="24"/>
        </w:rPr>
      </w:pPr>
      <w:r>
        <w:rPr>
          <w:rFonts w:hint="eastAsia" w:ascii="宋体" w:hAnsi="宋体" w:cs="仿宋"/>
          <w:sz w:val="24"/>
          <w:lang w:val="en-US" w:eastAsia="zh-CN"/>
        </w:rPr>
        <w:t>五、</w:t>
      </w:r>
      <w:r>
        <w:rPr>
          <w:rFonts w:hint="eastAsia" w:ascii="宋体" w:hAnsi="宋体" w:cs="仿宋"/>
          <w:sz w:val="24"/>
        </w:rPr>
        <w:t>招标范围、标段划分和最高投标限价</w:t>
      </w:r>
    </w:p>
    <w:p>
      <w:pPr>
        <w:keepLines w:val="0"/>
        <w:pageBreakBefore w:val="0"/>
        <w:numPr>
          <w:ilvl w:val="0"/>
          <w:numId w:val="0"/>
        </w:numPr>
        <w:shd w:val="clear" w:color="auto" w:fill="FFFFFF"/>
        <w:kinsoku/>
        <w:wordWrap/>
        <w:overflowPunct/>
        <w:topLinePunct w:val="0"/>
        <w:autoSpaceDE/>
        <w:autoSpaceDN/>
        <w:bidi w:val="0"/>
        <w:adjustRightInd w:val="0"/>
        <w:snapToGrid w:val="0"/>
        <w:spacing w:line="540" w:lineRule="exact"/>
        <w:ind w:firstLine="480" w:firstLineChars="200"/>
        <w:jc w:val="both"/>
        <w:textAlignment w:val="auto"/>
        <w:rPr>
          <w:rFonts w:hint="eastAsia" w:ascii="宋体" w:hAnsi="宋体" w:cs="仿宋"/>
          <w:sz w:val="24"/>
          <w:highlight w:val="none"/>
          <w:u w:val="single"/>
        </w:rPr>
      </w:pPr>
      <w:r>
        <w:rPr>
          <w:rFonts w:hint="eastAsia" w:ascii="宋体" w:hAnsi="宋体" w:cs="仿宋"/>
          <w:sz w:val="24"/>
          <w:highlight w:val="none"/>
          <w:lang w:val="en-US" w:eastAsia="zh-CN"/>
        </w:rPr>
        <w:t>1.</w:t>
      </w:r>
      <w:r>
        <w:rPr>
          <w:rFonts w:hint="eastAsia" w:ascii="宋体" w:hAnsi="宋体" w:cs="仿宋"/>
          <w:sz w:val="24"/>
          <w:highlight w:val="none"/>
        </w:rPr>
        <w:t>招标范围：</w:t>
      </w:r>
      <w:r>
        <w:rPr>
          <w:rFonts w:hint="eastAsia" w:ascii="宋体" w:hAnsi="宋体" w:cs="仿宋"/>
          <w:sz w:val="24"/>
          <w:highlight w:val="none"/>
          <w:u w:val="single"/>
        </w:rPr>
        <w:t>负责按规范及要求编制荔湾区桥梓大街南侧地块项目土壤污染治理与修复实施方案（治理与修复技术方案可参考修复技术方案所推荐的技术），也可根据实际情况及中标单位的技术优势，自行优化和重新确定实施技术方案，最终以通过生态环境主管部门组织的《地块土壤污染治理与修复实施方案》专家评审所确定的方案为准。负责完成实施方案的报审和备案工作。负责荔湾区桥梓大街南侧地块项目内土壤污染治理与修复设计、施工。</w:t>
      </w:r>
    </w:p>
    <w:p>
      <w:pPr>
        <w:keepLines w:val="0"/>
        <w:pageBreakBefore w:val="0"/>
        <w:numPr>
          <w:ilvl w:val="0"/>
          <w:numId w:val="0"/>
        </w:numPr>
        <w:shd w:val="clear" w:color="auto" w:fill="FFFFFF"/>
        <w:kinsoku/>
        <w:wordWrap/>
        <w:overflowPunct/>
        <w:topLinePunct w:val="0"/>
        <w:autoSpaceDE/>
        <w:autoSpaceDN/>
        <w:bidi w:val="0"/>
        <w:adjustRightInd w:val="0"/>
        <w:snapToGrid w:val="0"/>
        <w:spacing w:line="540" w:lineRule="exact"/>
        <w:ind w:firstLine="480" w:firstLineChars="200"/>
        <w:jc w:val="both"/>
        <w:textAlignment w:val="auto"/>
        <w:rPr>
          <w:rFonts w:hint="eastAsia" w:ascii="宋体" w:hAnsi="宋体" w:cs="仿宋"/>
          <w:sz w:val="24"/>
          <w:highlight w:val="none"/>
          <w:u w:val="single"/>
        </w:rPr>
      </w:pPr>
      <w:r>
        <w:rPr>
          <w:rFonts w:hint="eastAsia" w:ascii="宋体" w:hAnsi="宋体" w:cs="仿宋"/>
          <w:sz w:val="24"/>
          <w:highlight w:val="none"/>
          <w:u w:val="single"/>
        </w:rPr>
        <w:t>负责项目场地测量、污染土方开挖（含污染处理开挖所需的基坑设计、施工、监测）、护坡桩、临建、临水、临电、场地建设（含相关职能部门的报建、报批等）、预处理、修复处置、二次污染防治及监测、风险管控、基坑降水、检/监测、周边地下水管理、地下水监测、施工措施等，竣工验收及相关后续服务，项目经生态环境主管部门对修复效果评估报告组织评审通过并取得验收合格批复文件且移出广东省建设用地土壤污染风险管控和修复名录，负责项目内外所需的各项协调等事宜。</w:t>
      </w:r>
    </w:p>
    <w:p>
      <w:pPr>
        <w:keepLines w:val="0"/>
        <w:pageBreakBefore w:val="0"/>
        <w:numPr>
          <w:ilvl w:val="0"/>
          <w:numId w:val="0"/>
        </w:numPr>
        <w:shd w:val="clear" w:color="auto" w:fill="FFFFFF"/>
        <w:kinsoku/>
        <w:wordWrap/>
        <w:overflowPunct/>
        <w:topLinePunct w:val="0"/>
        <w:autoSpaceDE/>
        <w:autoSpaceDN/>
        <w:bidi w:val="0"/>
        <w:adjustRightInd w:val="0"/>
        <w:snapToGrid w:val="0"/>
        <w:spacing w:line="540" w:lineRule="exact"/>
        <w:ind w:firstLine="480" w:firstLineChars="200"/>
        <w:jc w:val="both"/>
        <w:textAlignment w:val="auto"/>
        <w:rPr>
          <w:rFonts w:ascii="宋体" w:hAnsi="宋体" w:cs="仿宋"/>
          <w:sz w:val="24"/>
        </w:rPr>
      </w:pPr>
      <w:r>
        <w:rPr>
          <w:rFonts w:hint="eastAsia" w:ascii="宋体" w:hAnsi="宋体" w:cs="仿宋"/>
          <w:sz w:val="24"/>
          <w:lang w:val="en-US" w:eastAsia="zh-CN"/>
        </w:rPr>
        <w:t>2.</w:t>
      </w:r>
      <w:r>
        <w:rPr>
          <w:rFonts w:hint="eastAsia" w:ascii="宋体" w:hAnsi="宋体" w:cs="仿宋"/>
          <w:sz w:val="24"/>
        </w:rPr>
        <w:t>本项目划分为</w:t>
      </w:r>
      <w:r>
        <w:rPr>
          <w:rFonts w:hint="eastAsia" w:ascii="宋体" w:hAnsi="宋体" w:cs="仿宋"/>
          <w:sz w:val="24"/>
          <w:u w:val="single"/>
          <w:lang w:val="en-US" w:eastAsia="zh-CN"/>
        </w:rPr>
        <w:t xml:space="preserve"> </w:t>
      </w:r>
      <w:r>
        <w:rPr>
          <w:rFonts w:hint="eastAsia" w:ascii="宋体" w:hAnsi="宋体" w:cs="仿宋"/>
          <w:sz w:val="24"/>
          <w:u w:val="single"/>
        </w:rPr>
        <w:t>1</w:t>
      </w:r>
      <w:r>
        <w:rPr>
          <w:rFonts w:hint="eastAsia" w:ascii="宋体" w:hAnsi="宋体" w:cs="仿宋"/>
          <w:sz w:val="24"/>
          <w:u w:val="single"/>
          <w:lang w:val="en-US" w:eastAsia="zh-CN"/>
        </w:rPr>
        <w:t xml:space="preserve"> </w:t>
      </w:r>
      <w:r>
        <w:rPr>
          <w:rFonts w:hint="eastAsia" w:ascii="宋体" w:hAnsi="宋体" w:cs="仿宋"/>
          <w:sz w:val="24"/>
        </w:rPr>
        <w:t>个标段。</w:t>
      </w:r>
    </w:p>
    <w:p>
      <w:pPr>
        <w:keepLines w:val="0"/>
        <w:pageBreakBefore w:val="0"/>
        <w:numPr>
          <w:ilvl w:val="0"/>
          <w:numId w:val="0"/>
        </w:numPr>
        <w:shd w:val="clear" w:color="auto" w:fill="FFFFFF"/>
        <w:kinsoku/>
        <w:wordWrap/>
        <w:overflowPunct/>
        <w:topLinePunct w:val="0"/>
        <w:autoSpaceDE/>
        <w:autoSpaceDN/>
        <w:bidi w:val="0"/>
        <w:adjustRightInd w:val="0"/>
        <w:snapToGrid w:val="0"/>
        <w:spacing w:line="540" w:lineRule="exact"/>
        <w:ind w:firstLine="480" w:firstLineChars="200"/>
        <w:jc w:val="both"/>
        <w:textAlignment w:val="auto"/>
        <w:rPr>
          <w:rFonts w:hint="default" w:ascii="宋体" w:hAnsi="宋体" w:eastAsia="宋体" w:cs="仿宋"/>
          <w:sz w:val="24"/>
          <w:highlight w:val="none"/>
          <w:lang w:val="en-US" w:eastAsia="zh-CN"/>
        </w:rPr>
      </w:pPr>
      <w:r>
        <w:rPr>
          <w:rFonts w:hint="eastAsia" w:ascii="宋体" w:hAnsi="宋体" w:cs="仿宋"/>
          <w:sz w:val="24"/>
          <w:highlight w:val="none"/>
          <w:lang w:val="en-US" w:eastAsia="zh-CN"/>
        </w:rPr>
        <w:t>3.</w:t>
      </w:r>
      <w:r>
        <w:rPr>
          <w:rFonts w:hint="eastAsia" w:ascii="宋体" w:hAnsi="宋体" w:cs="仿宋"/>
          <w:sz w:val="24"/>
          <w:highlight w:val="none"/>
        </w:rPr>
        <w:t>招标控制价：</w:t>
      </w:r>
      <w:r>
        <w:rPr>
          <w:rFonts w:hint="eastAsia" w:ascii="宋体" w:hAnsi="宋体" w:cs="仿宋"/>
          <w:sz w:val="24"/>
          <w:highlight w:val="none"/>
          <w:u w:val="single"/>
        </w:rPr>
        <w:t xml:space="preserve">  </w:t>
      </w:r>
      <w:r>
        <w:rPr>
          <w:rFonts w:ascii="宋体" w:hAnsi="宋体" w:cs="仿宋"/>
          <w:sz w:val="24"/>
          <w:highlight w:val="none"/>
          <w:u w:val="single"/>
        </w:rPr>
        <w:t>6</w:t>
      </w:r>
      <w:r>
        <w:rPr>
          <w:rFonts w:hint="eastAsia" w:ascii="宋体" w:hAnsi="宋体" w:cs="仿宋"/>
          <w:sz w:val="24"/>
          <w:highlight w:val="none"/>
          <w:u w:val="single"/>
          <w:lang w:val="en-US" w:eastAsia="zh-CN"/>
        </w:rPr>
        <w:t>6</w:t>
      </w:r>
      <w:r>
        <w:rPr>
          <w:rFonts w:ascii="宋体" w:hAnsi="宋体" w:cs="仿宋"/>
          <w:sz w:val="24"/>
          <w:highlight w:val="none"/>
          <w:u w:val="single"/>
        </w:rPr>
        <w:t>00</w:t>
      </w:r>
      <w:r>
        <w:rPr>
          <w:rFonts w:hint="eastAsia" w:ascii="宋体" w:hAnsi="宋体" w:cs="仿宋"/>
          <w:sz w:val="24"/>
          <w:highlight w:val="none"/>
          <w:u w:val="single"/>
        </w:rPr>
        <w:t>万元</w:t>
      </w:r>
      <w:r>
        <w:rPr>
          <w:rFonts w:hint="eastAsia" w:ascii="宋体" w:hAnsi="宋体" w:cs="仿宋"/>
          <w:sz w:val="24"/>
          <w:highlight w:val="none"/>
          <w:u w:val="single"/>
          <w:lang w:eastAsia="zh-CN"/>
        </w:rPr>
        <w:t>。</w:t>
      </w:r>
      <w:r>
        <w:rPr>
          <w:rFonts w:hint="eastAsia" w:ascii="宋体" w:hAnsi="宋体" w:cs="仿宋"/>
          <w:sz w:val="24"/>
          <w:highlight w:val="none"/>
          <w:u w:val="single"/>
          <w:lang w:val="en-US" w:eastAsia="zh-CN"/>
        </w:rPr>
        <w:t xml:space="preserve"> </w:t>
      </w:r>
    </w:p>
    <w:p>
      <w:pPr>
        <w:keepLines w:val="0"/>
        <w:pageBreakBefore w:val="0"/>
        <w:numPr>
          <w:ilvl w:val="0"/>
          <w:numId w:val="0"/>
        </w:numPr>
        <w:kinsoku/>
        <w:wordWrap/>
        <w:overflowPunct/>
        <w:topLinePunct w:val="0"/>
        <w:autoSpaceDE/>
        <w:autoSpaceDN/>
        <w:bidi w:val="0"/>
        <w:snapToGrid w:val="0"/>
        <w:spacing w:line="540" w:lineRule="exact"/>
        <w:ind w:firstLine="480" w:firstLineChars="200"/>
        <w:jc w:val="both"/>
        <w:textAlignment w:val="auto"/>
        <w:rPr>
          <w:rFonts w:ascii="宋体" w:hAnsi="宋体" w:cs="仿宋"/>
          <w:sz w:val="24"/>
          <w:u w:val="single"/>
        </w:rPr>
      </w:pPr>
      <w:r>
        <w:rPr>
          <w:rFonts w:hint="eastAsia" w:ascii="宋体" w:hAnsi="宋体" w:cs="仿宋"/>
          <w:sz w:val="24"/>
          <w:lang w:val="en-US" w:eastAsia="zh-CN"/>
        </w:rPr>
        <w:t>六、</w:t>
      </w:r>
      <w:r>
        <w:rPr>
          <w:rFonts w:hint="eastAsia" w:ascii="宋体" w:hAnsi="宋体" w:cs="仿宋"/>
          <w:sz w:val="24"/>
        </w:rPr>
        <w:t>资金来源：</w:t>
      </w:r>
      <w:r>
        <w:rPr>
          <w:rFonts w:hint="eastAsia" w:ascii="宋体" w:hAnsi="宋体" w:cs="仿宋"/>
          <w:sz w:val="24"/>
          <w:u w:val="single"/>
        </w:rPr>
        <w:t>企业自筹</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rPr>
        <w:t>七、</w:t>
      </w:r>
      <w:r>
        <w:rPr>
          <w:rFonts w:hint="eastAsia" w:ascii="宋体" w:hAnsi="宋体"/>
          <w:color w:val="000000"/>
          <w:sz w:val="24"/>
        </w:rPr>
        <w:t>公告发布日期、</w:t>
      </w:r>
      <w:r>
        <w:rPr>
          <w:rFonts w:hint="eastAsia" w:ascii="宋体" w:hAnsi="宋体" w:cs="宋体"/>
          <w:color w:val="000000"/>
          <w:sz w:val="24"/>
          <w:szCs w:val="24"/>
        </w:rPr>
        <w:t>递交投标文件时间与开标时间</w:t>
      </w:r>
      <w:r>
        <w:rPr>
          <w:rFonts w:hint="eastAsia" w:ascii="宋体" w:hAnsi="宋体" w:cs="仿宋"/>
          <w:sz w:val="24"/>
        </w:rPr>
        <w:t>：</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hint="eastAsia" w:ascii="宋体" w:hAnsi="宋体" w:eastAsia="宋体" w:cs="仿宋"/>
          <w:sz w:val="24"/>
          <w:lang w:eastAsia="zh-CN"/>
        </w:rPr>
      </w:pPr>
      <w:r>
        <w:rPr>
          <w:rFonts w:hint="eastAsia" w:ascii="宋体" w:hAnsi="宋体" w:cs="仿宋"/>
          <w:sz w:val="24"/>
        </w:rPr>
        <w:t>1</w:t>
      </w:r>
      <w:r>
        <w:rPr>
          <w:rFonts w:hint="eastAsia" w:ascii="宋体" w:hAnsi="宋体" w:cs="仿宋"/>
          <w:sz w:val="24"/>
          <w:lang w:val="en-US" w:eastAsia="zh-CN"/>
        </w:rPr>
        <w:t>.</w:t>
      </w:r>
      <w:r>
        <w:rPr>
          <w:rFonts w:hint="eastAsia" w:ascii="宋体" w:hAnsi="宋体" w:cs="仿宋"/>
          <w:sz w:val="24"/>
        </w:rPr>
        <w:t>公告发布日期（含本日）：</w:t>
      </w:r>
      <w:r>
        <w:rPr>
          <w:rFonts w:hint="eastAsia" w:ascii="宋体" w:hAnsi="宋体" w:cs="仿宋"/>
          <w:sz w:val="24"/>
          <w:u w:val="single"/>
        </w:rPr>
        <w:t xml:space="preserve"> </w:t>
      </w:r>
      <w:r>
        <w:rPr>
          <w:rFonts w:ascii="宋体" w:hAnsi="宋体" w:cs="仿宋"/>
          <w:sz w:val="24"/>
          <w:u w:val="single"/>
        </w:rPr>
        <w:t>202</w:t>
      </w:r>
      <w:r>
        <w:rPr>
          <w:rFonts w:hint="eastAsia" w:ascii="宋体" w:hAnsi="宋体" w:cs="仿宋"/>
          <w:sz w:val="24"/>
          <w:u w:val="single"/>
        </w:rPr>
        <w:t xml:space="preserve">3 </w:t>
      </w:r>
      <w:r>
        <w:rPr>
          <w:rFonts w:hint="eastAsia" w:ascii="宋体" w:hAnsi="宋体" w:cs="仿宋"/>
          <w:sz w:val="24"/>
        </w:rPr>
        <w:t>年</w:t>
      </w:r>
      <w:r>
        <w:rPr>
          <w:rFonts w:hint="eastAsia" w:ascii="宋体" w:hAnsi="宋体" w:cs="仿宋"/>
          <w:sz w:val="24"/>
          <w:u w:val="single"/>
          <w:lang w:val="en-US" w:eastAsia="zh-CN"/>
        </w:rPr>
        <w:t>6</w:t>
      </w:r>
      <w:r>
        <w:rPr>
          <w:rFonts w:hint="eastAsia" w:ascii="宋体" w:hAnsi="宋体" w:cs="仿宋"/>
          <w:sz w:val="24"/>
        </w:rPr>
        <w:t>月</w:t>
      </w:r>
      <w:r>
        <w:rPr>
          <w:rFonts w:hint="eastAsia" w:ascii="宋体" w:hAnsi="宋体" w:cs="仿宋"/>
          <w:sz w:val="24"/>
          <w:u w:val="single"/>
          <w:lang w:val="en-US" w:eastAsia="zh-CN"/>
        </w:rPr>
        <w:t>13</w:t>
      </w:r>
      <w:r>
        <w:rPr>
          <w:rFonts w:hint="eastAsia" w:ascii="宋体" w:hAnsi="宋体" w:cs="仿宋"/>
          <w:sz w:val="24"/>
        </w:rPr>
        <w:t>日至</w:t>
      </w:r>
      <w:r>
        <w:rPr>
          <w:rFonts w:hint="eastAsia" w:ascii="宋体" w:hAnsi="宋体" w:cs="仿宋"/>
          <w:sz w:val="24"/>
          <w:u w:val="single"/>
        </w:rPr>
        <w:t xml:space="preserve"> </w:t>
      </w:r>
      <w:r>
        <w:rPr>
          <w:rFonts w:ascii="宋体" w:hAnsi="宋体" w:cs="仿宋"/>
          <w:sz w:val="24"/>
          <w:u w:val="single"/>
        </w:rPr>
        <w:t>202</w:t>
      </w:r>
      <w:r>
        <w:rPr>
          <w:rFonts w:hint="eastAsia" w:ascii="宋体" w:hAnsi="宋体" w:cs="仿宋"/>
          <w:sz w:val="24"/>
          <w:u w:val="single"/>
        </w:rPr>
        <w:t xml:space="preserve">3 </w:t>
      </w:r>
      <w:r>
        <w:rPr>
          <w:rFonts w:hint="eastAsia" w:ascii="宋体" w:hAnsi="宋体" w:cs="仿宋"/>
          <w:sz w:val="24"/>
        </w:rPr>
        <w:t>年</w:t>
      </w:r>
      <w:r>
        <w:rPr>
          <w:rFonts w:hint="eastAsia" w:ascii="宋体" w:hAnsi="宋体" w:cs="仿宋"/>
          <w:sz w:val="24"/>
          <w:u w:val="single"/>
          <w:lang w:val="en-US" w:eastAsia="zh-CN"/>
        </w:rPr>
        <w:t>7</w:t>
      </w:r>
      <w:r>
        <w:rPr>
          <w:rFonts w:hint="eastAsia" w:ascii="宋体" w:hAnsi="宋体" w:cs="仿宋"/>
          <w:sz w:val="24"/>
        </w:rPr>
        <w:t>月</w:t>
      </w:r>
      <w:r>
        <w:rPr>
          <w:rFonts w:hint="eastAsia" w:ascii="宋体" w:hAnsi="宋体" w:cs="仿宋"/>
          <w:sz w:val="24"/>
          <w:u w:val="single"/>
          <w:lang w:val="en-US" w:eastAsia="zh-CN"/>
        </w:rPr>
        <w:t>3</w:t>
      </w:r>
      <w:r>
        <w:rPr>
          <w:rFonts w:hint="eastAsia" w:ascii="宋体" w:hAnsi="宋体" w:cs="仿宋"/>
          <w:sz w:val="24"/>
        </w:rPr>
        <w:t>日</w:t>
      </w:r>
      <w:r>
        <w:rPr>
          <w:rFonts w:hint="eastAsia" w:ascii="宋体" w:hAnsi="宋体" w:cs="仿宋"/>
          <w:sz w:val="24"/>
          <w:lang w:eastAsia="zh-CN"/>
        </w:rPr>
        <w:t>。</w:t>
      </w:r>
    </w:p>
    <w:p>
      <w:pPr>
        <w:keepLines w:val="0"/>
        <w:pageBreakBefore w:val="0"/>
        <w:shd w:val="clear" w:color="auto" w:fill="FFFFFF"/>
        <w:kinsoku/>
        <w:wordWrap/>
        <w:overflowPunct/>
        <w:topLinePunct w:val="0"/>
        <w:autoSpaceDE/>
        <w:autoSpaceDN/>
        <w:bidi w:val="0"/>
        <w:spacing w:line="540" w:lineRule="exact"/>
        <w:ind w:left="0" w:leftChars="0" w:firstLine="480" w:firstLineChars="200"/>
        <w:jc w:val="both"/>
        <w:textAlignment w:val="auto"/>
        <w:rPr>
          <w:rFonts w:ascii="宋体" w:hAnsi="宋体" w:cs="宋体"/>
          <w:color w:val="000000"/>
          <w:sz w:val="24"/>
          <w:szCs w:val="24"/>
        </w:rPr>
      </w:pPr>
      <w:r>
        <w:rPr>
          <w:rFonts w:hint="eastAsia" w:ascii="宋体" w:hAnsi="宋体"/>
          <w:bCs/>
          <w:color w:val="000000"/>
          <w:sz w:val="24"/>
          <w:szCs w:val="24"/>
          <w:lang w:val="en-US" w:eastAsia="zh-CN"/>
        </w:rPr>
        <w:t>2.</w:t>
      </w:r>
      <w:r>
        <w:rPr>
          <w:rFonts w:hint="eastAsia" w:ascii="宋体" w:hAnsi="宋体"/>
          <w:bCs/>
          <w:color w:val="000000"/>
          <w:sz w:val="24"/>
          <w:szCs w:val="24"/>
        </w:rPr>
        <w:t>递交投标文件起始时间：</w:t>
      </w:r>
      <w:r>
        <w:rPr>
          <w:rFonts w:hint="eastAsia" w:ascii="宋体" w:hAnsi="宋体"/>
          <w:color w:val="000000"/>
          <w:sz w:val="24"/>
          <w:szCs w:val="24"/>
          <w:u w:val="single"/>
        </w:rPr>
        <w:t>2023</w:t>
      </w:r>
      <w:r>
        <w:rPr>
          <w:rFonts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lang w:val="en-US" w:eastAsia="zh-CN"/>
        </w:rPr>
        <w:t>7</w:t>
      </w:r>
      <w:r>
        <w:rPr>
          <w:rFonts w:hint="eastAsia" w:ascii="宋体" w:hAnsi="宋体"/>
          <w:color w:val="000000"/>
          <w:sz w:val="24"/>
          <w:szCs w:val="24"/>
        </w:rPr>
        <w:t>月</w:t>
      </w:r>
      <w:r>
        <w:rPr>
          <w:rFonts w:hint="eastAsia" w:ascii="宋体" w:hAnsi="宋体"/>
          <w:color w:val="000000"/>
          <w:sz w:val="24"/>
          <w:szCs w:val="24"/>
          <w:u w:val="single"/>
          <w:lang w:val="en-US" w:eastAsia="zh-CN"/>
        </w:rPr>
        <w:t>3</w:t>
      </w:r>
      <w:r>
        <w:rPr>
          <w:rFonts w:hint="eastAsia" w:ascii="宋体" w:hAnsi="宋体"/>
          <w:color w:val="000000"/>
          <w:sz w:val="24"/>
          <w:szCs w:val="24"/>
        </w:rPr>
        <w:t>日</w:t>
      </w:r>
      <w:r>
        <w:rPr>
          <w:rFonts w:hint="eastAsia" w:ascii="宋体" w:hAnsi="宋体"/>
          <w:color w:val="000000"/>
          <w:sz w:val="24"/>
          <w:szCs w:val="24"/>
          <w:u w:val="single"/>
          <w:lang w:val="en-US" w:eastAsia="zh-CN"/>
        </w:rPr>
        <w:t>09</w:t>
      </w:r>
      <w:r>
        <w:rPr>
          <w:rFonts w:hint="eastAsia" w:ascii="宋体" w:hAnsi="宋体"/>
          <w:color w:val="000000"/>
          <w:sz w:val="24"/>
          <w:szCs w:val="24"/>
        </w:rPr>
        <w:t>时</w:t>
      </w:r>
      <w:r>
        <w:rPr>
          <w:rFonts w:hint="eastAsia" w:ascii="宋体" w:hAnsi="宋体"/>
          <w:color w:val="000000"/>
          <w:sz w:val="24"/>
          <w:szCs w:val="24"/>
          <w:u w:val="single"/>
          <w:lang w:val="en-US" w:eastAsia="zh-CN"/>
        </w:rPr>
        <w:t>00</w:t>
      </w:r>
      <w:r>
        <w:rPr>
          <w:rFonts w:hint="eastAsia" w:ascii="宋体" w:hAnsi="宋体"/>
          <w:color w:val="000000"/>
          <w:sz w:val="24"/>
          <w:szCs w:val="24"/>
        </w:rPr>
        <w:t>分</w:t>
      </w:r>
      <w:r>
        <w:rPr>
          <w:rFonts w:hint="eastAsia" w:ascii="宋体" w:hAnsi="宋体"/>
          <w:bCs/>
          <w:color w:val="000000"/>
          <w:sz w:val="24"/>
          <w:szCs w:val="24"/>
        </w:rPr>
        <w:t>；截止时间：</w:t>
      </w:r>
      <w:r>
        <w:rPr>
          <w:rFonts w:hint="eastAsia" w:ascii="宋体" w:hAnsi="宋体"/>
          <w:color w:val="000000"/>
          <w:sz w:val="24"/>
          <w:szCs w:val="24"/>
          <w:u w:val="single"/>
        </w:rPr>
        <w:t>2023</w:t>
      </w:r>
      <w:r>
        <w:rPr>
          <w:rFonts w:hint="eastAsia" w:ascii="宋体" w:hAnsi="宋体"/>
          <w:color w:val="000000"/>
          <w:sz w:val="24"/>
          <w:szCs w:val="24"/>
        </w:rPr>
        <w:t>年</w:t>
      </w:r>
      <w:r>
        <w:rPr>
          <w:rFonts w:hint="eastAsia" w:ascii="宋体" w:hAnsi="宋体"/>
          <w:color w:val="000000"/>
          <w:sz w:val="24"/>
          <w:szCs w:val="24"/>
          <w:u w:val="single"/>
          <w:lang w:val="en-US" w:eastAsia="zh-CN"/>
        </w:rPr>
        <w:t>7</w:t>
      </w:r>
      <w:r>
        <w:rPr>
          <w:rFonts w:hint="eastAsia" w:ascii="宋体" w:hAnsi="宋体"/>
          <w:color w:val="000000"/>
          <w:sz w:val="24"/>
          <w:szCs w:val="24"/>
        </w:rPr>
        <w:t>月</w:t>
      </w:r>
      <w:r>
        <w:rPr>
          <w:rFonts w:hint="eastAsia" w:ascii="宋体" w:hAnsi="宋体"/>
          <w:color w:val="000000"/>
          <w:sz w:val="24"/>
          <w:szCs w:val="24"/>
          <w:u w:val="single"/>
          <w:lang w:val="en-US" w:eastAsia="zh-CN"/>
        </w:rPr>
        <w:t>3</w:t>
      </w:r>
      <w:r>
        <w:rPr>
          <w:rFonts w:hint="eastAsia" w:ascii="宋体" w:hAnsi="宋体"/>
          <w:color w:val="000000"/>
          <w:sz w:val="24"/>
          <w:szCs w:val="24"/>
        </w:rPr>
        <w:t>日</w:t>
      </w:r>
      <w:r>
        <w:rPr>
          <w:rFonts w:hint="eastAsia" w:ascii="宋体" w:hAnsi="宋体"/>
          <w:color w:val="000000"/>
          <w:sz w:val="24"/>
          <w:szCs w:val="24"/>
          <w:u w:val="single"/>
          <w:lang w:val="en-US" w:eastAsia="zh-CN"/>
        </w:rPr>
        <w:t>09</w:t>
      </w:r>
      <w:r>
        <w:rPr>
          <w:rFonts w:hint="eastAsia" w:ascii="宋体" w:hAnsi="宋体"/>
          <w:color w:val="000000"/>
          <w:sz w:val="24"/>
          <w:szCs w:val="24"/>
        </w:rPr>
        <w:t>时</w:t>
      </w:r>
      <w:r>
        <w:rPr>
          <w:rFonts w:hint="eastAsia" w:ascii="宋体" w:hAnsi="宋体"/>
          <w:color w:val="000000"/>
          <w:sz w:val="24"/>
          <w:szCs w:val="24"/>
          <w:u w:val="single"/>
          <w:lang w:val="en-US" w:eastAsia="zh-CN"/>
        </w:rPr>
        <w:t>30</w:t>
      </w:r>
      <w:r>
        <w:rPr>
          <w:rFonts w:hint="eastAsia" w:ascii="宋体" w:hAnsi="宋体"/>
          <w:color w:val="000000"/>
          <w:sz w:val="24"/>
          <w:szCs w:val="24"/>
        </w:rPr>
        <w:t>分</w:t>
      </w:r>
      <w:r>
        <w:rPr>
          <w:rFonts w:hint="eastAsia" w:ascii="宋体" w:hAnsi="宋体"/>
          <w:bCs/>
          <w:color w:val="000000"/>
          <w:sz w:val="24"/>
          <w:szCs w:val="24"/>
          <w:lang w:eastAsia="zh-CN"/>
        </w:rPr>
        <w:t>；</w:t>
      </w:r>
      <w:r>
        <w:rPr>
          <w:rFonts w:hint="eastAsia" w:ascii="宋体" w:hAnsi="宋体" w:cs="宋体"/>
          <w:color w:val="000000"/>
          <w:sz w:val="24"/>
          <w:szCs w:val="24"/>
        </w:rPr>
        <w:t>开标时间：</w:t>
      </w:r>
      <w:r>
        <w:rPr>
          <w:rFonts w:hint="eastAsia" w:ascii="宋体" w:hAnsi="宋体"/>
          <w:color w:val="000000"/>
          <w:sz w:val="24"/>
          <w:szCs w:val="24"/>
          <w:u w:val="single"/>
        </w:rPr>
        <w:t>2023</w:t>
      </w:r>
      <w:r>
        <w:rPr>
          <w:rFonts w:hint="eastAsia" w:ascii="宋体" w:hAnsi="宋体"/>
          <w:color w:val="000000"/>
          <w:sz w:val="24"/>
          <w:szCs w:val="24"/>
        </w:rPr>
        <w:t>年</w:t>
      </w:r>
      <w:r>
        <w:rPr>
          <w:rFonts w:hint="eastAsia" w:ascii="宋体" w:hAnsi="宋体"/>
          <w:color w:val="000000"/>
          <w:sz w:val="24"/>
          <w:szCs w:val="24"/>
          <w:u w:val="single"/>
          <w:lang w:val="en-US" w:eastAsia="zh-CN"/>
        </w:rPr>
        <w:t>7</w:t>
      </w:r>
      <w:r>
        <w:rPr>
          <w:rFonts w:hint="eastAsia" w:ascii="宋体" w:hAnsi="宋体"/>
          <w:color w:val="000000"/>
          <w:sz w:val="24"/>
          <w:szCs w:val="24"/>
        </w:rPr>
        <w:t>月</w:t>
      </w:r>
      <w:r>
        <w:rPr>
          <w:rFonts w:hint="eastAsia" w:ascii="宋体" w:hAnsi="宋体"/>
          <w:color w:val="000000"/>
          <w:sz w:val="24"/>
          <w:szCs w:val="24"/>
          <w:u w:val="single"/>
          <w:lang w:val="en-US" w:eastAsia="zh-CN"/>
        </w:rPr>
        <w:t>3</w:t>
      </w:r>
      <w:r>
        <w:rPr>
          <w:rFonts w:hint="eastAsia" w:ascii="宋体" w:hAnsi="宋体"/>
          <w:color w:val="000000"/>
          <w:sz w:val="24"/>
          <w:szCs w:val="24"/>
        </w:rPr>
        <w:t>日</w:t>
      </w:r>
      <w:r>
        <w:rPr>
          <w:rFonts w:hint="eastAsia" w:ascii="宋体" w:hAnsi="宋体"/>
          <w:color w:val="000000"/>
          <w:sz w:val="24"/>
          <w:szCs w:val="24"/>
          <w:u w:val="single"/>
          <w:lang w:val="en-US" w:eastAsia="zh-CN"/>
        </w:rPr>
        <w:t>09</w:t>
      </w:r>
      <w:r>
        <w:rPr>
          <w:rFonts w:hint="eastAsia" w:ascii="宋体" w:hAnsi="宋体"/>
          <w:color w:val="000000"/>
          <w:sz w:val="24"/>
          <w:szCs w:val="24"/>
        </w:rPr>
        <w:t>时</w:t>
      </w:r>
      <w:r>
        <w:rPr>
          <w:rFonts w:hint="eastAsia" w:ascii="宋体" w:hAnsi="宋体"/>
          <w:color w:val="000000"/>
          <w:sz w:val="24"/>
          <w:szCs w:val="24"/>
          <w:u w:val="single"/>
          <w:lang w:val="en-US" w:eastAsia="zh-CN"/>
        </w:rPr>
        <w:t>30</w:t>
      </w:r>
      <w:r>
        <w:rPr>
          <w:rFonts w:hint="eastAsia" w:ascii="宋体" w:hAnsi="宋体"/>
          <w:color w:val="000000"/>
          <w:sz w:val="24"/>
          <w:szCs w:val="24"/>
        </w:rPr>
        <w:t>分</w:t>
      </w:r>
      <w:r>
        <w:rPr>
          <w:rFonts w:hint="eastAsia" w:ascii="宋体" w:hAnsi="宋体" w:cs="宋体"/>
          <w:color w:val="000000"/>
          <w:sz w:val="24"/>
          <w:szCs w:val="24"/>
        </w:rPr>
        <w:t>。</w:t>
      </w:r>
    </w:p>
    <w:p>
      <w:pPr>
        <w:keepLines w:val="0"/>
        <w:pageBreakBefore w:val="0"/>
        <w:kinsoku/>
        <w:wordWrap/>
        <w:overflowPunct/>
        <w:topLinePunct w:val="0"/>
        <w:autoSpaceDE/>
        <w:autoSpaceDN/>
        <w:bidi w:val="0"/>
        <w:spacing w:line="540" w:lineRule="exact"/>
        <w:ind w:left="0" w:leftChars="0" w:firstLine="480" w:firstLineChars="200"/>
        <w:jc w:val="both"/>
        <w:textAlignment w:val="auto"/>
        <w:rPr>
          <w:rFonts w:ascii="宋体" w:hAnsi="宋体" w:cs="宋体"/>
          <w:color w:val="000000"/>
          <w:sz w:val="24"/>
          <w:szCs w:val="24"/>
        </w:rPr>
      </w:pPr>
      <w:r>
        <w:rPr>
          <w:rFonts w:hint="eastAsia" w:ascii="宋体" w:hAnsi="宋体"/>
          <w:bCs/>
          <w:color w:val="000000"/>
          <w:sz w:val="24"/>
          <w:szCs w:val="24"/>
          <w:lang w:val="en-US" w:eastAsia="zh-CN"/>
        </w:rPr>
        <w:t>3.</w:t>
      </w:r>
      <w:r>
        <w:rPr>
          <w:rFonts w:hint="eastAsia" w:ascii="宋体" w:hAnsi="宋体"/>
          <w:bCs/>
          <w:color w:val="000000"/>
          <w:sz w:val="24"/>
          <w:szCs w:val="24"/>
        </w:rPr>
        <w:t>递交投标文件及</w:t>
      </w:r>
      <w:r>
        <w:rPr>
          <w:rFonts w:hint="eastAsia" w:ascii="宋体" w:hAnsi="宋体" w:cs="宋体"/>
          <w:color w:val="000000"/>
          <w:sz w:val="24"/>
          <w:szCs w:val="24"/>
        </w:rPr>
        <w:t>开标地点：广州公共资源交易中心指定开标室。</w:t>
      </w:r>
    </w:p>
    <w:p>
      <w:pPr>
        <w:keepLines w:val="0"/>
        <w:pageBreakBefore w:val="0"/>
        <w:kinsoku/>
        <w:wordWrap/>
        <w:overflowPunct/>
        <w:topLinePunct w:val="0"/>
        <w:autoSpaceDE/>
        <w:autoSpaceDN/>
        <w:bidi w:val="0"/>
        <w:spacing w:line="540" w:lineRule="exact"/>
        <w:ind w:left="0" w:leftChars="0" w:firstLine="480" w:firstLineChars="200"/>
        <w:jc w:val="both"/>
        <w:textAlignment w:val="auto"/>
        <w:rPr>
          <w:rFonts w:ascii="宋体" w:hAnsi="宋体" w:cs="宋体"/>
          <w:color w:val="000000"/>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递交投标文件截止时间与开标时间是否有变化，请密切留意招标答疑中的相关信息。递交投标文件截止时间后，开标时间因故推迟的，相关评标信息仍以原递交投标文件截止时间的信息为准。</w:t>
      </w:r>
    </w:p>
    <w:p>
      <w:pPr>
        <w:keepLines w:val="0"/>
        <w:pageBreakBefore w:val="0"/>
        <w:shd w:val="clear" w:color="auto" w:fill="FFFFFF"/>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rPr>
        <w:t>八、投标登记及招标文件获取时间及方式：</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rPr>
        <w:t>1</w:t>
      </w:r>
      <w:r>
        <w:rPr>
          <w:rFonts w:hint="eastAsia" w:ascii="宋体" w:hAnsi="宋体" w:cs="仿宋"/>
          <w:sz w:val="24"/>
          <w:lang w:val="en-US" w:eastAsia="zh-CN"/>
        </w:rPr>
        <w:t>.</w:t>
      </w:r>
      <w:r>
        <w:rPr>
          <w:rFonts w:hint="eastAsia" w:ascii="宋体" w:hAnsi="宋体" w:cs="仿宋"/>
          <w:sz w:val="24"/>
        </w:rPr>
        <w:t>投标登记及发售招标文件时间：</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rPr>
        <w:t>投标登记及招标文件发售开始日期（含本日）：</w:t>
      </w:r>
      <w:r>
        <w:rPr>
          <w:rFonts w:hint="eastAsia" w:ascii="宋体" w:hAnsi="宋体"/>
          <w:color w:val="000000"/>
          <w:sz w:val="24"/>
          <w:szCs w:val="24"/>
          <w:u w:val="single"/>
        </w:rPr>
        <w:t>2023</w:t>
      </w:r>
      <w:r>
        <w:rPr>
          <w:rFonts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lang w:val="en-US" w:eastAsia="zh-CN"/>
        </w:rPr>
        <w:t>6</w:t>
      </w:r>
      <w:r>
        <w:rPr>
          <w:rFonts w:hint="eastAsia" w:ascii="宋体" w:hAnsi="宋体"/>
          <w:color w:val="000000"/>
          <w:sz w:val="24"/>
          <w:szCs w:val="24"/>
        </w:rPr>
        <w:t>月</w:t>
      </w:r>
      <w:r>
        <w:rPr>
          <w:rFonts w:hint="eastAsia" w:ascii="宋体" w:hAnsi="宋体"/>
          <w:color w:val="000000"/>
          <w:sz w:val="24"/>
          <w:szCs w:val="24"/>
          <w:u w:val="single"/>
          <w:lang w:val="en-US" w:eastAsia="zh-CN"/>
        </w:rPr>
        <w:t>13</w:t>
      </w:r>
      <w:r>
        <w:rPr>
          <w:rFonts w:hint="eastAsia" w:ascii="宋体" w:hAnsi="宋体"/>
          <w:color w:val="000000"/>
          <w:sz w:val="24"/>
          <w:szCs w:val="24"/>
        </w:rPr>
        <w:t>日</w:t>
      </w:r>
      <w:r>
        <w:rPr>
          <w:rFonts w:hint="eastAsia" w:ascii="宋体" w:hAnsi="宋体" w:cs="仿宋"/>
          <w:sz w:val="24"/>
        </w:rPr>
        <w:t>。</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rPr>
        <w:t>投标登记及招标文件发售截止日期（含本日）：</w:t>
      </w:r>
      <w:r>
        <w:rPr>
          <w:rFonts w:hint="eastAsia" w:ascii="宋体" w:hAnsi="宋体"/>
          <w:color w:val="000000"/>
          <w:sz w:val="24"/>
          <w:szCs w:val="24"/>
          <w:u w:val="single"/>
        </w:rPr>
        <w:t>2023</w:t>
      </w:r>
      <w:r>
        <w:rPr>
          <w:rFonts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lang w:val="en-US" w:eastAsia="zh-CN"/>
        </w:rPr>
        <w:t>6</w:t>
      </w:r>
      <w:r>
        <w:rPr>
          <w:rFonts w:hint="eastAsia" w:ascii="宋体" w:hAnsi="宋体"/>
          <w:color w:val="000000"/>
          <w:sz w:val="24"/>
          <w:szCs w:val="24"/>
        </w:rPr>
        <w:t>月</w:t>
      </w:r>
      <w:r>
        <w:rPr>
          <w:rFonts w:hint="eastAsia" w:ascii="宋体" w:hAnsi="宋体"/>
          <w:color w:val="000000"/>
          <w:sz w:val="24"/>
          <w:szCs w:val="24"/>
          <w:u w:val="single"/>
          <w:lang w:val="en-US" w:eastAsia="zh-CN"/>
        </w:rPr>
        <w:t>19</w:t>
      </w:r>
      <w:r>
        <w:rPr>
          <w:rFonts w:hint="eastAsia" w:ascii="宋体" w:hAnsi="宋体"/>
          <w:color w:val="000000"/>
          <w:sz w:val="24"/>
          <w:szCs w:val="24"/>
        </w:rPr>
        <w:t>日</w:t>
      </w:r>
      <w:r>
        <w:rPr>
          <w:rFonts w:hint="eastAsia" w:ascii="宋体" w:hAnsi="宋体" w:cs="仿宋"/>
          <w:sz w:val="24"/>
        </w:rPr>
        <w:t>。</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rPr>
        <w:t>投标登记及招标文件发售时间：上午：9:30-11:30，下午：14:00-16:00(节假日除外)。</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rPr>
        <w:t>注：投标登记及招标文件发售不得少于5日。</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hint="eastAsia" w:ascii="宋体" w:hAnsi="宋体" w:cs="仿宋"/>
          <w:sz w:val="24"/>
          <w:lang w:val="en-US" w:eastAsia="zh-CN"/>
        </w:rPr>
      </w:pPr>
      <w:r>
        <w:rPr>
          <w:rFonts w:hint="eastAsia" w:ascii="宋体" w:hAnsi="宋体" w:cs="仿宋"/>
          <w:sz w:val="24"/>
        </w:rPr>
        <w:t>如投标登记参加投标的申请人数量过少不足以形成充分竞争时，招标人在确认正式投标人之前，可以发出补充公告，适当延长投标登记时间。</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宋体"/>
          <w:color w:val="auto"/>
          <w:sz w:val="24"/>
          <w:szCs w:val="24"/>
          <w:highlight w:val="none"/>
        </w:rPr>
        <w:t>若已购买招标文件而决定不参加本项目报价的投标人，应在开标前10日以书面形式（书面材料、信函或传真加盖投标人公章）通知招标代理机构。</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b/>
          <w:sz w:val="24"/>
        </w:rPr>
      </w:pPr>
      <w:r>
        <w:rPr>
          <w:rFonts w:hint="eastAsia" w:ascii="宋体" w:hAnsi="宋体" w:cs="仿宋"/>
          <w:sz w:val="24"/>
          <w:lang w:val="en-US" w:eastAsia="zh-CN"/>
        </w:rPr>
        <w:t>2.</w:t>
      </w:r>
      <w:r>
        <w:rPr>
          <w:rFonts w:hint="eastAsia" w:ascii="宋体" w:hAnsi="宋体" w:cs="仿宋"/>
          <w:sz w:val="24"/>
        </w:rPr>
        <w:t>投标申请人投标登记时须提交的资料：投标登记申请表2份（通过广州公共资源交易中心-服务指南-资料下载处下载）、</w:t>
      </w:r>
      <w:r>
        <w:rPr>
          <w:rFonts w:ascii="宋体" w:hAnsi="宋体" w:cs="仿宋"/>
          <w:sz w:val="24"/>
        </w:rPr>
        <w:t>企业法人营业执照（或事业法人登记证）副本复印件（加盖单位公章）</w:t>
      </w:r>
      <w:r>
        <w:rPr>
          <w:rFonts w:hint="eastAsia" w:ascii="宋体" w:hAnsi="宋体" w:cs="仿宋"/>
          <w:sz w:val="24"/>
        </w:rPr>
        <w:t>、</w:t>
      </w:r>
      <w:r>
        <w:rPr>
          <w:rFonts w:hint="eastAsia" w:ascii="宋体" w:hAnsi="宋体" w:cs="仿宋"/>
          <w:color w:val="auto"/>
          <w:sz w:val="24"/>
          <w:highlight w:val="none"/>
        </w:rPr>
        <w:t>相关人员及业绩证明材料复印件（加盖单位公章）、</w:t>
      </w:r>
      <w:r>
        <w:rPr>
          <w:rFonts w:hint="eastAsia" w:ascii="宋体" w:hAnsi="宋体" w:cs="仿宋"/>
          <w:sz w:val="24"/>
        </w:rPr>
        <w:t>法定代表人证明书原件1份、法定代表人授权委托证明书原件（非法定代表人参加时提供）1份、本人身份证复印件1份，上述资料按顺序装订成册，每页加盖公章。</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lang w:val="en-US" w:eastAsia="zh-CN"/>
        </w:rPr>
        <w:t>3.</w:t>
      </w:r>
      <w:r>
        <w:rPr>
          <w:rFonts w:hint="eastAsia" w:ascii="宋体" w:hAnsi="宋体" w:cs="仿宋"/>
          <w:sz w:val="24"/>
        </w:rPr>
        <w:t>投标登记及购买招标文件地点：广州公共资源交易中心（广州市天河区天润路333号）投标登记41号窗口。</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lang w:val="en-US" w:eastAsia="zh-CN"/>
        </w:rPr>
        <w:t>4.</w:t>
      </w:r>
      <w:r>
        <w:rPr>
          <w:rFonts w:hint="eastAsia" w:ascii="宋体" w:hAnsi="宋体" w:cs="仿宋"/>
          <w:sz w:val="24"/>
        </w:rPr>
        <w:t>招标文件费500元/套，售后不退。</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rPr>
        <w:t>九、投标人合格条件：</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lang w:val="en-US" w:eastAsia="zh-CN"/>
        </w:rPr>
        <w:t>1.</w:t>
      </w:r>
      <w:r>
        <w:rPr>
          <w:rFonts w:hint="eastAsia" w:ascii="宋体" w:hAnsi="宋体" w:cs="仿宋"/>
          <w:sz w:val="24"/>
        </w:rPr>
        <w:t>投标人具备中华人民共和国境内独立法人资格，并持有有效的法人营业执照。</w:t>
      </w:r>
    </w:p>
    <w:p>
      <w:pPr>
        <w:pStyle w:val="12"/>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eastAsia="宋体" w:cs="仿宋"/>
          <w:color w:val="auto"/>
          <w:sz w:val="24"/>
          <w:szCs w:val="24"/>
        </w:rPr>
      </w:pPr>
      <w:r>
        <w:rPr>
          <w:rFonts w:hint="eastAsia" w:ascii="宋体" w:hAnsi="宋体" w:eastAsia="宋体" w:cs="仿宋"/>
          <w:color w:val="auto"/>
          <w:sz w:val="24"/>
          <w:szCs w:val="24"/>
          <w:lang w:val="en-US" w:eastAsia="zh-CN"/>
        </w:rPr>
        <w:t>2.</w:t>
      </w:r>
      <w:r>
        <w:rPr>
          <w:rFonts w:hint="eastAsia" w:ascii="宋体" w:hAnsi="宋体" w:eastAsia="宋体" w:cs="仿宋"/>
          <w:color w:val="auto"/>
          <w:sz w:val="24"/>
          <w:szCs w:val="24"/>
        </w:rPr>
        <w:t>投标人具有承接本工程所需的</w:t>
      </w:r>
      <w:r>
        <w:rPr>
          <w:rFonts w:hint="eastAsia" w:ascii="宋体" w:hAnsi="宋体" w:eastAsia="宋体" w:cs="仿宋"/>
          <w:color w:val="auto"/>
          <w:sz w:val="24"/>
          <w:szCs w:val="24"/>
          <w:u w:val="single"/>
        </w:rPr>
        <w:t>建设行政主管部门颁发的环保工程专业承包二级或以上资质</w:t>
      </w:r>
      <w:r>
        <w:rPr>
          <w:rFonts w:hint="eastAsia" w:ascii="宋体" w:hAnsi="宋体" w:eastAsia="宋体" w:cs="仿宋"/>
          <w:color w:val="auto"/>
          <w:sz w:val="24"/>
          <w:szCs w:val="24"/>
        </w:rPr>
        <w:t>证书及安全生产许可证。</w:t>
      </w:r>
    </w:p>
    <w:p>
      <w:pPr>
        <w:keepLines w:val="0"/>
        <w:pageBreakBefore w:val="0"/>
        <w:kinsoku/>
        <w:wordWrap/>
        <w:overflowPunct/>
        <w:topLinePunct w:val="0"/>
        <w:autoSpaceDE/>
        <w:autoSpaceDN/>
        <w:bidi w:val="0"/>
        <w:snapToGrid w:val="0"/>
        <w:spacing w:line="540" w:lineRule="exact"/>
        <w:ind w:firstLine="480"/>
        <w:jc w:val="both"/>
        <w:textAlignment w:val="auto"/>
        <w:rPr>
          <w:rFonts w:ascii="宋体" w:hAnsi="宋体"/>
          <w:color w:val="000000"/>
          <w:sz w:val="24"/>
          <w:szCs w:val="24"/>
        </w:rPr>
      </w:pPr>
      <w:r>
        <w:rPr>
          <w:rFonts w:hint="eastAsia" w:ascii="宋体" w:hAnsi="宋体" w:cs="仿宋"/>
          <w:sz w:val="24"/>
        </w:rPr>
        <w:t>注：资质内容按照建市[2014]159号文颁布的《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w:t>
      </w:r>
      <w:r>
        <w:rPr>
          <w:rFonts w:hint="eastAsia" w:ascii="宋体" w:hAnsi="宋体"/>
          <w:color w:val="000000"/>
          <w:sz w:val="24"/>
          <w:szCs w:val="24"/>
        </w:rPr>
        <w:t>。招标内容含有设计要求，且设计要求仅为深化设计的，在投标人的资质设置要求中，不允许设置设计资质。</w:t>
      </w:r>
    </w:p>
    <w:p>
      <w:pPr>
        <w:pStyle w:val="12"/>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eastAsia="宋体" w:cs="仿宋"/>
          <w:i/>
          <w:color w:val="auto"/>
          <w:sz w:val="24"/>
          <w:szCs w:val="24"/>
        </w:rPr>
      </w:pPr>
      <w:r>
        <w:rPr>
          <w:rFonts w:hint="eastAsia" w:ascii="宋体" w:hAnsi="宋体" w:eastAsia="宋体" w:cs="仿宋"/>
          <w:color w:val="auto"/>
          <w:sz w:val="24"/>
          <w:szCs w:val="24"/>
          <w:lang w:val="en-US" w:eastAsia="zh-CN"/>
        </w:rPr>
        <w:t>3.</w:t>
      </w:r>
      <w:r>
        <w:rPr>
          <w:rFonts w:hint="eastAsia" w:ascii="宋体" w:hAnsi="宋体" w:eastAsia="宋体" w:cs="仿宋"/>
          <w:color w:val="auto"/>
          <w:sz w:val="24"/>
          <w:szCs w:val="24"/>
        </w:rPr>
        <w:t>投标人拟担任本工程项目负责人的人员具有</w:t>
      </w:r>
      <w:r>
        <w:rPr>
          <w:rFonts w:hint="eastAsia" w:ascii="宋体" w:hAnsi="宋体" w:eastAsia="宋体" w:cs="仿宋"/>
          <w:color w:val="auto"/>
          <w:sz w:val="24"/>
          <w:szCs w:val="24"/>
          <w:u w:val="single"/>
        </w:rPr>
        <w:t>一级注册建造师</w:t>
      </w:r>
      <w:r>
        <w:rPr>
          <w:rFonts w:hint="eastAsia" w:ascii="宋体" w:hAnsi="宋体" w:eastAsia="宋体" w:cs="仿宋"/>
          <w:color w:val="auto"/>
          <w:sz w:val="24"/>
          <w:szCs w:val="24"/>
        </w:rPr>
        <w:t>执业资格证书；</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rPr>
        <w:t>注：</w:t>
      </w:r>
      <w:r>
        <w:rPr>
          <w:rFonts w:hint="eastAsia" w:ascii="宋体" w:hAnsi="宋体"/>
          <w:color w:val="000000"/>
          <w:sz w:val="24"/>
          <w:szCs w:val="24"/>
        </w:rPr>
        <w:t>项目负责人在任职期间不得担任专职安全员，项目专职安全员在任职期间也不得担任项目负责人，项目负责人和安全员不为同一人。</w:t>
      </w:r>
    </w:p>
    <w:p>
      <w:pPr>
        <w:pStyle w:val="12"/>
        <w:keepLines w:val="0"/>
        <w:pageBreakBefore w:val="0"/>
        <w:numPr>
          <w:ilvl w:val="0"/>
          <w:numId w:val="0"/>
        </w:numPr>
        <w:kinsoku/>
        <w:wordWrap/>
        <w:overflowPunct/>
        <w:topLinePunct w:val="0"/>
        <w:autoSpaceDE/>
        <w:autoSpaceDN/>
        <w:bidi w:val="0"/>
        <w:snapToGrid w:val="0"/>
        <w:spacing w:line="540" w:lineRule="exact"/>
        <w:ind w:firstLine="480" w:firstLineChars="200"/>
        <w:jc w:val="both"/>
        <w:textAlignment w:val="auto"/>
        <w:rPr>
          <w:rFonts w:ascii="宋体" w:hAnsi="宋体" w:eastAsia="宋体" w:cs="仿宋"/>
          <w:color w:val="auto"/>
          <w:sz w:val="24"/>
          <w:szCs w:val="24"/>
        </w:rPr>
      </w:pPr>
      <w:r>
        <w:rPr>
          <w:rFonts w:hint="eastAsia" w:ascii="宋体" w:hAnsi="宋体" w:eastAsia="宋体"/>
          <w:sz w:val="24"/>
          <w:szCs w:val="24"/>
          <w:lang w:val="en-US" w:eastAsia="zh-CN"/>
        </w:rPr>
        <w:t>4.</w:t>
      </w:r>
      <w:r>
        <w:rPr>
          <w:rFonts w:hint="eastAsia" w:ascii="宋体" w:hAnsi="宋体" w:eastAsia="宋体"/>
          <w:sz w:val="24"/>
          <w:szCs w:val="24"/>
        </w:rPr>
        <w:t>项目负责人持有在有效期内的安全生产考核合格证（</w:t>
      </w:r>
      <w:r>
        <w:rPr>
          <w:rFonts w:ascii="宋体" w:hAnsi="宋体" w:eastAsia="宋体"/>
          <w:sz w:val="24"/>
          <w:szCs w:val="24"/>
        </w:rPr>
        <w:t>B</w:t>
      </w:r>
      <w:r>
        <w:rPr>
          <w:rFonts w:hint="eastAsia" w:ascii="宋体" w:hAnsi="宋体" w:eastAsia="宋体"/>
          <w:sz w:val="24"/>
          <w:szCs w:val="24"/>
        </w:rPr>
        <w:t>类）或建筑施工企业项目负责人安全生产考核合格证书</w:t>
      </w:r>
      <w:r>
        <w:rPr>
          <w:rFonts w:hint="eastAsia" w:ascii="宋体" w:hAnsi="宋体" w:eastAsia="宋体" w:cs="仿宋"/>
          <w:color w:val="auto"/>
          <w:sz w:val="24"/>
          <w:szCs w:val="24"/>
        </w:rPr>
        <w:t xml:space="preserve">； </w:t>
      </w:r>
    </w:p>
    <w:p>
      <w:pPr>
        <w:pStyle w:val="12"/>
        <w:keepLines w:val="0"/>
        <w:pageBreakBefore w:val="0"/>
        <w:numPr>
          <w:ilvl w:val="0"/>
          <w:numId w:val="0"/>
        </w:numPr>
        <w:kinsoku/>
        <w:wordWrap/>
        <w:overflowPunct/>
        <w:topLinePunct w:val="0"/>
        <w:autoSpaceDE/>
        <w:autoSpaceDN/>
        <w:bidi w:val="0"/>
        <w:snapToGrid w:val="0"/>
        <w:spacing w:line="540" w:lineRule="exact"/>
        <w:ind w:firstLine="480" w:firstLineChars="200"/>
        <w:jc w:val="both"/>
        <w:textAlignment w:val="auto"/>
        <w:rPr>
          <w:rFonts w:ascii="宋体" w:hAnsi="宋体" w:eastAsia="宋体" w:cs="仿宋"/>
          <w:color w:val="auto"/>
          <w:sz w:val="24"/>
          <w:szCs w:val="24"/>
        </w:rPr>
      </w:pPr>
      <w:r>
        <w:rPr>
          <w:rFonts w:hint="eastAsia" w:ascii="宋体" w:hAnsi="宋体" w:eastAsia="宋体" w:cs="仿宋"/>
          <w:color w:val="auto"/>
          <w:sz w:val="24"/>
          <w:szCs w:val="24"/>
          <w:lang w:val="en-US" w:eastAsia="zh-CN"/>
        </w:rPr>
        <w:t>5.</w:t>
      </w:r>
      <w:r>
        <w:rPr>
          <w:rFonts w:ascii="宋体" w:hAnsi="宋体" w:eastAsia="宋体" w:cs="仿宋"/>
          <w:color w:val="auto"/>
          <w:sz w:val="24"/>
          <w:szCs w:val="24"/>
        </w:rPr>
        <w:t>投标人拟担任本工程技术负责人的资格要求为：</w:t>
      </w:r>
      <w:r>
        <w:rPr>
          <w:rFonts w:hint="eastAsia" w:ascii="宋体" w:hAnsi="宋体" w:eastAsia="宋体" w:cs="仿宋"/>
          <w:color w:val="auto"/>
          <w:sz w:val="24"/>
          <w:szCs w:val="24"/>
          <w:u w:val="single"/>
        </w:rPr>
        <w:t>环保相关专业高级或以上职称；</w:t>
      </w:r>
    </w:p>
    <w:p>
      <w:pPr>
        <w:pStyle w:val="12"/>
        <w:keepLines w:val="0"/>
        <w:pageBreakBefore w:val="0"/>
        <w:numPr>
          <w:ilvl w:val="0"/>
          <w:numId w:val="0"/>
        </w:numPr>
        <w:kinsoku/>
        <w:wordWrap/>
        <w:overflowPunct/>
        <w:topLinePunct w:val="0"/>
        <w:autoSpaceDE/>
        <w:autoSpaceDN/>
        <w:bidi w:val="0"/>
        <w:snapToGrid w:val="0"/>
        <w:spacing w:line="540" w:lineRule="exact"/>
        <w:ind w:firstLine="480" w:firstLineChars="200"/>
        <w:jc w:val="both"/>
        <w:textAlignment w:val="auto"/>
        <w:rPr>
          <w:rFonts w:ascii="宋体" w:hAnsi="宋体" w:eastAsia="宋体" w:cs="仿宋"/>
          <w:color w:val="auto"/>
          <w:sz w:val="24"/>
          <w:szCs w:val="24"/>
        </w:rPr>
      </w:pPr>
      <w:r>
        <w:rPr>
          <w:rFonts w:hint="eastAsia" w:ascii="宋体" w:hAnsi="宋体" w:eastAsia="宋体" w:cs="仿宋"/>
          <w:color w:val="auto"/>
          <w:sz w:val="24"/>
          <w:lang w:val="en-US" w:eastAsia="zh-CN"/>
        </w:rPr>
        <w:t>6.</w:t>
      </w:r>
      <w:r>
        <w:rPr>
          <w:rFonts w:hint="eastAsia" w:ascii="宋体" w:hAnsi="宋体" w:eastAsia="宋体" w:cs="仿宋"/>
          <w:color w:val="auto"/>
          <w:sz w:val="24"/>
        </w:rPr>
        <w:t>专职安全员须具有</w:t>
      </w:r>
      <w:r>
        <w:rPr>
          <w:rFonts w:hint="eastAsia" w:ascii="宋体" w:hAnsi="宋体" w:eastAsia="宋体"/>
          <w:sz w:val="24"/>
          <w:szCs w:val="24"/>
        </w:rPr>
        <w:t>在有效期内的</w:t>
      </w:r>
      <w:r>
        <w:rPr>
          <w:rFonts w:hint="eastAsia" w:ascii="宋体" w:hAnsi="宋体" w:eastAsia="宋体" w:cs="仿宋"/>
          <w:color w:val="auto"/>
          <w:sz w:val="24"/>
        </w:rPr>
        <w:t>安全生产考核合格证（C类）或建筑施工企业专职安全生产管理人员安全生产考核合格证书（C3）。</w:t>
      </w:r>
    </w:p>
    <w:p>
      <w:pPr>
        <w:pStyle w:val="12"/>
        <w:keepLines w:val="0"/>
        <w:pageBreakBefore w:val="0"/>
        <w:numPr>
          <w:ilvl w:val="0"/>
          <w:numId w:val="0"/>
        </w:numPr>
        <w:kinsoku/>
        <w:wordWrap/>
        <w:overflowPunct/>
        <w:topLinePunct w:val="0"/>
        <w:autoSpaceDE/>
        <w:autoSpaceDN/>
        <w:bidi w:val="0"/>
        <w:snapToGrid w:val="0"/>
        <w:spacing w:line="540" w:lineRule="exact"/>
        <w:ind w:firstLine="480" w:firstLineChars="200"/>
        <w:jc w:val="both"/>
        <w:textAlignment w:val="auto"/>
        <w:rPr>
          <w:rFonts w:hint="eastAsia" w:ascii="宋体" w:hAnsi="宋体" w:eastAsia="宋体" w:cs="仿宋"/>
          <w:color w:val="auto"/>
          <w:sz w:val="24"/>
          <w:szCs w:val="24"/>
          <w:lang w:eastAsia="zh-CN"/>
        </w:rPr>
      </w:pPr>
      <w:r>
        <w:rPr>
          <w:rFonts w:hint="eastAsia" w:ascii="宋体" w:hAnsi="宋体" w:eastAsia="宋体" w:cs="仿宋"/>
          <w:color w:val="auto"/>
          <w:sz w:val="24"/>
          <w:lang w:val="en-US" w:eastAsia="zh-CN"/>
        </w:rPr>
        <w:t>7.</w:t>
      </w:r>
      <w:r>
        <w:rPr>
          <w:rFonts w:hint="eastAsia" w:ascii="宋体" w:hAnsi="宋体" w:eastAsia="宋体" w:cs="仿宋"/>
          <w:color w:val="auto"/>
          <w:sz w:val="24"/>
        </w:rPr>
        <w:t>自2020年1月1日至递交本项目投标文件截止（以环保部门或业主出具的相关竣工验收材料时间为准）承接过合同金额大于3000万元的类似污染土壤修复施工项目业绩（项目业绩不包括：分包业绩、矿山修复、固体废物处理处置、生活垃圾处理处置、水体修复、生态修复、底泥治理、农田治理修复等业绩）。本业绩必须是投标人以独立身份承接的业绩或以联合体牵头人承接的业绩为有效业绩，其它方式承接的业绩不予认可。需提供中标通知书、合同关键页及环保部门相关材料复印件加盖投标人公章</w:t>
      </w:r>
      <w:r>
        <w:rPr>
          <w:rFonts w:hint="eastAsia" w:ascii="宋体" w:hAnsi="宋体" w:eastAsia="宋体" w:cs="仿宋"/>
          <w:color w:val="auto"/>
          <w:sz w:val="24"/>
          <w:lang w:eastAsia="zh-CN"/>
        </w:rPr>
        <w:t>。</w:t>
      </w:r>
    </w:p>
    <w:p>
      <w:pPr>
        <w:pStyle w:val="12"/>
        <w:keepLines w:val="0"/>
        <w:pageBreakBefore w:val="0"/>
        <w:numPr>
          <w:ilvl w:val="0"/>
          <w:numId w:val="0"/>
        </w:numPr>
        <w:kinsoku/>
        <w:wordWrap/>
        <w:overflowPunct/>
        <w:topLinePunct w:val="0"/>
        <w:autoSpaceDE/>
        <w:autoSpaceDN/>
        <w:bidi w:val="0"/>
        <w:snapToGrid w:val="0"/>
        <w:spacing w:line="540" w:lineRule="exact"/>
        <w:ind w:firstLine="480" w:firstLineChars="200"/>
        <w:jc w:val="both"/>
        <w:textAlignment w:val="auto"/>
        <w:rPr>
          <w:rFonts w:ascii="宋体" w:hAnsi="宋体" w:eastAsia="宋体" w:cs="仿宋"/>
          <w:color w:val="auto"/>
          <w:sz w:val="24"/>
          <w:szCs w:val="24"/>
        </w:rPr>
      </w:pPr>
      <w:r>
        <w:rPr>
          <w:rFonts w:hint="eastAsia" w:ascii="宋体" w:hAnsi="宋体" w:eastAsia="宋体" w:cs="仿宋"/>
          <w:color w:val="auto"/>
          <w:sz w:val="24"/>
          <w:lang w:val="en-US" w:eastAsia="zh-CN"/>
        </w:rPr>
        <w:t>8.</w:t>
      </w:r>
      <w:r>
        <w:rPr>
          <w:rFonts w:hint="eastAsia" w:ascii="宋体" w:hAnsi="宋体" w:eastAsia="宋体" w:cs="仿宋"/>
          <w:color w:val="auto"/>
          <w:sz w:val="24"/>
        </w:rPr>
        <w:t>本项目不接受联合体投标。</w:t>
      </w:r>
    </w:p>
    <w:p>
      <w:pPr>
        <w:pStyle w:val="12"/>
        <w:keepLines w:val="0"/>
        <w:pageBreakBefore w:val="0"/>
        <w:numPr>
          <w:ilvl w:val="0"/>
          <w:numId w:val="0"/>
        </w:numPr>
        <w:kinsoku/>
        <w:wordWrap/>
        <w:overflowPunct/>
        <w:topLinePunct w:val="0"/>
        <w:autoSpaceDE/>
        <w:autoSpaceDN/>
        <w:bidi w:val="0"/>
        <w:snapToGrid w:val="0"/>
        <w:spacing w:line="540" w:lineRule="exact"/>
        <w:ind w:firstLine="480" w:firstLineChars="200"/>
        <w:jc w:val="both"/>
        <w:textAlignment w:val="auto"/>
        <w:rPr>
          <w:rFonts w:ascii="宋体" w:hAnsi="宋体" w:eastAsia="宋体" w:cs="仿宋"/>
          <w:sz w:val="24"/>
        </w:rPr>
      </w:pPr>
      <w:r>
        <w:rPr>
          <w:rFonts w:hint="eastAsia" w:ascii="宋体" w:hAnsi="宋体" w:eastAsia="宋体" w:cs="仿宋"/>
          <w:sz w:val="24"/>
          <w:lang w:val="en-US" w:eastAsia="zh-CN"/>
        </w:rPr>
        <w:t>9.</w:t>
      </w:r>
      <w:r>
        <w:rPr>
          <w:rFonts w:hint="eastAsia" w:ascii="宋体" w:hAnsi="宋体" w:eastAsia="宋体" w:cs="仿宋"/>
          <w:sz w:val="24"/>
        </w:rPr>
        <w:t>投标人</w:t>
      </w:r>
      <w:r>
        <w:rPr>
          <w:rFonts w:ascii="宋体" w:hAnsi="宋体" w:eastAsia="宋体" w:cs="仿宋"/>
          <w:sz w:val="24"/>
        </w:rPr>
        <w:t>未被列入“信用中国”网站(</w:t>
      </w:r>
      <w:r>
        <w:fldChar w:fldCharType="begin"/>
      </w:r>
      <w:r>
        <w:instrText xml:space="preserve"> HYPERLINK "http://www.creditchina.gov.cn" </w:instrText>
      </w:r>
      <w:r>
        <w:fldChar w:fldCharType="separate"/>
      </w:r>
      <w:r>
        <w:rPr>
          <w:rStyle w:val="11"/>
          <w:rFonts w:ascii="宋体" w:hAnsi="宋体" w:eastAsia="宋体" w:cs="仿宋"/>
          <w:color w:val="auto"/>
          <w:sz w:val="24"/>
        </w:rPr>
        <w:t>www.creditchina.gov.cn</w:t>
      </w:r>
      <w:r>
        <w:rPr>
          <w:rStyle w:val="11"/>
          <w:rFonts w:ascii="宋体" w:hAnsi="宋体" w:eastAsia="宋体" w:cs="仿宋"/>
          <w:color w:val="auto"/>
          <w:sz w:val="24"/>
        </w:rPr>
        <w:fldChar w:fldCharType="end"/>
      </w:r>
      <w:r>
        <w:rPr>
          <w:rFonts w:ascii="宋体" w:hAnsi="宋体" w:eastAsia="宋体" w:cs="仿宋"/>
          <w:sz w:val="24"/>
        </w:rPr>
        <w:t>)</w:t>
      </w:r>
      <w:r>
        <w:rPr>
          <w:rFonts w:hint="eastAsia" w:ascii="宋体" w:hAnsi="宋体" w:eastAsia="宋体" w:cs="仿宋"/>
          <w:sz w:val="24"/>
        </w:rPr>
        <w:t>以下情形之一：①</w:t>
      </w:r>
      <w:r>
        <w:rPr>
          <w:rFonts w:ascii="宋体" w:hAnsi="宋体" w:eastAsia="宋体" w:cs="仿宋"/>
          <w:sz w:val="24"/>
        </w:rPr>
        <w:t>记录失信被执行人</w:t>
      </w:r>
      <w:r>
        <w:rPr>
          <w:rFonts w:hint="eastAsia" w:ascii="宋体" w:hAnsi="宋体" w:eastAsia="宋体" w:cs="仿宋"/>
          <w:sz w:val="24"/>
        </w:rPr>
        <w:t>；②</w:t>
      </w:r>
      <w:r>
        <w:rPr>
          <w:rFonts w:ascii="宋体" w:hAnsi="宋体" w:eastAsia="宋体" w:cs="仿宋"/>
          <w:sz w:val="24"/>
        </w:rPr>
        <w:t>重大税收违法案件当事人名单</w:t>
      </w:r>
      <w:r>
        <w:rPr>
          <w:rFonts w:hint="eastAsia" w:ascii="宋体" w:hAnsi="宋体" w:eastAsia="宋体" w:cs="仿宋"/>
          <w:sz w:val="24"/>
        </w:rPr>
        <w:t>；③</w:t>
      </w:r>
      <w:r>
        <w:rPr>
          <w:rFonts w:ascii="宋体" w:hAnsi="宋体" w:eastAsia="宋体" w:cs="仿宋"/>
          <w:sz w:val="24"/>
        </w:rPr>
        <w:t>政府采购严重违法失信行为</w:t>
      </w:r>
      <w:r>
        <w:rPr>
          <w:rFonts w:hint="eastAsia" w:ascii="宋体" w:hAnsi="宋体" w:eastAsia="宋体" w:cs="仿宋"/>
          <w:sz w:val="24"/>
        </w:rPr>
        <w:t>。（以投标截止日当天在“信用中国”网站（www.creditchina.gov.cn）查询结果为准，如相关失信记录已失效，投标人需提供相关证明资料）。</w:t>
      </w:r>
    </w:p>
    <w:p>
      <w:pPr>
        <w:pStyle w:val="12"/>
        <w:keepLines w:val="0"/>
        <w:pageBreakBefore w:val="0"/>
        <w:numPr>
          <w:ilvl w:val="0"/>
          <w:numId w:val="0"/>
        </w:numPr>
        <w:kinsoku/>
        <w:wordWrap/>
        <w:overflowPunct/>
        <w:topLinePunct w:val="0"/>
        <w:autoSpaceDE/>
        <w:autoSpaceDN/>
        <w:bidi w:val="0"/>
        <w:snapToGrid w:val="0"/>
        <w:spacing w:line="540" w:lineRule="exact"/>
        <w:ind w:firstLine="480" w:firstLineChars="200"/>
        <w:jc w:val="both"/>
        <w:textAlignment w:val="auto"/>
        <w:rPr>
          <w:rFonts w:ascii="宋体" w:hAnsi="宋体" w:eastAsia="宋体" w:cs="仿宋"/>
          <w:sz w:val="24"/>
        </w:rPr>
      </w:pPr>
      <w:r>
        <w:rPr>
          <w:rFonts w:hint="eastAsia" w:ascii="宋体" w:hAnsi="宋体" w:eastAsia="宋体" w:cs="仿宋"/>
          <w:sz w:val="24"/>
          <w:lang w:val="en-US" w:eastAsia="zh-CN"/>
        </w:rPr>
        <w:t>10.</w:t>
      </w:r>
      <w:r>
        <w:rPr>
          <w:rFonts w:ascii="宋体" w:hAnsi="宋体" w:eastAsia="宋体" w:cs="仿宋"/>
          <w:sz w:val="24"/>
        </w:rPr>
        <w:t>投标人已按照附件一的内容签署盖章的投标人声明。</w:t>
      </w:r>
    </w:p>
    <w:p>
      <w:pPr>
        <w:pStyle w:val="12"/>
        <w:keepLines w:val="0"/>
        <w:pageBreakBefore w:val="0"/>
        <w:numPr>
          <w:ilvl w:val="0"/>
          <w:numId w:val="0"/>
        </w:numPr>
        <w:kinsoku/>
        <w:wordWrap/>
        <w:overflowPunct/>
        <w:topLinePunct w:val="0"/>
        <w:autoSpaceDE/>
        <w:autoSpaceDN/>
        <w:bidi w:val="0"/>
        <w:snapToGrid w:val="0"/>
        <w:spacing w:line="540" w:lineRule="exact"/>
        <w:ind w:firstLine="480" w:firstLineChars="200"/>
        <w:jc w:val="both"/>
        <w:textAlignment w:val="auto"/>
        <w:rPr>
          <w:rFonts w:ascii="宋体" w:hAnsi="宋体" w:eastAsia="宋体" w:cs="仿宋"/>
          <w:sz w:val="24"/>
        </w:rPr>
      </w:pPr>
      <w:r>
        <w:rPr>
          <w:rFonts w:hint="eastAsia" w:ascii="宋体" w:hAnsi="宋体" w:eastAsia="宋体" w:cs="仿宋"/>
          <w:sz w:val="24"/>
          <w:lang w:val="en-US" w:eastAsia="zh-CN"/>
        </w:rPr>
        <w:t>11.</w:t>
      </w:r>
      <w:r>
        <w:rPr>
          <w:rFonts w:hint="eastAsia" w:ascii="宋体" w:hAnsi="宋体" w:eastAsia="宋体" w:cs="仿宋"/>
          <w:sz w:val="24"/>
        </w:rPr>
        <w:t>投标人未出现以下情形：与其它投标人的单位负责人为同一人或者存在控股、管理关系的（</w:t>
      </w:r>
      <w:r>
        <w:rPr>
          <w:rFonts w:hint="eastAsia" w:ascii="宋体" w:hAnsi="宋体" w:eastAsia="宋体" w:cs="仿宋"/>
          <w:sz w:val="24"/>
          <w:u w:val="single"/>
        </w:rPr>
        <w:t>按投标人提供的《投标人声明》第八条内容进行评审</w:t>
      </w:r>
      <w:r>
        <w:rPr>
          <w:rFonts w:hint="eastAsia" w:ascii="宋体" w:hAnsi="宋体" w:eastAsia="宋体" w:cs="仿宋"/>
          <w:sz w:val="24"/>
        </w:rPr>
        <w:t>）。如不同投标申请人出现单位负责人为同一人或者存在控股、管理关系的情形，则相关投标均无效。</w:t>
      </w:r>
    </w:p>
    <w:p>
      <w:pPr>
        <w:pStyle w:val="12"/>
        <w:keepLines w:val="0"/>
        <w:pageBreakBefore w:val="0"/>
        <w:numPr>
          <w:ilvl w:val="0"/>
          <w:numId w:val="0"/>
        </w:numPr>
        <w:kinsoku/>
        <w:wordWrap/>
        <w:overflowPunct/>
        <w:topLinePunct w:val="0"/>
        <w:autoSpaceDE/>
        <w:autoSpaceDN/>
        <w:bidi w:val="0"/>
        <w:snapToGrid w:val="0"/>
        <w:spacing w:line="540" w:lineRule="exact"/>
        <w:ind w:firstLine="480" w:firstLineChars="200"/>
        <w:jc w:val="both"/>
        <w:textAlignment w:val="auto"/>
        <w:rPr>
          <w:rFonts w:ascii="宋体" w:hAnsi="宋体" w:eastAsia="宋体" w:cs="仿宋"/>
          <w:sz w:val="24"/>
        </w:rPr>
      </w:pPr>
      <w:r>
        <w:rPr>
          <w:rFonts w:hint="eastAsia" w:ascii="宋体" w:hAnsi="宋体" w:eastAsia="宋体" w:cs="仿宋"/>
          <w:sz w:val="24"/>
          <w:lang w:val="en-US" w:eastAsia="zh-CN"/>
        </w:rPr>
        <w:t>12.</w:t>
      </w:r>
      <w:r>
        <w:rPr>
          <w:rFonts w:hint="eastAsia" w:ascii="宋体" w:hAnsi="宋体" w:eastAsia="宋体" w:cs="仿宋"/>
          <w:sz w:val="24"/>
        </w:rPr>
        <w:t>资格审查前，投标人在广州公共资源交易中心办理了企业信息登记，及拟担任本工程项目负责人、专职安全员为本企业登记信息中的在册人员。</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rPr>
        <w:t>十、资格审查方式：</w:t>
      </w:r>
    </w:p>
    <w:p>
      <w:pPr>
        <w:keepLines w:val="0"/>
        <w:pageBreakBefore w:val="0"/>
        <w:kinsoku/>
        <w:wordWrap/>
        <w:overflowPunct/>
        <w:topLinePunct w:val="0"/>
        <w:autoSpaceDE/>
        <w:autoSpaceDN/>
        <w:bidi w:val="0"/>
        <w:snapToGrid w:val="0"/>
        <w:spacing w:line="540" w:lineRule="exact"/>
        <w:ind w:firstLine="480"/>
        <w:jc w:val="both"/>
        <w:textAlignment w:val="auto"/>
        <w:rPr>
          <w:rFonts w:ascii="宋体" w:hAnsi="宋体" w:cs="仿宋"/>
          <w:sz w:val="24"/>
        </w:rPr>
      </w:pPr>
      <w:r>
        <w:rPr>
          <w:rFonts w:hint="eastAsia" w:ascii="宋体" w:hAnsi="宋体" w:cs="仿宋"/>
          <w:sz w:val="24"/>
        </w:rPr>
        <w:t>本项目采用资格后审，资格审查与评标同时进行。</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rPr>
        <w:t>十一、</w:t>
      </w:r>
      <w:r>
        <w:rPr>
          <w:rFonts w:hint="eastAsia" w:ascii="宋体" w:hAnsi="宋体"/>
          <w:sz w:val="24"/>
        </w:rPr>
        <w:t>资格审查结果将在</w:t>
      </w:r>
      <w:r>
        <w:rPr>
          <w:rFonts w:ascii="宋体" w:hAnsi="宋体"/>
          <w:sz w:val="24"/>
          <w:u w:val="single"/>
        </w:rPr>
        <w:t>广州公共资源</w:t>
      </w:r>
      <w:r>
        <w:rPr>
          <w:rFonts w:hint="eastAsia" w:ascii="宋体" w:hAnsi="宋体"/>
          <w:sz w:val="24"/>
          <w:u w:val="single"/>
        </w:rPr>
        <w:t>交易中心</w:t>
      </w:r>
      <w:r>
        <w:rPr>
          <w:rFonts w:hint="eastAsia" w:ascii="宋体" w:hAnsi="宋体"/>
          <w:sz w:val="24"/>
        </w:rPr>
        <w:t>网站和广东省招标投标监管网公示，</w:t>
      </w:r>
      <w:r>
        <w:rPr>
          <w:rFonts w:hint="eastAsia" w:ascii="宋体" w:hAnsi="宋体"/>
          <w:bCs/>
          <w:sz w:val="24"/>
        </w:rPr>
        <w:t>公示时间不得少于3日。</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rPr>
        <w:t>十二、满足资格审查合格条件的投标人不足 3 名或通过有效性审查的投标人不足3名时为招标失败。招标人分析招标失败原因，修正招标方案，报有关管理部门核准后，重新组织招标。</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sz w:val="24"/>
        </w:rPr>
        <w:t>十三、</w:t>
      </w:r>
      <w:r>
        <w:rPr>
          <w:rFonts w:hint="eastAsia" w:ascii="宋体" w:hAnsi="宋体"/>
          <w:color w:val="000000"/>
          <w:sz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keepLines w:val="0"/>
        <w:pageBreakBefore w:val="0"/>
        <w:kinsoku/>
        <w:wordWrap/>
        <w:overflowPunct/>
        <w:topLinePunct w:val="0"/>
        <w:autoSpaceDE/>
        <w:autoSpaceDN/>
        <w:bidi w:val="0"/>
        <w:snapToGrid w:val="0"/>
        <w:spacing w:line="540" w:lineRule="exact"/>
        <w:ind w:left="479" w:leftChars="228" w:firstLine="0" w:firstLineChars="0"/>
        <w:jc w:val="both"/>
        <w:textAlignment w:val="auto"/>
        <w:rPr>
          <w:rFonts w:ascii="宋体" w:hAnsi="宋体" w:cs="仿宋"/>
          <w:sz w:val="24"/>
          <w:highlight w:val="none"/>
          <w:u w:val="single"/>
        </w:rPr>
      </w:pPr>
      <w:r>
        <w:rPr>
          <w:rFonts w:hint="eastAsia" w:ascii="宋体" w:hAnsi="宋体" w:cs="仿宋"/>
          <w:sz w:val="24"/>
        </w:rPr>
        <w:t>十四、</w:t>
      </w:r>
      <w:r>
        <w:rPr>
          <w:rFonts w:hint="eastAsia" w:ascii="宋体" w:hAnsi="宋体"/>
          <w:sz w:val="24"/>
        </w:rPr>
        <w:t>潜在投标人或利害关系人对本招标公告及招标文件有异议的，向招标人书面提出。</w:t>
      </w:r>
      <w:r>
        <w:rPr>
          <w:rFonts w:hint="eastAsia" w:ascii="宋体" w:hAnsi="宋体" w:cs="仿宋"/>
          <w:sz w:val="24"/>
          <w:highlight w:val="none"/>
        </w:rPr>
        <w:t>异议受理部门：</w:t>
      </w:r>
      <w:r>
        <w:rPr>
          <w:rFonts w:hint="eastAsia" w:ascii="宋体" w:hAnsi="宋体" w:cs="仿宋"/>
          <w:sz w:val="24"/>
          <w:highlight w:val="none"/>
          <w:u w:val="single"/>
        </w:rPr>
        <w:t>广州建鑫嵘承房地产开发有限公司</w:t>
      </w:r>
    </w:p>
    <w:p>
      <w:pPr>
        <w:keepLines w:val="0"/>
        <w:pageBreakBefore w:val="0"/>
        <w:kinsoku/>
        <w:wordWrap/>
        <w:overflowPunct/>
        <w:topLinePunct w:val="0"/>
        <w:autoSpaceDE/>
        <w:autoSpaceDN/>
        <w:bidi w:val="0"/>
        <w:snapToGrid w:val="0"/>
        <w:spacing w:line="540" w:lineRule="exact"/>
        <w:ind w:left="239" w:leftChars="114" w:firstLine="297" w:firstLineChars="124"/>
        <w:jc w:val="both"/>
        <w:textAlignment w:val="auto"/>
        <w:rPr>
          <w:rFonts w:hint="default" w:ascii="宋体" w:hAnsi="宋体" w:eastAsia="宋体" w:cs="仿宋"/>
          <w:sz w:val="24"/>
          <w:highlight w:val="none"/>
          <w:u w:val="single"/>
          <w:lang w:val="en-US" w:eastAsia="zh-CN"/>
        </w:rPr>
      </w:pPr>
      <w:r>
        <w:rPr>
          <w:rFonts w:hint="eastAsia" w:ascii="宋体" w:hAnsi="宋体" w:cs="仿宋"/>
          <w:sz w:val="24"/>
          <w:highlight w:val="none"/>
        </w:rPr>
        <w:t>异议受理电话：</w:t>
      </w:r>
      <w:r>
        <w:rPr>
          <w:rFonts w:hint="eastAsia" w:ascii="宋体" w:hAnsi="宋体" w:cs="仿宋"/>
          <w:sz w:val="24"/>
          <w:highlight w:val="none"/>
          <w:u w:val="single"/>
          <w:lang w:val="en-US" w:eastAsia="zh-CN"/>
        </w:rPr>
        <w:t>020-38035911</w:t>
      </w:r>
    </w:p>
    <w:p>
      <w:pPr>
        <w:keepLines w:val="0"/>
        <w:pageBreakBefore w:val="0"/>
        <w:kinsoku/>
        <w:wordWrap/>
        <w:overflowPunct/>
        <w:topLinePunct w:val="0"/>
        <w:autoSpaceDE/>
        <w:autoSpaceDN/>
        <w:bidi w:val="0"/>
        <w:snapToGrid w:val="0"/>
        <w:spacing w:line="540" w:lineRule="exact"/>
        <w:ind w:left="239" w:leftChars="114" w:firstLine="297" w:firstLineChars="124"/>
        <w:jc w:val="both"/>
        <w:textAlignment w:val="auto"/>
        <w:rPr>
          <w:rFonts w:ascii="宋体" w:hAnsi="宋体" w:cs="仿宋"/>
          <w:sz w:val="24"/>
          <w:u w:val="single"/>
        </w:rPr>
      </w:pPr>
      <w:r>
        <w:rPr>
          <w:rFonts w:hint="eastAsia" w:ascii="宋体" w:hAnsi="宋体" w:cs="仿宋"/>
          <w:sz w:val="24"/>
        </w:rPr>
        <w:t>地        址：</w:t>
      </w:r>
      <w:r>
        <w:rPr>
          <w:rFonts w:hint="eastAsia" w:ascii="宋体" w:hAnsi="宋体" w:cs="仿宋"/>
          <w:sz w:val="24"/>
          <w:u w:val="single"/>
        </w:rPr>
        <w:t>广州市荔湾区西门口广场</w:t>
      </w:r>
      <w:r>
        <w:rPr>
          <w:rFonts w:hint="eastAsia" w:ascii="宋体" w:hAnsi="宋体" w:cs="仿宋"/>
          <w:sz w:val="24"/>
          <w:u w:val="single"/>
          <w:lang w:val="en-US" w:eastAsia="zh-CN"/>
        </w:rPr>
        <w:t>办公楼</w:t>
      </w:r>
      <w:r>
        <w:rPr>
          <w:rFonts w:hint="eastAsia" w:ascii="宋体" w:hAnsi="宋体" w:cs="仿宋"/>
          <w:sz w:val="24"/>
          <w:u w:val="single"/>
        </w:rPr>
        <w:t>6楼</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lang w:val="en-US" w:eastAsia="zh-CN"/>
        </w:rPr>
        <w:t>十</w:t>
      </w:r>
      <w:r>
        <w:rPr>
          <w:rFonts w:hint="eastAsia" w:ascii="宋体" w:hAnsi="宋体" w:cs="仿宋"/>
          <w:sz w:val="24"/>
        </w:rPr>
        <w:t>五、本公告在广州公共资源交易中心网站（网址：http://www.gzggzy.cn）、广东省招标投标监管网（网址：http://www.gdzbtb.gov.cn/）和中国招标投标公共服务平台（网址：http://www.cebpubservice.com/）发布，本公告的修改、补充，在广州公共资源交易中心网站发布。</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rPr>
        <w:t>十六、</w:t>
      </w:r>
      <w:r>
        <w:rPr>
          <w:rFonts w:hint="eastAsia" w:ascii="宋体" w:hAnsi="宋体" w:cs="仿宋"/>
          <w:b/>
          <w:sz w:val="24"/>
          <w:u w:val="single"/>
        </w:rPr>
        <w:t>本项目为非电子评标，投标人需按招标文件要求提交纸质文件及电子光盘。</w:t>
      </w:r>
      <w:r>
        <w:rPr>
          <w:rFonts w:hint="eastAsia" w:ascii="宋体" w:hAnsi="宋体" w:cs="宋体"/>
          <w:color w:val="000000"/>
          <w:sz w:val="24"/>
        </w:rPr>
        <w:t>本工程根据国家和省有关计价规范设置最高投标限价。招标公告发布之日起计算编制投标文件时间，编制投标文件的时间不得少于20天。</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rPr>
        <w:t>十七、《投诉处理决定书》和《行政处理决定书》在广州市住房和城乡建设局网站上公布的，视为送达其他与决定书有关的当事人。</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rPr>
        <w:t>特别提示：投标人在本项目招标人的工程项目中存在下列行为的，将被拒绝一定时期内参与招标人后续工程投标。（注：</w:t>
      </w:r>
      <w:r>
        <w:rPr>
          <w:rFonts w:hint="eastAsia" w:ascii="宋体" w:hAnsi="宋体" w:cs="仿宋"/>
          <w:sz w:val="24"/>
          <w:u w:val="single"/>
        </w:rPr>
        <w:t>拒绝时限自招标人发出通知之日起计一年内</w:t>
      </w:r>
      <w:r>
        <w:rPr>
          <w:rFonts w:hint="eastAsia" w:ascii="宋体" w:hAnsi="宋体" w:cs="仿宋"/>
          <w:sz w:val="24"/>
        </w:rPr>
        <w:t>）：</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ascii="宋体" w:hAnsi="宋体" w:cs="仿宋"/>
          <w:sz w:val="24"/>
        </w:rPr>
      </w:pPr>
      <w:r>
        <w:rPr>
          <w:rFonts w:hint="eastAsia" w:ascii="宋体" w:hAnsi="宋体" w:cs="仿宋"/>
          <w:sz w:val="24"/>
        </w:rPr>
        <w:t>1.将中标工程转包或者违法分包的;</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hint="eastAsia" w:ascii="宋体" w:hAnsi="宋体" w:cs="仿宋"/>
          <w:sz w:val="24"/>
        </w:rPr>
      </w:pPr>
      <w:r>
        <w:rPr>
          <w:rFonts w:hint="eastAsia" w:ascii="宋体" w:hAnsi="宋体" w:cs="仿宋"/>
          <w:sz w:val="24"/>
        </w:rPr>
        <w:t>2.在中标工程中不执行质量、安全生产相关规定的，造成质量或安全事故的；</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hint="eastAsia" w:ascii="宋体" w:hAnsi="宋体" w:cs="仿宋"/>
          <w:sz w:val="24"/>
        </w:rPr>
      </w:pPr>
      <w:r>
        <w:rPr>
          <w:rFonts w:hint="eastAsia" w:ascii="宋体" w:hAnsi="宋体" w:cs="仿宋"/>
          <w:sz w:val="24"/>
        </w:rPr>
        <w:t>3.存在围标或串标情形的;</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hint="eastAsia" w:ascii="宋体" w:hAnsi="宋体" w:cs="仿宋"/>
          <w:sz w:val="24"/>
        </w:rPr>
      </w:pPr>
      <w:r>
        <w:rPr>
          <w:rFonts w:hint="eastAsia" w:ascii="宋体" w:hAnsi="宋体" w:cs="仿宋"/>
          <w:sz w:val="24"/>
        </w:rPr>
        <w:t>4.存在弄虚作假骗取中标情形的;</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hint="eastAsia" w:ascii="宋体" w:hAnsi="宋体" w:cs="仿宋"/>
          <w:sz w:val="24"/>
        </w:rPr>
      </w:pPr>
      <w:r>
        <w:rPr>
          <w:rFonts w:hint="eastAsia" w:ascii="宋体" w:hAnsi="宋体" w:cs="仿宋"/>
          <w:sz w:val="24"/>
        </w:rPr>
        <w:t>5.拖欠农民工工资的；</w:t>
      </w:r>
    </w:p>
    <w:p>
      <w:pPr>
        <w:keepLines w:val="0"/>
        <w:pageBreakBefore w:val="0"/>
        <w:kinsoku/>
        <w:wordWrap/>
        <w:overflowPunct/>
        <w:topLinePunct w:val="0"/>
        <w:autoSpaceDE/>
        <w:autoSpaceDN/>
        <w:bidi w:val="0"/>
        <w:snapToGrid w:val="0"/>
        <w:spacing w:line="540" w:lineRule="exact"/>
        <w:ind w:left="0" w:leftChars="0" w:firstLine="480" w:firstLineChars="200"/>
        <w:jc w:val="both"/>
        <w:textAlignment w:val="auto"/>
        <w:rPr>
          <w:rFonts w:hint="eastAsia" w:ascii="宋体" w:hAnsi="宋体" w:cs="仿宋"/>
          <w:sz w:val="24"/>
        </w:rPr>
      </w:pPr>
      <w:r>
        <w:rPr>
          <w:rFonts w:hint="eastAsia" w:ascii="宋体" w:hAnsi="宋体" w:cs="仿宋"/>
          <w:sz w:val="24"/>
        </w:rPr>
        <w:t>6.未按照国家、省、市有关建筑施工实名制管理和工人工资支付分账管理的规定执行，被行政监管部门通报或处罚的；</w:t>
      </w:r>
    </w:p>
    <w:p>
      <w:pPr>
        <w:keepLines w:val="0"/>
        <w:pageBreakBefore w:val="0"/>
        <w:kinsoku/>
        <w:wordWrap/>
        <w:overflowPunct/>
        <w:topLinePunct w:val="0"/>
        <w:autoSpaceDE/>
        <w:autoSpaceDN/>
        <w:bidi w:val="0"/>
        <w:spacing w:line="540" w:lineRule="exact"/>
        <w:ind w:right="-1" w:firstLine="480"/>
        <w:jc w:val="both"/>
        <w:textAlignment w:val="auto"/>
        <w:rPr>
          <w:rFonts w:hint="eastAsia" w:ascii="宋体" w:hAnsi="宋体" w:cs="宋体"/>
          <w:color w:val="000000"/>
          <w:sz w:val="24"/>
        </w:rPr>
      </w:pPr>
      <w:r>
        <w:rPr>
          <w:rFonts w:hint="eastAsia" w:ascii="宋体" w:hAnsi="宋体" w:cs="宋体"/>
          <w:color w:val="000000"/>
          <w:sz w:val="24"/>
        </w:rPr>
        <w:t xml:space="preserve">                          </w:t>
      </w:r>
    </w:p>
    <w:p>
      <w:pPr>
        <w:keepLines w:val="0"/>
        <w:pageBreakBefore w:val="0"/>
        <w:kinsoku/>
        <w:wordWrap/>
        <w:overflowPunct/>
        <w:topLinePunct w:val="0"/>
        <w:autoSpaceDE/>
        <w:autoSpaceDN/>
        <w:bidi w:val="0"/>
        <w:spacing w:line="540" w:lineRule="exact"/>
        <w:ind w:right="-1" w:firstLine="480"/>
        <w:jc w:val="both"/>
        <w:textAlignment w:val="auto"/>
        <w:rPr>
          <w:rFonts w:hint="eastAsia" w:ascii="宋体" w:hAnsi="宋体" w:cs="宋体"/>
          <w:color w:val="000000"/>
          <w:sz w:val="24"/>
        </w:rPr>
      </w:pPr>
    </w:p>
    <w:p>
      <w:pPr>
        <w:keepLines w:val="0"/>
        <w:pageBreakBefore w:val="0"/>
        <w:kinsoku/>
        <w:wordWrap/>
        <w:overflowPunct/>
        <w:topLinePunct w:val="0"/>
        <w:autoSpaceDE/>
        <w:autoSpaceDN/>
        <w:bidi w:val="0"/>
        <w:spacing w:line="540" w:lineRule="exact"/>
        <w:ind w:right="-1" w:firstLine="4320" w:firstLineChars="1800"/>
        <w:jc w:val="both"/>
        <w:textAlignment w:val="auto"/>
        <w:rPr>
          <w:rFonts w:ascii="宋体" w:hAnsi="宋体" w:cs="宋体"/>
          <w:color w:val="000000"/>
          <w:sz w:val="24"/>
        </w:rPr>
      </w:pPr>
      <w:r>
        <w:rPr>
          <w:rFonts w:hint="eastAsia" w:ascii="宋体" w:hAnsi="宋体" w:cs="宋体"/>
          <w:color w:val="000000"/>
          <w:sz w:val="24"/>
        </w:rPr>
        <w:t>招标单位：广州建鑫嵘承房地产开发有限公司</w:t>
      </w:r>
    </w:p>
    <w:p>
      <w:pPr>
        <w:keepLines w:val="0"/>
        <w:pageBreakBefore w:val="0"/>
        <w:kinsoku/>
        <w:wordWrap/>
        <w:overflowPunct/>
        <w:topLinePunct w:val="0"/>
        <w:autoSpaceDE/>
        <w:autoSpaceDN/>
        <w:bidi w:val="0"/>
        <w:spacing w:line="540" w:lineRule="exact"/>
        <w:ind w:right="-1" w:firstLine="4320" w:firstLineChars="1800"/>
        <w:jc w:val="both"/>
        <w:textAlignment w:val="auto"/>
        <w:rPr>
          <w:rFonts w:ascii="宋体" w:hAnsi="宋体" w:cs="宋体"/>
          <w:color w:val="000000"/>
          <w:sz w:val="24"/>
        </w:rPr>
      </w:pPr>
      <w:r>
        <w:rPr>
          <w:rFonts w:hint="eastAsia" w:ascii="宋体" w:hAnsi="宋体" w:cs="宋体"/>
          <w:color w:val="000000"/>
          <w:sz w:val="24"/>
        </w:rPr>
        <w:t xml:space="preserve">招标代理机构：广州高新工程顾问有限公司     </w:t>
      </w:r>
    </w:p>
    <w:p>
      <w:pPr>
        <w:keepLines w:val="0"/>
        <w:pageBreakBefore w:val="0"/>
        <w:kinsoku/>
        <w:wordWrap/>
        <w:overflowPunct/>
        <w:topLinePunct w:val="0"/>
        <w:autoSpaceDE/>
        <w:autoSpaceDN/>
        <w:bidi w:val="0"/>
        <w:spacing w:line="540" w:lineRule="exact"/>
        <w:ind w:right="-1" w:firstLine="4320" w:firstLineChars="1800"/>
        <w:jc w:val="both"/>
        <w:textAlignment w:val="auto"/>
        <w:rPr>
          <w:rFonts w:ascii="宋体" w:hAnsi="宋体" w:cs="宋体"/>
          <w:color w:val="000000"/>
          <w:sz w:val="24"/>
        </w:rPr>
      </w:pPr>
      <w:r>
        <w:rPr>
          <w:rFonts w:hint="eastAsia" w:ascii="宋体" w:hAnsi="宋体" w:cs="宋体"/>
          <w:color w:val="000000"/>
          <w:sz w:val="24"/>
        </w:rPr>
        <w:t>2023年</w:t>
      </w:r>
      <w:r>
        <w:rPr>
          <w:rFonts w:hint="eastAsia" w:ascii="宋体" w:hAnsi="宋体" w:cs="宋体"/>
          <w:color w:val="000000"/>
          <w:sz w:val="24"/>
          <w:lang w:val="en-US" w:eastAsia="zh-CN"/>
        </w:rPr>
        <w:t>6</w:t>
      </w:r>
      <w:r>
        <w:rPr>
          <w:rFonts w:hint="eastAsia" w:ascii="宋体" w:hAnsi="宋体" w:cs="宋体"/>
          <w:color w:val="000000"/>
          <w:sz w:val="24"/>
        </w:rPr>
        <w:t>月</w:t>
      </w:r>
      <w:r>
        <w:rPr>
          <w:rFonts w:hint="eastAsia" w:ascii="宋体" w:hAnsi="宋体" w:cs="宋体"/>
          <w:color w:val="000000"/>
          <w:sz w:val="24"/>
          <w:lang w:val="en-US" w:eastAsia="zh-CN"/>
        </w:rPr>
        <w:t>13</w:t>
      </w:r>
      <w:r>
        <w:rPr>
          <w:rFonts w:hint="eastAsia" w:ascii="宋体" w:hAnsi="宋体" w:cs="宋体"/>
          <w:color w:val="000000"/>
          <w:sz w:val="24"/>
        </w:rPr>
        <w:t>日</w:t>
      </w:r>
    </w:p>
    <w:p>
      <w:pPr>
        <w:keepLines w:val="0"/>
        <w:pageBreakBefore w:val="0"/>
        <w:kinsoku/>
        <w:wordWrap/>
        <w:overflowPunct/>
        <w:topLinePunct w:val="0"/>
        <w:autoSpaceDE/>
        <w:autoSpaceDN/>
        <w:bidi w:val="0"/>
        <w:spacing w:line="540" w:lineRule="exact"/>
        <w:ind w:firstLine="537" w:firstLineChars="224"/>
        <w:textAlignment w:val="auto"/>
        <w:rPr>
          <w:rFonts w:ascii="宋体" w:hAnsi="宋体" w:cs="宋体"/>
          <w:color w:val="000000"/>
          <w:sz w:val="24"/>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440" w:right="1134" w:bottom="1440" w:left="1134" w:header="851" w:footer="992" w:gutter="0"/>
          <w:pgNumType w:start="1"/>
          <w:cols w:space="720" w:num="1"/>
          <w:docGrid w:type="lines" w:linePitch="312" w:charSpace="0"/>
        </w:sectPr>
      </w:pPr>
      <w:bookmarkStart w:id="0" w:name="_GoBack"/>
      <w:bookmarkEnd w:id="0"/>
    </w:p>
    <w:p>
      <w:pPr>
        <w:keepNext w:val="0"/>
        <w:keepLines w:val="0"/>
        <w:pageBreakBefore w:val="0"/>
        <w:kinsoku/>
        <w:wordWrap/>
        <w:overflowPunct/>
        <w:topLinePunct w:val="0"/>
        <w:autoSpaceDE/>
        <w:autoSpaceDN/>
        <w:bidi w:val="0"/>
        <w:adjustRightInd/>
        <w:spacing w:line="540" w:lineRule="exact"/>
        <w:ind w:left="241" w:leftChars="1" w:hanging="239" w:hangingChars="85"/>
        <w:jc w:val="both"/>
        <w:textAlignment w:val="auto"/>
        <w:rPr>
          <w:rFonts w:ascii="宋体" w:hAnsi="宋体"/>
          <w:sz w:val="28"/>
          <w:szCs w:val="28"/>
        </w:rPr>
      </w:pPr>
      <w:r>
        <w:rPr>
          <w:rFonts w:hint="eastAsia" w:ascii="宋体" w:hAnsi="宋体"/>
          <w:b/>
          <w:sz w:val="28"/>
          <w:szCs w:val="28"/>
        </w:rPr>
        <w:t xml:space="preserve">附件一： </w:t>
      </w:r>
    </w:p>
    <w:p>
      <w:pPr>
        <w:keepNext w:val="0"/>
        <w:keepLines w:val="0"/>
        <w:pageBreakBefore w:val="0"/>
        <w:kinsoku/>
        <w:wordWrap/>
        <w:overflowPunct/>
        <w:topLinePunct w:val="0"/>
        <w:autoSpaceDE/>
        <w:autoSpaceDN/>
        <w:bidi w:val="0"/>
        <w:adjustRightInd/>
        <w:snapToGrid w:val="0"/>
        <w:spacing w:line="540" w:lineRule="exact"/>
        <w:ind w:firstLine="0" w:firstLineChars="0"/>
        <w:jc w:val="center"/>
        <w:textAlignment w:val="auto"/>
        <w:rPr>
          <w:rFonts w:ascii="宋体" w:hAnsi="宋体" w:cs="宋体"/>
          <w:b/>
          <w:color w:val="000000"/>
          <w:sz w:val="28"/>
          <w:szCs w:val="28"/>
        </w:rPr>
      </w:pPr>
      <w:r>
        <w:rPr>
          <w:rFonts w:hint="eastAsia" w:ascii="宋体" w:hAnsi="宋体" w:cs="宋体"/>
          <w:b/>
          <w:color w:val="000000"/>
          <w:sz w:val="28"/>
          <w:szCs w:val="28"/>
        </w:rPr>
        <w:t>投标人声明</w:t>
      </w:r>
    </w:p>
    <w:p>
      <w:pPr>
        <w:pStyle w:val="12"/>
        <w:keepNext w:val="0"/>
        <w:keepLines w:val="0"/>
        <w:pageBreakBefore w:val="0"/>
        <w:kinsoku/>
        <w:wordWrap/>
        <w:overflowPunct/>
        <w:topLinePunct w:val="0"/>
        <w:autoSpaceDE/>
        <w:autoSpaceDN/>
        <w:bidi w:val="0"/>
        <w:adjustRightInd/>
        <w:spacing w:line="540" w:lineRule="exact"/>
        <w:ind w:firstLine="0"/>
        <w:jc w:val="both"/>
        <w:textAlignment w:val="auto"/>
        <w:rPr>
          <w:rFonts w:ascii="宋体" w:hAnsi="宋体" w:eastAsia="宋体"/>
          <w:sz w:val="21"/>
          <w:szCs w:val="21"/>
        </w:rPr>
      </w:pPr>
      <w:r>
        <w:rPr>
          <w:rFonts w:hint="eastAsia" w:ascii="宋体" w:hAnsi="宋体" w:eastAsia="宋体"/>
          <w:sz w:val="21"/>
          <w:szCs w:val="21"/>
        </w:rPr>
        <w:t>本招标项目招标人及招标监管机构：</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本公司就参加</w:t>
      </w:r>
      <w:r>
        <w:rPr>
          <w:rFonts w:hint="eastAsia" w:ascii="宋体" w:hAnsi="宋体" w:eastAsia="宋体"/>
          <w:sz w:val="21"/>
          <w:szCs w:val="21"/>
          <w:u w:val="single"/>
        </w:rPr>
        <w:t xml:space="preserve">                       </w:t>
      </w:r>
      <w:r>
        <w:rPr>
          <w:rFonts w:hint="eastAsia" w:ascii="宋体" w:hAnsi="宋体" w:eastAsia="宋体"/>
          <w:sz w:val="21"/>
          <w:szCs w:val="21"/>
        </w:rPr>
        <w:t>投标工作，作出郑重声明：</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一、本公司保证投标文件及其后提供的一切材料都是真实的。如我司成为本项目中标候选人，我司同意并授权招标人将我司投标文件商务部分的人员、业绩、奖项等资料进行公开。</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二、本公司保证在本项目投标中不与其他单位围标、串标，不出让投标资格，不向招标人或评标委员会成员行贿。</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三、本公司不存在下列情形之一：</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（一）为招标人不具有独立法人资格的附属机构（单位）；</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（二）为本标段前期准备提供设计或咨询服务或者与本项目设计人或提供咨询服务的机构存在附属关系的；</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（三）为本标段监理人或者与本标段监理人存在隶属关系或者其他利害关系；</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（四）为本标段的代建人；</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（五）为本标段提供招标代理服务的；</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（六）与本标段的监理人或代建人或招标代理机构同为一个法定代表人的；</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（七）与本标段的监理人或代建人或招标代理机构互相控股或参股的；</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（八）与本标段的监理人或代建人或招标代理机构相互任职或工作的；</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（九）与本标段的检测机构有隶属关系或者其他利害关系；</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 xml:space="preserve">（十）与招标人存在利害关系且可能影响招标公正性； </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（十一）被依法暂停或取消投标资格的；（</w:t>
      </w:r>
      <w:r>
        <w:rPr>
          <w:rFonts w:hint="eastAsia" w:ascii="宋体" w:hAnsi="宋体" w:eastAsia="宋体"/>
          <w:sz w:val="21"/>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sz w:val="21"/>
          <w:szCs w:val="21"/>
        </w:rPr>
        <w:t xml:space="preserve">） </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（十二）被责令停产停业、暂扣或者吊销许可证、暂扣或者吊销执照的（</w:t>
      </w:r>
      <w:r>
        <w:rPr>
          <w:rFonts w:hint="eastAsia" w:ascii="宋体" w:hAnsi="宋体" w:eastAsia="宋体"/>
          <w:sz w:val="21"/>
          <w:szCs w:val="21"/>
          <w:lang w:val="zh-CN"/>
        </w:rPr>
        <w:t>本项事实应当以根据《中华人民共和国行政处罚法》依法作出并已经生效的行政处罚决定为认定依据。</w:t>
      </w:r>
      <w:r>
        <w:rPr>
          <w:rFonts w:hint="eastAsia" w:ascii="宋体" w:hAnsi="宋体" w:eastAsia="宋体"/>
          <w:sz w:val="21"/>
          <w:szCs w:val="21"/>
        </w:rPr>
        <w:t>）；</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（十三）进入清算程序，或被宣布破产，或其他丧失履约能力的情形；</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（十四）在最近三年内有严重违约或重大工程质量问题的；（</w:t>
      </w:r>
      <w:r>
        <w:rPr>
          <w:rFonts w:hint="eastAsia" w:ascii="宋体" w:hAnsi="宋体" w:eastAsia="宋体"/>
          <w:sz w:val="21"/>
          <w:szCs w:val="21"/>
          <w:lang w:val="zh-CN"/>
        </w:rPr>
        <w:t>“严重违约”事实应当以</w:t>
      </w:r>
      <w:r>
        <w:rPr>
          <w:rFonts w:hint="eastAsia" w:ascii="宋体" w:hAnsi="宋体" w:eastAsia="宋体"/>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（十五）法律法规规定的其他情形。</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四、本公司保证：本项目拟派的项目负责人没有在其他在建项目中任施工单位项目负责人，本项目拟派的专职安全员没有在其他在建项目中任职。</w:t>
      </w:r>
    </w:p>
    <w:p>
      <w:pPr>
        <w:pStyle w:val="12"/>
        <w:keepNext w:val="0"/>
        <w:keepLines w:val="0"/>
        <w:pageBreakBefore w:val="0"/>
        <w:kinsoku/>
        <w:wordWrap/>
        <w:overflowPunct/>
        <w:topLinePunct w:val="0"/>
        <w:autoSpaceDE/>
        <w:autoSpaceDN/>
        <w:bidi w:val="0"/>
        <w:adjustRightInd/>
        <w:spacing w:line="540" w:lineRule="exact"/>
        <w:ind w:firstLine="422" w:firstLineChars="200"/>
        <w:jc w:val="both"/>
        <w:textAlignment w:val="auto"/>
        <w:rPr>
          <w:rFonts w:ascii="宋体" w:hAnsi="宋体" w:eastAsia="宋体"/>
          <w:sz w:val="21"/>
          <w:szCs w:val="21"/>
        </w:rPr>
      </w:pPr>
      <w:r>
        <w:rPr>
          <w:rFonts w:hint="eastAsia" w:ascii="宋体" w:hAnsi="宋体" w:eastAsia="宋体"/>
          <w:b/>
          <w:bCs/>
          <w:sz w:val="21"/>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                                                               欠工人工资。</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w:t>
      </w:r>
    </w:p>
    <w:p>
      <w:pPr>
        <w:pStyle w:val="12"/>
        <w:keepNext w:val="0"/>
        <w:keepLines w:val="0"/>
        <w:pageBreakBefore w:val="0"/>
        <w:kinsoku/>
        <w:wordWrap/>
        <w:overflowPunct/>
        <w:topLinePunct w:val="0"/>
        <w:autoSpaceDE/>
        <w:autoSpaceDN/>
        <w:bidi w:val="0"/>
        <w:adjustRightInd/>
        <w:spacing w:line="540" w:lineRule="exact"/>
        <w:ind w:firstLine="422" w:firstLineChars="200"/>
        <w:jc w:val="both"/>
        <w:textAlignment w:val="auto"/>
        <w:rPr>
          <w:rFonts w:ascii="宋体" w:hAnsi="宋体" w:eastAsia="宋体"/>
          <w:b/>
          <w:bCs/>
          <w:sz w:val="21"/>
          <w:szCs w:val="21"/>
        </w:rPr>
      </w:pPr>
      <w:r>
        <w:rPr>
          <w:rFonts w:hint="eastAsia" w:ascii="宋体" w:hAnsi="宋体" w:eastAsia="宋体"/>
          <w:b/>
          <w:bCs/>
          <w:sz w:val="21"/>
          <w:szCs w:val="21"/>
        </w:rPr>
        <w:t>八、与本公司单位负责人为同一人或者与本公司存在控股、管理关系的其他单位包括：</w:t>
      </w:r>
      <w:r>
        <w:rPr>
          <w:rFonts w:hint="eastAsia" w:ascii="宋体" w:hAnsi="宋体" w:eastAsia="宋体"/>
          <w:b/>
          <w:bCs/>
          <w:sz w:val="21"/>
          <w:szCs w:val="21"/>
          <w:u w:val="single"/>
        </w:rPr>
        <w:t xml:space="preserve">         </w:t>
      </w:r>
      <w:r>
        <w:rPr>
          <w:rFonts w:hint="eastAsia" w:ascii="宋体" w:hAnsi="宋体" w:eastAsia="宋体"/>
          <w:b/>
          <w:bCs/>
          <w:sz w:val="21"/>
          <w:szCs w:val="21"/>
        </w:rPr>
        <w:t>。（注：本条由投标人如实填写，如有，应列出全部满足招标公告资质要求的相关单位的名称；如无，则填写“无”。）</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2"/>
        <w:keepNext w:val="0"/>
        <w:keepLines w:val="0"/>
        <w:pageBreakBefore w:val="0"/>
        <w:kinsoku/>
        <w:wordWrap/>
        <w:overflowPunct/>
        <w:topLinePunct w:val="0"/>
        <w:autoSpaceDE/>
        <w:autoSpaceDN/>
        <w:bidi w:val="0"/>
        <w:adjustRightInd/>
        <w:spacing w:line="540" w:lineRule="exact"/>
        <w:ind w:firstLine="420" w:firstLineChars="200"/>
        <w:jc w:val="both"/>
        <w:textAlignment w:val="auto"/>
        <w:rPr>
          <w:rFonts w:ascii="宋体" w:hAnsi="宋体" w:eastAsia="宋体"/>
          <w:sz w:val="21"/>
          <w:szCs w:val="21"/>
        </w:rPr>
      </w:pPr>
      <w:r>
        <w:rPr>
          <w:rFonts w:hint="eastAsia" w:ascii="宋体" w:hAnsi="宋体" w:eastAsia="宋体"/>
          <w:sz w:val="21"/>
          <w:szCs w:val="21"/>
        </w:rPr>
        <w:t>特此声明。</w:t>
      </w:r>
    </w:p>
    <w:p>
      <w:pPr>
        <w:pStyle w:val="13"/>
        <w:keepNext w:val="0"/>
        <w:keepLines w:val="0"/>
        <w:pageBreakBefore w:val="0"/>
        <w:kinsoku/>
        <w:wordWrap/>
        <w:overflowPunct/>
        <w:topLinePunct w:val="0"/>
        <w:autoSpaceDE/>
        <w:autoSpaceDN/>
        <w:bidi w:val="0"/>
        <w:adjustRightInd/>
        <w:spacing w:line="540" w:lineRule="exact"/>
        <w:ind w:left="629" w:right="1449"/>
        <w:jc w:val="both"/>
        <w:textAlignment w:val="auto"/>
        <w:rPr>
          <w:rFonts w:ascii="宋体" w:hAnsi="宋体" w:eastAsia="宋体"/>
          <w:sz w:val="21"/>
          <w:szCs w:val="21"/>
        </w:rPr>
      </w:pPr>
      <w:r>
        <w:rPr>
          <w:rFonts w:hint="eastAsia" w:ascii="宋体" w:hAnsi="宋体" w:eastAsia="宋体"/>
          <w:sz w:val="21"/>
          <w:szCs w:val="21"/>
        </w:rPr>
        <w:t xml:space="preserve">                       声明企业：</w:t>
      </w:r>
    </w:p>
    <w:p>
      <w:pPr>
        <w:pStyle w:val="12"/>
        <w:keepNext w:val="0"/>
        <w:keepLines w:val="0"/>
        <w:pageBreakBefore w:val="0"/>
        <w:kinsoku/>
        <w:wordWrap/>
        <w:overflowPunct/>
        <w:topLinePunct w:val="0"/>
        <w:autoSpaceDE/>
        <w:autoSpaceDN/>
        <w:bidi w:val="0"/>
        <w:adjustRightInd/>
        <w:spacing w:line="540" w:lineRule="exact"/>
        <w:ind w:right="1179" w:firstLine="0"/>
        <w:jc w:val="both"/>
        <w:textAlignment w:val="auto"/>
        <w:rPr>
          <w:rFonts w:ascii="宋体" w:hAnsi="宋体" w:eastAsia="宋体"/>
          <w:sz w:val="21"/>
          <w:szCs w:val="21"/>
        </w:rPr>
      </w:pPr>
      <w:r>
        <w:rPr>
          <w:rFonts w:hint="eastAsia" w:ascii="宋体" w:hAnsi="宋体" w:eastAsia="宋体"/>
          <w:sz w:val="21"/>
          <w:szCs w:val="21"/>
        </w:rPr>
        <w:t xml:space="preserve">                             法定代表人签字或盖章：</w:t>
      </w:r>
    </w:p>
    <w:p>
      <w:pPr>
        <w:pStyle w:val="12"/>
        <w:keepNext w:val="0"/>
        <w:keepLines w:val="0"/>
        <w:pageBreakBefore w:val="0"/>
        <w:kinsoku/>
        <w:wordWrap/>
        <w:overflowPunct/>
        <w:topLinePunct w:val="0"/>
        <w:autoSpaceDE/>
        <w:autoSpaceDN/>
        <w:bidi w:val="0"/>
        <w:adjustRightInd/>
        <w:spacing w:line="540" w:lineRule="exact"/>
        <w:ind w:right="1179" w:firstLine="0"/>
        <w:jc w:val="both"/>
        <w:textAlignment w:val="auto"/>
        <w:rPr>
          <w:rFonts w:ascii="宋体" w:hAnsi="宋体" w:eastAsia="宋体"/>
          <w:sz w:val="21"/>
          <w:szCs w:val="21"/>
        </w:rPr>
      </w:pPr>
      <w:r>
        <w:rPr>
          <w:rFonts w:hint="eastAsia" w:ascii="宋体" w:hAnsi="宋体" w:eastAsia="宋体"/>
          <w:sz w:val="21"/>
          <w:szCs w:val="21"/>
        </w:rPr>
        <w:t xml:space="preserve">                             项目负责人签字或盖章:</w:t>
      </w:r>
    </w:p>
    <w:p>
      <w:pPr>
        <w:pStyle w:val="12"/>
        <w:keepNext w:val="0"/>
        <w:keepLines w:val="0"/>
        <w:pageBreakBefore w:val="0"/>
        <w:kinsoku/>
        <w:wordWrap/>
        <w:overflowPunct/>
        <w:topLinePunct w:val="0"/>
        <w:autoSpaceDE/>
        <w:autoSpaceDN/>
        <w:bidi w:val="0"/>
        <w:adjustRightInd/>
        <w:spacing w:line="540" w:lineRule="exact"/>
        <w:ind w:right="879" w:firstLine="0"/>
        <w:jc w:val="both"/>
        <w:textAlignment w:val="auto"/>
        <w:rPr>
          <w:rFonts w:ascii="宋体" w:hAnsi="宋体" w:eastAsia="宋体"/>
          <w:sz w:val="21"/>
          <w:szCs w:val="21"/>
        </w:rPr>
      </w:pPr>
      <w:r>
        <w:rPr>
          <w:rFonts w:hint="eastAsia" w:ascii="宋体" w:hAnsi="宋体" w:eastAsia="宋体"/>
          <w:sz w:val="21"/>
          <w:szCs w:val="21"/>
        </w:rPr>
        <w:t xml:space="preserve">                             技术负责人签字或盖章：</w:t>
      </w:r>
    </w:p>
    <w:p>
      <w:pPr>
        <w:pStyle w:val="12"/>
        <w:keepNext w:val="0"/>
        <w:keepLines w:val="0"/>
        <w:pageBreakBefore w:val="0"/>
        <w:kinsoku/>
        <w:wordWrap/>
        <w:overflowPunct/>
        <w:topLinePunct w:val="0"/>
        <w:autoSpaceDE/>
        <w:autoSpaceDN/>
        <w:bidi w:val="0"/>
        <w:adjustRightInd/>
        <w:spacing w:line="540" w:lineRule="exact"/>
        <w:ind w:right="879" w:firstLine="5040" w:firstLineChars="2400"/>
        <w:jc w:val="both"/>
        <w:textAlignment w:val="auto"/>
        <w:rPr>
          <w:rFonts w:ascii="宋体" w:hAnsi="宋体" w:eastAsia="宋体"/>
          <w:sz w:val="21"/>
          <w:szCs w:val="21"/>
        </w:rPr>
      </w:pPr>
      <w:r>
        <w:rPr>
          <w:rFonts w:hint="eastAsia" w:ascii="宋体" w:hAnsi="宋体" w:eastAsia="宋体"/>
          <w:sz w:val="21"/>
          <w:szCs w:val="21"/>
        </w:rPr>
        <w:t xml:space="preserve">年   月   日                 </w:t>
      </w:r>
    </w:p>
    <w:p>
      <w:pPr>
        <w:pStyle w:val="12"/>
        <w:keepNext w:val="0"/>
        <w:keepLines w:val="0"/>
        <w:pageBreakBefore w:val="0"/>
        <w:kinsoku/>
        <w:wordWrap/>
        <w:overflowPunct/>
        <w:topLinePunct w:val="0"/>
        <w:autoSpaceDE/>
        <w:autoSpaceDN/>
        <w:bidi w:val="0"/>
        <w:adjustRightInd/>
        <w:spacing w:line="540" w:lineRule="exact"/>
        <w:ind w:right="879" w:firstLine="5040" w:firstLineChars="2400"/>
        <w:jc w:val="both"/>
        <w:textAlignment w:val="auto"/>
        <w:rPr>
          <w:rFonts w:ascii="宋体" w:hAnsi="宋体" w:eastAsia="宋体"/>
          <w:sz w:val="21"/>
          <w:szCs w:val="21"/>
        </w:rPr>
      </w:pPr>
      <w:r>
        <w:rPr>
          <w:rFonts w:hint="eastAsia" w:ascii="宋体" w:hAnsi="宋体" w:eastAsia="宋体"/>
          <w:sz w:val="21"/>
          <w:szCs w:val="21"/>
        </w:rPr>
        <w:t xml:space="preserve"> （企业公章）</w:t>
      </w:r>
    </w:p>
    <w:p>
      <w:pPr>
        <w:keepNext w:val="0"/>
        <w:keepLines w:val="0"/>
        <w:pageBreakBefore w:val="0"/>
        <w:kinsoku/>
        <w:wordWrap/>
        <w:overflowPunct/>
        <w:topLinePunct w:val="0"/>
        <w:autoSpaceDE/>
        <w:autoSpaceDN/>
        <w:bidi w:val="0"/>
        <w:adjustRightInd/>
        <w:snapToGrid w:val="0"/>
        <w:spacing w:line="540" w:lineRule="exact"/>
        <w:ind w:left="0" w:leftChars="0" w:right="102" w:firstLine="420" w:firstLineChars="200"/>
        <w:jc w:val="both"/>
        <w:textAlignment w:val="auto"/>
        <w:rPr>
          <w:color w:val="000000"/>
        </w:rPr>
      </w:pPr>
      <w:r>
        <w:rPr>
          <w:rFonts w:hint="eastAsia" w:ascii="宋体" w:hAnsi="宋体"/>
          <w:color w:val="000000"/>
        </w:rPr>
        <w:t>注：招标人应当要求投标人的法定代表人、项目负责人和技术负责人签</w:t>
      </w:r>
      <w:r>
        <w:rPr>
          <w:rFonts w:hint="eastAsia" w:ascii="宋体" w:hAnsi="宋体"/>
        </w:rPr>
        <w:t>字或盖</w:t>
      </w:r>
      <w:r>
        <w:rPr>
          <w:rFonts w:hint="eastAsia" w:ascii="宋体" w:hAnsi="宋体"/>
          <w:color w:val="000000"/>
        </w:rPr>
        <w:t xml:space="preserve">章。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Align="top"/>
      <w:ind w:firstLine="420"/>
      <w:rPr>
        <w:rStyle w:val="10"/>
        <w:sz w:val="21"/>
      </w:rPr>
    </w:pPr>
    <w:r>
      <w:rPr>
        <w:sz w:val="21"/>
        <w:szCs w:val="21"/>
      </w:rPr>
      <w:fldChar w:fldCharType="begin"/>
    </w:r>
    <w:r>
      <w:rPr>
        <w:rStyle w:val="10"/>
        <w:sz w:val="21"/>
      </w:rPr>
      <w:instrText xml:space="preserve">PAGE  </w:instrText>
    </w:r>
    <w:r>
      <w:rPr>
        <w:sz w:val="21"/>
        <w:szCs w:val="21"/>
      </w:rPr>
      <w:fldChar w:fldCharType="separate"/>
    </w:r>
    <w:r>
      <w:rPr>
        <w:rStyle w:val="10"/>
        <w:sz w:val="21"/>
      </w:rPr>
      <w:t>6</w:t>
    </w:r>
    <w:r>
      <w:rPr>
        <w:sz w:val="21"/>
        <w:szCs w:val="21"/>
      </w:rPr>
      <w:fldChar w:fldCharType="end"/>
    </w: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OWY4YTliMjI2NDIxMWI1NDIzYTJkOWQ2YzA4ODAifQ=="/>
  </w:docVars>
  <w:rsids>
    <w:rsidRoot w:val="21A45435"/>
    <w:rsid w:val="21A45435"/>
    <w:rsid w:val="680D0AE8"/>
    <w:rsid w:val="6AEC3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Times New Roman" w:hAnsi="Times New Roman" w:eastAsia="宋体" w:cs="Times New Roman"/>
      <w:sz w:val="21"/>
      <w:szCs w:val="21"/>
      <w:lang w:val="en-US" w:eastAsia="zh-CN" w:bidi="ar-SA"/>
    </w:rPr>
  </w:style>
  <w:style w:type="paragraph" w:styleId="3">
    <w:name w:val="heading 1"/>
    <w:basedOn w:val="4"/>
    <w:next w:val="5"/>
    <w:qFormat/>
    <w:uiPriority w:val="0"/>
    <w:pPr>
      <w:keepNext/>
      <w:adjustRightInd w:val="0"/>
      <w:jc w:val="center"/>
    </w:pPr>
    <w:rPr>
      <w:rFonts w:ascii="宋体" w:hAnsi="宋体" w:cs="Tahoma"/>
      <w:spacing w:val="20"/>
      <w:kern w:val="44"/>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after="120"/>
    </w:pPr>
  </w:style>
  <w:style w:type="paragraph" w:styleId="4">
    <w:name w:val="Title"/>
    <w:basedOn w:val="1"/>
    <w:next w:val="1"/>
    <w:qFormat/>
    <w:uiPriority w:val="0"/>
    <w:pPr>
      <w:spacing w:before="120" w:after="120"/>
      <w:ind w:firstLine="0" w:firstLineChars="0"/>
      <w:outlineLvl w:val="0"/>
    </w:pPr>
    <w:rPr>
      <w:rFonts w:ascii="Calibri Light" w:hAnsi="Calibri Light"/>
      <w:b/>
      <w:bCs/>
    </w:rPr>
  </w:style>
  <w:style w:type="paragraph" w:styleId="5">
    <w:name w:val="Body Text First Indent"/>
    <w:basedOn w:val="2"/>
    <w:qFormat/>
    <w:uiPriority w:val="0"/>
    <w:pPr>
      <w:ind w:firstLine="420" w:firstLineChars="100"/>
    </w:pPr>
  </w:style>
  <w:style w:type="paragraph" w:styleId="6">
    <w:name w:val="footer"/>
    <w:basedOn w:val="1"/>
    <w:qFormat/>
    <w:uiPriority w:val="99"/>
    <w:pPr>
      <w:tabs>
        <w:tab w:val="center" w:pos="4153"/>
        <w:tab w:val="right" w:pos="8306"/>
      </w:tabs>
      <w:snapToGrid w:val="0"/>
      <w:spacing w:line="240" w:lineRule="auto"/>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styleId="10">
    <w:name w:val="page number"/>
    <w:qFormat/>
    <w:uiPriority w:val="0"/>
    <w:rPr>
      <w:rFonts w:cs="Times New Roman"/>
    </w:rPr>
  </w:style>
  <w:style w:type="character" w:styleId="11">
    <w:name w:val="Hyperlink"/>
    <w:qFormat/>
    <w:uiPriority w:val="0"/>
    <w:rPr>
      <w:color w:val="0000FF"/>
      <w:u w:val="single"/>
    </w:rPr>
  </w:style>
  <w:style w:type="paragraph" w:customStyle="1" w:styleId="1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
    <w:name w:val="发文落款"/>
    <w:basedOn w:val="12"/>
    <w:qFormat/>
    <w:uiPriority w:val="0"/>
    <w:pPr>
      <w:ind w:left="4094" w:right="607" w:firstLine="0"/>
      <w:jc w:val="center"/>
    </w:pPr>
    <w:rPr>
      <w:rFonts w:cs="仿宋_GB231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6252</Words>
  <Characters>6663</Characters>
  <Lines>0</Lines>
  <Paragraphs>0</Paragraphs>
  <TotalTime>1</TotalTime>
  <ScaleCrop>false</ScaleCrop>
  <LinksUpToDate>false</LinksUpToDate>
  <CharactersWithSpaces>7052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2023-06-12T07:45:00Z</dcterms:created>
  <dc:creator>G</dc:creator>
  <cp:lastModifiedBy>G</cp:lastModifiedBy>
  <dcterms:modified xsi:type="dcterms:W3CDTF">2023-06-12T08:15:06Z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7B8FAA374B124711BE96E2D94EA96F98_11</vt:lpwstr>
  </property>
</Properties>
</file>