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合同编号：</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rPr>
      </w:pPr>
    </w:p>
    <w:p>
      <w:pPr>
        <w:adjustRightInd w:val="0"/>
        <w:snapToGrid w:val="0"/>
        <w:spacing w:line="360" w:lineRule="auto"/>
        <w:ind w:firstLine="0" w:firstLineChars="0"/>
        <w:rPr>
          <w:rFonts w:ascii="仿宋" w:hAnsi="仿宋" w:eastAsia="仿宋" w:cs="仿宋"/>
          <w:sz w:val="24"/>
          <w:szCs w:val="24"/>
        </w:rPr>
      </w:pPr>
    </w:p>
    <w:p>
      <w:pPr>
        <w:autoSpaceDE w:val="0"/>
        <w:autoSpaceDN w:val="0"/>
        <w:adjustRightInd w:val="0"/>
        <w:snapToGrid w:val="0"/>
        <w:spacing w:line="360" w:lineRule="auto"/>
        <w:jc w:val="center"/>
        <w:rPr>
          <w:rFonts w:ascii="仿宋" w:hAnsi="仿宋" w:eastAsia="仿宋" w:cs="仿宋"/>
          <w:b/>
          <w:sz w:val="48"/>
          <w:szCs w:val="48"/>
        </w:rPr>
      </w:pPr>
      <w:r>
        <w:rPr>
          <w:rFonts w:hint="eastAsia" w:ascii="仿宋" w:hAnsi="仿宋" w:eastAsia="仿宋" w:cs="仿宋"/>
          <w:b/>
          <w:sz w:val="48"/>
          <w:szCs w:val="48"/>
          <w:lang w:eastAsia="zh-CN"/>
        </w:rPr>
        <w:t>广州白云机场三期扩建工程周边临空经济产业园区综合开发（平西村11-14社及16-18社、24社改造）项目城市更新单元详细规划、城市设计方案编制及“三旧”范围分析相关技术服务</w:t>
      </w:r>
      <w:r>
        <w:rPr>
          <w:rFonts w:hint="eastAsia" w:ascii="仿宋" w:hAnsi="仿宋" w:eastAsia="仿宋" w:cs="仿宋"/>
          <w:b/>
          <w:sz w:val="48"/>
          <w:szCs w:val="48"/>
        </w:rPr>
        <w:t>合同</w:t>
      </w:r>
    </w:p>
    <w:p>
      <w:pPr>
        <w:adjustRightInd w:val="0"/>
        <w:snapToGrid w:val="0"/>
        <w:spacing w:line="360" w:lineRule="auto"/>
        <w:ind w:firstLine="0" w:firstLineChars="0"/>
        <w:rPr>
          <w:rFonts w:ascii="仿宋" w:hAnsi="仿宋" w:eastAsia="仿宋" w:cs="仿宋"/>
          <w:b/>
          <w:sz w:val="24"/>
          <w:szCs w:val="24"/>
        </w:rPr>
      </w:pPr>
    </w:p>
    <w:p>
      <w:pPr>
        <w:adjustRightInd w:val="0"/>
        <w:snapToGrid w:val="0"/>
        <w:spacing w:line="360" w:lineRule="auto"/>
        <w:ind w:firstLine="0" w:firstLineChars="0"/>
        <w:rPr>
          <w:rFonts w:ascii="仿宋" w:hAnsi="仿宋" w:eastAsia="仿宋" w:cs="仿宋"/>
          <w:sz w:val="24"/>
          <w:szCs w:val="24"/>
        </w:rPr>
      </w:pPr>
    </w:p>
    <w:p>
      <w:pPr>
        <w:adjustRightInd w:val="0"/>
        <w:snapToGrid w:val="0"/>
        <w:spacing w:line="360" w:lineRule="auto"/>
        <w:ind w:firstLine="482" w:firstLineChars="200"/>
        <w:rPr>
          <w:rFonts w:hint="eastAsia" w:ascii="仿宋" w:hAnsi="仿宋" w:eastAsia="仿宋" w:cs="仿宋"/>
          <w:sz w:val="24"/>
          <w:szCs w:val="24"/>
          <w:u w:val="single"/>
          <w:lang w:eastAsia="zh-CN"/>
        </w:rPr>
      </w:pPr>
      <w:r>
        <w:rPr>
          <w:rFonts w:hint="eastAsia" w:ascii="仿宋" w:hAnsi="仿宋" w:eastAsia="仿宋" w:cs="仿宋"/>
          <w:b/>
          <w:bCs/>
          <w:sz w:val="24"/>
          <w:szCs w:val="24"/>
        </w:rPr>
        <w:t>项目名称</w:t>
      </w:r>
      <w:r>
        <w:rPr>
          <w:rFonts w:hint="eastAsia" w:ascii="仿宋" w:hAnsi="仿宋" w:eastAsia="仿宋" w:cs="仿宋"/>
          <w:sz w:val="24"/>
          <w:szCs w:val="24"/>
        </w:rPr>
        <w:t>：</w:t>
      </w:r>
      <w:r>
        <w:rPr>
          <w:rFonts w:hint="eastAsia" w:ascii="仿宋" w:hAnsi="仿宋" w:eastAsia="仿宋" w:cs="仿宋"/>
          <w:sz w:val="24"/>
          <w:szCs w:val="24"/>
          <w:u w:val="single"/>
          <w:lang w:eastAsia="zh-CN"/>
        </w:rPr>
        <w:t>广州白云机场三期扩建工程周边临空经济产业园区综合开发（平西村11-14社及16-18社、24社改造）项目城市更新单元详细规划、城市设计方案编制及“三旧”范围分析相关技术服务</w:t>
      </w:r>
    </w:p>
    <w:p>
      <w:pPr>
        <w:adjustRightInd w:val="0"/>
        <w:snapToGrid w:val="0"/>
        <w:spacing w:line="360" w:lineRule="auto"/>
        <w:ind w:firstLine="482" w:firstLineChars="200"/>
        <w:rPr>
          <w:rFonts w:ascii="仿宋" w:hAnsi="仿宋" w:eastAsia="仿宋" w:cs="仿宋"/>
          <w:sz w:val="24"/>
          <w:szCs w:val="24"/>
          <w:u w:val="single"/>
        </w:rPr>
      </w:pPr>
      <w:r>
        <w:rPr>
          <w:rFonts w:hint="eastAsia" w:ascii="仿宋" w:hAnsi="仿宋" w:eastAsia="仿宋" w:cs="仿宋"/>
          <w:b/>
          <w:bCs/>
          <w:sz w:val="24"/>
          <w:szCs w:val="24"/>
        </w:rPr>
        <w:t>项目地点</w:t>
      </w:r>
      <w:r>
        <w:rPr>
          <w:rFonts w:hint="eastAsia" w:ascii="仿宋" w:hAnsi="仿宋" w:eastAsia="仿宋" w:cs="仿宋"/>
          <w:sz w:val="24"/>
          <w:szCs w:val="24"/>
        </w:rPr>
        <w:t>：</w:t>
      </w:r>
      <w:r>
        <w:rPr>
          <w:rFonts w:hint="eastAsia" w:ascii="仿宋" w:hAnsi="仿宋" w:eastAsia="仿宋" w:cs="仿宋"/>
          <w:sz w:val="24"/>
          <w:szCs w:val="24"/>
          <w:u w:val="single"/>
        </w:rPr>
        <w:t>本项目服务范围位于白云国际机场西侧，北至永明大街，西至枫叶路，南至新和村，东至平山村。</w:t>
      </w:r>
    </w:p>
    <w:p>
      <w:pPr>
        <w:adjustRightInd w:val="0"/>
        <w:snapToGrid w:val="0"/>
        <w:spacing w:line="360" w:lineRule="auto"/>
        <w:ind w:firstLine="480"/>
        <w:rPr>
          <w:rFonts w:ascii="仿宋" w:hAnsi="仿宋" w:eastAsia="仿宋" w:cs="仿宋"/>
          <w:sz w:val="24"/>
          <w:szCs w:val="24"/>
        </w:rPr>
      </w:pPr>
    </w:p>
    <w:p>
      <w:pPr>
        <w:adjustRightInd w:val="0"/>
        <w:snapToGrid w:val="0"/>
        <w:spacing w:line="360" w:lineRule="auto"/>
        <w:ind w:firstLine="482" w:firstLineChars="200"/>
        <w:rPr>
          <w:rFonts w:ascii="仿宋" w:hAnsi="仿宋" w:eastAsia="仿宋" w:cs="仿宋"/>
          <w:sz w:val="24"/>
          <w:szCs w:val="24"/>
          <w:u w:val="single"/>
        </w:rPr>
      </w:pPr>
      <w:r>
        <w:rPr>
          <w:rFonts w:hint="eastAsia" w:ascii="仿宋" w:hAnsi="仿宋" w:eastAsia="仿宋" w:cs="仿宋"/>
          <w:b/>
          <w:bCs/>
          <w:sz w:val="24"/>
          <w:szCs w:val="24"/>
        </w:rPr>
        <w:t>甲方（委托方）</w:t>
      </w:r>
      <w:r>
        <w:rPr>
          <w:rFonts w:hint="eastAsia" w:ascii="仿宋" w:hAnsi="仿宋" w:eastAsia="仿宋" w:cs="仿宋"/>
          <w:sz w:val="24"/>
          <w:szCs w:val="24"/>
        </w:rPr>
        <w:t>：广州城市更新投资发展有限公司</w:t>
      </w:r>
    </w:p>
    <w:p>
      <w:pPr>
        <w:adjustRightInd w:val="0"/>
        <w:snapToGrid w:val="0"/>
        <w:spacing w:line="360" w:lineRule="auto"/>
        <w:ind w:firstLine="0" w:firstLineChars="0"/>
        <w:rPr>
          <w:rFonts w:ascii="仿宋" w:hAnsi="仿宋" w:eastAsia="仿宋" w:cs="仿宋"/>
          <w:sz w:val="24"/>
          <w:szCs w:val="24"/>
        </w:rPr>
      </w:pPr>
    </w:p>
    <w:p>
      <w:pPr>
        <w:adjustRightInd w:val="0"/>
        <w:snapToGrid w:val="0"/>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乙方（受托方）</w:t>
      </w:r>
      <w:r>
        <w:rPr>
          <w:rFonts w:hint="eastAsia" w:ascii="仿宋" w:hAnsi="仿宋" w:eastAsia="仿宋" w:cs="仿宋"/>
          <w:sz w:val="24"/>
          <w:szCs w:val="24"/>
        </w:rPr>
        <w:t>：</w:t>
      </w:r>
      <w:r>
        <w:rPr>
          <w:rFonts w:ascii="仿宋" w:hAnsi="仿宋" w:eastAsia="仿宋" w:cs="仿宋"/>
          <w:sz w:val="24"/>
          <w:szCs w:val="24"/>
        </w:rPr>
        <w:t xml:space="preserve"> </w:t>
      </w:r>
    </w:p>
    <w:p>
      <w:pPr>
        <w:adjustRightInd w:val="0"/>
        <w:snapToGrid w:val="0"/>
        <w:spacing w:line="360" w:lineRule="auto"/>
        <w:ind w:firstLine="0" w:firstLineChars="0"/>
        <w:rPr>
          <w:rFonts w:ascii="仿宋" w:hAnsi="仿宋" w:eastAsia="仿宋" w:cs="仿宋"/>
          <w:sz w:val="24"/>
          <w:szCs w:val="24"/>
        </w:rPr>
      </w:pPr>
    </w:p>
    <w:p>
      <w:pPr>
        <w:adjustRightInd w:val="0"/>
        <w:snapToGrid w:val="0"/>
        <w:spacing w:line="360" w:lineRule="auto"/>
        <w:ind w:firstLine="480" w:firstLineChars="200"/>
        <w:jc w:val="right"/>
        <w:rPr>
          <w:rFonts w:ascii="仿宋" w:hAnsi="仿宋" w:eastAsia="仿宋" w:cs="仿宋"/>
          <w:sz w:val="24"/>
          <w:szCs w:val="24"/>
        </w:rPr>
      </w:pPr>
    </w:p>
    <w:p>
      <w:pPr>
        <w:adjustRightInd w:val="0"/>
        <w:snapToGrid w:val="0"/>
        <w:spacing w:line="360" w:lineRule="auto"/>
        <w:ind w:firstLine="2880" w:firstLineChars="1200"/>
        <w:rPr>
          <w:rFonts w:ascii="仿宋" w:hAnsi="仿宋" w:eastAsia="仿宋" w:cs="仿宋"/>
          <w:sz w:val="24"/>
          <w:szCs w:val="24"/>
        </w:rPr>
      </w:pPr>
      <w:r>
        <w:rPr>
          <w:rFonts w:hint="eastAsia" w:ascii="仿宋" w:hAnsi="仿宋" w:eastAsia="仿宋" w:cs="仿宋"/>
          <w:sz w:val="24"/>
          <w:szCs w:val="24"/>
        </w:rPr>
        <w:t>签订地点：广东省广州市</w:t>
      </w:r>
    </w:p>
    <w:p>
      <w:pPr>
        <w:adjustRightInd w:val="0"/>
        <w:snapToGrid w:val="0"/>
        <w:spacing w:line="360" w:lineRule="auto"/>
        <w:ind w:firstLine="480" w:firstLineChars="200"/>
        <w:jc w:val="center"/>
        <w:rPr>
          <w:rFonts w:ascii="仿宋" w:hAnsi="仿宋" w:eastAsia="仿宋" w:cs="仿宋"/>
          <w:sz w:val="24"/>
          <w:szCs w:val="24"/>
        </w:rPr>
      </w:pPr>
    </w:p>
    <w:p>
      <w:pPr>
        <w:adjustRightInd w:val="0"/>
        <w:snapToGrid w:val="0"/>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签订日期：</w:t>
      </w:r>
      <w:r>
        <w:rPr>
          <w:rFonts w:ascii="仿宋" w:hAnsi="仿宋" w:eastAsia="仿宋" w:cs="仿宋"/>
          <w:sz w:val="24"/>
          <w:szCs w:val="24"/>
        </w:rPr>
        <w:t>2023</w:t>
      </w:r>
      <w:r>
        <w:rPr>
          <w:rFonts w:hint="eastAsia" w:ascii="仿宋" w:hAnsi="仿宋" w:eastAsia="仿宋" w:cs="仿宋"/>
          <w:sz w:val="24"/>
          <w:szCs w:val="24"/>
        </w:rPr>
        <w:t>年 月  日</w:t>
      </w:r>
    </w:p>
    <w:p>
      <w:pPr>
        <w:adjustRightInd/>
        <w:snapToGrid/>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br w:type="page"/>
      </w:r>
    </w:p>
    <w:p>
      <w:pPr>
        <w:pStyle w:val="2"/>
        <w:jc w:val="both"/>
        <w:rPr>
          <w:rFonts w:hint="eastAsia"/>
        </w:rPr>
      </w:pPr>
    </w:p>
    <w:p>
      <w:pPr>
        <w:pStyle w:val="2"/>
      </w:pPr>
    </w:p>
    <w:p>
      <w:pPr>
        <w:adjustRightInd w:val="0"/>
        <w:snapToGrid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b/>
          <w:bCs/>
          <w:sz w:val="24"/>
          <w:szCs w:val="24"/>
        </w:rPr>
        <w:t>目录</w:t>
      </w:r>
    </w:p>
    <w:p>
      <w:pPr>
        <w:pStyle w:val="11"/>
        <w:tabs>
          <w:tab w:val="right" w:leader="dot" w:pos="8296"/>
        </w:tabs>
        <w:spacing w:line="360" w:lineRule="auto"/>
        <w:rPr>
          <w:rFonts w:hint="eastAsia" w:ascii="仿宋" w:hAnsi="仿宋" w:eastAsia="仿宋" w:cs="仿宋"/>
          <w:kern w:val="2"/>
          <w:sz w:val="21"/>
          <w:szCs w:val="22"/>
        </w:rPr>
      </w:pPr>
      <w:bookmarkStart w:id="0" w:name="_Toc9546_WPSOffice_Type1"/>
      <w:r>
        <w:rPr>
          <w:rFonts w:hint="eastAsia" w:ascii="仿宋" w:hAnsi="仿宋" w:eastAsia="仿宋" w:cs="仿宋"/>
          <w:b/>
          <w:bCs/>
          <w:caps/>
          <w:sz w:val="24"/>
          <w:szCs w:val="24"/>
        </w:rPr>
        <w:fldChar w:fldCharType="begin"/>
      </w:r>
      <w:r>
        <w:rPr>
          <w:rFonts w:hint="eastAsia" w:ascii="仿宋" w:hAnsi="仿宋" w:eastAsia="仿宋" w:cs="仿宋"/>
          <w:b/>
          <w:bCs/>
          <w:caps/>
          <w:sz w:val="24"/>
          <w:szCs w:val="24"/>
        </w:rPr>
        <w:instrText xml:space="preserve"> TOC \o "1-1" \h \z \u </w:instrText>
      </w:r>
      <w:r>
        <w:rPr>
          <w:rFonts w:hint="eastAsia" w:ascii="仿宋" w:hAnsi="仿宋" w:eastAsia="仿宋" w:cs="仿宋"/>
          <w:b/>
          <w:bCs/>
          <w:caps/>
          <w:sz w:val="24"/>
          <w:szCs w:val="24"/>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"_Toc78993264" </w:instrText>
      </w:r>
      <w:r>
        <w:rPr>
          <w:rFonts w:hint="eastAsia" w:ascii="仿宋" w:hAnsi="仿宋" w:eastAsia="仿宋" w:cs="仿宋"/>
        </w:rPr>
        <w:fldChar w:fldCharType="separate"/>
      </w:r>
      <w:r>
        <w:rPr>
          <w:rStyle w:val="17"/>
          <w:rFonts w:hint="eastAsia" w:ascii="仿宋" w:hAnsi="仿宋" w:eastAsia="仿宋" w:cs="仿宋"/>
          <w:b/>
        </w:rPr>
        <w:t>一、依据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_Toc78993264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"_Toc78993265" </w:instrText>
      </w:r>
      <w:r>
        <w:rPr>
          <w:rFonts w:hint="eastAsia" w:ascii="仿宋" w:hAnsi="仿宋" w:eastAsia="仿宋" w:cs="仿宋"/>
        </w:rPr>
        <w:fldChar w:fldCharType="separate"/>
      </w:r>
      <w:r>
        <w:rPr>
          <w:rStyle w:val="17"/>
          <w:rFonts w:hint="eastAsia" w:ascii="仿宋" w:hAnsi="仿宋" w:eastAsia="仿宋" w:cs="仿宋"/>
          <w:b/>
        </w:rPr>
        <w:t>二、项目概况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_Toc78993265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"_Toc78993266" </w:instrText>
      </w:r>
      <w:r>
        <w:rPr>
          <w:rFonts w:hint="eastAsia" w:ascii="仿宋" w:hAnsi="仿宋" w:eastAsia="仿宋" w:cs="仿宋"/>
        </w:rPr>
        <w:fldChar w:fldCharType="separate"/>
      </w:r>
      <w:r>
        <w:rPr>
          <w:rStyle w:val="17"/>
          <w:rFonts w:hint="eastAsia" w:ascii="仿宋" w:hAnsi="仿宋" w:eastAsia="仿宋" w:cs="仿宋"/>
          <w:b/>
        </w:rPr>
        <w:t>三、甲方应提供资料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_Toc78993266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"_Toc78993267" </w:instrText>
      </w:r>
      <w:r>
        <w:rPr>
          <w:rFonts w:hint="eastAsia" w:ascii="仿宋" w:hAnsi="仿宋" w:eastAsia="仿宋" w:cs="仿宋"/>
        </w:rPr>
        <w:fldChar w:fldCharType="separate"/>
      </w:r>
      <w:r>
        <w:rPr>
          <w:rStyle w:val="17"/>
          <w:rFonts w:hint="eastAsia" w:ascii="仿宋" w:hAnsi="仿宋" w:eastAsia="仿宋" w:cs="仿宋"/>
          <w:b/>
          <w:bCs/>
        </w:rPr>
        <w:t>四、服务内容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_Toc78993267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"_Toc78993268" </w:instrText>
      </w:r>
      <w:r>
        <w:rPr>
          <w:rFonts w:hint="eastAsia" w:ascii="仿宋" w:hAnsi="仿宋" w:eastAsia="仿宋" w:cs="仿宋"/>
        </w:rPr>
        <w:fldChar w:fldCharType="separate"/>
      </w:r>
      <w:r>
        <w:rPr>
          <w:rStyle w:val="17"/>
          <w:rFonts w:hint="eastAsia" w:ascii="仿宋" w:hAnsi="仿宋" w:eastAsia="仿宋" w:cs="仿宋"/>
          <w:b/>
          <w:bCs/>
        </w:rPr>
        <w:t>五、服务工作进度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_Toc78993268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"_Toc78993269" </w:instrText>
      </w:r>
      <w:r>
        <w:rPr>
          <w:rFonts w:hint="eastAsia" w:ascii="仿宋" w:hAnsi="仿宋" w:eastAsia="仿宋" w:cs="仿宋"/>
        </w:rPr>
        <w:fldChar w:fldCharType="separate"/>
      </w:r>
      <w:r>
        <w:rPr>
          <w:rStyle w:val="17"/>
          <w:rFonts w:hint="eastAsia" w:ascii="仿宋" w:hAnsi="仿宋" w:eastAsia="仿宋" w:cs="仿宋"/>
          <w:b/>
          <w:bCs/>
        </w:rPr>
        <w:t>六、合同价款及支付方式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_Toc78993269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"_Toc78993270" </w:instrText>
      </w:r>
      <w:r>
        <w:rPr>
          <w:rFonts w:hint="eastAsia" w:ascii="仿宋" w:hAnsi="仿宋" w:eastAsia="仿宋" w:cs="仿宋"/>
        </w:rPr>
        <w:fldChar w:fldCharType="separate"/>
      </w:r>
      <w:r>
        <w:rPr>
          <w:rStyle w:val="17"/>
          <w:rFonts w:hint="eastAsia" w:ascii="仿宋" w:hAnsi="仿宋" w:eastAsia="仿宋" w:cs="仿宋"/>
          <w:b/>
          <w:bCs/>
        </w:rPr>
        <w:t>七、甲方的权利义务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_Toc78993270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"_Toc78993271" </w:instrText>
      </w:r>
      <w:r>
        <w:rPr>
          <w:rFonts w:hint="eastAsia" w:ascii="仿宋" w:hAnsi="仿宋" w:eastAsia="仿宋" w:cs="仿宋"/>
        </w:rPr>
        <w:fldChar w:fldCharType="separate"/>
      </w:r>
      <w:r>
        <w:rPr>
          <w:rStyle w:val="17"/>
          <w:rFonts w:hint="eastAsia" w:ascii="仿宋" w:hAnsi="仿宋" w:eastAsia="仿宋" w:cs="仿宋"/>
          <w:b/>
          <w:bCs/>
        </w:rPr>
        <w:t>八、乙方的权利义务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_Toc78993271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"_Toc78993272" </w:instrText>
      </w:r>
      <w:r>
        <w:rPr>
          <w:rFonts w:hint="eastAsia" w:ascii="仿宋" w:hAnsi="仿宋" w:eastAsia="仿宋" w:cs="仿宋"/>
        </w:rPr>
        <w:fldChar w:fldCharType="separate"/>
      </w:r>
      <w:r>
        <w:rPr>
          <w:rStyle w:val="17"/>
          <w:rFonts w:hint="eastAsia" w:ascii="仿宋" w:hAnsi="仿宋" w:eastAsia="仿宋" w:cs="仿宋"/>
          <w:b/>
          <w:bCs/>
        </w:rPr>
        <w:t>九、违约责任及合同的解除、终止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_Toc78993272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"_Toc78993273" </w:instrText>
      </w:r>
      <w:r>
        <w:rPr>
          <w:rFonts w:hint="eastAsia" w:ascii="仿宋" w:hAnsi="仿宋" w:eastAsia="仿宋" w:cs="仿宋"/>
        </w:rPr>
        <w:fldChar w:fldCharType="separate"/>
      </w:r>
      <w:r>
        <w:rPr>
          <w:rStyle w:val="17"/>
          <w:rFonts w:hint="eastAsia" w:ascii="仿宋" w:hAnsi="仿宋" w:eastAsia="仿宋" w:cs="仿宋"/>
          <w:b/>
          <w:bCs/>
        </w:rPr>
        <w:t>十、知识产权与保密条款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_Toc78993273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"_Toc78993274" </w:instrText>
      </w:r>
      <w:r>
        <w:rPr>
          <w:rFonts w:hint="eastAsia" w:ascii="仿宋" w:hAnsi="仿宋" w:eastAsia="仿宋" w:cs="仿宋"/>
        </w:rPr>
        <w:fldChar w:fldCharType="separate"/>
      </w:r>
      <w:r>
        <w:rPr>
          <w:rStyle w:val="17"/>
          <w:rFonts w:hint="eastAsia" w:ascii="仿宋" w:hAnsi="仿宋" w:eastAsia="仿宋" w:cs="仿宋"/>
          <w:b/>
          <w:bCs/>
        </w:rPr>
        <w:t>十一、不可抗力</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_Toc78993274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"_Toc78993275" </w:instrText>
      </w:r>
      <w:r>
        <w:rPr>
          <w:rFonts w:hint="eastAsia" w:ascii="仿宋" w:hAnsi="仿宋" w:eastAsia="仿宋" w:cs="仿宋"/>
        </w:rPr>
        <w:fldChar w:fldCharType="separate"/>
      </w:r>
      <w:r>
        <w:rPr>
          <w:rStyle w:val="17"/>
          <w:rFonts w:hint="eastAsia" w:ascii="仿宋" w:hAnsi="仿宋" w:eastAsia="仿宋" w:cs="仿宋"/>
          <w:b/>
          <w:bCs/>
        </w:rPr>
        <w:t>十二、通知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_Toc78993275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"_Toc78993276" </w:instrText>
      </w:r>
      <w:r>
        <w:rPr>
          <w:rFonts w:hint="eastAsia" w:ascii="仿宋" w:hAnsi="仿宋" w:eastAsia="仿宋" w:cs="仿宋"/>
        </w:rPr>
        <w:fldChar w:fldCharType="separate"/>
      </w:r>
      <w:r>
        <w:rPr>
          <w:rStyle w:val="17"/>
          <w:rFonts w:hint="eastAsia" w:ascii="仿宋" w:hAnsi="仿宋" w:eastAsia="仿宋" w:cs="仿宋"/>
          <w:b/>
          <w:bCs/>
        </w:rPr>
        <w:t>十三、廉洁条款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_Toc78993276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"_Toc78993277" </w:instrText>
      </w:r>
      <w:r>
        <w:rPr>
          <w:rFonts w:hint="eastAsia" w:ascii="仿宋" w:hAnsi="仿宋" w:eastAsia="仿宋" w:cs="仿宋"/>
        </w:rPr>
        <w:fldChar w:fldCharType="separate"/>
      </w:r>
      <w:r>
        <w:rPr>
          <w:rStyle w:val="17"/>
          <w:rFonts w:hint="eastAsia" w:ascii="仿宋" w:hAnsi="仿宋" w:eastAsia="仿宋" w:cs="仿宋"/>
          <w:b/>
          <w:bCs/>
        </w:rPr>
        <w:t>十四、权利保留和合同效力</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_Toc78993277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"_Toc78993278" </w:instrText>
      </w:r>
      <w:r>
        <w:rPr>
          <w:rFonts w:hint="eastAsia" w:ascii="仿宋" w:hAnsi="仿宋" w:eastAsia="仿宋" w:cs="仿宋"/>
        </w:rPr>
        <w:fldChar w:fldCharType="separate"/>
      </w:r>
      <w:r>
        <w:rPr>
          <w:rStyle w:val="17"/>
          <w:rFonts w:hint="eastAsia" w:ascii="仿宋" w:hAnsi="仿宋" w:eastAsia="仿宋" w:cs="仿宋"/>
          <w:b/>
          <w:bCs/>
        </w:rPr>
        <w:t>十五、法律适用与争议解决</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_Toc78993278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"_Toc78993279" </w:instrText>
      </w:r>
      <w:r>
        <w:rPr>
          <w:rFonts w:hint="eastAsia" w:ascii="仿宋" w:hAnsi="仿宋" w:eastAsia="仿宋" w:cs="仿宋"/>
        </w:rPr>
        <w:fldChar w:fldCharType="separate"/>
      </w:r>
      <w:r>
        <w:rPr>
          <w:rStyle w:val="17"/>
          <w:rFonts w:hint="eastAsia" w:ascii="仿宋" w:hAnsi="仿宋" w:eastAsia="仿宋" w:cs="仿宋"/>
          <w:b/>
          <w:bCs/>
        </w:rPr>
        <w:t>十六、其他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_Toc78993279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pPr>
        <w:pStyle w:val="11"/>
        <w:tabs>
          <w:tab w:val="right" w:leader="dot" w:pos="8296"/>
        </w:tabs>
        <w:spacing w:line="360" w:lineRule="auto"/>
        <w:rPr>
          <w:rFonts w:hint="eastAsia" w:ascii="仿宋" w:hAnsi="仿宋" w:eastAsia="仿宋" w:cs="仿宋"/>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"_Toc78993280" </w:instrText>
      </w:r>
      <w:r>
        <w:rPr>
          <w:rFonts w:hint="eastAsia" w:ascii="仿宋" w:hAnsi="仿宋" w:eastAsia="仿宋" w:cs="仿宋"/>
        </w:rPr>
        <w:fldChar w:fldCharType="separate"/>
      </w:r>
      <w:r>
        <w:rPr>
          <w:rStyle w:val="17"/>
          <w:rFonts w:hint="eastAsia" w:ascii="仿宋" w:hAnsi="仿宋" w:eastAsia="仿宋" w:cs="仿宋"/>
          <w:b/>
          <w:bCs/>
        </w:rPr>
        <w:t>十七、合同的生效、份数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_Toc78993280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pPr>
        <w:tabs>
          <w:tab w:val="right" w:leader="dot" w:pos="8306"/>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fldChar w:fldCharType="end"/>
      </w:r>
    </w:p>
    <w:bookmarkEnd w:id="0"/>
    <w:p>
      <w:pPr>
        <w:adjustRightInd w:val="0"/>
        <w:snapToGrid w:val="0"/>
        <w:spacing w:line="360" w:lineRule="auto"/>
        <w:rPr>
          <w:rFonts w:ascii="仿宋" w:hAnsi="仿宋" w:eastAsia="仿宋" w:cs="仿宋"/>
          <w:sz w:val="24"/>
          <w:szCs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adjustRightInd w:val="0"/>
        <w:snapToGrid w:val="0"/>
        <w:spacing w:line="360" w:lineRule="auto"/>
        <w:ind w:firstLine="482" w:firstLineChars="200"/>
        <w:rPr>
          <w:rFonts w:ascii="仿宋" w:hAnsi="仿宋" w:eastAsia="仿宋" w:cs="仿宋"/>
          <w:b/>
          <w:sz w:val="24"/>
          <w:szCs w:val="24"/>
          <w:u w:val="single"/>
        </w:rPr>
      </w:pPr>
      <w:bookmarkStart w:id="1" w:name="_Toc22984_WPSOffice_Level1"/>
      <w:bookmarkStart w:id="2" w:name="_Toc29020_WPSOffice_Level1"/>
      <w:bookmarkStart w:id="3" w:name="_Toc12504_WPSOffice_Level1"/>
      <w:r>
        <w:rPr>
          <w:rFonts w:hint="eastAsia" w:ascii="仿宋" w:hAnsi="仿宋" w:eastAsia="仿宋" w:cs="仿宋"/>
          <w:b/>
          <w:sz w:val="24"/>
          <w:szCs w:val="24"/>
        </w:rPr>
        <w:t>甲 方（委托方）：</w:t>
      </w:r>
      <w:bookmarkEnd w:id="1"/>
      <w:bookmarkEnd w:id="2"/>
      <w:bookmarkEnd w:id="3"/>
      <w:r>
        <w:rPr>
          <w:rFonts w:hint="eastAsia" w:ascii="仿宋" w:hAnsi="仿宋" w:eastAsia="仿宋" w:cs="仿宋"/>
          <w:sz w:val="24"/>
          <w:szCs w:val="24"/>
        </w:rPr>
        <w:t>广州城市更新投资发展有限公司</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地址：</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ind w:firstLine="0" w:firstLineChars="0"/>
        <w:rPr>
          <w:rFonts w:ascii="仿宋" w:hAnsi="仿宋" w:eastAsia="仿宋" w:cs="仿宋"/>
          <w:b/>
          <w:sz w:val="24"/>
          <w:szCs w:val="24"/>
          <w:u w:val="single"/>
        </w:rPr>
      </w:pPr>
    </w:p>
    <w:p>
      <w:pPr>
        <w:adjustRightInd w:val="0"/>
        <w:snapToGrid w:val="0"/>
        <w:spacing w:line="360" w:lineRule="auto"/>
        <w:ind w:firstLine="482" w:firstLineChars="200"/>
        <w:rPr>
          <w:rFonts w:ascii="仿宋" w:hAnsi="仿宋" w:eastAsia="仿宋" w:cs="仿宋"/>
          <w:sz w:val="24"/>
          <w:szCs w:val="24"/>
        </w:rPr>
      </w:pPr>
      <w:bookmarkStart w:id="4" w:name="_Toc31838_WPSOffice_Level1"/>
      <w:bookmarkStart w:id="5" w:name="_Toc13414_WPSOffice_Level1"/>
      <w:bookmarkStart w:id="6" w:name="_Toc8113_WPSOffice_Level1"/>
      <w:r>
        <w:rPr>
          <w:rFonts w:hint="eastAsia" w:ascii="仿宋" w:hAnsi="仿宋" w:eastAsia="仿宋" w:cs="仿宋"/>
          <w:b/>
          <w:sz w:val="24"/>
          <w:szCs w:val="24"/>
        </w:rPr>
        <w:t>乙 方</w:t>
      </w:r>
      <w:r>
        <w:rPr>
          <w:rFonts w:hint="eastAsia" w:ascii="仿宋" w:hAnsi="仿宋" w:eastAsia="仿宋" w:cs="仿宋"/>
          <w:b/>
          <w:color w:val="000000" w:themeColor="text1"/>
          <w:sz w:val="24"/>
          <w:szCs w:val="24"/>
          <w14:textFill>
            <w14:solidFill>
              <w14:schemeClr w14:val="tx1"/>
            </w14:solidFill>
          </w14:textFill>
        </w:rPr>
        <w:t>（受托方）</w:t>
      </w:r>
      <w:r>
        <w:rPr>
          <w:rFonts w:hint="eastAsia" w:ascii="仿宋" w:hAnsi="仿宋" w:eastAsia="仿宋" w:cs="仿宋"/>
          <w:b/>
          <w:sz w:val="24"/>
          <w:szCs w:val="24"/>
        </w:rPr>
        <w:t>：</w:t>
      </w:r>
      <w:bookmarkEnd w:id="4"/>
      <w:bookmarkEnd w:id="5"/>
      <w:bookmarkEnd w:id="6"/>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地址：</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联系电话:</w:t>
      </w:r>
    </w:p>
    <w:p>
      <w:pPr>
        <w:pStyle w:val="13"/>
        <w:adjustRightInd w:val="0"/>
        <w:snapToGrid w:val="0"/>
        <w:spacing w:line="360" w:lineRule="auto"/>
        <w:ind w:firstLine="0"/>
        <w:rPr>
          <w:rFonts w:ascii="仿宋" w:hAnsi="仿宋" w:eastAsia="仿宋" w:cs="仿宋"/>
          <w:b/>
          <w:sz w:val="24"/>
          <w:u w:val="single"/>
        </w:rPr>
      </w:pPr>
    </w:p>
    <w:p>
      <w:pPr>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根据</w:t>
      </w:r>
      <w:r>
        <w:rPr>
          <w:rFonts w:ascii="仿宋" w:hAnsi="仿宋" w:eastAsia="仿宋" w:cs="仿宋"/>
          <w:sz w:val="24"/>
          <w:szCs w:val="24"/>
        </w:rPr>
        <w:t>《中华人民共和国</w:t>
      </w:r>
      <w:r>
        <w:rPr>
          <w:rFonts w:hint="eastAsia" w:ascii="仿宋" w:hAnsi="仿宋" w:eastAsia="仿宋" w:cs="仿宋"/>
          <w:sz w:val="24"/>
          <w:szCs w:val="24"/>
        </w:rPr>
        <w:t>民法典</w:t>
      </w:r>
      <w:r>
        <w:rPr>
          <w:rFonts w:ascii="仿宋" w:hAnsi="仿宋" w:eastAsia="仿宋" w:cs="仿宋"/>
          <w:sz w:val="24"/>
          <w:szCs w:val="24"/>
        </w:rPr>
        <w:t>》</w:t>
      </w:r>
      <w:r>
        <w:rPr>
          <w:rFonts w:hint="eastAsia" w:ascii="仿宋" w:hAnsi="仿宋" w:eastAsia="仿宋" w:cs="仿宋"/>
          <w:sz w:val="24"/>
          <w:szCs w:val="24"/>
        </w:rPr>
        <w:t>《中华人民共和国城乡规划法》</w:t>
      </w:r>
      <w:bookmarkStart w:id="7" w:name="_Hlk96450626"/>
      <w:r>
        <w:rPr>
          <w:rFonts w:hint="eastAsia" w:ascii="仿宋" w:hAnsi="仿宋" w:eastAsia="仿宋" w:cs="仿宋"/>
          <w:sz w:val="24"/>
          <w:szCs w:val="24"/>
        </w:rPr>
        <w:t>《</w:t>
      </w:r>
      <w:r>
        <w:rPr>
          <w:rFonts w:ascii="仿宋" w:hAnsi="仿宋" w:eastAsia="仿宋" w:cs="仿宋"/>
          <w:sz w:val="24"/>
          <w:szCs w:val="24"/>
        </w:rPr>
        <w:t>中华人民共和国土地管理法</w:t>
      </w:r>
      <w:r>
        <w:rPr>
          <w:rFonts w:hint="eastAsia" w:ascii="仿宋" w:hAnsi="仿宋" w:eastAsia="仿宋" w:cs="仿宋"/>
          <w:sz w:val="24"/>
          <w:szCs w:val="24"/>
        </w:rPr>
        <w:t>》</w:t>
      </w:r>
      <w:bookmarkEnd w:id="7"/>
      <w:bookmarkStart w:id="8" w:name="_Hlk96450762"/>
      <w:r>
        <w:rPr>
          <w:rFonts w:hint="eastAsia" w:ascii="仿宋" w:hAnsi="仿宋" w:eastAsia="仿宋" w:cs="仿宋"/>
          <w:sz w:val="24"/>
          <w:szCs w:val="24"/>
        </w:rPr>
        <w:t>《</w:t>
      </w:r>
      <w:r>
        <w:rPr>
          <w:rFonts w:ascii="仿宋" w:hAnsi="仿宋" w:eastAsia="仿宋" w:cs="仿宋"/>
          <w:sz w:val="24"/>
          <w:szCs w:val="24"/>
        </w:rPr>
        <w:t>中华人民共和国测绘法</w:t>
      </w:r>
      <w:r>
        <w:rPr>
          <w:rFonts w:hint="eastAsia" w:ascii="仿宋" w:hAnsi="仿宋" w:eastAsia="仿宋" w:cs="仿宋"/>
          <w:sz w:val="24"/>
          <w:szCs w:val="24"/>
        </w:rPr>
        <w:t>》《广东省测绘管理条例》</w:t>
      </w:r>
      <w:bookmarkEnd w:id="8"/>
      <w:r>
        <w:rPr>
          <w:rFonts w:hint="eastAsia" w:ascii="仿宋" w:hAnsi="仿宋" w:eastAsia="仿宋" w:cs="仿宋"/>
          <w:sz w:val="24"/>
          <w:szCs w:val="24"/>
        </w:rPr>
        <w:t>等法律法规，本着自愿、平等、诚实信用的原则，甲方委托乙方承担</w:t>
      </w:r>
      <w:r>
        <w:rPr>
          <w:rFonts w:hint="eastAsia" w:ascii="仿宋" w:hAnsi="仿宋" w:eastAsia="仿宋" w:cs="仿宋"/>
          <w:color w:val="000000" w:themeColor="text1"/>
          <w:sz w:val="24"/>
          <w:szCs w:val="24"/>
          <w:u w:val="single"/>
          <w:lang w:eastAsia="zh-CN"/>
          <w14:textFill>
            <w14:solidFill>
              <w14:schemeClr w14:val="tx1"/>
            </w14:solidFill>
          </w14:textFill>
        </w:rPr>
        <w:t>广州白云机场三期扩建工程周边临空经济产业园区综合开发（平西村11-14社及16-18社、24社改造）项目城市更新单元详细规划、城市设计方案编制及“三旧”范围分析相关技术服务</w:t>
      </w:r>
      <w:r>
        <w:rPr>
          <w:rFonts w:hint="eastAsia" w:ascii="仿宋" w:hAnsi="仿宋" w:eastAsia="仿宋" w:cs="仿宋"/>
          <w:sz w:val="24"/>
          <w:szCs w:val="24"/>
        </w:rPr>
        <w:t>工作，并就有关事项经协商一致，签订本合同，以资共同遵守。</w:t>
      </w:r>
    </w:p>
    <w:p>
      <w:pPr>
        <w:autoSpaceDE w:val="0"/>
        <w:autoSpaceDN w:val="0"/>
        <w:adjustRightInd w:val="0"/>
        <w:spacing w:line="360" w:lineRule="auto"/>
        <w:ind w:firstLine="482" w:firstLineChars="200"/>
        <w:jc w:val="both"/>
        <w:outlineLvl w:val="0"/>
        <w:rPr>
          <w:rFonts w:ascii="仿宋" w:hAnsi="仿宋" w:eastAsia="仿宋" w:cs="宋体"/>
          <w:b/>
          <w:sz w:val="24"/>
          <w:szCs w:val="24"/>
        </w:rPr>
      </w:pPr>
      <w:bookmarkStart w:id="9" w:name="_Toc78993264"/>
      <w:bookmarkStart w:id="10" w:name="_Toc3482839"/>
      <w:r>
        <w:rPr>
          <w:rFonts w:hint="eastAsia" w:ascii="仿宋" w:hAnsi="仿宋" w:eastAsia="仿宋" w:cs="宋体"/>
          <w:b/>
          <w:sz w:val="24"/>
          <w:szCs w:val="24"/>
        </w:rPr>
        <w:t>一、依据</w:t>
      </w:r>
      <w:bookmarkEnd w:id="9"/>
      <w:bookmarkEnd w:id="10"/>
    </w:p>
    <w:p>
      <w:pPr>
        <w:spacing w:line="360" w:lineRule="auto"/>
        <w:ind w:firstLine="482" w:firstLineChars="200"/>
        <w:jc w:val="both"/>
        <w:rPr>
          <w:rFonts w:ascii="仿宋" w:hAnsi="仿宋" w:eastAsia="仿宋" w:cs="仿宋"/>
          <w:b/>
          <w:sz w:val="24"/>
          <w:szCs w:val="24"/>
        </w:rPr>
      </w:pPr>
      <w:r>
        <w:rPr>
          <w:rFonts w:hint="eastAsia" w:ascii="仿宋" w:hAnsi="仿宋" w:eastAsia="仿宋" w:cs="仿宋"/>
          <w:b/>
          <w:sz w:val="24"/>
          <w:szCs w:val="24"/>
        </w:rPr>
        <w:t>（一）服务依据</w:t>
      </w:r>
    </w:p>
    <w:p>
      <w:pPr>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《中华人民共和国</w:t>
      </w:r>
      <w:r>
        <w:rPr>
          <w:rFonts w:hint="eastAsia" w:ascii="仿宋" w:hAnsi="仿宋" w:eastAsia="仿宋" w:cs="仿宋"/>
          <w:sz w:val="24"/>
          <w:szCs w:val="24"/>
        </w:rPr>
        <w:t>民法典</w:t>
      </w:r>
      <w:r>
        <w:rPr>
          <w:rFonts w:ascii="仿宋" w:hAnsi="仿宋" w:eastAsia="仿宋" w:cs="仿宋"/>
          <w:sz w:val="24"/>
          <w:szCs w:val="24"/>
        </w:rPr>
        <w:t>》</w:t>
      </w:r>
      <w:r>
        <w:rPr>
          <w:rFonts w:hint="eastAsia" w:ascii="仿宋" w:hAnsi="仿宋" w:eastAsia="仿宋" w:cs="仿宋"/>
          <w:sz w:val="24"/>
          <w:szCs w:val="24"/>
        </w:rPr>
        <w:t>《中华人民共和国城乡规划法》《</w:t>
      </w:r>
      <w:r>
        <w:rPr>
          <w:rFonts w:ascii="仿宋" w:hAnsi="仿宋" w:eastAsia="仿宋" w:cs="仿宋"/>
          <w:sz w:val="24"/>
          <w:szCs w:val="24"/>
        </w:rPr>
        <w:t>中华人民共和国土地管理法</w:t>
      </w:r>
      <w:r>
        <w:rPr>
          <w:rFonts w:hint="eastAsia" w:ascii="仿宋" w:hAnsi="仿宋" w:eastAsia="仿宋" w:cs="仿宋"/>
          <w:sz w:val="24"/>
          <w:szCs w:val="24"/>
        </w:rPr>
        <w:t>》《</w:t>
      </w:r>
      <w:r>
        <w:rPr>
          <w:rFonts w:ascii="仿宋" w:hAnsi="仿宋" w:eastAsia="仿宋" w:cs="仿宋"/>
          <w:sz w:val="24"/>
          <w:szCs w:val="24"/>
        </w:rPr>
        <w:t>中华人民共和国测绘法</w:t>
      </w:r>
      <w:r>
        <w:rPr>
          <w:rFonts w:hint="eastAsia" w:ascii="仿宋" w:hAnsi="仿宋" w:eastAsia="仿宋" w:cs="仿宋"/>
          <w:sz w:val="24"/>
          <w:szCs w:val="24"/>
        </w:rPr>
        <w:t>》《广东省测绘管理条例》等。</w:t>
      </w:r>
    </w:p>
    <w:p>
      <w:pPr>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2．国家及地方有关规划设计管理法规及规章。</w:t>
      </w:r>
    </w:p>
    <w:p>
      <w:pPr>
        <w:spacing w:line="360" w:lineRule="auto"/>
        <w:ind w:firstLine="480" w:firstLineChars="200"/>
        <w:jc w:val="both"/>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．国家及地方现行规划设计技术规范、规定及标准。</w:t>
      </w:r>
    </w:p>
    <w:p>
      <w:pPr>
        <w:autoSpaceDE w:val="0"/>
        <w:autoSpaceDN w:val="0"/>
        <w:adjustRightInd w:val="0"/>
        <w:spacing w:line="360" w:lineRule="auto"/>
        <w:ind w:firstLine="482" w:firstLineChars="200"/>
        <w:jc w:val="both"/>
        <w:outlineLvl w:val="0"/>
        <w:rPr>
          <w:rFonts w:ascii="仿宋" w:hAnsi="仿宋" w:eastAsia="仿宋" w:cs="宋体"/>
          <w:b/>
          <w:sz w:val="24"/>
          <w:szCs w:val="24"/>
        </w:rPr>
      </w:pPr>
      <w:bookmarkStart w:id="11" w:name="_Toc308946866"/>
      <w:bookmarkStart w:id="12" w:name="_Toc312675326"/>
      <w:bookmarkStart w:id="13" w:name="_Toc3482840"/>
      <w:bookmarkStart w:id="14" w:name="_Toc312683819"/>
      <w:bookmarkStart w:id="15" w:name="_Toc312675605"/>
      <w:bookmarkStart w:id="16" w:name="_Toc402889557"/>
      <w:bookmarkStart w:id="17" w:name="_Toc78993265"/>
      <w:r>
        <w:rPr>
          <w:rFonts w:hint="eastAsia" w:ascii="仿宋" w:hAnsi="仿宋" w:eastAsia="仿宋" w:cs="宋体"/>
          <w:b/>
          <w:sz w:val="24"/>
          <w:szCs w:val="24"/>
        </w:rPr>
        <w:t>二、项目概况</w:t>
      </w:r>
      <w:bookmarkEnd w:id="11"/>
      <w:bookmarkEnd w:id="12"/>
      <w:bookmarkEnd w:id="13"/>
      <w:bookmarkEnd w:id="14"/>
      <w:bookmarkEnd w:id="15"/>
      <w:bookmarkEnd w:id="16"/>
      <w:bookmarkEnd w:id="17"/>
    </w:p>
    <w:p>
      <w:pPr>
        <w:spacing w:line="360" w:lineRule="auto"/>
        <w:ind w:firstLine="480" w:firstLineChars="200"/>
        <w:jc w:val="both"/>
        <w:rPr>
          <w:rFonts w:ascii="仿宋" w:hAnsi="仿宋" w:eastAsia="仿宋" w:cs="仿宋"/>
          <w:sz w:val="24"/>
          <w:szCs w:val="24"/>
          <w:u w:val="single"/>
        </w:rPr>
      </w:pPr>
      <w:r>
        <w:rPr>
          <w:rFonts w:hint="eastAsia" w:ascii="仿宋" w:hAnsi="仿宋" w:eastAsia="仿宋"/>
          <w:sz w:val="24"/>
          <w:szCs w:val="24"/>
        </w:rPr>
        <w:t>（一）项目名称：</w:t>
      </w:r>
      <w:r>
        <w:rPr>
          <w:rFonts w:hint="eastAsia" w:ascii="仿宋" w:hAnsi="仿宋" w:eastAsia="仿宋" w:cs="仿宋"/>
          <w:color w:val="000000" w:themeColor="text1"/>
          <w:sz w:val="24"/>
          <w:szCs w:val="24"/>
          <w:u w:val="single"/>
          <w:lang w:eastAsia="zh-CN"/>
          <w14:textFill>
            <w14:solidFill>
              <w14:schemeClr w14:val="tx1"/>
            </w14:solidFill>
          </w14:textFill>
        </w:rPr>
        <w:t>广州白云机场三期扩建工程周边临空经济产业园区综合开发（平西村11-14社及16-18社、24社改造）项目城市更新单元详细规划、城市设计方案编制及“三旧”范围分析相关技术服务</w:t>
      </w:r>
      <w:r>
        <w:rPr>
          <w:rFonts w:hint="eastAsia" w:ascii="仿宋" w:hAnsi="仿宋" w:eastAsia="仿宋" w:cs="仿宋"/>
          <w:sz w:val="24"/>
          <w:szCs w:val="24"/>
          <w:u w:val="single"/>
        </w:rPr>
        <w:t>。</w:t>
      </w:r>
    </w:p>
    <w:p>
      <w:pPr>
        <w:spacing w:line="360" w:lineRule="auto"/>
        <w:ind w:firstLine="480" w:firstLineChars="200"/>
        <w:jc w:val="both"/>
        <w:rPr>
          <w:rFonts w:ascii="仿宋" w:hAnsi="仿宋" w:eastAsia="仿宋"/>
          <w:sz w:val="24"/>
          <w:szCs w:val="24"/>
          <w:u w:val="single"/>
        </w:rPr>
      </w:pPr>
      <w:r>
        <w:rPr>
          <w:rFonts w:hint="eastAsia" w:ascii="仿宋" w:hAnsi="仿宋" w:eastAsia="仿宋"/>
          <w:sz w:val="24"/>
          <w:szCs w:val="24"/>
        </w:rPr>
        <w:t>（二）项目地址：</w:t>
      </w:r>
      <w:r>
        <w:rPr>
          <w:rFonts w:hint="eastAsia" w:ascii="仿宋" w:hAnsi="仿宋" w:eastAsia="仿宋"/>
          <w:sz w:val="24"/>
          <w:szCs w:val="24"/>
          <w:u w:val="single"/>
        </w:rPr>
        <w:t>本项目位于白云国际机场西侧，</w:t>
      </w:r>
      <w:r>
        <w:rPr>
          <w:rFonts w:hint="eastAsia" w:ascii="仿宋" w:hAnsi="仿宋" w:eastAsia="仿宋" w:cs="仿宋"/>
          <w:sz w:val="24"/>
          <w:szCs w:val="24"/>
          <w:u w:val="single"/>
        </w:rPr>
        <w:t>北至永明大街，西至枫叶路，南至新和村，东至平山村</w:t>
      </w:r>
      <w:r>
        <w:rPr>
          <w:rFonts w:hint="eastAsia" w:ascii="仿宋" w:hAnsi="仿宋" w:eastAsia="仿宋"/>
          <w:sz w:val="24"/>
          <w:szCs w:val="24"/>
        </w:rPr>
        <w:t>。</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（三</w:t>
      </w:r>
      <w:r>
        <w:rPr>
          <w:rFonts w:ascii="仿宋" w:hAnsi="仿宋" w:eastAsia="仿宋"/>
          <w:sz w:val="24"/>
          <w:szCs w:val="24"/>
        </w:rPr>
        <w:t>）</w:t>
      </w:r>
      <w:r>
        <w:rPr>
          <w:rFonts w:hint="eastAsia" w:ascii="仿宋" w:hAnsi="仿宋" w:eastAsia="仿宋"/>
          <w:sz w:val="24"/>
          <w:szCs w:val="24"/>
        </w:rPr>
        <w:t>项目范围：</w:t>
      </w:r>
    </w:p>
    <w:p>
      <w:pPr>
        <w:spacing w:line="360" w:lineRule="auto"/>
        <w:ind w:firstLine="480" w:firstLineChars="200"/>
        <w:jc w:val="both"/>
        <w:outlineLvl w:val="0"/>
        <w:rPr>
          <w:rFonts w:ascii="仿宋" w:hAnsi="仿宋" w:eastAsia="仿宋"/>
          <w:sz w:val="24"/>
          <w:szCs w:val="24"/>
        </w:rPr>
      </w:pPr>
      <w:bookmarkStart w:id="18" w:name="_Toc78993266"/>
      <w:bookmarkStart w:id="19" w:name="_Toc3482841"/>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标图入库相关分析工作范围：77.27公顷。</w:t>
      </w:r>
    </w:p>
    <w:p>
      <w:pPr>
        <w:spacing w:line="360" w:lineRule="auto"/>
        <w:ind w:firstLine="480" w:firstLineChars="200"/>
        <w:jc w:val="both"/>
        <w:outlineLvl w:val="0"/>
        <w:rPr>
          <w:rFonts w:ascii="仿宋" w:hAnsi="仿宋" w:eastAsia="仿宋"/>
          <w:sz w:val="24"/>
          <w:szCs w:val="24"/>
        </w:rPr>
      </w:pPr>
      <w:r>
        <w:rPr>
          <w:rFonts w:hint="eastAsia" w:ascii="仿宋" w:hAnsi="仿宋" w:eastAsia="仿宋"/>
          <w:sz w:val="24"/>
          <w:szCs w:val="24"/>
        </w:rPr>
        <w:t>2.更新单元详细规划及城市设计工作范围：研究范围321.55公顷，核心范围77.27公顷。</w:t>
      </w:r>
    </w:p>
    <w:p>
      <w:pPr>
        <w:spacing w:line="360" w:lineRule="auto"/>
        <w:ind w:firstLine="482" w:firstLineChars="200"/>
        <w:jc w:val="both"/>
        <w:outlineLvl w:val="0"/>
        <w:rPr>
          <w:rFonts w:ascii="仿宋" w:hAnsi="仿宋" w:eastAsia="仿宋"/>
          <w:b/>
          <w:sz w:val="24"/>
          <w:szCs w:val="24"/>
        </w:rPr>
      </w:pPr>
      <w:r>
        <w:rPr>
          <w:rFonts w:hint="eastAsia" w:ascii="仿宋" w:hAnsi="仿宋" w:eastAsia="仿宋"/>
          <w:b/>
          <w:sz w:val="24"/>
          <w:szCs w:val="24"/>
        </w:rPr>
        <w:t>三、甲方应提供资料</w:t>
      </w:r>
      <w:bookmarkEnd w:id="18"/>
      <w:bookmarkEnd w:id="19"/>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甲方应向乙方提供本项目开展所需的全部资料，如不能提供的，应协助乙方收集已有的相关资料和数据。甲方应为乙方完成现场工作提供必要的条件与协助。</w:t>
      </w:r>
    </w:p>
    <w:p>
      <w:pPr>
        <w:spacing w:line="360" w:lineRule="auto"/>
        <w:ind w:firstLine="482" w:firstLineChars="200"/>
        <w:jc w:val="both"/>
        <w:outlineLvl w:val="0"/>
        <w:rPr>
          <w:rFonts w:ascii="仿宋" w:hAnsi="仿宋" w:eastAsia="仿宋"/>
          <w:b/>
          <w:bCs/>
          <w:sz w:val="24"/>
          <w:szCs w:val="24"/>
        </w:rPr>
      </w:pPr>
      <w:bookmarkStart w:id="20" w:name="_Toc78993267"/>
      <w:bookmarkStart w:id="21" w:name="_Toc3482842"/>
      <w:r>
        <w:rPr>
          <w:rFonts w:hint="eastAsia" w:ascii="仿宋" w:hAnsi="仿宋" w:eastAsia="仿宋"/>
          <w:b/>
          <w:bCs/>
          <w:sz w:val="24"/>
          <w:szCs w:val="24"/>
        </w:rPr>
        <w:t>四、服务内容</w:t>
      </w:r>
      <w:bookmarkEnd w:id="20"/>
      <w:bookmarkEnd w:id="21"/>
    </w:p>
    <w:p>
      <w:pPr>
        <w:autoSpaceDE w:val="0"/>
        <w:autoSpaceDN w:val="0"/>
        <w:adjustRightInd w:val="0"/>
        <w:spacing w:line="360" w:lineRule="auto"/>
        <w:ind w:firstLine="480" w:firstLineChars="200"/>
        <w:jc w:val="both"/>
        <w:outlineLvl w:val="0"/>
        <w:rPr>
          <w:rFonts w:hint="eastAsia" w:ascii="仿宋" w:hAnsi="仿宋" w:eastAsia="仿宋"/>
          <w:sz w:val="24"/>
          <w:szCs w:val="24"/>
        </w:rPr>
      </w:pPr>
      <w:bookmarkStart w:id="22" w:name="_Toc3482843"/>
      <w:bookmarkStart w:id="23" w:name="_Toc78993268"/>
      <w:r>
        <w:rPr>
          <w:rFonts w:hint="eastAsia" w:ascii="仿宋" w:hAnsi="仿宋" w:eastAsia="仿宋"/>
          <w:sz w:val="24"/>
          <w:szCs w:val="24"/>
        </w:rPr>
        <w:t>根据相关法律法规规定、行政主管部门的具体技术要求等，编制工作内容包括更新单元详细规划、城市设计、标图入库相关分析等工作。在项目进程中，乙方应根据甲方需要参加的汇报、评审等相关要求，提交符合合同约定的相关汇报、评审文件，并提供书面建议和技术支撑。具体如下：</w:t>
      </w:r>
      <w:bookmarkStart w:id="24" w:name="_Hlk136872142"/>
    </w:p>
    <w:p>
      <w:pPr>
        <w:autoSpaceDE w:val="0"/>
        <w:autoSpaceDN w:val="0"/>
        <w:adjustRightInd w:val="0"/>
        <w:spacing w:line="360" w:lineRule="auto"/>
        <w:ind w:firstLine="480" w:firstLineChars="200"/>
        <w:jc w:val="both"/>
        <w:outlineLvl w:val="0"/>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一</w:t>
      </w:r>
      <w:r>
        <w:rPr>
          <w:rFonts w:hint="eastAsia" w:ascii="仿宋" w:hAnsi="仿宋" w:eastAsia="仿宋"/>
          <w:sz w:val="24"/>
          <w:szCs w:val="24"/>
          <w:lang w:eastAsia="zh-CN"/>
        </w:rPr>
        <w:t>）</w:t>
      </w:r>
      <w:r>
        <w:rPr>
          <w:rFonts w:hint="eastAsia" w:ascii="仿宋" w:hAnsi="仿宋" w:eastAsia="仿宋"/>
          <w:sz w:val="24"/>
          <w:szCs w:val="24"/>
        </w:rPr>
        <w:t>标图入库相关分析</w:t>
      </w:r>
      <w:bookmarkEnd w:id="24"/>
      <w:r>
        <w:rPr>
          <w:rFonts w:hint="eastAsia" w:ascii="仿宋" w:hAnsi="仿宋" w:eastAsia="仿宋"/>
          <w:sz w:val="24"/>
          <w:szCs w:val="24"/>
        </w:rPr>
        <w:t>：依据服务期间的广东省、广州市现行“三旧”政策和相关基础数据，对改造范围内地块进行“三旧”范围技术分析，并协助甲方组织材料申报标图入库；对片区策划方案及实施方案中标图入库符合性技术复核，并出具符合性复核报告。</w:t>
      </w:r>
    </w:p>
    <w:p>
      <w:pPr>
        <w:autoSpaceDE w:val="0"/>
        <w:autoSpaceDN w:val="0"/>
        <w:adjustRightInd w:val="0"/>
        <w:spacing w:line="360" w:lineRule="auto"/>
        <w:ind w:firstLine="480" w:firstLineChars="200"/>
        <w:jc w:val="both"/>
        <w:outlineLvl w:val="0"/>
        <w:rPr>
          <w:rFonts w:hint="eastAsia" w:ascii="仿宋" w:hAnsi="仿宋" w:eastAsia="仿宋"/>
          <w:sz w:val="24"/>
          <w:szCs w:val="24"/>
        </w:rPr>
      </w:pPr>
      <w:r>
        <w:rPr>
          <w:rFonts w:hint="eastAsia" w:ascii="仿宋" w:hAnsi="仿宋" w:eastAsia="仿宋"/>
          <w:sz w:val="24"/>
          <w:szCs w:val="24"/>
        </w:rPr>
        <w:t>（二）更新单元详细规划：照《广州市城市更新单元详细规划编制指引》的要求编制城市更新单元详细规划，成果内容包括但不限于：城市更新单元概况、城市更新单元划定、城市更新单元详细规划必要性论证、规划依据、现状基本情况、经城市更新单元承载力说明、经济分析、土地整备（整合专项成果）、城市设计（整合专项成果）、城市更新单元详细规划方案、分期实施方案、专项评估（整合专项成果）、公示及征求意见落实情况、提请会议审议并表决的内容等，具体以通过相关政府部门审批要求为准。</w:t>
      </w:r>
    </w:p>
    <w:p>
      <w:pPr>
        <w:autoSpaceDE w:val="0"/>
        <w:autoSpaceDN w:val="0"/>
        <w:adjustRightInd w:val="0"/>
        <w:spacing w:line="360" w:lineRule="auto"/>
        <w:ind w:firstLine="480" w:firstLineChars="200"/>
        <w:jc w:val="both"/>
        <w:outlineLvl w:val="0"/>
        <w:rPr>
          <w:rFonts w:hint="eastAsia" w:ascii="仿宋" w:hAnsi="仿宋" w:eastAsia="仿宋"/>
          <w:sz w:val="24"/>
          <w:szCs w:val="24"/>
          <w:lang w:eastAsia="zh-CN"/>
        </w:rPr>
      </w:pPr>
      <w:bookmarkStart w:id="25" w:name="_Hlk136871241"/>
      <w:r>
        <w:rPr>
          <w:rFonts w:hint="eastAsia" w:ascii="仿宋" w:hAnsi="仿宋" w:eastAsia="仿宋"/>
          <w:sz w:val="24"/>
          <w:szCs w:val="24"/>
        </w:rPr>
        <w:t>（三）城市设计：结合更新单元相关分析结论，研判片区发展空间格局，提出城市设计理念与策略。尊重场地环境特征及地区文化特色，匹</w:t>
      </w:r>
      <w:bookmarkEnd w:id="25"/>
      <w:r>
        <w:rPr>
          <w:rFonts w:hint="eastAsia" w:ascii="仿宋" w:hAnsi="仿宋" w:eastAsia="仿宋"/>
          <w:sz w:val="24"/>
          <w:szCs w:val="24"/>
        </w:rPr>
        <w:t>配单元规划提出的用地布局和开发强度，以改造范围为重点，整体构思片区空间形态和开敞空间体系，完成城市设计平面和整体效果规划设计，提出重要界面、公共空间、文化设施、建筑高度、天际线等方面的控制指引要求</w:t>
      </w:r>
      <w:r>
        <w:rPr>
          <w:rFonts w:hint="eastAsia" w:ascii="仿宋" w:hAnsi="仿宋" w:eastAsia="仿宋"/>
          <w:color w:val="000000" w:themeColor="text1"/>
          <w:sz w:val="24"/>
          <w:szCs w:val="24"/>
          <w:lang w:eastAsia="zh-CN"/>
          <w14:textFill>
            <w14:solidFill>
              <w14:schemeClr w14:val="tx1"/>
            </w14:solidFill>
          </w14:textFill>
        </w:rPr>
        <w:t>。</w:t>
      </w:r>
    </w:p>
    <w:p>
      <w:pPr>
        <w:autoSpaceDE w:val="0"/>
        <w:autoSpaceDN w:val="0"/>
        <w:adjustRightInd w:val="0"/>
        <w:spacing w:line="360" w:lineRule="auto"/>
        <w:ind w:firstLine="482" w:firstLineChars="200"/>
        <w:jc w:val="both"/>
        <w:outlineLvl w:val="0"/>
        <w:rPr>
          <w:rFonts w:ascii="仿宋" w:hAnsi="仿宋" w:eastAsia="仿宋" w:cs="宋体"/>
          <w:b/>
          <w:bCs/>
          <w:sz w:val="24"/>
          <w:szCs w:val="24"/>
        </w:rPr>
      </w:pPr>
      <w:r>
        <w:rPr>
          <w:rFonts w:hint="eastAsia" w:ascii="仿宋" w:hAnsi="仿宋" w:eastAsia="仿宋" w:cs="宋体"/>
          <w:b/>
          <w:bCs/>
          <w:sz w:val="24"/>
          <w:szCs w:val="24"/>
        </w:rPr>
        <w:t>五、服务工作</w:t>
      </w:r>
      <w:bookmarkEnd w:id="22"/>
      <w:r>
        <w:rPr>
          <w:rFonts w:hint="eastAsia" w:ascii="仿宋" w:hAnsi="仿宋" w:eastAsia="仿宋" w:cs="宋体"/>
          <w:b/>
          <w:bCs/>
          <w:sz w:val="24"/>
          <w:szCs w:val="24"/>
        </w:rPr>
        <w:t>进度</w:t>
      </w:r>
      <w:bookmarkEnd w:id="23"/>
    </w:p>
    <w:p>
      <w:pPr>
        <w:adjustRightInd w:val="0"/>
        <w:snapToGrid w:val="0"/>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时间及工作进度要求：项目总体工期计划按12个月（自然日，下同）控制，具体见下表。</w:t>
      </w:r>
      <w:r>
        <w:rPr>
          <w:rFonts w:hint="eastAsia" w:ascii="仿宋" w:hAnsi="仿宋" w:eastAsia="仿宋"/>
          <w:color w:val="000000" w:themeColor="text1"/>
          <w:sz w:val="24"/>
          <w:szCs w:val="24"/>
          <w14:textFill>
            <w14:solidFill>
              <w14:schemeClr w14:val="tx1"/>
            </w14:solidFill>
          </w14:textFill>
        </w:rPr>
        <w:t>本时间计划为技术工作所需时间，不含相关审批部门及甲方审查、审议、公示等程序的等待时间。</w:t>
      </w:r>
    </w:p>
    <w:p>
      <w:pPr>
        <w:spacing w:line="360" w:lineRule="auto"/>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工作计划安排一览表</w:t>
      </w:r>
    </w:p>
    <w:tbl>
      <w:tblPr>
        <w:tblStyle w:val="14"/>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599"/>
        <w:gridCol w:w="19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7" w:hRule="atLeast"/>
          <w:tblHeader/>
          <w:jc w:val="center"/>
        </w:trPr>
        <w:tc>
          <w:tcPr>
            <w:tcW w:w="3871" w:type="pct"/>
            <w:tcBorders>
              <w:top w:val="single" w:color="000000" w:sz="12" w:space="0"/>
              <w:bottom w:val="single" w:color="000000" w:sz="6" w:space="0"/>
            </w:tcBorders>
            <w:shd w:val="clear" w:color="auto" w:fill="A6A6A6"/>
            <w:vAlign w:val="center"/>
          </w:tcPr>
          <w:p>
            <w:pPr>
              <w:spacing w:line="360" w:lineRule="auto"/>
              <w:jc w:val="center"/>
              <w:rPr>
                <w:rFonts w:ascii="仿宋" w:hAnsi="仿宋" w:eastAsia="仿宋"/>
                <w:b/>
                <w:color w:val="000000" w:themeColor="text1"/>
                <w:sz w:val="22"/>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工作阶段</w:t>
            </w:r>
          </w:p>
        </w:tc>
        <w:tc>
          <w:tcPr>
            <w:tcW w:w="1128" w:type="pct"/>
            <w:tcBorders>
              <w:top w:val="single" w:color="000000" w:sz="12" w:space="0"/>
              <w:bottom w:val="single" w:color="000000" w:sz="6" w:space="0"/>
            </w:tcBorders>
            <w:shd w:val="clear" w:color="auto" w:fill="A6A6A6"/>
            <w:vAlign w:val="center"/>
          </w:tcPr>
          <w:p>
            <w:pPr>
              <w:spacing w:line="360" w:lineRule="auto"/>
              <w:jc w:val="center"/>
              <w:rPr>
                <w:rFonts w:ascii="仿宋" w:hAnsi="仿宋" w:eastAsia="仿宋"/>
                <w:b/>
                <w:color w:val="000000" w:themeColor="text1"/>
                <w:sz w:val="22"/>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工作时间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 w:hRule="atLeast"/>
          <w:jc w:val="center"/>
        </w:trPr>
        <w:tc>
          <w:tcPr>
            <w:tcW w:w="3871" w:type="pct"/>
            <w:vAlign w:val="center"/>
          </w:tcPr>
          <w:p>
            <w:pPr>
              <w:spacing w:line="360" w:lineRule="auto"/>
              <w:rPr>
                <w:rFonts w:ascii="仿宋" w:hAnsi="仿宋" w:eastAsia="仿宋"/>
                <w:color w:val="000000" w:themeColor="text1"/>
                <w:sz w:val="22"/>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第一阶段：</w:t>
            </w:r>
            <w:r>
              <w:rPr>
                <w:rFonts w:hint="eastAsia" w:ascii="仿宋" w:hAnsi="仿宋" w:eastAsia="仿宋"/>
                <w:color w:val="000000" w:themeColor="text1"/>
                <w:sz w:val="22"/>
                <w:szCs w:val="22"/>
                <w14:textFill>
                  <w14:solidFill>
                    <w14:schemeClr w14:val="tx1"/>
                  </w14:solidFill>
                </w14:textFill>
              </w:rPr>
              <w:t>标图入库相关分析。</w:t>
            </w:r>
          </w:p>
        </w:tc>
        <w:tc>
          <w:tcPr>
            <w:tcW w:w="1128" w:type="pct"/>
            <w:vAlign w:val="center"/>
          </w:tcPr>
          <w:p>
            <w:pPr>
              <w:spacing w:line="360" w:lineRule="auto"/>
              <w:jc w:val="center"/>
              <w:rPr>
                <w:rFonts w:ascii="仿宋" w:hAnsi="仿宋" w:eastAsia="仿宋"/>
                <w:color w:val="000000" w:themeColor="text1"/>
                <w:sz w:val="22"/>
                <w14:textFill>
                  <w14:solidFill>
                    <w14:schemeClr w14:val="tx1"/>
                  </w14:solidFill>
                </w14:textFill>
              </w:rPr>
            </w:pPr>
            <w:r>
              <w:rPr>
                <w:rFonts w:hint="eastAsia" w:ascii="仿宋" w:hAnsi="仿宋" w:eastAsia="仿宋"/>
                <w:color w:val="000000" w:themeColor="text1"/>
                <w:sz w:val="22"/>
                <w14:textFill>
                  <w14:solidFill>
                    <w14:schemeClr w14:val="tx1"/>
                  </w14:solidFill>
                </w14:textFill>
              </w:rPr>
              <w:t>合计</w:t>
            </w:r>
            <w:r>
              <w:rPr>
                <w:rFonts w:ascii="仿宋" w:hAnsi="仿宋" w:eastAsia="仿宋"/>
                <w:color w:val="000000" w:themeColor="text1"/>
                <w:sz w:val="22"/>
                <w14:textFill>
                  <w14:solidFill>
                    <w14:schemeClr w14:val="tx1"/>
                  </w14:solidFill>
                </w14:textFill>
              </w:rPr>
              <w:t>2个月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 w:hRule="atLeast"/>
          <w:jc w:val="center"/>
        </w:trPr>
        <w:tc>
          <w:tcPr>
            <w:tcW w:w="3871" w:type="pct"/>
            <w:vAlign w:val="center"/>
          </w:tcPr>
          <w:p>
            <w:pPr>
              <w:spacing w:line="360" w:lineRule="auto"/>
              <w:rPr>
                <w:rFonts w:ascii="仿宋" w:hAnsi="仿宋" w:eastAsia="仿宋"/>
                <w:b/>
                <w:color w:val="000000" w:themeColor="text1"/>
                <w:sz w:val="22"/>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第二阶段：</w:t>
            </w:r>
            <w:r>
              <w:rPr>
                <w:rFonts w:hint="eastAsia" w:ascii="仿宋" w:hAnsi="仿宋" w:eastAsia="仿宋"/>
                <w:color w:val="000000" w:themeColor="text1"/>
                <w:sz w:val="22"/>
                <w:szCs w:val="22"/>
                <w14:textFill>
                  <w14:solidFill>
                    <w14:schemeClr w14:val="tx1"/>
                  </w14:solidFill>
                </w14:textFill>
              </w:rPr>
              <w:t>现场调研、底数申请、部门沟通，完成详细规划及城市设计初步成果。</w:t>
            </w:r>
          </w:p>
        </w:tc>
        <w:tc>
          <w:tcPr>
            <w:tcW w:w="1128" w:type="pct"/>
            <w:vAlign w:val="center"/>
          </w:tcPr>
          <w:p>
            <w:pPr>
              <w:spacing w:line="360" w:lineRule="auto"/>
              <w:jc w:val="center"/>
              <w:rPr>
                <w:rFonts w:ascii="仿宋" w:hAnsi="仿宋" w:eastAsia="仿宋"/>
                <w:color w:val="000000" w:themeColor="text1"/>
                <w:sz w:val="22"/>
                <w14:textFill>
                  <w14:solidFill>
                    <w14:schemeClr w14:val="tx1"/>
                  </w14:solidFill>
                </w14:textFill>
              </w:rPr>
            </w:pPr>
            <w:r>
              <w:rPr>
                <w:rFonts w:hint="eastAsia" w:ascii="仿宋" w:hAnsi="仿宋" w:eastAsia="仿宋"/>
                <w:color w:val="000000" w:themeColor="text1"/>
                <w:sz w:val="22"/>
                <w14:textFill>
                  <w14:solidFill>
                    <w14:schemeClr w14:val="tx1"/>
                  </w14:solidFill>
                </w14:textFill>
              </w:rPr>
              <w:t>合计</w:t>
            </w:r>
            <w:r>
              <w:rPr>
                <w:rFonts w:ascii="仿宋" w:hAnsi="仿宋" w:eastAsia="仿宋"/>
                <w:color w:val="000000" w:themeColor="text1"/>
                <w:sz w:val="22"/>
                <w14:textFill>
                  <w14:solidFill>
                    <w14:schemeClr w14:val="tx1"/>
                  </w14:solidFill>
                </w14:textFill>
              </w:rPr>
              <w:t>2个月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 w:hRule="atLeast"/>
          <w:jc w:val="center"/>
        </w:trPr>
        <w:tc>
          <w:tcPr>
            <w:tcW w:w="3871" w:type="pct"/>
            <w:vAlign w:val="center"/>
          </w:tcPr>
          <w:p>
            <w:pPr>
              <w:spacing w:line="360" w:lineRule="auto"/>
              <w:rPr>
                <w:rFonts w:ascii="仿宋" w:hAnsi="仿宋" w:eastAsia="仿宋"/>
                <w:color w:val="000000" w:themeColor="text1"/>
                <w:sz w:val="22"/>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第三阶段：</w:t>
            </w:r>
            <w:r>
              <w:rPr>
                <w:rFonts w:hint="eastAsia" w:ascii="仿宋" w:hAnsi="仿宋" w:eastAsia="仿宋"/>
                <w:color w:val="000000" w:themeColor="text1"/>
                <w:sz w:val="22"/>
                <w:szCs w:val="22"/>
                <w14:textFill>
                  <w14:solidFill>
                    <w14:schemeClr w14:val="tx1"/>
                  </w14:solidFill>
                </w14:textFill>
              </w:rPr>
              <w:t>根据初步成果修改意见，深化完善方案，完成详细规划及城市设计中期成果(提交区行政主管部门审查)</w:t>
            </w:r>
            <w:r>
              <w:rPr>
                <w:rFonts w:hint="eastAsia" w:ascii="仿宋" w:hAnsi="仿宋" w:eastAsia="仿宋"/>
                <w:bCs/>
                <w:color w:val="000000" w:themeColor="text1"/>
                <w:sz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 xml:space="preserve"> </w:t>
            </w:r>
          </w:p>
        </w:tc>
        <w:tc>
          <w:tcPr>
            <w:tcW w:w="1128" w:type="pct"/>
            <w:vAlign w:val="center"/>
          </w:tcPr>
          <w:p>
            <w:pPr>
              <w:spacing w:line="360" w:lineRule="auto"/>
              <w:jc w:val="center"/>
              <w:rPr>
                <w:color w:val="000000" w:themeColor="text1"/>
                <w:sz w:val="22"/>
                <w14:textFill>
                  <w14:solidFill>
                    <w14:schemeClr w14:val="tx1"/>
                  </w14:solidFill>
                </w14:textFill>
              </w:rPr>
            </w:pPr>
            <w:r>
              <w:rPr>
                <w:rFonts w:hint="eastAsia" w:ascii="仿宋" w:hAnsi="仿宋" w:eastAsia="仿宋"/>
                <w:color w:val="000000" w:themeColor="text1"/>
                <w:sz w:val="22"/>
                <w14:textFill>
                  <w14:solidFill>
                    <w14:schemeClr w14:val="tx1"/>
                  </w14:solidFill>
                </w14:textFill>
              </w:rPr>
              <w:t>合计</w:t>
            </w:r>
            <w:r>
              <w:rPr>
                <w:rFonts w:eastAsia="仿宋"/>
                <w:color w:val="000000" w:themeColor="text1"/>
                <w:sz w:val="22"/>
                <w14:textFill>
                  <w14:solidFill>
                    <w14:schemeClr w14:val="tx1"/>
                  </w14:solidFill>
                </w14:textFill>
              </w:rPr>
              <w:t>3</w:t>
            </w:r>
            <w:r>
              <w:rPr>
                <w:rFonts w:ascii="仿宋" w:hAnsi="仿宋" w:eastAsia="仿宋"/>
                <w:color w:val="000000" w:themeColor="text1"/>
                <w:sz w:val="22"/>
                <w14:textFill>
                  <w14:solidFill>
                    <w14:schemeClr w14:val="tx1"/>
                  </w14:solidFill>
                </w14:textFill>
              </w:rPr>
              <w:t>个月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871" w:type="pct"/>
            <w:vAlign w:val="center"/>
          </w:tcPr>
          <w:p>
            <w:pPr>
              <w:spacing w:line="360" w:lineRule="auto"/>
              <w:rPr>
                <w:rFonts w:ascii="仿宋" w:hAnsi="仿宋" w:eastAsia="仿宋"/>
                <w:b/>
                <w:color w:val="000000" w:themeColor="text1"/>
                <w:sz w:val="22"/>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第四阶段：</w:t>
            </w:r>
            <w:r>
              <w:rPr>
                <w:rFonts w:hint="eastAsia" w:ascii="仿宋" w:hAnsi="仿宋" w:eastAsia="仿宋"/>
                <w:color w:val="000000" w:themeColor="text1"/>
                <w:sz w:val="22"/>
                <w14:textFill>
                  <w14:solidFill>
                    <w14:schemeClr w14:val="tx1"/>
                  </w14:solidFill>
                </w14:textFill>
              </w:rPr>
              <w:t>根据中期成果修改意见，深化完善方案，完成详细规划及城市设计终期成果(提交市行政主管部门审查)。</w:t>
            </w:r>
          </w:p>
        </w:tc>
        <w:tc>
          <w:tcPr>
            <w:tcW w:w="1128" w:type="pct"/>
            <w:vAlign w:val="center"/>
          </w:tcPr>
          <w:p>
            <w:pPr>
              <w:spacing w:line="360" w:lineRule="auto"/>
              <w:jc w:val="center"/>
              <w:rPr>
                <w:rFonts w:ascii="仿宋" w:hAnsi="仿宋" w:eastAsia="仿宋"/>
                <w:color w:val="000000" w:themeColor="text1"/>
                <w:sz w:val="22"/>
                <w14:textFill>
                  <w14:solidFill>
                    <w14:schemeClr w14:val="tx1"/>
                  </w14:solidFill>
                </w14:textFill>
              </w:rPr>
            </w:pPr>
            <w:r>
              <w:rPr>
                <w:rFonts w:hint="eastAsia" w:ascii="仿宋" w:hAnsi="仿宋" w:eastAsia="仿宋"/>
                <w:color w:val="000000" w:themeColor="text1"/>
                <w:sz w:val="22"/>
                <w14:textFill>
                  <w14:solidFill>
                    <w14:schemeClr w14:val="tx1"/>
                  </w14:solidFill>
                </w14:textFill>
              </w:rPr>
              <w:t>合计</w:t>
            </w:r>
            <w:r>
              <w:rPr>
                <w:rFonts w:eastAsia="仿宋"/>
                <w:color w:val="000000" w:themeColor="text1"/>
                <w:sz w:val="22"/>
                <w14:textFill>
                  <w14:solidFill>
                    <w14:schemeClr w14:val="tx1"/>
                  </w14:solidFill>
                </w14:textFill>
              </w:rPr>
              <w:t>3</w:t>
            </w:r>
            <w:r>
              <w:rPr>
                <w:rFonts w:ascii="仿宋" w:hAnsi="仿宋" w:eastAsia="仿宋"/>
                <w:color w:val="000000" w:themeColor="text1"/>
                <w:sz w:val="22"/>
                <w14:textFill>
                  <w14:solidFill>
                    <w14:schemeClr w14:val="tx1"/>
                  </w14:solidFill>
                </w14:textFill>
              </w:rPr>
              <w:t>个月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871" w:type="pct"/>
            <w:vAlign w:val="center"/>
          </w:tcPr>
          <w:p>
            <w:pPr>
              <w:spacing w:line="360" w:lineRule="auto"/>
              <w:rPr>
                <w:rFonts w:ascii="仿宋" w:hAnsi="仿宋" w:eastAsia="仿宋"/>
                <w:color w:val="000000" w:themeColor="text1"/>
                <w:sz w:val="22"/>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第五阶段：</w:t>
            </w:r>
            <w:r>
              <w:rPr>
                <w:rFonts w:hint="eastAsia" w:ascii="仿宋" w:hAnsi="仿宋" w:eastAsia="仿宋"/>
                <w:color w:val="000000" w:themeColor="text1"/>
                <w:sz w:val="22"/>
                <w14:textFill>
                  <w14:solidFill>
                    <w14:schemeClr w14:val="tx1"/>
                  </w14:solidFill>
                </w14:textFill>
              </w:rPr>
              <w:t>跟踪服务，并获取市政府部门最终批复。</w:t>
            </w:r>
          </w:p>
        </w:tc>
        <w:tc>
          <w:tcPr>
            <w:tcW w:w="1128" w:type="pct"/>
            <w:vAlign w:val="center"/>
          </w:tcPr>
          <w:p>
            <w:pPr>
              <w:spacing w:line="360" w:lineRule="auto"/>
              <w:jc w:val="center"/>
              <w:rPr>
                <w:rFonts w:ascii="仿宋" w:hAnsi="仿宋" w:eastAsia="仿宋"/>
                <w:color w:val="000000" w:themeColor="text1"/>
                <w:sz w:val="22"/>
                <w14:textFill>
                  <w14:solidFill>
                    <w14:schemeClr w14:val="tx1"/>
                  </w14:solidFill>
                </w14:textFill>
              </w:rPr>
            </w:pPr>
            <w:r>
              <w:rPr>
                <w:rFonts w:hint="eastAsia" w:ascii="仿宋" w:hAnsi="仿宋" w:eastAsia="仿宋"/>
                <w:color w:val="000000" w:themeColor="text1"/>
                <w:sz w:val="22"/>
                <w14:textFill>
                  <w14:solidFill>
                    <w14:schemeClr w14:val="tx1"/>
                  </w14:solidFill>
                </w14:textFill>
              </w:rPr>
              <w:t>合计</w:t>
            </w:r>
            <w:r>
              <w:rPr>
                <w:rFonts w:ascii="仿宋" w:hAnsi="仿宋" w:eastAsia="仿宋"/>
                <w:color w:val="000000" w:themeColor="text1"/>
                <w:sz w:val="22"/>
                <w14:textFill>
                  <w14:solidFill>
                    <w14:schemeClr w14:val="tx1"/>
                  </w14:solidFill>
                </w14:textFill>
              </w:rPr>
              <w:t>2个月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7" w:hRule="atLeast"/>
          <w:jc w:val="center"/>
        </w:trPr>
        <w:tc>
          <w:tcPr>
            <w:tcW w:w="3871" w:type="pct"/>
            <w:shd w:val="clear" w:color="auto" w:fill="A6A6A6"/>
            <w:vAlign w:val="center"/>
          </w:tcPr>
          <w:p>
            <w:pPr>
              <w:spacing w:line="360" w:lineRule="auto"/>
              <w:jc w:val="center"/>
              <w:rPr>
                <w:rFonts w:ascii="仿宋" w:hAnsi="仿宋" w:eastAsia="仿宋"/>
                <w:b/>
                <w:color w:val="000000" w:themeColor="text1"/>
                <w:sz w:val="22"/>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共计</w:t>
            </w:r>
          </w:p>
        </w:tc>
        <w:tc>
          <w:tcPr>
            <w:tcW w:w="1128" w:type="pct"/>
            <w:shd w:val="clear" w:color="auto" w:fill="A6A6A6"/>
            <w:vAlign w:val="center"/>
          </w:tcPr>
          <w:p>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12个月</w:t>
            </w:r>
          </w:p>
        </w:tc>
      </w:tr>
    </w:tbl>
    <w:p>
      <w:pPr>
        <w:numPr>
          <w:ilvl w:val="-1"/>
          <w:numId w:val="0"/>
        </w:numPr>
        <w:spacing w:line="360" w:lineRule="auto"/>
        <w:ind w:firstLine="0" w:firstLineChars="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注：具体细化节点以工作任务书为准。</w:t>
      </w:r>
    </w:p>
    <w:p>
      <w:pPr>
        <w:numPr>
          <w:ilvl w:val="0"/>
          <w:numId w:val="1"/>
        </w:num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成果要求：乙方提交工作成果形式、数量、格式，均应符合相关法律法规、技术要求、编制规范、标准以及广州市城市更新、规划、国土等行政主管部门的规定，包括但不限于纸质的文字、图文文件及电子数据文件等形式。打印装订文件须满足上报审批和档案归档的要求。提交成果包括纸质版和电子版的文本及相关图件，纸质版采用A3或A4图幅，电子版采用PDF格式。</w:t>
      </w:r>
      <w:r>
        <w:rPr>
          <w:rFonts w:hint="eastAsia" w:ascii="仿宋" w:hAnsi="仿宋" w:eastAsia="仿宋"/>
          <w:color w:val="000000" w:themeColor="text1"/>
          <w:sz w:val="24"/>
          <w:szCs w:val="24"/>
          <w14:textFill>
            <w14:solidFill>
              <w14:schemeClr w14:val="tx1"/>
            </w14:solidFill>
          </w14:textFill>
        </w:rPr>
        <w:t>规划</w:t>
      </w:r>
      <w:r>
        <w:rPr>
          <w:rFonts w:ascii="仿宋" w:hAnsi="仿宋" w:eastAsia="仿宋"/>
          <w:color w:val="000000" w:themeColor="text1"/>
          <w:sz w:val="24"/>
          <w:szCs w:val="24"/>
          <w14:textFill>
            <w14:solidFill>
              <w14:schemeClr w14:val="tx1"/>
            </w14:solidFill>
          </w14:textFill>
        </w:rPr>
        <w:t>成果</w:t>
      </w:r>
      <w:r>
        <w:rPr>
          <w:rFonts w:hint="eastAsia" w:ascii="仿宋" w:hAnsi="仿宋" w:eastAsia="仿宋"/>
          <w:color w:val="000000" w:themeColor="text1"/>
          <w:sz w:val="24"/>
          <w:szCs w:val="24"/>
          <w14:textFill>
            <w14:solidFill>
              <w14:schemeClr w14:val="tx1"/>
            </w14:solidFill>
          </w14:textFill>
        </w:rPr>
        <w:t>应当满足相关政策</w:t>
      </w:r>
      <w:r>
        <w:rPr>
          <w:rFonts w:ascii="仿宋" w:hAnsi="仿宋" w:eastAsia="仿宋"/>
          <w:color w:val="000000" w:themeColor="text1"/>
          <w:sz w:val="24"/>
          <w:szCs w:val="24"/>
          <w14:textFill>
            <w14:solidFill>
              <w14:schemeClr w14:val="tx1"/>
            </w14:solidFill>
          </w14:textFill>
        </w:rPr>
        <w:t>及相应主管部门审查审批要求。</w:t>
      </w:r>
    </w:p>
    <w:p>
      <w:pPr>
        <w:pStyle w:val="2"/>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关于标图入库相关分析的工作成果要求</w:t>
      </w:r>
    </w:p>
    <w:tbl>
      <w:tblPr>
        <w:tblStyle w:val="14"/>
        <w:tblW w:w="0" w:type="auto"/>
        <w:tblInd w:w="93" w:type="dxa"/>
        <w:tblLayout w:type="autofit"/>
        <w:tblCellMar>
          <w:top w:w="0" w:type="dxa"/>
          <w:left w:w="108" w:type="dxa"/>
          <w:bottom w:w="0" w:type="dxa"/>
          <w:right w:w="108" w:type="dxa"/>
        </w:tblCellMar>
      </w:tblPr>
      <w:tblGrid>
        <w:gridCol w:w="2224"/>
        <w:gridCol w:w="750"/>
        <w:gridCol w:w="4188"/>
        <w:gridCol w:w="1267"/>
      </w:tblGrid>
      <w:tr>
        <w:tblPrEx>
          <w:tblCellMar>
            <w:top w:w="0" w:type="dxa"/>
            <w:left w:w="108" w:type="dxa"/>
            <w:bottom w:w="0" w:type="dxa"/>
            <w:right w:w="108" w:type="dxa"/>
          </w:tblCellMar>
        </w:tblPrEx>
        <w:trPr>
          <w:trHeight w:val="497"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服务项</w:t>
            </w:r>
          </w:p>
        </w:tc>
        <w:tc>
          <w:tcPr>
            <w:tcW w:w="4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电子成果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805" w:hRule="atLeast"/>
        </w:trPr>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地块“三旧”范围分析技术服务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初步成果</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地块符合纳入“三旧”范围示意图(jpg格式)</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提供纸质成果(加盖乙方公章)及电子成果</w:t>
            </w:r>
          </w:p>
        </w:tc>
      </w:tr>
      <w:tr>
        <w:tblPrEx>
          <w:tblCellMar>
            <w:top w:w="0" w:type="dxa"/>
            <w:left w:w="108" w:type="dxa"/>
            <w:bottom w:w="0" w:type="dxa"/>
            <w:right w:w="108" w:type="dxa"/>
          </w:tblCellMar>
        </w:tblPrEx>
        <w:trPr>
          <w:trHeight w:val="470" w:hRule="atLeast"/>
        </w:trPr>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olor w:val="000000" w:themeColor="text1"/>
                <w:sz w:val="24"/>
                <w:szCs w:val="24"/>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最终成果</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（1）地块符合纳入“三旧”范围矢量界线（shp格式，2000国家坐标系，政务版）；</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（2）图斑面积统计表（xls格式）、入库申请表（doc格式）；</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（3）地块标示图（jpg格式）</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（4）申报标图入库相关材料</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1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片区策划方案标图入库符合性复核</w:t>
            </w:r>
          </w:p>
        </w:tc>
        <w:tc>
          <w:tcPr>
            <w:tcW w:w="4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（1）符合性复核报告（格式：PDF）。</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855"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实施方案标图入库符合性复核</w:t>
            </w:r>
          </w:p>
        </w:tc>
        <w:tc>
          <w:tcPr>
            <w:tcW w:w="4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（1）符合性复核报告（格式：PDF）。</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olor w:val="0000FF"/>
                <w:sz w:val="24"/>
                <w:szCs w:val="24"/>
              </w:rPr>
            </w:pPr>
          </w:p>
        </w:tc>
      </w:tr>
    </w:tbl>
    <w:p>
      <w:pPr>
        <w:pStyle w:val="19"/>
        <w:ind w:left="0" w:leftChars="0"/>
        <w:rPr>
          <w:rFonts w:ascii="仿宋" w:hAnsi="仿宋" w:eastAsia="仿宋"/>
          <w:color w:val="0000FF"/>
          <w:sz w:val="24"/>
          <w:szCs w:val="24"/>
        </w:rPr>
      </w:pPr>
    </w:p>
    <w:p>
      <w:pPr>
        <w:spacing w:line="360" w:lineRule="auto"/>
        <w:ind w:firstLine="480" w:firstLineChars="200"/>
        <w:jc w:val="both"/>
        <w:rPr>
          <w:rFonts w:ascii="仿宋" w:hAnsi="仿宋" w:eastAsia="仿宋"/>
          <w:sz w:val="24"/>
          <w:szCs w:val="24"/>
        </w:rPr>
      </w:pPr>
      <w:r>
        <w:rPr>
          <w:rFonts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14:textFill>
            <w14:solidFill>
              <w14:schemeClr w14:val="tx1"/>
            </w14:solidFill>
          </w14:textFill>
        </w:rPr>
        <w:t>成果要求：乙方按相关主管部门要求提交最终成果，包括纸质打印成果5套，电子光盘3套。如甲方需要提供超过合同规定份数的成果时，超出份数成果的制作成本费由甲方另行支付。成本费具体数额根据当时市场行情由甲、乙双方协商确定。方案汇报、评审过程中所需规划图件由乙方负责。</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本合同服务年限为</w:t>
      </w:r>
      <w:r>
        <w:rPr>
          <w:rFonts w:ascii="仿宋" w:hAnsi="仿宋" w:eastAsia="仿宋"/>
          <w:color w:val="000000" w:themeColor="text1"/>
          <w:sz w:val="24"/>
          <w:szCs w:val="24"/>
          <w14:textFill>
            <w14:solidFill>
              <w14:schemeClr w14:val="tx1"/>
            </w14:solidFill>
          </w14:textFill>
        </w:rPr>
        <w:t>2年。经甲乙双方协商可视项目进展情况延长1年。如超出服务时限，甲乙双方可另行协商，按相应服务需求签订补充协议。</w:t>
      </w:r>
    </w:p>
    <w:p>
      <w:pPr>
        <w:autoSpaceDE w:val="0"/>
        <w:autoSpaceDN w:val="0"/>
        <w:adjustRightInd w:val="0"/>
        <w:spacing w:line="360" w:lineRule="auto"/>
        <w:ind w:firstLine="482" w:firstLineChars="200"/>
        <w:jc w:val="both"/>
        <w:outlineLvl w:val="0"/>
        <w:rPr>
          <w:rFonts w:ascii="仿宋" w:hAnsi="仿宋" w:eastAsia="仿宋" w:cs="宋体"/>
          <w:b/>
          <w:bCs/>
          <w:sz w:val="24"/>
          <w:szCs w:val="24"/>
        </w:rPr>
      </w:pPr>
      <w:bookmarkStart w:id="26" w:name="_Toc3482844"/>
      <w:bookmarkStart w:id="27" w:name="_Toc78993269"/>
      <w:r>
        <w:rPr>
          <w:rFonts w:hint="eastAsia" w:ascii="仿宋" w:hAnsi="仿宋" w:eastAsia="仿宋" w:cs="宋体"/>
          <w:b/>
          <w:bCs/>
          <w:sz w:val="24"/>
          <w:szCs w:val="24"/>
        </w:rPr>
        <w:t>六、合同价款</w:t>
      </w:r>
      <w:r>
        <w:rPr>
          <w:rFonts w:ascii="仿宋" w:hAnsi="仿宋" w:eastAsia="仿宋" w:cs="宋体"/>
          <w:b/>
          <w:bCs/>
          <w:sz w:val="24"/>
          <w:szCs w:val="24"/>
        </w:rPr>
        <w:t>及支付方式</w:t>
      </w:r>
      <w:bookmarkEnd w:id="26"/>
      <w:bookmarkEnd w:id="27"/>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（一）技术服务费总额（含税价）：</w:t>
      </w:r>
      <w:r>
        <w:rPr>
          <w:rFonts w:hint="eastAsia" w:ascii="仿宋" w:hAnsi="仿宋" w:eastAsia="仿宋"/>
          <w:sz w:val="24"/>
          <w:szCs w:val="24"/>
          <w:u w:val="single"/>
        </w:rPr>
        <w:t>（大写） 整</w:t>
      </w:r>
      <w:r>
        <w:rPr>
          <w:rFonts w:hint="eastAsia" w:ascii="仿宋" w:hAnsi="仿宋" w:eastAsia="仿宋"/>
          <w:sz w:val="24"/>
          <w:szCs w:val="24"/>
        </w:rPr>
        <w:t>,</w:t>
      </w:r>
      <w:r>
        <w:rPr>
          <w:rFonts w:ascii="仿宋" w:hAnsi="仿宋" w:eastAsia="仿宋"/>
          <w:sz w:val="24"/>
          <w:szCs w:val="24"/>
          <w:u w:val="single"/>
        </w:rPr>
        <w:t>(</w:t>
      </w:r>
      <w:r>
        <w:rPr>
          <w:rFonts w:hint="eastAsia" w:ascii="仿宋" w:hAnsi="仿宋" w:eastAsia="仿宋"/>
          <w:sz w:val="24"/>
          <w:szCs w:val="24"/>
          <w:u w:val="single"/>
        </w:rPr>
        <w:t xml:space="preserve">￥：     </w:t>
      </w:r>
      <w:r>
        <w:rPr>
          <w:rFonts w:hint="eastAsia" w:ascii="仿宋" w:hAnsi="仿宋" w:eastAsia="仿宋"/>
          <w:sz w:val="24"/>
          <w:szCs w:val="24"/>
        </w:rPr>
        <w:t>），其中不含税价格：</w:t>
      </w:r>
      <w:r>
        <w:rPr>
          <w:rFonts w:hint="eastAsia" w:ascii="仿宋" w:hAnsi="仿宋" w:eastAsia="仿宋"/>
          <w:sz w:val="24"/>
          <w:szCs w:val="24"/>
          <w:u w:val="single"/>
        </w:rPr>
        <w:t xml:space="preserve">          ，</w:t>
      </w:r>
      <w:r>
        <w:rPr>
          <w:rFonts w:hint="eastAsia" w:ascii="仿宋" w:hAnsi="仿宋" w:eastAsia="仿宋"/>
          <w:sz w:val="24"/>
          <w:szCs w:val="24"/>
        </w:rPr>
        <w:t>税率：</w:t>
      </w:r>
      <w:r>
        <w:rPr>
          <w:rFonts w:hint="eastAsia" w:ascii="仿宋" w:hAnsi="仿宋" w:eastAsia="仿宋"/>
          <w:sz w:val="24"/>
          <w:szCs w:val="24"/>
          <w:u w:val="single"/>
        </w:rPr>
        <w:t xml:space="preserve">        %，</w:t>
      </w:r>
      <w:r>
        <w:rPr>
          <w:rFonts w:hint="eastAsia" w:ascii="仿宋" w:hAnsi="仿宋" w:eastAsia="仿宋"/>
          <w:sz w:val="24"/>
          <w:szCs w:val="24"/>
        </w:rPr>
        <w:t>具体包括：</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bookmarkStart w:id="28" w:name="_Hlk77097328"/>
      <w:r>
        <w:rPr>
          <w:rFonts w:hint="eastAsia"/>
        </w:rPr>
        <w:t xml:space="preserve"> </w:t>
      </w:r>
      <w:bookmarkStart w:id="29" w:name="_Hlk136872206"/>
      <w:r>
        <w:rPr>
          <w:rFonts w:hint="eastAsia" w:ascii="仿宋" w:hAnsi="仿宋" w:eastAsia="仿宋"/>
          <w:color w:val="000000" w:themeColor="text1"/>
          <w:sz w:val="24"/>
          <w:szCs w:val="24"/>
          <w14:textFill>
            <w14:solidFill>
              <w14:schemeClr w14:val="tx1"/>
            </w14:solidFill>
          </w14:textFill>
        </w:rPr>
        <w:t>标图入库相关分析费用</w:t>
      </w:r>
      <w:bookmarkEnd w:id="28"/>
      <w:bookmarkEnd w:id="29"/>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sz w:val="24"/>
          <w:szCs w:val="24"/>
        </w:rPr>
        <w:t>（含税价）</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不含税价格：</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税率</w:t>
      </w:r>
      <w:r>
        <w:rPr>
          <w:rFonts w:hint="eastAsia" w:ascii="仿宋" w:hAnsi="仿宋" w:eastAsia="仿宋"/>
          <w:color w:val="000000" w:themeColor="text1"/>
          <w:sz w:val="24"/>
          <w:szCs w:val="24"/>
          <w:u w:val="single"/>
          <w14:textFill>
            <w14:solidFill>
              <w14:schemeClr w14:val="tx1"/>
            </w14:solidFill>
          </w14:textFill>
        </w:rPr>
        <w:t xml:space="preserve">     %。</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更新单元详细规划编制费用：（含税价）￥：</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不含税价格：</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税率</w:t>
      </w:r>
      <w:r>
        <w:rPr>
          <w:rFonts w:hint="eastAsia" w:ascii="仿宋" w:hAnsi="仿宋" w:eastAsia="仿宋"/>
          <w:color w:val="000000" w:themeColor="text1"/>
          <w:sz w:val="24"/>
          <w:szCs w:val="24"/>
          <w:u w:val="single"/>
          <w14:textFill>
            <w14:solidFill>
              <w14:schemeClr w14:val="tx1"/>
            </w14:solidFill>
          </w14:textFill>
        </w:rPr>
        <w:t xml:space="preserve">     %。</w:t>
      </w:r>
    </w:p>
    <w:p>
      <w:pPr>
        <w:spacing w:line="360" w:lineRule="auto"/>
        <w:ind w:firstLine="480" w:firstLineChars="200"/>
        <w:jc w:val="both"/>
        <w:rPr>
          <w:color w:val="000000" w:themeColor="text1"/>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xml:space="preserve">3. </w:t>
      </w:r>
      <w:r>
        <w:rPr>
          <w:rFonts w:hint="eastAsia" w:ascii="仿宋" w:hAnsi="仿宋" w:eastAsia="仿宋"/>
          <w:color w:val="000000" w:themeColor="text1"/>
          <w:sz w:val="24"/>
          <w:szCs w:val="24"/>
          <w14:textFill>
            <w14:solidFill>
              <w14:schemeClr w14:val="tx1"/>
            </w14:solidFill>
          </w14:textFill>
        </w:rPr>
        <w:t>城市设计费用：（含税价）￥：</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不含税价格：</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税率</w:t>
      </w:r>
      <w:r>
        <w:rPr>
          <w:rFonts w:hint="eastAsia" w:ascii="仿宋" w:hAnsi="仿宋" w:eastAsia="仿宋"/>
          <w:color w:val="000000" w:themeColor="text1"/>
          <w:sz w:val="24"/>
          <w:szCs w:val="24"/>
          <w:u w:val="single"/>
          <w14:textFill>
            <w14:solidFill>
              <w14:schemeClr w14:val="tx1"/>
            </w14:solidFill>
          </w14:textFill>
        </w:rPr>
        <w:t xml:space="preserve">     %。</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bookmarkStart w:id="62" w:name="_GoBack"/>
      <w:bookmarkEnd w:id="62"/>
      <w:r>
        <w:rPr>
          <w:rFonts w:ascii="仿宋" w:hAnsi="仿宋" w:eastAsia="仿宋"/>
          <w:color w:val="000000" w:themeColor="text1"/>
          <w:sz w:val="24"/>
          <w:szCs w:val="24"/>
          <w14:textFill>
            <w14:solidFill>
              <w14:schemeClr w14:val="tx1"/>
            </w14:solidFill>
          </w14:textFill>
        </w:rPr>
        <w:t>上述</w:t>
      </w:r>
      <w:r>
        <w:rPr>
          <w:rFonts w:hint="eastAsia" w:ascii="仿宋" w:hAnsi="仿宋" w:eastAsia="仿宋"/>
          <w:color w:val="000000" w:themeColor="text1"/>
          <w:sz w:val="24"/>
          <w:szCs w:val="24"/>
          <w14:textFill>
            <w14:solidFill>
              <w14:schemeClr w14:val="tx1"/>
            </w14:solidFill>
          </w14:textFill>
        </w:rPr>
        <w:t>技术服务费</w:t>
      </w:r>
      <w:r>
        <w:rPr>
          <w:rFonts w:ascii="仿宋" w:hAnsi="仿宋" w:eastAsia="仿宋"/>
          <w:color w:val="000000" w:themeColor="text1"/>
          <w:sz w:val="24"/>
          <w:szCs w:val="24"/>
          <w14:textFill>
            <w14:solidFill>
              <w14:schemeClr w14:val="tx1"/>
            </w14:solidFill>
          </w14:textFill>
        </w:rPr>
        <w:t>包含乙方</w:t>
      </w:r>
      <w:r>
        <w:rPr>
          <w:rFonts w:hint="eastAsia" w:ascii="仿宋" w:hAnsi="仿宋" w:eastAsia="仿宋"/>
          <w:color w:val="000000" w:themeColor="text1"/>
          <w:sz w:val="24"/>
          <w:szCs w:val="24"/>
          <w14:textFill>
            <w14:solidFill>
              <w14:schemeClr w14:val="tx1"/>
            </w14:solidFill>
          </w14:textFill>
        </w:rPr>
        <w:t>为</w:t>
      </w:r>
      <w:r>
        <w:rPr>
          <w:rFonts w:ascii="仿宋" w:hAnsi="仿宋" w:eastAsia="仿宋"/>
          <w:color w:val="000000" w:themeColor="text1"/>
          <w:sz w:val="24"/>
          <w:szCs w:val="24"/>
          <w14:textFill>
            <w14:solidFill>
              <w14:schemeClr w14:val="tx1"/>
            </w14:solidFill>
          </w14:textFill>
        </w:rPr>
        <w:t>完成本合同项下工作而发生的</w:t>
      </w:r>
      <w:r>
        <w:rPr>
          <w:rFonts w:hint="eastAsia" w:ascii="仿宋" w:hAnsi="仿宋" w:eastAsia="仿宋"/>
          <w:color w:val="000000" w:themeColor="text1"/>
          <w:sz w:val="24"/>
          <w:szCs w:val="24"/>
          <w14:textFill>
            <w14:solidFill>
              <w14:schemeClr w14:val="tx1"/>
            </w14:solidFill>
          </w14:textFill>
        </w:rPr>
        <w:t>所有</w:t>
      </w:r>
      <w:r>
        <w:rPr>
          <w:rFonts w:ascii="仿宋" w:hAnsi="仿宋" w:eastAsia="仿宋"/>
          <w:color w:val="000000" w:themeColor="text1"/>
          <w:sz w:val="24"/>
          <w:szCs w:val="24"/>
          <w14:textFill>
            <w14:solidFill>
              <w14:schemeClr w14:val="tx1"/>
            </w14:solidFill>
          </w14:textFill>
        </w:rPr>
        <w:t>费用</w:t>
      </w:r>
      <w:r>
        <w:rPr>
          <w:rFonts w:hint="eastAsia" w:ascii="仿宋" w:hAnsi="仿宋" w:eastAsia="仿宋"/>
          <w:color w:val="000000" w:themeColor="text1"/>
          <w:sz w:val="24"/>
          <w:szCs w:val="24"/>
          <w14:textFill>
            <w14:solidFill>
              <w14:schemeClr w14:val="tx1"/>
            </w14:solidFill>
          </w14:textFill>
        </w:rPr>
        <w:t>，除双方另有明确书面约定之外，乙方不得以任何理由要求增加技术服务费金额。</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bookmarkStart w:id="30" w:name="_Toc3482845"/>
      <w:r>
        <w:rPr>
          <w:rFonts w:hint="eastAsia" w:ascii="仿宋" w:hAnsi="仿宋" w:eastAsia="仿宋"/>
          <w:color w:val="000000" w:themeColor="text1"/>
          <w:sz w:val="24"/>
          <w:szCs w:val="24"/>
          <w14:textFill>
            <w14:solidFill>
              <w14:schemeClr w14:val="tx1"/>
            </w14:solidFill>
          </w14:textFill>
        </w:rPr>
        <w:t>（二）支付</w:t>
      </w:r>
      <w:r>
        <w:rPr>
          <w:rFonts w:ascii="仿宋" w:hAnsi="仿宋" w:eastAsia="仿宋"/>
          <w:color w:val="000000" w:themeColor="text1"/>
          <w:sz w:val="24"/>
          <w:szCs w:val="24"/>
          <w14:textFill>
            <w14:solidFill>
              <w14:schemeClr w14:val="tx1"/>
            </w14:solidFill>
          </w14:textFill>
        </w:rPr>
        <w:t>方式：</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甲乙双方确认，根据项目的资金状况及工作进度支付本合同技术服务费，在资金到位的情况下，分项目、</w:t>
      </w:r>
      <w:r>
        <w:rPr>
          <w:rFonts w:ascii="仿宋" w:hAnsi="仿宋" w:eastAsia="仿宋"/>
          <w:color w:val="000000" w:themeColor="text1"/>
          <w:sz w:val="24"/>
          <w:szCs w:val="24"/>
          <w14:textFill>
            <w14:solidFill>
              <w14:schemeClr w14:val="tx1"/>
            </w14:solidFill>
          </w14:textFill>
        </w:rPr>
        <w:t>分阶段进行</w:t>
      </w:r>
      <w:r>
        <w:rPr>
          <w:rFonts w:hint="eastAsia" w:ascii="仿宋" w:hAnsi="仿宋" w:eastAsia="仿宋"/>
          <w:color w:val="000000" w:themeColor="text1"/>
          <w:sz w:val="24"/>
          <w:szCs w:val="24"/>
          <w14:textFill>
            <w14:solidFill>
              <w14:schemeClr w14:val="tx1"/>
            </w14:solidFill>
          </w14:textFill>
        </w:rPr>
        <w:t>支付，进度付款节点如下：</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 标图入库相关分析费用</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1）合同签订后</w:t>
      </w:r>
      <w:r>
        <w:rPr>
          <w:rFonts w:hint="eastAsia" w:ascii="仿宋" w:hAnsi="仿宋" w:eastAsia="仿宋"/>
          <w:color w:val="000000" w:themeColor="text1"/>
          <w:sz w:val="24"/>
          <w:szCs w:val="24"/>
          <w14:textFill>
            <w14:solidFill>
              <w14:schemeClr w14:val="tx1"/>
            </w14:solidFill>
          </w14:textFill>
        </w:rPr>
        <w:t>，在资金到位的情况下</w:t>
      </w:r>
      <w:r>
        <w:rPr>
          <w:rFonts w:ascii="仿宋" w:hAnsi="仿宋" w:eastAsia="仿宋"/>
          <w:color w:val="000000" w:themeColor="text1"/>
          <w:sz w:val="24"/>
          <w:szCs w:val="24"/>
          <w14:textFill>
            <w14:solidFill>
              <w14:schemeClr w14:val="tx1"/>
            </w14:solidFill>
          </w14:textFill>
        </w:rPr>
        <w:t>支付预付款20%；</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（2）乙方向甲方提交改造范围内地块进行“三旧”范围技术分析初步成果且协助甲方完成申报标图入库补录材料，支付至对应金额的40%；</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（3）乙方协助甲方完成改造范围内标图建库的图斑补录工作，补录图斑明细获得政府官网公示，支付至对应金额的80%；</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bookmarkStart w:id="31" w:name="_Hlk136891728"/>
      <w:r>
        <w:rPr>
          <w:rFonts w:hint="eastAsia" w:ascii="仿宋" w:hAnsi="仿宋" w:eastAsia="仿宋"/>
          <w:color w:val="000000" w:themeColor="text1"/>
          <w:sz w:val="24"/>
          <w:szCs w:val="24"/>
          <w14:textFill>
            <w14:solidFill>
              <w14:schemeClr w14:val="tx1"/>
            </w14:solidFill>
          </w14:textFill>
        </w:rPr>
        <w:t>（4）乙方向甲方提供片区策划方案标图入库符合性复核报告，且审核报告通过相关部门审核，支付至对应金额的80%</w:t>
      </w:r>
      <w:bookmarkEnd w:id="31"/>
      <w:r>
        <w:rPr>
          <w:rFonts w:hint="eastAsia" w:ascii="仿宋" w:hAnsi="仿宋" w:eastAsia="仿宋"/>
          <w:color w:val="000000" w:themeColor="text1"/>
          <w:sz w:val="24"/>
          <w:szCs w:val="24"/>
          <w14:textFill>
            <w14:solidFill>
              <w14:schemeClr w14:val="tx1"/>
            </w14:solidFill>
          </w14:textFill>
        </w:rPr>
        <w:t>；</w:t>
      </w:r>
    </w:p>
    <w:p>
      <w:pPr>
        <w:spacing w:line="360" w:lineRule="auto"/>
        <w:ind w:firstLine="480" w:firstLineChars="200"/>
        <w:jc w:val="both"/>
        <w:rPr>
          <w:rFonts w:ascii="仿宋" w:hAnsi="仿宋" w:eastAsia="仿宋"/>
          <w:color w:val="FF0000"/>
          <w:sz w:val="24"/>
          <w:szCs w:val="24"/>
        </w:rPr>
      </w:pPr>
      <w:r>
        <w:rPr>
          <w:rFonts w:hint="eastAsia" w:ascii="仿宋" w:hAnsi="仿宋" w:eastAsia="仿宋"/>
          <w:sz w:val="24"/>
          <w:szCs w:val="24"/>
        </w:rPr>
        <w:t>（5）乙方向甲方提供实施方案标图入库符合性复核报告，且审核报告通过相关部门审核</w:t>
      </w:r>
      <w:r>
        <w:rPr>
          <w:rFonts w:hint="eastAsia" w:ascii="仿宋" w:hAnsi="仿宋" w:eastAsia="仿宋"/>
          <w:color w:val="000000" w:themeColor="text1"/>
          <w:sz w:val="24"/>
          <w:szCs w:val="24"/>
          <w14:textFill>
            <w14:solidFill>
              <w14:schemeClr w14:val="tx1"/>
            </w14:solidFill>
          </w14:textFill>
        </w:rPr>
        <w:t>，支付至对应金额的80%；</w:t>
      </w:r>
    </w:p>
    <w:p>
      <w:pPr>
        <w:pStyle w:val="2"/>
        <w:ind w:firstLine="480" w:firstLineChars="200"/>
        <w:jc w:val="both"/>
        <w:rPr>
          <w:rFonts w:ascii="仿宋" w:hAnsi="仿宋" w:eastAsia="仿宋"/>
          <w:b w:val="0"/>
          <w:sz w:val="24"/>
          <w:szCs w:val="24"/>
        </w:rPr>
      </w:pPr>
      <w:r>
        <w:rPr>
          <w:rFonts w:hint="eastAsia" w:ascii="仿宋" w:hAnsi="仿宋" w:eastAsia="仿宋"/>
          <w:b w:val="0"/>
          <w:sz w:val="24"/>
          <w:szCs w:val="24"/>
        </w:rPr>
        <w:t>（6）结算终审单位审核结算价后支付尾款。</w:t>
      </w:r>
    </w:p>
    <w:p>
      <w:pPr>
        <w:spacing w:line="360" w:lineRule="auto"/>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 xml:space="preserve"> </w:t>
      </w:r>
      <w:r>
        <w:rPr>
          <w:rFonts w:hint="eastAsia" w:ascii="仿宋" w:hAnsi="仿宋" w:eastAsia="仿宋"/>
          <w:color w:val="000000" w:themeColor="text1"/>
          <w:sz w:val="24"/>
          <w:szCs w:val="24"/>
          <w14:textFill>
            <w14:solidFill>
              <w14:schemeClr w14:val="tx1"/>
            </w14:solidFill>
          </w14:textFill>
        </w:rPr>
        <w:t>更新单元详细规划编制费用</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1）合同签订后</w:t>
      </w:r>
      <w:r>
        <w:rPr>
          <w:rFonts w:hint="eastAsia" w:ascii="仿宋" w:hAnsi="仿宋" w:eastAsia="仿宋"/>
          <w:sz w:val="24"/>
          <w:szCs w:val="24"/>
        </w:rPr>
        <w:t>，在资金到位的情况下</w:t>
      </w:r>
      <w:r>
        <w:rPr>
          <w:rFonts w:ascii="仿宋" w:hAnsi="仿宋" w:eastAsia="仿宋"/>
          <w:sz w:val="24"/>
          <w:szCs w:val="24"/>
        </w:rPr>
        <w:t>支付预付款20%；</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初步成果提交区规划和自然资源主管部门审查通过</w:t>
      </w:r>
      <w:r>
        <w:rPr>
          <w:rFonts w:hint="eastAsia" w:ascii="仿宋" w:hAnsi="仿宋" w:eastAsia="仿宋"/>
          <w:color w:val="000000" w:themeColor="text1"/>
          <w:sz w:val="24"/>
          <w:szCs w:val="24"/>
          <w14:textFill>
            <w14:solidFill>
              <w14:schemeClr w14:val="tx1"/>
            </w14:solidFill>
          </w14:textFill>
        </w:rPr>
        <w:t>，支付至对应金额的</w:t>
      </w:r>
      <w:r>
        <w:rPr>
          <w:rFonts w:ascii="仿宋" w:hAnsi="仿宋" w:eastAsia="仿宋"/>
          <w:color w:val="000000" w:themeColor="text1"/>
          <w:sz w:val="24"/>
          <w:szCs w:val="24"/>
          <w14:textFill>
            <w14:solidFill>
              <w14:schemeClr w14:val="tx1"/>
            </w14:solidFill>
          </w14:textFill>
        </w:rPr>
        <w:t>40%；</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14:textFill>
            <w14:solidFill>
              <w14:schemeClr w14:val="tx1"/>
            </w14:solidFill>
          </w14:textFill>
        </w:rPr>
        <w:t>提交成果经区规划委员会审议通过或报市规划和自然资源主管部门审查通过，支付至对应金额的</w:t>
      </w:r>
      <w:r>
        <w:rPr>
          <w:rFonts w:ascii="仿宋" w:hAnsi="仿宋" w:eastAsia="仿宋"/>
          <w:color w:val="000000" w:themeColor="text1"/>
          <w:sz w:val="24"/>
          <w:szCs w:val="24"/>
          <w14:textFill>
            <w14:solidFill>
              <w14:schemeClr w14:val="tx1"/>
            </w14:solidFill>
          </w14:textFill>
        </w:rPr>
        <w:t>60%；</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4）</w:t>
      </w:r>
      <w:r>
        <w:rPr>
          <w:rFonts w:hint="eastAsia" w:ascii="仿宋" w:hAnsi="仿宋" w:eastAsia="仿宋"/>
          <w:color w:val="000000" w:themeColor="text1"/>
          <w:sz w:val="24"/>
          <w:szCs w:val="24"/>
          <w14:textFill>
            <w14:solidFill>
              <w14:schemeClr w14:val="tx1"/>
            </w14:solidFill>
          </w14:textFill>
        </w:rPr>
        <w:t>提交终期成果并报市规划委员会审议通过，支付至对应金额的</w:t>
      </w:r>
      <w:r>
        <w:rPr>
          <w:rFonts w:ascii="仿宋" w:hAnsi="仿宋" w:eastAsia="仿宋"/>
          <w:color w:val="000000" w:themeColor="text1"/>
          <w:sz w:val="24"/>
          <w:szCs w:val="24"/>
          <w14:textFill>
            <w14:solidFill>
              <w14:schemeClr w14:val="tx1"/>
            </w14:solidFill>
          </w14:textFill>
        </w:rPr>
        <w:t>80%；</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5）</w:t>
      </w:r>
      <w:r>
        <w:rPr>
          <w:rFonts w:hint="eastAsia" w:ascii="仿宋" w:hAnsi="仿宋" w:eastAsia="仿宋"/>
          <w:color w:val="000000" w:themeColor="text1"/>
          <w:sz w:val="24"/>
          <w:szCs w:val="24"/>
          <w14:textFill>
            <w14:solidFill>
              <w14:schemeClr w14:val="tx1"/>
            </w14:solidFill>
          </w14:textFill>
        </w:rPr>
        <w:t>结算终审单位审核结算价后支付尾款。</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xml:space="preserve">3. </w:t>
      </w:r>
      <w:r>
        <w:rPr>
          <w:rFonts w:hint="eastAsia" w:ascii="仿宋" w:hAnsi="仿宋" w:eastAsia="仿宋"/>
          <w:color w:val="000000" w:themeColor="text1"/>
          <w:sz w:val="24"/>
          <w:szCs w:val="24"/>
          <w14:textFill>
            <w14:solidFill>
              <w14:schemeClr w14:val="tx1"/>
            </w14:solidFill>
          </w14:textFill>
        </w:rPr>
        <w:t>城市设计费用</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1）合同签订后</w:t>
      </w:r>
      <w:r>
        <w:rPr>
          <w:rFonts w:hint="eastAsia" w:ascii="仿宋" w:hAnsi="仿宋" w:eastAsia="仿宋"/>
          <w:color w:val="000000" w:themeColor="text1"/>
          <w:sz w:val="24"/>
          <w:szCs w:val="24"/>
          <w14:textFill>
            <w14:solidFill>
              <w14:schemeClr w14:val="tx1"/>
            </w14:solidFill>
          </w14:textFill>
        </w:rPr>
        <w:t>，在资金到位的情况下</w:t>
      </w:r>
      <w:r>
        <w:rPr>
          <w:rFonts w:ascii="仿宋" w:hAnsi="仿宋" w:eastAsia="仿宋"/>
          <w:color w:val="000000" w:themeColor="text1"/>
          <w:sz w:val="24"/>
          <w:szCs w:val="24"/>
          <w14:textFill>
            <w14:solidFill>
              <w14:schemeClr w14:val="tx1"/>
            </w14:solidFill>
          </w14:textFill>
        </w:rPr>
        <w:t>支付预付款20%；</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初步成果提交区规划和自然资源主管部门审查通过，支付至对应金额的4</w:t>
      </w:r>
      <w:r>
        <w:rPr>
          <w:rFonts w:ascii="仿宋" w:hAnsi="仿宋" w:eastAsia="仿宋"/>
          <w:color w:val="000000" w:themeColor="text1"/>
          <w:sz w:val="24"/>
          <w:szCs w:val="24"/>
          <w14:textFill>
            <w14:solidFill>
              <w14:schemeClr w14:val="tx1"/>
            </w14:solidFill>
          </w14:textFill>
        </w:rPr>
        <w:t>0%；</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14:textFill>
            <w14:solidFill>
              <w14:schemeClr w14:val="tx1"/>
            </w14:solidFill>
          </w14:textFill>
        </w:rPr>
        <w:t>提交成果经区规划委员会审议通过或报市规划和自然资源主管部门审查通过，支付至对应金额的</w:t>
      </w:r>
      <w:r>
        <w:rPr>
          <w:rFonts w:ascii="仿宋" w:hAnsi="仿宋" w:eastAsia="仿宋"/>
          <w:color w:val="000000" w:themeColor="text1"/>
          <w:sz w:val="24"/>
          <w:szCs w:val="24"/>
          <w14:textFill>
            <w14:solidFill>
              <w14:schemeClr w14:val="tx1"/>
            </w14:solidFill>
          </w14:textFill>
        </w:rPr>
        <w:t>60%；</w:t>
      </w:r>
    </w:p>
    <w:p>
      <w:pPr>
        <w:spacing w:line="360" w:lineRule="auto"/>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4）</w:t>
      </w:r>
      <w:r>
        <w:rPr>
          <w:rFonts w:hint="eastAsia" w:ascii="仿宋" w:hAnsi="仿宋" w:eastAsia="仿宋"/>
          <w:color w:val="000000" w:themeColor="text1"/>
          <w:sz w:val="24"/>
          <w:szCs w:val="24"/>
          <w14:textFill>
            <w14:solidFill>
              <w14:schemeClr w14:val="tx1"/>
            </w14:solidFill>
          </w14:textFill>
        </w:rPr>
        <w:t>提交终期成果并报市规划委员会审议通过，支付至对应金额的</w:t>
      </w:r>
      <w:r>
        <w:rPr>
          <w:rFonts w:ascii="仿宋" w:hAnsi="仿宋" w:eastAsia="仿宋"/>
          <w:color w:val="000000" w:themeColor="text1"/>
          <w:sz w:val="24"/>
          <w:szCs w:val="24"/>
          <w14:textFill>
            <w14:solidFill>
              <w14:schemeClr w14:val="tx1"/>
            </w14:solidFill>
          </w14:textFill>
        </w:rPr>
        <w:t>80%；</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结算终审单位审核结算价后支付尾款。</w:t>
      </w:r>
    </w:p>
    <w:p>
      <w:pPr>
        <w:spacing w:line="360" w:lineRule="auto"/>
        <w:jc w:val="both"/>
        <w:rPr>
          <w:rFonts w:ascii="仿宋" w:hAnsi="仿宋" w:eastAsia="仿宋"/>
          <w:color w:val="000000" w:themeColor="text1"/>
          <w:sz w:val="24"/>
          <w:szCs w:val="24"/>
          <w14:textFill>
            <w14:solidFill>
              <w14:schemeClr w14:val="tx1"/>
            </w14:solidFill>
          </w14:textFill>
        </w:rPr>
      </w:pPr>
      <w:r>
        <w:rPr>
          <w:rFonts w:ascii="仿宋" w:hAnsi="仿宋" w:eastAsia="仿宋"/>
          <w:color w:val="0000FF"/>
          <w:sz w:val="24"/>
          <w:szCs w:val="24"/>
        </w:rPr>
        <w:t xml:space="preserve">    </w:t>
      </w:r>
      <w:r>
        <w:rPr>
          <w:rFonts w:ascii="仿宋" w:hAnsi="仿宋" w:eastAsia="仿宋"/>
          <w:color w:val="000000" w:themeColor="text1"/>
          <w:sz w:val="24"/>
          <w:szCs w:val="24"/>
          <w14:textFill>
            <w14:solidFill>
              <w14:schemeClr w14:val="tx1"/>
            </w14:solidFill>
          </w14:textFill>
        </w:rPr>
        <w:t>（三）结算原则：</w:t>
      </w:r>
    </w:p>
    <w:p>
      <w:pPr>
        <w:pStyle w:val="32"/>
        <w:tabs>
          <w:tab w:val="left" w:pos="840"/>
        </w:tabs>
        <w:ind w:firstLine="496"/>
        <w:jc w:val="both"/>
        <w:rPr>
          <w:rFonts w:ascii="仿宋" w:hAnsi="仿宋" w:eastAsia="仿宋"/>
          <w:szCs w:val="24"/>
        </w:rPr>
      </w:pPr>
      <w:r>
        <w:rPr>
          <w:rFonts w:hint="eastAsia" w:ascii="仿宋" w:hAnsi="仿宋" w:eastAsia="仿宋"/>
          <w:color w:val="000000" w:themeColor="text1"/>
          <w:szCs w:val="24"/>
          <w14:textFill>
            <w14:solidFill>
              <w14:schemeClr w14:val="tx1"/>
            </w14:solidFill>
          </w14:textFill>
        </w:rPr>
        <w:t>标图入库相关分析、</w:t>
      </w:r>
      <w:r>
        <w:rPr>
          <w:rFonts w:hint="eastAsia" w:ascii="仿宋" w:hAnsi="仿宋" w:eastAsia="仿宋" w:cs="仿宋"/>
          <w:szCs w:val="24"/>
        </w:rPr>
        <w:t>更新单元详细规划、城市设计方案以行政主管部门</w:t>
      </w:r>
      <w:r>
        <w:rPr>
          <w:rFonts w:ascii="仿宋" w:hAnsi="仿宋" w:eastAsia="仿宋" w:cs="仿宋"/>
          <w:szCs w:val="24"/>
        </w:rPr>
        <w:t>批复的</w:t>
      </w:r>
      <w:r>
        <w:rPr>
          <w:rFonts w:hint="eastAsia" w:ascii="仿宋" w:hAnsi="仿宋" w:eastAsia="仿宋" w:cs="仿宋"/>
          <w:szCs w:val="24"/>
        </w:rPr>
        <w:t>工作</w:t>
      </w:r>
      <w:r>
        <w:rPr>
          <w:rFonts w:ascii="仿宋" w:hAnsi="仿宋" w:eastAsia="仿宋" w:cs="仿宋"/>
          <w:szCs w:val="24"/>
        </w:rPr>
        <w:t>范围</w:t>
      </w:r>
      <w:r>
        <w:rPr>
          <w:rFonts w:hint="eastAsia" w:ascii="仿宋" w:hAnsi="仿宋" w:eastAsia="仿宋" w:cs="仿宋"/>
          <w:szCs w:val="24"/>
        </w:rPr>
        <w:t>和相关数据</w:t>
      </w:r>
      <w:r>
        <w:rPr>
          <w:rFonts w:ascii="仿宋" w:hAnsi="仿宋" w:eastAsia="仿宋" w:cs="仿宋"/>
          <w:szCs w:val="24"/>
        </w:rPr>
        <w:t>为准，并以此</w:t>
      </w:r>
      <w:r>
        <w:rPr>
          <w:rFonts w:hint="eastAsia" w:ascii="仿宋" w:hAnsi="仿宋" w:eastAsia="仿宋" w:cs="仿宋"/>
          <w:szCs w:val="24"/>
        </w:rPr>
        <w:t>作为工作量计算</w:t>
      </w:r>
      <w:r>
        <w:rPr>
          <w:rFonts w:ascii="仿宋" w:hAnsi="仿宋" w:eastAsia="仿宋" w:cs="仿宋"/>
          <w:szCs w:val="24"/>
        </w:rPr>
        <w:t>结算价格</w:t>
      </w:r>
      <w:r>
        <w:rPr>
          <w:rFonts w:hint="eastAsia" w:ascii="仿宋" w:hAnsi="仿宋" w:eastAsia="仿宋" w:cs="仿宋"/>
          <w:szCs w:val="24"/>
        </w:rPr>
        <w:t>；结算单价、市场价下浮、约定下浮率等指标均按附件招标控制价执行，并按投标人中标下浮率进行下浮。结算价格最终以项目结算终审单位的审定价为准，按</w:t>
      </w:r>
      <w:r>
        <w:rPr>
          <w:rFonts w:ascii="仿宋" w:hAnsi="仿宋" w:eastAsia="仿宋" w:cs="仿宋"/>
          <w:szCs w:val="24"/>
        </w:rPr>
        <w:t>多退少补的原则支付</w:t>
      </w:r>
      <w:r>
        <w:rPr>
          <w:rFonts w:hint="eastAsia" w:ascii="仿宋" w:hAnsi="仿宋" w:eastAsia="仿宋" w:cs="仿宋"/>
          <w:szCs w:val="24"/>
        </w:rPr>
        <w:t>余款</w:t>
      </w:r>
      <w:r>
        <w:rPr>
          <w:rFonts w:ascii="仿宋" w:hAnsi="仿宋" w:eastAsia="仿宋" w:cs="仿宋"/>
          <w:szCs w:val="24"/>
        </w:rPr>
        <w:t>。</w:t>
      </w:r>
      <w:r>
        <w:rPr>
          <w:rFonts w:hint="eastAsia" w:ascii="仿宋" w:hAnsi="仿宋" w:eastAsia="仿宋" w:cs="仿宋"/>
          <w:szCs w:val="24"/>
        </w:rPr>
        <w:t>若</w:t>
      </w:r>
      <w:r>
        <w:rPr>
          <w:rFonts w:hint="eastAsia" w:ascii="仿宋" w:hAnsi="仿宋" w:eastAsia="仿宋"/>
          <w:szCs w:val="24"/>
        </w:rPr>
        <w:t>部分工作内容实际未完成，则以实际未完成工作内容所占整体工作量比例予以扣除该部分费用，最终以结算终审单位审核后的终审价为准。在合同履行期间，如因政策出现调整，导致</w:t>
      </w:r>
      <w:r>
        <w:rPr>
          <w:rFonts w:hint="eastAsia" w:ascii="仿宋" w:hAnsi="仿宋" w:eastAsia="仿宋" w:cs="仿宋"/>
          <w:szCs w:val="24"/>
        </w:rPr>
        <w:t>更新单元详细规划</w:t>
      </w:r>
      <w:r>
        <w:rPr>
          <w:rFonts w:hint="eastAsia" w:ascii="仿宋" w:hAnsi="仿宋" w:eastAsia="仿宋"/>
          <w:szCs w:val="24"/>
        </w:rPr>
        <w:t>的审批流程出现变化，合同余款的支付节点参照经双方确认调整后的项目审批流程，具体由双方另行协商确定。</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（四）请款材料：</w:t>
      </w:r>
    </w:p>
    <w:p>
      <w:pPr>
        <w:spacing w:line="360" w:lineRule="auto"/>
        <w:ind w:firstLine="480" w:firstLineChars="200"/>
        <w:jc w:val="both"/>
        <w:rPr>
          <w:rFonts w:ascii="仿宋" w:hAnsi="仿宋" w:eastAsia="仿宋"/>
          <w:sz w:val="24"/>
          <w:szCs w:val="24"/>
        </w:rPr>
      </w:pPr>
      <w:r>
        <w:rPr>
          <w:rFonts w:ascii="仿宋" w:hAnsi="仿宋" w:eastAsia="仿宋"/>
          <w:sz w:val="24"/>
          <w:szCs w:val="24"/>
        </w:rPr>
        <w:t>1.乙方</w:t>
      </w:r>
      <w:r>
        <w:rPr>
          <w:rFonts w:hint="eastAsia" w:ascii="仿宋" w:hAnsi="仿宋" w:eastAsia="仿宋"/>
          <w:sz w:val="24"/>
          <w:szCs w:val="24"/>
        </w:rPr>
        <w:t>提供已完成</w:t>
      </w:r>
      <w:r>
        <w:rPr>
          <w:rFonts w:ascii="仿宋" w:hAnsi="仿宋" w:eastAsia="仿宋"/>
          <w:sz w:val="24"/>
          <w:szCs w:val="24"/>
        </w:rPr>
        <w:t>相应阶段的成果</w:t>
      </w:r>
      <w:r>
        <w:rPr>
          <w:rFonts w:hint="eastAsia" w:ascii="仿宋" w:hAnsi="仿宋" w:eastAsia="仿宋"/>
          <w:sz w:val="24"/>
          <w:szCs w:val="24"/>
        </w:rPr>
        <w:t>文件</w:t>
      </w:r>
      <w:r>
        <w:rPr>
          <w:rFonts w:ascii="仿宋" w:hAnsi="仿宋" w:eastAsia="仿宋"/>
          <w:sz w:val="24"/>
          <w:szCs w:val="24"/>
        </w:rPr>
        <w:t>。</w:t>
      </w:r>
    </w:p>
    <w:p>
      <w:pPr>
        <w:spacing w:line="360" w:lineRule="auto"/>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每次付款前，</w:t>
      </w:r>
      <w:r>
        <w:rPr>
          <w:rFonts w:ascii="仿宋" w:hAnsi="仿宋" w:eastAsia="仿宋"/>
          <w:sz w:val="24"/>
          <w:szCs w:val="24"/>
        </w:rPr>
        <w:t>乙方按甲方要求</w:t>
      </w:r>
      <w:r>
        <w:rPr>
          <w:rFonts w:hint="eastAsia" w:ascii="仿宋" w:hAnsi="仿宋" w:eastAsia="仿宋"/>
          <w:sz w:val="24"/>
          <w:szCs w:val="24"/>
        </w:rPr>
        <w:t>分别</w:t>
      </w:r>
      <w:r>
        <w:rPr>
          <w:rFonts w:ascii="仿宋" w:hAnsi="仿宋" w:eastAsia="仿宋"/>
          <w:sz w:val="24"/>
          <w:szCs w:val="24"/>
        </w:rPr>
        <w:t>开具</w:t>
      </w:r>
      <w:r>
        <w:rPr>
          <w:rFonts w:hint="eastAsia" w:ascii="仿宋" w:hAnsi="仿宋" w:eastAsia="仿宋"/>
          <w:sz w:val="24"/>
          <w:szCs w:val="24"/>
        </w:rPr>
        <w:t>其对应</w:t>
      </w:r>
      <w:r>
        <w:rPr>
          <w:rFonts w:ascii="仿宋" w:hAnsi="仿宋" w:eastAsia="仿宋"/>
          <w:sz w:val="24"/>
          <w:szCs w:val="24"/>
        </w:rPr>
        <w:t>阶段</w:t>
      </w:r>
      <w:r>
        <w:rPr>
          <w:rFonts w:hint="eastAsia" w:ascii="仿宋" w:hAnsi="仿宋" w:eastAsia="仿宋"/>
          <w:sz w:val="24"/>
          <w:szCs w:val="24"/>
        </w:rPr>
        <w:t>服务费金额等额、合法、有效的</w:t>
      </w:r>
      <w:r>
        <w:rPr>
          <w:rFonts w:ascii="仿宋" w:hAnsi="仿宋" w:eastAsia="仿宋"/>
          <w:sz w:val="24"/>
          <w:szCs w:val="24"/>
        </w:rPr>
        <w:t>增值税</w:t>
      </w:r>
      <w:r>
        <w:rPr>
          <w:rFonts w:hint="eastAsia" w:ascii="仿宋" w:hAnsi="仿宋" w:eastAsia="仿宋"/>
          <w:sz w:val="24"/>
          <w:szCs w:val="24"/>
        </w:rPr>
        <w:t>专用发票。如乙方提供的发票不符合前述约定而导致甲方延迟付款的，不视为甲方违约。</w:t>
      </w:r>
    </w:p>
    <w:p>
      <w:pPr>
        <w:spacing w:line="360" w:lineRule="auto"/>
        <w:ind w:firstLine="480" w:firstLineChars="200"/>
        <w:jc w:val="both"/>
        <w:rPr>
          <w:rFonts w:ascii="仿宋" w:hAnsi="仿宋" w:eastAsia="仿宋"/>
          <w:sz w:val="24"/>
          <w:szCs w:val="24"/>
        </w:rPr>
      </w:pPr>
      <w:r>
        <w:rPr>
          <w:rFonts w:ascii="仿宋" w:hAnsi="仿宋" w:eastAsia="仿宋"/>
          <w:sz w:val="24"/>
          <w:szCs w:val="24"/>
        </w:rPr>
        <w:t>3.甲方要求</w:t>
      </w:r>
      <w:r>
        <w:rPr>
          <w:rFonts w:hint="eastAsia" w:ascii="仿宋" w:hAnsi="仿宋" w:eastAsia="仿宋"/>
          <w:sz w:val="24"/>
          <w:szCs w:val="24"/>
        </w:rPr>
        <w:t>乙方提供</w:t>
      </w:r>
      <w:r>
        <w:rPr>
          <w:rFonts w:ascii="仿宋" w:hAnsi="仿宋" w:eastAsia="仿宋"/>
          <w:sz w:val="24"/>
          <w:szCs w:val="24"/>
        </w:rPr>
        <w:t>的其他文件。</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（五）其他</w:t>
      </w:r>
    </w:p>
    <w:p>
      <w:pPr>
        <w:spacing w:line="360" w:lineRule="auto"/>
        <w:ind w:firstLine="480" w:firstLineChars="200"/>
        <w:jc w:val="both"/>
        <w:rPr>
          <w:rFonts w:ascii="仿宋" w:hAnsi="仿宋" w:eastAsia="仿宋"/>
          <w:sz w:val="24"/>
          <w:szCs w:val="24"/>
        </w:rPr>
      </w:pPr>
      <w:r>
        <w:rPr>
          <w:rFonts w:ascii="仿宋" w:hAnsi="仿宋" w:eastAsia="仿宋"/>
          <w:sz w:val="24"/>
          <w:szCs w:val="24"/>
        </w:rPr>
        <w:t>1.乙方如延迟提交</w:t>
      </w:r>
      <w:r>
        <w:rPr>
          <w:rFonts w:hint="eastAsia" w:ascii="仿宋" w:hAnsi="仿宋" w:eastAsia="仿宋"/>
          <w:sz w:val="24"/>
          <w:szCs w:val="24"/>
        </w:rPr>
        <w:t>各阶段工作成果</w:t>
      </w:r>
      <w:r>
        <w:rPr>
          <w:rFonts w:ascii="仿宋" w:hAnsi="仿宋" w:eastAsia="仿宋"/>
          <w:sz w:val="24"/>
          <w:szCs w:val="24"/>
        </w:rPr>
        <w:t>或者</w:t>
      </w:r>
      <w:r>
        <w:rPr>
          <w:rFonts w:hint="eastAsia" w:ascii="仿宋" w:hAnsi="仿宋" w:eastAsia="仿宋"/>
          <w:sz w:val="24"/>
          <w:szCs w:val="24"/>
        </w:rPr>
        <w:t>工作成果</w:t>
      </w:r>
      <w:r>
        <w:rPr>
          <w:rFonts w:ascii="仿宋" w:hAnsi="仿宋" w:eastAsia="仿宋"/>
          <w:sz w:val="24"/>
          <w:szCs w:val="24"/>
        </w:rPr>
        <w:t>未能</w:t>
      </w:r>
      <w:r>
        <w:rPr>
          <w:rFonts w:hint="eastAsia" w:ascii="仿宋" w:hAnsi="仿宋" w:eastAsia="仿宋"/>
          <w:sz w:val="24"/>
          <w:szCs w:val="24"/>
        </w:rPr>
        <w:t>达到相关政府部门审查要求</w:t>
      </w:r>
      <w:r>
        <w:rPr>
          <w:rFonts w:ascii="仿宋" w:hAnsi="仿宋" w:eastAsia="仿宋"/>
          <w:sz w:val="24"/>
          <w:szCs w:val="24"/>
        </w:rPr>
        <w:t>，甲方有权相应延迟付款</w:t>
      </w:r>
      <w:r>
        <w:rPr>
          <w:rFonts w:hint="eastAsia" w:ascii="仿宋" w:hAnsi="仿宋" w:eastAsia="仿宋"/>
          <w:sz w:val="24"/>
          <w:szCs w:val="24"/>
        </w:rPr>
        <w:t>而无需</w:t>
      </w:r>
      <w:r>
        <w:rPr>
          <w:rFonts w:ascii="仿宋" w:hAnsi="仿宋" w:eastAsia="仿宋"/>
          <w:sz w:val="24"/>
          <w:szCs w:val="24"/>
        </w:rPr>
        <w:t>承担违约责任</w:t>
      </w:r>
      <w:r>
        <w:rPr>
          <w:rFonts w:hint="eastAsia" w:ascii="仿宋" w:hAnsi="仿宋" w:eastAsia="仿宋"/>
          <w:sz w:val="24"/>
          <w:szCs w:val="24"/>
        </w:rPr>
        <w:t>，直至乙方提交修改成果达到相关政府部门审查要求</w:t>
      </w:r>
      <w:r>
        <w:rPr>
          <w:rFonts w:ascii="仿宋" w:hAnsi="仿宋" w:eastAsia="仿宋"/>
          <w:sz w:val="24"/>
          <w:szCs w:val="24"/>
        </w:rPr>
        <w:t>。</w:t>
      </w:r>
    </w:p>
    <w:p>
      <w:pPr>
        <w:spacing w:line="360" w:lineRule="auto"/>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服务过程中，就本合同项下服务内容的一般性变更、修改，不涉及重要指标变化、颠覆性改变的局部调整，乙方不得要求在本合同价款外另行计价。如本合同项下服务内容涉及重大修改调整的</w:t>
      </w:r>
      <w:r>
        <w:rPr>
          <w:rFonts w:ascii="仿宋" w:hAnsi="仿宋" w:eastAsia="仿宋"/>
          <w:sz w:val="24"/>
          <w:szCs w:val="24"/>
        </w:rPr>
        <w:t>，</w:t>
      </w:r>
      <w:r>
        <w:rPr>
          <w:rFonts w:hint="eastAsia" w:ascii="仿宋" w:hAnsi="仿宋" w:eastAsia="仿宋"/>
          <w:sz w:val="24"/>
          <w:szCs w:val="24"/>
        </w:rPr>
        <w:t>经</w:t>
      </w:r>
      <w:r>
        <w:rPr>
          <w:rFonts w:ascii="仿宋" w:hAnsi="仿宋" w:eastAsia="仿宋"/>
          <w:sz w:val="24"/>
          <w:szCs w:val="24"/>
        </w:rPr>
        <w:t>双方协商</w:t>
      </w:r>
      <w:r>
        <w:rPr>
          <w:rFonts w:hint="eastAsia" w:ascii="仿宋" w:hAnsi="仿宋" w:eastAsia="仿宋"/>
          <w:sz w:val="24"/>
          <w:szCs w:val="24"/>
        </w:rPr>
        <w:t>一致，</w:t>
      </w:r>
      <w:r>
        <w:rPr>
          <w:rFonts w:ascii="仿宋" w:hAnsi="仿宋" w:eastAsia="仿宋"/>
          <w:sz w:val="24"/>
          <w:szCs w:val="24"/>
        </w:rPr>
        <w:t>按程序完成</w:t>
      </w:r>
      <w:r>
        <w:rPr>
          <w:rFonts w:hint="eastAsia" w:ascii="仿宋" w:hAnsi="仿宋" w:eastAsia="仿宋"/>
          <w:sz w:val="24"/>
          <w:szCs w:val="24"/>
        </w:rPr>
        <w:t>相应的</w:t>
      </w:r>
      <w:r>
        <w:rPr>
          <w:rFonts w:ascii="仿宋" w:hAnsi="仿宋" w:eastAsia="仿宋"/>
          <w:sz w:val="24"/>
          <w:szCs w:val="24"/>
        </w:rPr>
        <w:t>变更或者解除</w:t>
      </w:r>
      <w:r>
        <w:rPr>
          <w:rFonts w:hint="eastAsia" w:ascii="仿宋" w:hAnsi="仿宋" w:eastAsia="仿宋"/>
          <w:sz w:val="24"/>
          <w:szCs w:val="24"/>
        </w:rPr>
        <w:t>。</w:t>
      </w:r>
    </w:p>
    <w:p>
      <w:pPr>
        <w:spacing w:line="360" w:lineRule="auto"/>
        <w:ind w:firstLine="480" w:firstLineChars="200"/>
        <w:jc w:val="both"/>
        <w:rPr>
          <w:rFonts w:ascii="仿宋" w:hAnsi="仿宋" w:eastAsia="仿宋"/>
          <w:sz w:val="24"/>
          <w:szCs w:val="24"/>
        </w:rPr>
      </w:pPr>
      <w:r>
        <w:rPr>
          <w:rFonts w:ascii="仿宋" w:hAnsi="仿宋" w:eastAsia="仿宋"/>
          <w:sz w:val="24"/>
          <w:szCs w:val="24"/>
        </w:rPr>
        <w:t>3.不在本合同所列服务范围内的工作，</w:t>
      </w:r>
      <w:r>
        <w:rPr>
          <w:rFonts w:hint="eastAsia" w:ascii="仿宋" w:hAnsi="仿宋" w:eastAsia="仿宋"/>
          <w:sz w:val="24"/>
          <w:szCs w:val="24"/>
        </w:rPr>
        <w:t>服务费用</w:t>
      </w:r>
      <w:r>
        <w:rPr>
          <w:rFonts w:ascii="仿宋" w:hAnsi="仿宋" w:eastAsia="仿宋"/>
          <w:sz w:val="24"/>
          <w:szCs w:val="24"/>
        </w:rPr>
        <w:t>将按实际情况、工作的复杂性、责任范围等</w:t>
      </w:r>
      <w:r>
        <w:rPr>
          <w:rFonts w:hint="eastAsia" w:ascii="仿宋" w:hAnsi="仿宋" w:eastAsia="仿宋"/>
          <w:sz w:val="24"/>
          <w:szCs w:val="24"/>
        </w:rPr>
        <w:t>由双方</w:t>
      </w:r>
      <w:r>
        <w:rPr>
          <w:rFonts w:ascii="仿宋" w:hAnsi="仿宋" w:eastAsia="仿宋"/>
          <w:sz w:val="24"/>
          <w:szCs w:val="24"/>
        </w:rPr>
        <w:t>另行商</w:t>
      </w:r>
      <w:r>
        <w:rPr>
          <w:rFonts w:hint="eastAsia" w:ascii="仿宋" w:hAnsi="仿宋" w:eastAsia="仿宋"/>
          <w:sz w:val="24"/>
          <w:szCs w:val="24"/>
        </w:rPr>
        <w:t>定</w:t>
      </w:r>
      <w:r>
        <w:rPr>
          <w:rFonts w:ascii="仿宋" w:hAnsi="仿宋" w:eastAsia="仿宋"/>
          <w:sz w:val="24"/>
          <w:szCs w:val="24"/>
        </w:rPr>
        <w:t>。</w:t>
      </w:r>
    </w:p>
    <w:p>
      <w:pPr>
        <w:spacing w:line="360" w:lineRule="auto"/>
        <w:ind w:firstLine="480" w:firstLineChars="200"/>
        <w:jc w:val="both"/>
        <w:rPr>
          <w:rFonts w:hint="eastAsia"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b w:val="0"/>
          <w:sz w:val="24"/>
          <w:szCs w:val="24"/>
        </w:rPr>
        <w:t>若甲方</w:t>
      </w:r>
      <w:r>
        <w:rPr>
          <w:rFonts w:hint="eastAsia" w:ascii="仿宋" w:hAnsi="仿宋" w:eastAsia="仿宋"/>
          <w:sz w:val="24"/>
          <w:szCs w:val="24"/>
        </w:rPr>
        <w:t>涉及指令</w:t>
      </w:r>
      <w:r>
        <w:rPr>
          <w:rFonts w:hint="eastAsia" w:ascii="仿宋" w:hAnsi="仿宋" w:eastAsia="仿宋"/>
          <w:b w:val="0"/>
          <w:sz w:val="24"/>
          <w:szCs w:val="24"/>
        </w:rPr>
        <w:t>第三方支付合同款项，需待第三方</w:t>
      </w:r>
      <w:r>
        <w:rPr>
          <w:rFonts w:hint="eastAsia" w:ascii="仿宋" w:hAnsi="仿宋" w:eastAsia="仿宋"/>
          <w:sz w:val="24"/>
          <w:szCs w:val="24"/>
        </w:rPr>
        <w:t>主体</w:t>
      </w:r>
      <w:r>
        <w:rPr>
          <w:rFonts w:hint="eastAsia" w:ascii="仿宋" w:hAnsi="仿宋" w:eastAsia="仿宋"/>
          <w:b w:val="0"/>
          <w:sz w:val="24"/>
          <w:szCs w:val="24"/>
        </w:rPr>
        <w:t>确定后支付，因</w:t>
      </w:r>
      <w:r>
        <w:rPr>
          <w:rFonts w:hint="eastAsia" w:ascii="仿宋" w:hAnsi="仿宋" w:eastAsia="仿宋"/>
          <w:sz w:val="24"/>
          <w:szCs w:val="24"/>
        </w:rPr>
        <w:t>指令</w:t>
      </w:r>
      <w:r>
        <w:rPr>
          <w:rFonts w:hint="eastAsia" w:ascii="仿宋" w:hAnsi="仿宋" w:eastAsia="仿宋"/>
          <w:b w:val="0"/>
          <w:sz w:val="24"/>
          <w:szCs w:val="24"/>
        </w:rPr>
        <w:t>第三方流程导致的资金到位延迟和付款延迟等情况，甲方不承担违约责任，乙方对此完全理解和接受</w:t>
      </w:r>
      <w:r>
        <w:rPr>
          <w:rFonts w:hint="eastAsia" w:ascii="仿宋" w:hAnsi="仿宋" w:eastAsia="仿宋"/>
          <w:sz w:val="24"/>
          <w:szCs w:val="24"/>
        </w:rPr>
        <w:t>。</w:t>
      </w:r>
    </w:p>
    <w:p>
      <w:pPr>
        <w:autoSpaceDE w:val="0"/>
        <w:autoSpaceDN w:val="0"/>
        <w:adjustRightInd w:val="0"/>
        <w:spacing w:line="360" w:lineRule="auto"/>
        <w:ind w:firstLine="482" w:firstLineChars="200"/>
        <w:jc w:val="both"/>
        <w:outlineLvl w:val="0"/>
        <w:rPr>
          <w:rFonts w:ascii="仿宋" w:hAnsi="仿宋" w:eastAsia="仿宋" w:cs="宋体"/>
          <w:b/>
          <w:bCs/>
          <w:sz w:val="24"/>
          <w:szCs w:val="24"/>
        </w:rPr>
      </w:pPr>
      <w:bookmarkStart w:id="32" w:name="_Toc78993270"/>
      <w:r>
        <w:rPr>
          <w:rFonts w:hint="eastAsia" w:ascii="仿宋" w:hAnsi="仿宋" w:eastAsia="仿宋" w:cs="宋体"/>
          <w:b/>
          <w:bCs/>
          <w:sz w:val="24"/>
          <w:szCs w:val="24"/>
        </w:rPr>
        <w:t>七、</w:t>
      </w:r>
      <w:r>
        <w:rPr>
          <w:rFonts w:ascii="仿宋" w:hAnsi="仿宋" w:eastAsia="仿宋" w:cs="宋体"/>
          <w:b/>
          <w:bCs/>
          <w:sz w:val="24"/>
          <w:szCs w:val="24"/>
        </w:rPr>
        <w:t>甲方</w:t>
      </w:r>
      <w:bookmarkEnd w:id="30"/>
      <w:r>
        <w:rPr>
          <w:rFonts w:hint="eastAsia" w:ascii="仿宋" w:hAnsi="仿宋" w:eastAsia="仿宋" w:cs="宋体"/>
          <w:b/>
          <w:bCs/>
          <w:sz w:val="24"/>
          <w:szCs w:val="24"/>
        </w:rPr>
        <w:t>的权利义务</w:t>
      </w:r>
      <w:bookmarkEnd w:id="32"/>
    </w:p>
    <w:p>
      <w:pPr>
        <w:spacing w:line="360" w:lineRule="auto"/>
        <w:ind w:firstLine="480" w:firstLineChars="200"/>
        <w:jc w:val="both"/>
        <w:rPr>
          <w:rFonts w:ascii="仿宋" w:hAnsi="仿宋" w:eastAsia="仿宋"/>
          <w:sz w:val="24"/>
          <w:szCs w:val="24"/>
        </w:rPr>
      </w:pPr>
      <w:bookmarkStart w:id="33" w:name="_Toc3482846"/>
      <w:r>
        <w:rPr>
          <w:rFonts w:hint="eastAsia" w:ascii="仿宋" w:hAnsi="仿宋" w:eastAsia="仿宋"/>
          <w:sz w:val="24"/>
          <w:szCs w:val="24"/>
        </w:rPr>
        <w:t>（一）</w:t>
      </w:r>
      <w:r>
        <w:rPr>
          <w:rFonts w:ascii="仿宋" w:hAnsi="仿宋" w:eastAsia="仿宋"/>
          <w:sz w:val="24"/>
          <w:szCs w:val="24"/>
        </w:rPr>
        <w:t>甲方负责确认所有乙方成果、重大变更、来往文件并按</w:t>
      </w:r>
      <w:r>
        <w:rPr>
          <w:rFonts w:hint="eastAsia" w:ascii="仿宋" w:hAnsi="仿宋" w:eastAsia="仿宋"/>
          <w:sz w:val="24"/>
          <w:szCs w:val="24"/>
        </w:rPr>
        <w:t>时支付本</w:t>
      </w:r>
      <w:r>
        <w:rPr>
          <w:rFonts w:ascii="仿宋" w:hAnsi="仿宋" w:eastAsia="仿宋"/>
          <w:sz w:val="24"/>
          <w:szCs w:val="24"/>
        </w:rPr>
        <w:t>合同</w:t>
      </w:r>
      <w:r>
        <w:rPr>
          <w:rFonts w:hint="eastAsia" w:ascii="仿宋" w:hAnsi="仿宋" w:eastAsia="仿宋"/>
          <w:sz w:val="24"/>
          <w:szCs w:val="24"/>
        </w:rPr>
        <w:t>约定的服务</w:t>
      </w:r>
      <w:r>
        <w:rPr>
          <w:rFonts w:ascii="仿宋" w:hAnsi="仿宋" w:eastAsia="仿宋"/>
          <w:sz w:val="24"/>
          <w:szCs w:val="24"/>
        </w:rPr>
        <w:t>费用</w:t>
      </w:r>
      <w:r>
        <w:rPr>
          <w:rFonts w:hint="eastAsia" w:ascii="仿宋" w:hAnsi="仿宋" w:eastAsia="仿宋"/>
          <w:sz w:val="24"/>
          <w:szCs w:val="24"/>
        </w:rPr>
        <w:t>；</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（二）甲方</w:t>
      </w:r>
      <w:r>
        <w:rPr>
          <w:rFonts w:ascii="仿宋" w:hAnsi="仿宋" w:eastAsia="仿宋"/>
          <w:sz w:val="24"/>
          <w:szCs w:val="24"/>
        </w:rPr>
        <w:t>负责</w:t>
      </w:r>
      <w:r>
        <w:rPr>
          <w:rFonts w:hint="eastAsia" w:ascii="仿宋" w:hAnsi="仿宋" w:eastAsia="仿宋"/>
          <w:sz w:val="24"/>
          <w:szCs w:val="24"/>
        </w:rPr>
        <w:t>提供本项目开展所必需的资料，如不能提供的，应为乙方收集已有的相关资料和数据提供必要的协助。甲方负责为乙方完成现场工作提供必要的条件与协助；</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（三）</w:t>
      </w:r>
      <w:r>
        <w:rPr>
          <w:rFonts w:ascii="仿宋" w:hAnsi="仿宋" w:eastAsia="仿宋"/>
          <w:sz w:val="24"/>
          <w:szCs w:val="24"/>
        </w:rPr>
        <w:t>甲方有权参</w:t>
      </w:r>
      <w:r>
        <w:rPr>
          <w:rFonts w:hint="eastAsia" w:ascii="仿宋" w:hAnsi="仿宋" w:eastAsia="仿宋"/>
          <w:sz w:val="24"/>
          <w:szCs w:val="24"/>
        </w:rPr>
        <w:t>与</w:t>
      </w:r>
      <w:r>
        <w:rPr>
          <w:rFonts w:ascii="仿宋" w:hAnsi="仿宋" w:eastAsia="仿宋"/>
          <w:sz w:val="24"/>
          <w:szCs w:val="24"/>
        </w:rPr>
        <w:t>或聘请技术专家参</w:t>
      </w:r>
      <w:r>
        <w:rPr>
          <w:rFonts w:hint="eastAsia" w:ascii="仿宋" w:hAnsi="仿宋" w:eastAsia="仿宋"/>
          <w:sz w:val="24"/>
          <w:szCs w:val="24"/>
        </w:rPr>
        <w:t>与</w:t>
      </w:r>
      <w:r>
        <w:rPr>
          <w:rFonts w:ascii="仿宋" w:hAnsi="仿宋" w:eastAsia="仿宋"/>
          <w:sz w:val="24"/>
          <w:szCs w:val="24"/>
        </w:rPr>
        <w:t>乙方的技术方案优化评选，在听取各方意见后确定</w:t>
      </w:r>
      <w:r>
        <w:rPr>
          <w:rFonts w:hint="eastAsia" w:ascii="仿宋" w:hAnsi="仿宋" w:eastAsia="仿宋"/>
          <w:sz w:val="24"/>
          <w:szCs w:val="24"/>
        </w:rPr>
        <w:t>相应</w:t>
      </w:r>
      <w:r>
        <w:rPr>
          <w:rFonts w:ascii="仿宋" w:hAnsi="仿宋" w:eastAsia="仿宋"/>
          <w:sz w:val="24"/>
          <w:szCs w:val="24"/>
        </w:rPr>
        <w:t>方案</w:t>
      </w:r>
      <w:r>
        <w:rPr>
          <w:rFonts w:hint="eastAsia" w:ascii="仿宋" w:hAnsi="仿宋" w:eastAsia="仿宋"/>
          <w:sz w:val="24"/>
          <w:szCs w:val="24"/>
        </w:rPr>
        <w:t>；</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（四）</w:t>
      </w:r>
      <w:r>
        <w:rPr>
          <w:rFonts w:ascii="仿宋" w:hAnsi="仿宋" w:eastAsia="仿宋"/>
          <w:sz w:val="24"/>
          <w:szCs w:val="24"/>
        </w:rPr>
        <w:t>甲方</w:t>
      </w:r>
      <w:r>
        <w:rPr>
          <w:rFonts w:hint="eastAsia" w:ascii="仿宋" w:hAnsi="仿宋" w:eastAsia="仿宋"/>
          <w:sz w:val="24"/>
          <w:szCs w:val="24"/>
        </w:rPr>
        <w:t>有权按本合同约定的服务内容对乙方的工作提出合理要求，</w:t>
      </w:r>
      <w:r>
        <w:rPr>
          <w:rFonts w:ascii="仿宋" w:hAnsi="仿宋" w:eastAsia="仿宋"/>
          <w:sz w:val="24"/>
          <w:szCs w:val="24"/>
        </w:rPr>
        <w:t>督促检查</w:t>
      </w:r>
      <w:r>
        <w:rPr>
          <w:rFonts w:hint="eastAsia" w:ascii="仿宋" w:hAnsi="仿宋" w:eastAsia="仿宋"/>
          <w:sz w:val="24"/>
          <w:szCs w:val="24"/>
        </w:rPr>
        <w:t>乙方的服务</w:t>
      </w:r>
      <w:r>
        <w:rPr>
          <w:rFonts w:ascii="仿宋" w:hAnsi="仿宋" w:eastAsia="仿宋"/>
          <w:sz w:val="24"/>
          <w:szCs w:val="24"/>
        </w:rPr>
        <w:t>进度、</w:t>
      </w:r>
      <w:r>
        <w:rPr>
          <w:rFonts w:hint="eastAsia" w:ascii="仿宋" w:hAnsi="仿宋" w:eastAsia="仿宋"/>
          <w:sz w:val="24"/>
          <w:szCs w:val="24"/>
        </w:rPr>
        <w:t>服务</w:t>
      </w:r>
      <w:r>
        <w:rPr>
          <w:rFonts w:ascii="仿宋" w:hAnsi="仿宋" w:eastAsia="仿宋"/>
          <w:sz w:val="24"/>
          <w:szCs w:val="24"/>
        </w:rPr>
        <w:t>深度</w:t>
      </w:r>
      <w:r>
        <w:rPr>
          <w:rFonts w:hint="eastAsia" w:ascii="仿宋" w:hAnsi="仿宋" w:eastAsia="仿宋"/>
          <w:sz w:val="24"/>
          <w:szCs w:val="24"/>
        </w:rPr>
        <w:t>，</w:t>
      </w:r>
      <w:r>
        <w:rPr>
          <w:rFonts w:ascii="仿宋" w:hAnsi="仿宋" w:eastAsia="仿宋"/>
          <w:sz w:val="24"/>
          <w:szCs w:val="24"/>
        </w:rPr>
        <w:t>参与各</w:t>
      </w:r>
      <w:r>
        <w:rPr>
          <w:rFonts w:hint="eastAsia" w:ascii="仿宋" w:hAnsi="仿宋" w:eastAsia="仿宋"/>
          <w:sz w:val="24"/>
          <w:szCs w:val="24"/>
        </w:rPr>
        <w:t>服务</w:t>
      </w:r>
      <w:r>
        <w:rPr>
          <w:rFonts w:ascii="仿宋" w:hAnsi="仿宋" w:eastAsia="仿宋"/>
          <w:sz w:val="24"/>
          <w:szCs w:val="24"/>
        </w:rPr>
        <w:t>阶段的管理</w:t>
      </w:r>
      <w:r>
        <w:rPr>
          <w:rFonts w:hint="eastAsia" w:ascii="仿宋" w:hAnsi="仿宋" w:eastAsia="仿宋"/>
          <w:sz w:val="24"/>
          <w:szCs w:val="24"/>
        </w:rPr>
        <w:t>；</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（五）</w:t>
      </w:r>
      <w:r>
        <w:rPr>
          <w:rFonts w:ascii="仿宋" w:hAnsi="仿宋" w:eastAsia="仿宋"/>
          <w:sz w:val="24"/>
          <w:szCs w:val="24"/>
        </w:rPr>
        <w:t>经甲方审</w:t>
      </w:r>
      <w:r>
        <w:rPr>
          <w:rFonts w:hint="eastAsia" w:ascii="仿宋" w:hAnsi="仿宋" w:eastAsia="仿宋"/>
          <w:sz w:val="24"/>
          <w:szCs w:val="24"/>
        </w:rPr>
        <w:t>核确认且通过行政主管部门审批同意</w:t>
      </w:r>
      <w:r>
        <w:rPr>
          <w:rFonts w:ascii="仿宋" w:hAnsi="仿宋" w:eastAsia="仿宋"/>
          <w:sz w:val="24"/>
          <w:szCs w:val="24"/>
        </w:rPr>
        <w:t>后，甲方应支付由于</w:t>
      </w:r>
      <w:r>
        <w:rPr>
          <w:rFonts w:hint="eastAsia" w:ascii="仿宋" w:hAnsi="仿宋" w:eastAsia="仿宋"/>
          <w:sz w:val="24"/>
          <w:szCs w:val="24"/>
        </w:rPr>
        <w:t>非乙方原因导致的本项目</w:t>
      </w:r>
      <w:r>
        <w:rPr>
          <w:rFonts w:ascii="仿宋" w:hAnsi="仿宋" w:eastAsia="仿宋"/>
          <w:sz w:val="24"/>
          <w:szCs w:val="24"/>
        </w:rPr>
        <w:t>方案重大变更所造成</w:t>
      </w:r>
      <w:r>
        <w:rPr>
          <w:rFonts w:hint="eastAsia" w:ascii="仿宋" w:hAnsi="仿宋" w:eastAsia="仿宋"/>
          <w:sz w:val="24"/>
          <w:szCs w:val="24"/>
        </w:rPr>
        <w:t>的</w:t>
      </w:r>
      <w:r>
        <w:rPr>
          <w:rFonts w:ascii="仿宋" w:hAnsi="仿宋" w:eastAsia="仿宋"/>
          <w:sz w:val="24"/>
          <w:szCs w:val="24"/>
        </w:rPr>
        <w:t>乙方返工增加工作</w:t>
      </w:r>
      <w:r>
        <w:rPr>
          <w:rFonts w:hint="eastAsia" w:ascii="仿宋" w:hAnsi="仿宋" w:eastAsia="仿宋"/>
          <w:sz w:val="24"/>
          <w:szCs w:val="24"/>
        </w:rPr>
        <w:t>量产生</w:t>
      </w:r>
      <w:r>
        <w:rPr>
          <w:rFonts w:ascii="仿宋" w:hAnsi="仿宋" w:eastAsia="仿宋"/>
          <w:sz w:val="24"/>
          <w:szCs w:val="24"/>
        </w:rPr>
        <w:t>的</w:t>
      </w:r>
      <w:r>
        <w:rPr>
          <w:rFonts w:hint="eastAsia" w:ascii="仿宋" w:hAnsi="仿宋" w:eastAsia="仿宋"/>
          <w:sz w:val="24"/>
          <w:szCs w:val="24"/>
        </w:rPr>
        <w:t>服务</w:t>
      </w:r>
      <w:r>
        <w:rPr>
          <w:rFonts w:ascii="仿宋" w:hAnsi="仿宋" w:eastAsia="仿宋"/>
          <w:sz w:val="24"/>
          <w:szCs w:val="24"/>
        </w:rPr>
        <w:t>费用</w:t>
      </w:r>
      <w:r>
        <w:rPr>
          <w:rFonts w:hint="eastAsia" w:ascii="仿宋" w:hAnsi="仿宋" w:eastAsia="仿宋"/>
          <w:sz w:val="24"/>
          <w:szCs w:val="24"/>
        </w:rPr>
        <w:t>，</w:t>
      </w:r>
      <w:r>
        <w:rPr>
          <w:rFonts w:ascii="仿宋" w:hAnsi="仿宋" w:eastAsia="仿宋"/>
          <w:sz w:val="24"/>
          <w:szCs w:val="24"/>
        </w:rPr>
        <w:t>具体</w:t>
      </w:r>
      <w:r>
        <w:rPr>
          <w:rFonts w:hint="eastAsia" w:ascii="仿宋" w:hAnsi="仿宋" w:eastAsia="仿宋"/>
          <w:sz w:val="24"/>
          <w:szCs w:val="24"/>
        </w:rPr>
        <w:t>金额</w:t>
      </w:r>
      <w:r>
        <w:rPr>
          <w:rFonts w:ascii="仿宋" w:hAnsi="仿宋" w:eastAsia="仿宋"/>
          <w:sz w:val="24"/>
          <w:szCs w:val="24"/>
        </w:rPr>
        <w:t>由甲乙双方协商确定</w:t>
      </w:r>
      <w:r>
        <w:rPr>
          <w:rFonts w:hint="eastAsia" w:ascii="仿宋" w:hAnsi="仿宋" w:eastAsia="仿宋"/>
          <w:sz w:val="24"/>
          <w:szCs w:val="24"/>
        </w:rPr>
        <w:t>并签订相应的补充协议。</w:t>
      </w:r>
    </w:p>
    <w:p>
      <w:pPr>
        <w:spacing w:line="360" w:lineRule="auto"/>
        <w:ind w:firstLine="482" w:firstLineChars="200"/>
        <w:jc w:val="both"/>
        <w:rPr>
          <w:rFonts w:ascii="仿宋" w:hAnsi="仿宋" w:eastAsia="仿宋" w:cs="宋体"/>
          <w:b/>
          <w:bCs/>
          <w:sz w:val="24"/>
          <w:szCs w:val="24"/>
        </w:rPr>
      </w:pPr>
      <w:bookmarkStart w:id="34" w:name="_Toc78993271"/>
      <w:r>
        <w:rPr>
          <w:rFonts w:hint="eastAsia" w:ascii="仿宋" w:hAnsi="仿宋" w:eastAsia="仿宋" w:cs="宋体"/>
          <w:b/>
          <w:bCs/>
          <w:sz w:val="24"/>
          <w:szCs w:val="24"/>
        </w:rPr>
        <w:t>八、</w:t>
      </w:r>
      <w:r>
        <w:rPr>
          <w:rFonts w:ascii="仿宋" w:hAnsi="仿宋" w:eastAsia="仿宋" w:cs="宋体"/>
          <w:b/>
          <w:bCs/>
          <w:sz w:val="24"/>
          <w:szCs w:val="24"/>
        </w:rPr>
        <w:t>乙方</w:t>
      </w:r>
      <w:bookmarkEnd w:id="33"/>
      <w:r>
        <w:rPr>
          <w:rFonts w:hint="eastAsia" w:ascii="仿宋" w:hAnsi="仿宋" w:eastAsia="仿宋" w:cs="宋体"/>
          <w:b/>
          <w:bCs/>
          <w:sz w:val="24"/>
          <w:szCs w:val="24"/>
        </w:rPr>
        <w:t>的权利义务</w:t>
      </w:r>
      <w:bookmarkEnd w:id="34"/>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一）乙方应具备法律法规要求的履行本合同的相关资质；乙方应按国家的和项目所在地技术规范、标准、规程及合同要求提供服务，按本合同约定的进度提交合格的工作成果，并对其提交的工作成果负责。乙方作为专业的服务公司，应提供符合本合同约定的专业性服务。</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（二）</w:t>
      </w:r>
      <w:r>
        <w:rPr>
          <w:rFonts w:ascii="仿宋" w:hAnsi="仿宋" w:eastAsia="仿宋"/>
          <w:sz w:val="24"/>
          <w:szCs w:val="24"/>
        </w:rPr>
        <w:t>乙方负责本合同约定项目的全面工作，必要时乙方</w:t>
      </w:r>
      <w:r>
        <w:rPr>
          <w:rFonts w:hint="eastAsia" w:ascii="仿宋" w:hAnsi="仿宋" w:eastAsia="仿宋"/>
          <w:sz w:val="24"/>
          <w:szCs w:val="24"/>
        </w:rPr>
        <w:t>可</w:t>
      </w:r>
      <w:r>
        <w:rPr>
          <w:rFonts w:ascii="仿宋" w:hAnsi="仿宋" w:eastAsia="仿宋"/>
          <w:sz w:val="24"/>
          <w:szCs w:val="24"/>
        </w:rPr>
        <w:t>聘请专门咨询机构或协作机构，需事先向甲方</w:t>
      </w:r>
      <w:r>
        <w:rPr>
          <w:rFonts w:hint="eastAsia" w:ascii="仿宋" w:hAnsi="仿宋" w:eastAsia="仿宋"/>
          <w:sz w:val="24"/>
          <w:szCs w:val="24"/>
        </w:rPr>
        <w:t>书面</w:t>
      </w:r>
      <w:r>
        <w:rPr>
          <w:rFonts w:ascii="仿宋" w:hAnsi="仿宋" w:eastAsia="仿宋"/>
          <w:sz w:val="24"/>
          <w:szCs w:val="24"/>
        </w:rPr>
        <w:t>通报，并由乙方</w:t>
      </w:r>
      <w:r>
        <w:rPr>
          <w:rFonts w:hint="eastAsia" w:ascii="仿宋" w:hAnsi="仿宋" w:eastAsia="仿宋"/>
          <w:sz w:val="24"/>
          <w:szCs w:val="24"/>
        </w:rPr>
        <w:t>自行</w:t>
      </w:r>
      <w:r>
        <w:rPr>
          <w:rFonts w:ascii="仿宋" w:hAnsi="仿宋" w:eastAsia="仿宋"/>
          <w:sz w:val="24"/>
          <w:szCs w:val="24"/>
        </w:rPr>
        <w:t>承担</w:t>
      </w:r>
      <w:r>
        <w:rPr>
          <w:rFonts w:hint="eastAsia" w:ascii="仿宋" w:hAnsi="仿宋" w:eastAsia="仿宋"/>
          <w:sz w:val="24"/>
          <w:szCs w:val="24"/>
        </w:rPr>
        <w:t>由此产生</w:t>
      </w:r>
      <w:r>
        <w:rPr>
          <w:rFonts w:ascii="仿宋" w:hAnsi="仿宋" w:eastAsia="仿宋"/>
          <w:sz w:val="24"/>
          <w:szCs w:val="24"/>
        </w:rPr>
        <w:t>的一切费用。由甲方另行聘请的机构</w:t>
      </w:r>
      <w:r>
        <w:rPr>
          <w:rFonts w:hint="eastAsia" w:ascii="仿宋" w:hAnsi="仿宋" w:eastAsia="仿宋"/>
          <w:sz w:val="24"/>
          <w:szCs w:val="24"/>
        </w:rPr>
        <w:t>如</w:t>
      </w:r>
      <w:r>
        <w:rPr>
          <w:rFonts w:ascii="仿宋" w:hAnsi="仿宋" w:eastAsia="仿宋"/>
          <w:sz w:val="24"/>
          <w:szCs w:val="24"/>
        </w:rPr>
        <w:t>需与乙方进行技术协调，乙方</w:t>
      </w:r>
      <w:r>
        <w:rPr>
          <w:rFonts w:hint="eastAsia" w:ascii="仿宋" w:hAnsi="仿宋" w:eastAsia="仿宋"/>
          <w:sz w:val="24"/>
          <w:szCs w:val="24"/>
        </w:rPr>
        <w:t>应积极配合，</w:t>
      </w:r>
      <w:r>
        <w:rPr>
          <w:rFonts w:ascii="仿宋" w:hAnsi="仿宋" w:eastAsia="仿宋"/>
          <w:sz w:val="24"/>
          <w:szCs w:val="24"/>
        </w:rPr>
        <w:t>提供合作和技术支持。</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（三）</w:t>
      </w:r>
      <w:r>
        <w:rPr>
          <w:rFonts w:ascii="仿宋" w:hAnsi="仿宋" w:eastAsia="仿宋"/>
          <w:sz w:val="24"/>
          <w:szCs w:val="24"/>
        </w:rPr>
        <w:t>乙方</w:t>
      </w:r>
      <w:r>
        <w:rPr>
          <w:rFonts w:hint="eastAsia" w:ascii="仿宋" w:hAnsi="仿宋" w:eastAsia="仿宋"/>
          <w:sz w:val="24"/>
          <w:szCs w:val="24"/>
        </w:rPr>
        <w:t>应</w:t>
      </w:r>
      <w:r>
        <w:rPr>
          <w:rFonts w:ascii="仿宋" w:hAnsi="仿宋" w:eastAsia="仿宋"/>
          <w:sz w:val="24"/>
          <w:szCs w:val="24"/>
        </w:rPr>
        <w:t>按本合同</w:t>
      </w:r>
      <w:r>
        <w:rPr>
          <w:rFonts w:hint="eastAsia" w:ascii="仿宋" w:hAnsi="仿宋" w:eastAsia="仿宋"/>
          <w:sz w:val="24"/>
          <w:szCs w:val="24"/>
        </w:rPr>
        <w:t>约</w:t>
      </w:r>
      <w:r>
        <w:rPr>
          <w:rFonts w:ascii="仿宋" w:hAnsi="仿宋" w:eastAsia="仿宋"/>
          <w:sz w:val="24"/>
          <w:szCs w:val="24"/>
        </w:rPr>
        <w:t>定的内容</w:t>
      </w:r>
      <w:r>
        <w:rPr>
          <w:rFonts w:hint="eastAsia" w:ascii="仿宋" w:hAnsi="仿宋" w:eastAsia="仿宋"/>
          <w:sz w:val="24"/>
          <w:szCs w:val="24"/>
        </w:rPr>
        <w:t>、时间、质量等要求</w:t>
      </w:r>
      <w:r>
        <w:rPr>
          <w:rFonts w:ascii="仿宋" w:hAnsi="仿宋" w:eastAsia="仿宋"/>
          <w:sz w:val="24"/>
          <w:szCs w:val="24"/>
        </w:rPr>
        <w:t>向甲方交付</w:t>
      </w:r>
      <w:r>
        <w:rPr>
          <w:rFonts w:hint="eastAsia" w:ascii="仿宋" w:hAnsi="仿宋" w:eastAsia="仿宋"/>
          <w:sz w:val="24"/>
          <w:szCs w:val="24"/>
        </w:rPr>
        <w:t>成果文件</w:t>
      </w:r>
      <w:r>
        <w:rPr>
          <w:rFonts w:ascii="仿宋" w:hAnsi="仿宋" w:eastAsia="仿宋"/>
          <w:sz w:val="24"/>
          <w:szCs w:val="24"/>
        </w:rPr>
        <w:t>，并对其</w:t>
      </w:r>
      <w:r>
        <w:rPr>
          <w:rFonts w:hint="eastAsia" w:ascii="仿宋" w:hAnsi="仿宋" w:eastAsia="仿宋"/>
          <w:sz w:val="24"/>
          <w:szCs w:val="24"/>
        </w:rPr>
        <w:t>提交的成果文件</w:t>
      </w:r>
      <w:r>
        <w:rPr>
          <w:rFonts w:ascii="仿宋" w:hAnsi="仿宋" w:eastAsia="仿宋"/>
          <w:sz w:val="24"/>
          <w:szCs w:val="24"/>
        </w:rPr>
        <w:t>的准确性全面负责</w:t>
      </w:r>
      <w:r>
        <w:rPr>
          <w:rFonts w:hint="eastAsia" w:ascii="仿宋" w:hAnsi="仿宋" w:eastAsia="仿宋"/>
          <w:sz w:val="24"/>
          <w:szCs w:val="24"/>
        </w:rPr>
        <w:t>，因成果文件不符合相关规定或合同约定，乙方应予更正。如因此给甲方造成经济损失，由乙方负责赔偿。</w:t>
      </w:r>
      <w:r>
        <w:rPr>
          <w:rFonts w:ascii="仿宋" w:hAnsi="仿宋" w:eastAsia="仿宋"/>
          <w:sz w:val="24"/>
          <w:szCs w:val="24"/>
        </w:rPr>
        <w:t xml:space="preserve"> </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（四）服务</w:t>
      </w:r>
      <w:r>
        <w:rPr>
          <w:rFonts w:ascii="仿宋" w:hAnsi="仿宋" w:eastAsia="仿宋"/>
          <w:sz w:val="24"/>
          <w:szCs w:val="24"/>
        </w:rPr>
        <w:t>配合</w:t>
      </w:r>
    </w:p>
    <w:p>
      <w:pPr>
        <w:spacing w:line="360" w:lineRule="auto"/>
        <w:ind w:firstLine="480" w:firstLineChars="200"/>
        <w:jc w:val="both"/>
        <w:rPr>
          <w:rFonts w:ascii="仿宋" w:hAnsi="仿宋" w:eastAsia="仿宋"/>
          <w:sz w:val="24"/>
          <w:szCs w:val="24"/>
        </w:rPr>
      </w:pPr>
      <w:r>
        <w:rPr>
          <w:rFonts w:ascii="仿宋" w:hAnsi="仿宋" w:eastAsia="仿宋"/>
          <w:sz w:val="24"/>
          <w:szCs w:val="24"/>
        </w:rPr>
        <w:t>1.乙方</w:t>
      </w:r>
      <w:r>
        <w:rPr>
          <w:rFonts w:hint="eastAsia" w:ascii="仿宋" w:hAnsi="仿宋" w:eastAsia="仿宋"/>
          <w:sz w:val="24"/>
          <w:szCs w:val="24"/>
        </w:rPr>
        <w:t>在遵循法规政策、技术标准的前提下，应在本合同约定的服务内容范围，结合</w:t>
      </w:r>
      <w:r>
        <w:rPr>
          <w:rFonts w:ascii="仿宋" w:hAnsi="仿宋" w:eastAsia="仿宋"/>
          <w:sz w:val="24"/>
          <w:szCs w:val="24"/>
        </w:rPr>
        <w:t>甲方</w:t>
      </w:r>
      <w:r>
        <w:rPr>
          <w:rFonts w:hint="eastAsia" w:ascii="仿宋" w:hAnsi="仿宋" w:eastAsia="仿宋"/>
          <w:sz w:val="24"/>
          <w:szCs w:val="24"/>
        </w:rPr>
        <w:t>的</w:t>
      </w:r>
      <w:r>
        <w:rPr>
          <w:rFonts w:ascii="仿宋" w:hAnsi="仿宋" w:eastAsia="仿宋"/>
          <w:sz w:val="24"/>
          <w:szCs w:val="24"/>
        </w:rPr>
        <w:t>要求</w:t>
      </w:r>
      <w:r>
        <w:rPr>
          <w:rFonts w:hint="eastAsia" w:ascii="仿宋" w:hAnsi="仿宋" w:eastAsia="仿宋"/>
          <w:sz w:val="24"/>
          <w:szCs w:val="24"/>
        </w:rPr>
        <w:t>对提交的成果文件</w:t>
      </w:r>
      <w:r>
        <w:rPr>
          <w:rFonts w:ascii="仿宋" w:hAnsi="仿宋" w:eastAsia="仿宋"/>
          <w:sz w:val="24"/>
          <w:szCs w:val="24"/>
        </w:rPr>
        <w:t>进行修改。</w:t>
      </w:r>
    </w:p>
    <w:p>
      <w:pPr>
        <w:spacing w:line="360" w:lineRule="auto"/>
        <w:ind w:firstLine="480" w:firstLineChars="200"/>
        <w:jc w:val="both"/>
        <w:rPr>
          <w:rFonts w:ascii="仿宋" w:hAnsi="仿宋" w:eastAsia="仿宋"/>
          <w:sz w:val="24"/>
          <w:szCs w:val="24"/>
        </w:rPr>
      </w:pPr>
      <w:r>
        <w:rPr>
          <w:rFonts w:ascii="仿宋" w:hAnsi="仿宋" w:eastAsia="仿宋"/>
          <w:sz w:val="24"/>
          <w:szCs w:val="24"/>
        </w:rPr>
        <w:t>2.乙方应对当地政府、甲方所指定的配合单位或第三方所提出的问题及时给出响应，</w:t>
      </w:r>
      <w:r>
        <w:rPr>
          <w:rFonts w:hint="eastAsia" w:ascii="仿宋" w:hAnsi="仿宋" w:eastAsia="仿宋"/>
          <w:sz w:val="24"/>
          <w:szCs w:val="24"/>
        </w:rPr>
        <w:t>任何情况下不晚于</w:t>
      </w:r>
      <w:r>
        <w:rPr>
          <w:rFonts w:ascii="仿宋" w:hAnsi="仿宋" w:eastAsia="仿宋"/>
          <w:sz w:val="24"/>
          <w:szCs w:val="24"/>
        </w:rPr>
        <w:t>5个工作日内给予回复</w:t>
      </w:r>
      <w:r>
        <w:rPr>
          <w:rFonts w:hint="eastAsia" w:ascii="仿宋" w:hAnsi="仿宋" w:eastAsia="仿宋"/>
          <w:sz w:val="24"/>
          <w:szCs w:val="24"/>
        </w:rPr>
        <w:t>，如政府部门有特殊要求的应无条件配合</w:t>
      </w:r>
      <w:r>
        <w:rPr>
          <w:rFonts w:ascii="仿宋" w:hAnsi="仿宋" w:eastAsia="仿宋"/>
          <w:sz w:val="24"/>
          <w:szCs w:val="24"/>
        </w:rPr>
        <w:t>。</w:t>
      </w:r>
    </w:p>
    <w:p>
      <w:pPr>
        <w:spacing w:line="360" w:lineRule="auto"/>
        <w:ind w:firstLine="480" w:firstLineChars="200"/>
        <w:jc w:val="both"/>
        <w:rPr>
          <w:rFonts w:ascii="仿宋" w:hAnsi="仿宋" w:eastAsia="仿宋"/>
          <w:sz w:val="24"/>
          <w:szCs w:val="24"/>
        </w:rPr>
      </w:pPr>
      <w:r>
        <w:rPr>
          <w:rFonts w:ascii="仿宋" w:hAnsi="仿宋" w:eastAsia="仿宋"/>
          <w:sz w:val="24"/>
          <w:szCs w:val="24"/>
        </w:rPr>
        <w:t>3.乙方对</w:t>
      </w:r>
      <w:r>
        <w:rPr>
          <w:rFonts w:hint="eastAsia" w:ascii="仿宋" w:hAnsi="仿宋" w:eastAsia="仿宋"/>
          <w:sz w:val="24"/>
          <w:szCs w:val="24"/>
        </w:rPr>
        <w:t>服务</w:t>
      </w:r>
      <w:r>
        <w:rPr>
          <w:rFonts w:ascii="仿宋" w:hAnsi="仿宋" w:eastAsia="仿宋"/>
          <w:sz w:val="24"/>
          <w:szCs w:val="24"/>
        </w:rPr>
        <w:t>过程中所需的</w:t>
      </w:r>
      <w:r>
        <w:rPr>
          <w:rFonts w:hint="eastAsia" w:ascii="仿宋" w:hAnsi="仿宋" w:eastAsia="仿宋"/>
          <w:sz w:val="24"/>
          <w:szCs w:val="24"/>
        </w:rPr>
        <w:t>文件</w:t>
      </w:r>
      <w:r>
        <w:rPr>
          <w:rFonts w:ascii="仿宋" w:hAnsi="仿宋" w:eastAsia="仿宋"/>
          <w:sz w:val="24"/>
          <w:szCs w:val="24"/>
        </w:rPr>
        <w:t>资料或其它需甲方配合的事项，应在保证</w:t>
      </w:r>
      <w:r>
        <w:rPr>
          <w:rFonts w:hint="eastAsia" w:ascii="仿宋" w:hAnsi="仿宋" w:eastAsia="仿宋"/>
          <w:sz w:val="24"/>
          <w:szCs w:val="24"/>
        </w:rPr>
        <w:t>服务</w:t>
      </w:r>
      <w:r>
        <w:rPr>
          <w:rFonts w:ascii="仿宋" w:hAnsi="仿宋" w:eastAsia="仿宋"/>
          <w:sz w:val="24"/>
          <w:szCs w:val="24"/>
        </w:rPr>
        <w:t>进度的前提下，及时通知甲方。</w:t>
      </w:r>
    </w:p>
    <w:p>
      <w:pPr>
        <w:spacing w:line="360" w:lineRule="auto"/>
        <w:ind w:firstLine="480" w:firstLineChars="200"/>
        <w:jc w:val="both"/>
        <w:rPr>
          <w:rFonts w:ascii="仿宋" w:hAnsi="仿宋" w:eastAsia="仿宋"/>
          <w:sz w:val="24"/>
          <w:szCs w:val="24"/>
        </w:rPr>
      </w:pPr>
      <w:r>
        <w:rPr>
          <w:rFonts w:ascii="仿宋" w:hAnsi="仿宋" w:eastAsia="仿宋"/>
          <w:sz w:val="24"/>
          <w:szCs w:val="24"/>
        </w:rPr>
        <w:t>4.设计图纸</w:t>
      </w:r>
      <w:r>
        <w:rPr>
          <w:rFonts w:hint="eastAsia" w:ascii="仿宋" w:hAnsi="仿宋" w:eastAsia="仿宋"/>
          <w:sz w:val="24"/>
          <w:szCs w:val="24"/>
        </w:rPr>
        <w:t>。</w:t>
      </w:r>
      <w:r>
        <w:rPr>
          <w:rFonts w:ascii="仿宋" w:hAnsi="仿宋" w:eastAsia="仿宋"/>
          <w:sz w:val="24"/>
          <w:szCs w:val="24"/>
        </w:rPr>
        <w:t>乙方应提供本合同所要求的设计图纸及电子文件光盘。</w:t>
      </w:r>
    </w:p>
    <w:p>
      <w:pPr>
        <w:spacing w:line="360" w:lineRule="auto"/>
        <w:ind w:firstLine="480" w:firstLineChars="200"/>
        <w:jc w:val="both"/>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未经甲方事先书面同意，乙方不得更换服务团队工作人员。</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（五）乙方应对其工作人员加强安全教育培训和管理。在履行本合同过程中乙方工作人员发生的人身、财产损害，由乙方承担全部责任。</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（六）</w:t>
      </w:r>
      <w:r>
        <w:rPr>
          <w:rFonts w:eastAsia="仿宋"/>
          <w:color w:val="000000"/>
          <w:sz w:val="24"/>
          <w:szCs w:val="24"/>
        </w:rPr>
        <w:t>乙方提供的成果文件达不到合同约定要求</w:t>
      </w:r>
      <w:r>
        <w:rPr>
          <w:rFonts w:hint="eastAsia" w:eastAsia="仿宋"/>
          <w:color w:val="000000"/>
          <w:sz w:val="24"/>
          <w:szCs w:val="24"/>
        </w:rPr>
        <w:t>，</w:t>
      </w:r>
      <w:r>
        <w:rPr>
          <w:rFonts w:eastAsia="仿宋"/>
          <w:color w:val="000000"/>
          <w:sz w:val="24"/>
          <w:szCs w:val="24"/>
        </w:rPr>
        <w:t>或乙方对工作过程中由于自身原因而出现的遗漏与错误的，应无条件负责进行修改和补充，不得要求甲方另行支付任何费用。由此给甲方造成的一切损失，乙方应进行赔偿</w:t>
      </w:r>
      <w:r>
        <w:rPr>
          <w:rFonts w:hint="eastAsia" w:ascii="仿宋" w:hAnsi="仿宋" w:eastAsia="仿宋"/>
          <w:sz w:val="24"/>
          <w:szCs w:val="24"/>
        </w:rPr>
        <w:t>。</w:t>
      </w:r>
    </w:p>
    <w:p>
      <w:pPr>
        <w:autoSpaceDE w:val="0"/>
        <w:autoSpaceDN w:val="0"/>
        <w:adjustRightInd w:val="0"/>
        <w:spacing w:line="360" w:lineRule="auto"/>
        <w:ind w:firstLine="482" w:firstLineChars="200"/>
        <w:jc w:val="both"/>
        <w:outlineLvl w:val="0"/>
        <w:rPr>
          <w:rFonts w:ascii="仿宋" w:hAnsi="仿宋" w:eastAsia="仿宋" w:cs="宋体"/>
          <w:b/>
          <w:bCs/>
          <w:sz w:val="24"/>
          <w:szCs w:val="24"/>
        </w:rPr>
      </w:pPr>
      <w:bookmarkStart w:id="35" w:name="_Toc3482847"/>
      <w:bookmarkStart w:id="36" w:name="_Toc78993272"/>
      <w:r>
        <w:rPr>
          <w:rFonts w:hint="eastAsia" w:ascii="仿宋" w:hAnsi="仿宋" w:eastAsia="仿宋" w:cs="宋体"/>
          <w:b/>
          <w:bCs/>
          <w:sz w:val="24"/>
          <w:szCs w:val="24"/>
        </w:rPr>
        <w:t>九、违约责任</w:t>
      </w:r>
      <w:bookmarkEnd w:id="35"/>
      <w:r>
        <w:rPr>
          <w:rFonts w:hint="eastAsia" w:ascii="仿宋" w:hAnsi="仿宋" w:eastAsia="仿宋" w:cs="宋体"/>
          <w:b/>
          <w:bCs/>
          <w:sz w:val="24"/>
          <w:szCs w:val="24"/>
        </w:rPr>
        <w:t>及合同的解除、终止</w:t>
      </w:r>
      <w:bookmarkEnd w:id="36"/>
    </w:p>
    <w:p>
      <w:pPr>
        <w:spacing w:line="360" w:lineRule="auto"/>
        <w:ind w:firstLine="480" w:firstLineChars="200"/>
        <w:jc w:val="both"/>
        <w:rPr>
          <w:rFonts w:ascii="仿宋" w:hAnsi="仿宋" w:eastAsia="仿宋"/>
          <w:sz w:val="24"/>
          <w:szCs w:val="24"/>
        </w:rPr>
      </w:pPr>
      <w:bookmarkStart w:id="37" w:name="_Toc3482848"/>
      <w:r>
        <w:rPr>
          <w:rFonts w:hint="eastAsia" w:ascii="仿宋" w:hAnsi="仿宋" w:eastAsia="仿宋"/>
          <w:sz w:val="24"/>
          <w:szCs w:val="24"/>
        </w:rPr>
        <w:t>（一）本合同执行过程中，因不可抗力因素造成本合同无法继续履约，甲、乙双方协商同意后，可以终止本合同。甲方按乙方已完成并经甲方确认的实际工作量向乙方支付服务费。乙方应根据甲方要求及时返还或销毁甲方所提供的所有形式的资料或数据的原件、复印件或电子版。</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（二）本合同执行过程中，由于甲方提供的资料不准确或未按期提供履行合同必须的项目资料或工作条件等非乙方原因</w:t>
      </w:r>
      <w:r>
        <w:rPr>
          <w:rFonts w:ascii="仿宋" w:hAnsi="仿宋" w:eastAsia="仿宋"/>
          <w:sz w:val="24"/>
          <w:szCs w:val="24"/>
        </w:rPr>
        <w:t>所</w:t>
      </w:r>
      <w:r>
        <w:rPr>
          <w:rFonts w:hint="eastAsia" w:ascii="仿宋" w:hAnsi="仿宋" w:eastAsia="仿宋"/>
          <w:sz w:val="24"/>
          <w:szCs w:val="24"/>
        </w:rPr>
        <w:t>造成乙方工作的返工、窝工或修改，甲方应按乙方实际工作量支付费用，乙方的实际工作量须经甲乙双方共同签字确认。</w:t>
      </w:r>
      <w:r>
        <w:rPr>
          <w:rFonts w:ascii="仿宋" w:hAnsi="仿宋" w:eastAsia="仿宋"/>
          <w:sz w:val="24"/>
          <w:szCs w:val="24"/>
        </w:rPr>
        <w:t>具体</w:t>
      </w:r>
      <w:r>
        <w:rPr>
          <w:rFonts w:hint="eastAsia" w:ascii="仿宋" w:hAnsi="仿宋" w:eastAsia="仿宋"/>
          <w:sz w:val="24"/>
          <w:szCs w:val="24"/>
        </w:rPr>
        <w:t>金额</w:t>
      </w:r>
      <w:r>
        <w:rPr>
          <w:rFonts w:ascii="仿宋" w:hAnsi="仿宋" w:eastAsia="仿宋"/>
          <w:sz w:val="24"/>
          <w:szCs w:val="24"/>
        </w:rPr>
        <w:t>由甲乙双方协商确定</w:t>
      </w:r>
      <w:r>
        <w:rPr>
          <w:rFonts w:hint="eastAsia" w:ascii="仿宋" w:hAnsi="仿宋" w:eastAsia="仿宋"/>
          <w:sz w:val="24"/>
          <w:szCs w:val="24"/>
        </w:rPr>
        <w:t>并签订相应的补充协议，其中变更内容包括项目范围、基础数据、城市更新政策外的建设量及成本核算标准、城市更新政策外的用地方案及城市设计方案。</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（三）因甲方原因或项目条件变更造成工作的重大返工或重新服务，超出本合同约定工作范围</w:t>
      </w:r>
      <w:r>
        <w:rPr>
          <w:rFonts w:ascii="仿宋" w:hAnsi="仿宋" w:eastAsia="仿宋"/>
          <w:sz w:val="24"/>
          <w:szCs w:val="24"/>
        </w:rPr>
        <w:t>10%以上，乙方可申请另行增加服务费用，具体由双方另行协商。</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四）在合同履行期间，甲方要求提前终止合同并不承担任何违约责任，如乙方已开始工作的，甲方应根据经甲乙双方共同签字确认的乙方已完成的工作量结算服务费。乙方收到甲方支付的费用后，应及时返还或销毁甲方所提供的所有形式的资料或数据的原件、复印件或电子版。</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（五）乙方对其提交的成果资料及文件出现的遗漏或错误承担修改或补充责任，须按甲方要求积极予以修改或补充。如因此给甲方造成直接经济损失的，乙方应予赔偿，具体由甲、乙双方协商确定。</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（六）由于乙方自身原因，延误了按本合同及合同附件约定的成果交付时间，每延误一日应减收该阶段应收费用的万分之一，乙方逾期提交工作成果超过【</w:t>
      </w:r>
      <w:r>
        <w:rPr>
          <w:rFonts w:ascii="仿宋" w:hAnsi="仿宋" w:eastAsia="仿宋"/>
          <w:sz w:val="24"/>
          <w:szCs w:val="24"/>
        </w:rPr>
        <w:t>30】天的，甲方有权单方解除合同。甲方选择继续履行合同的，乙方应按合同总价万分之</w:t>
      </w:r>
      <w:r>
        <w:rPr>
          <w:rFonts w:hint="eastAsia" w:ascii="仿宋" w:hAnsi="仿宋" w:eastAsia="仿宋"/>
          <w:sz w:val="24"/>
          <w:szCs w:val="24"/>
        </w:rPr>
        <w:t>二</w:t>
      </w:r>
      <w:r>
        <w:rPr>
          <w:rFonts w:ascii="仿宋" w:hAnsi="仿宋" w:eastAsia="仿宋"/>
          <w:sz w:val="24"/>
          <w:szCs w:val="24"/>
        </w:rPr>
        <w:t>/日的标准向甲方支付违约金，直至乙方按本合同约定或甲方要求提交成果之日，违约金累计计算。</w:t>
      </w:r>
      <w:r>
        <w:rPr>
          <w:rFonts w:hint="eastAsia" w:eastAsia="仿宋"/>
          <w:color w:val="000000"/>
          <w:sz w:val="24"/>
          <w:szCs w:val="24"/>
        </w:rPr>
        <w:t>违约金不足以弥补甲方损失的，乙方应继续承担损失赔偿责任。</w:t>
      </w:r>
      <w:r>
        <w:rPr>
          <w:rFonts w:ascii="仿宋" w:hAnsi="仿宋" w:eastAsia="仿宋"/>
          <w:sz w:val="24"/>
          <w:szCs w:val="24"/>
        </w:rPr>
        <w:t>若双方</w:t>
      </w:r>
      <w:r>
        <w:rPr>
          <w:rFonts w:hint="eastAsia" w:eastAsia="仿宋"/>
          <w:color w:val="000000"/>
          <w:sz w:val="24"/>
          <w:szCs w:val="24"/>
        </w:rPr>
        <w:t>在成果提交日之前，</w:t>
      </w:r>
      <w:r>
        <w:rPr>
          <w:rFonts w:hint="eastAsia" w:ascii="仿宋" w:hAnsi="仿宋" w:eastAsia="仿宋"/>
          <w:sz w:val="24"/>
          <w:szCs w:val="24"/>
        </w:rPr>
        <w:t>书面</w:t>
      </w:r>
      <w:r>
        <w:rPr>
          <w:rFonts w:ascii="仿宋" w:hAnsi="仿宋" w:eastAsia="仿宋"/>
          <w:sz w:val="24"/>
          <w:szCs w:val="24"/>
        </w:rPr>
        <w:t>确定变更交付时间</w:t>
      </w:r>
      <w:r>
        <w:rPr>
          <w:rFonts w:hint="eastAsia" w:eastAsia="仿宋"/>
          <w:color w:val="000000"/>
          <w:sz w:val="24"/>
          <w:szCs w:val="24"/>
        </w:rPr>
        <w:t>且约定乙方就此不承担任何违约责任的，在变更的交付时间届满之前，乙方不承担违约责任</w:t>
      </w:r>
      <w:r>
        <w:rPr>
          <w:rFonts w:ascii="仿宋" w:hAnsi="仿宋" w:eastAsia="仿宋"/>
          <w:sz w:val="24"/>
          <w:szCs w:val="24"/>
        </w:rPr>
        <w:t>。</w:t>
      </w:r>
    </w:p>
    <w:p>
      <w:pPr>
        <w:spacing w:line="360" w:lineRule="auto"/>
        <w:ind w:firstLine="480" w:firstLineChars="200"/>
        <w:jc w:val="both"/>
        <w:rPr>
          <w:rFonts w:ascii="宋体" w:hAnsi="宋体" w:eastAsia="仿宋" w:cs="宋体"/>
          <w:sz w:val="24"/>
          <w:szCs w:val="24"/>
        </w:rPr>
      </w:pPr>
      <w:r>
        <w:rPr>
          <w:rFonts w:hint="eastAsia" w:ascii="仿宋" w:hAnsi="仿宋" w:eastAsia="仿宋"/>
          <w:sz w:val="24"/>
          <w:szCs w:val="24"/>
        </w:rPr>
        <w:t>（</w:t>
      </w:r>
      <w:r>
        <w:rPr>
          <w:rFonts w:hint="eastAsia" w:ascii="仿宋" w:hAnsi="仿宋" w:eastAsia="仿宋"/>
          <w:sz w:val="24"/>
          <w:szCs w:val="24"/>
          <w:lang w:val="en-US" w:eastAsia="zh-CN"/>
        </w:rPr>
        <w:t>七</w:t>
      </w:r>
      <w:r>
        <w:rPr>
          <w:rFonts w:hint="eastAsia" w:ascii="仿宋" w:hAnsi="仿宋" w:eastAsia="仿宋"/>
          <w:sz w:val="24"/>
          <w:szCs w:val="24"/>
        </w:rPr>
        <w:t>）</w:t>
      </w:r>
      <w:r>
        <w:rPr>
          <w:rFonts w:ascii="仿宋" w:hAnsi="仿宋" w:eastAsia="仿宋"/>
          <w:sz w:val="24"/>
          <w:szCs w:val="24"/>
        </w:rPr>
        <w:t>本合同生效后，</w:t>
      </w:r>
      <w:r>
        <w:rPr>
          <w:rFonts w:hint="eastAsia" w:ascii="仿宋" w:hAnsi="仿宋" w:eastAsia="仿宋"/>
          <w:sz w:val="24"/>
          <w:szCs w:val="24"/>
        </w:rPr>
        <w:t>乙方提出解除合同或提前终止合同的、或怠于履行本合同义务的、或因其它乙方原因致使甲方合同目的无法实现的（本合同另有约定的除外），视为乙方根本违约。乙方根本违约的，甲方有权</w:t>
      </w:r>
      <w:r>
        <w:rPr>
          <w:rFonts w:hint="eastAsia" w:ascii="仿宋" w:hAnsi="仿宋" w:eastAsia="仿宋" w:cs="仿宋"/>
          <w:sz w:val="24"/>
          <w:szCs w:val="24"/>
        </w:rPr>
        <w:t>单方解除本合同，乙方应返还甲方已经支付的全部款项。</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八</w:t>
      </w:r>
      <w:r>
        <w:rPr>
          <w:rFonts w:hint="eastAsia" w:ascii="仿宋" w:hAnsi="仿宋" w:eastAsia="仿宋" w:cs="仿宋"/>
          <w:sz w:val="24"/>
          <w:szCs w:val="24"/>
        </w:rPr>
        <w:t>）若乙方所提交的阶段性或最终成果</w:t>
      </w:r>
      <w:r>
        <w:rPr>
          <w:rFonts w:ascii="仿宋" w:hAnsi="仿宋" w:eastAsia="仿宋" w:cs="仿宋"/>
          <w:sz w:val="24"/>
          <w:szCs w:val="24"/>
        </w:rPr>
        <w:t>未达到</w:t>
      </w:r>
      <w:r>
        <w:rPr>
          <w:rFonts w:hint="eastAsia" w:ascii="仿宋" w:hAnsi="仿宋" w:eastAsia="仿宋" w:cs="仿宋"/>
          <w:sz w:val="24"/>
          <w:szCs w:val="24"/>
        </w:rPr>
        <w:t>合同</w:t>
      </w:r>
      <w:r>
        <w:rPr>
          <w:rFonts w:ascii="仿宋" w:hAnsi="仿宋" w:eastAsia="仿宋" w:cs="仿宋"/>
          <w:sz w:val="24"/>
          <w:szCs w:val="24"/>
        </w:rPr>
        <w:t>要求</w:t>
      </w:r>
      <w:r>
        <w:rPr>
          <w:rFonts w:hint="eastAsia" w:ascii="仿宋" w:hAnsi="仿宋" w:eastAsia="仿宋" w:cs="仿宋"/>
          <w:sz w:val="24"/>
          <w:szCs w:val="24"/>
        </w:rPr>
        <w:t>的</w:t>
      </w:r>
      <w:r>
        <w:rPr>
          <w:rFonts w:ascii="仿宋" w:hAnsi="仿宋" w:eastAsia="仿宋" w:cs="仿宋"/>
          <w:sz w:val="24"/>
          <w:szCs w:val="24"/>
        </w:rPr>
        <w:t>，</w:t>
      </w:r>
      <w:r>
        <w:rPr>
          <w:rFonts w:hint="eastAsia" w:ascii="仿宋" w:hAnsi="仿宋" w:eastAsia="仿宋"/>
          <w:sz w:val="24"/>
          <w:szCs w:val="24"/>
        </w:rPr>
        <w:t>乙方应配合甲方修改，直至成果到达合同要求</w:t>
      </w:r>
      <w:r>
        <w:rPr>
          <w:rFonts w:hint="eastAsia" w:ascii="仿宋" w:hAnsi="仿宋" w:eastAsia="仿宋" w:cs="仿宋"/>
          <w:sz w:val="24"/>
          <w:szCs w:val="24"/>
        </w:rPr>
        <w:t>。</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九</w:t>
      </w:r>
      <w:r>
        <w:rPr>
          <w:rFonts w:hint="eastAsia" w:ascii="仿宋" w:hAnsi="仿宋" w:eastAsia="仿宋" w:cs="仿宋"/>
          <w:sz w:val="24"/>
          <w:szCs w:val="24"/>
        </w:rPr>
        <w:t>）如因乙方没有履行本合同的相关资质或者超越资质履约，致使本合同无效的，乙方应退还甲方已支付的所有费用。</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（十）乙方未经甲方书面同意擅自调换主要团队工作人员，乙方应按甲方要求限期纠正，并应按违约调换人数，每人次向甲方支付人民币【</w:t>
      </w:r>
      <w:r>
        <w:rPr>
          <w:rFonts w:ascii="仿宋" w:hAnsi="仿宋" w:eastAsia="仿宋" w:cs="仿宋"/>
          <w:sz w:val="24"/>
          <w:szCs w:val="24"/>
        </w:rPr>
        <w:t>10000元】的违约金</w:t>
      </w:r>
      <w:r>
        <w:rPr>
          <w:rFonts w:hint="eastAsia" w:ascii="仿宋" w:hAnsi="仿宋" w:eastAsia="仿宋" w:cs="仿宋"/>
          <w:sz w:val="24"/>
          <w:szCs w:val="24"/>
        </w:rPr>
        <w:t>。</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一</w:t>
      </w:r>
      <w:r>
        <w:rPr>
          <w:rFonts w:hint="eastAsia" w:ascii="仿宋" w:hAnsi="仿宋" w:eastAsia="仿宋" w:cs="仿宋"/>
          <w:sz w:val="24"/>
          <w:szCs w:val="24"/>
        </w:rPr>
        <w:t>）甲、乙双方确认，本合同约定的违约金公平合理，双方均放弃请求人民法院调高或调低违约金标准的权利。甲方有权从对乙方的应付款中优先扣除乙方应付的违约金、赔偿金。</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二</w:t>
      </w:r>
      <w:r>
        <w:rPr>
          <w:rFonts w:hint="eastAsia" w:ascii="仿宋" w:hAnsi="仿宋" w:eastAsia="仿宋" w:cs="仿宋"/>
          <w:sz w:val="24"/>
          <w:szCs w:val="24"/>
        </w:rPr>
        <w:t>）甲方依据本合同单方解除合同时，应书面通知对方，本合同自书面通知送达乙方之时起解除。</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三</w:t>
      </w:r>
      <w:r>
        <w:rPr>
          <w:rFonts w:hint="eastAsia" w:ascii="仿宋" w:hAnsi="仿宋" w:eastAsia="仿宋" w:cs="仿宋"/>
          <w:sz w:val="24"/>
          <w:szCs w:val="24"/>
        </w:rPr>
        <w:t>）双方约定在任何情况下，乙方向甲方支付的违约金、赔偿金累计不超过乙方已收到的服务费。</w:t>
      </w:r>
    </w:p>
    <w:p>
      <w:pPr>
        <w:autoSpaceDE w:val="0"/>
        <w:autoSpaceDN w:val="0"/>
        <w:adjustRightInd w:val="0"/>
        <w:spacing w:line="360" w:lineRule="auto"/>
        <w:ind w:firstLine="482" w:firstLineChars="200"/>
        <w:jc w:val="both"/>
        <w:outlineLvl w:val="0"/>
        <w:rPr>
          <w:rFonts w:ascii="仿宋" w:hAnsi="仿宋" w:eastAsia="仿宋" w:cs="宋体"/>
          <w:b/>
          <w:bCs/>
          <w:sz w:val="24"/>
          <w:szCs w:val="24"/>
        </w:rPr>
      </w:pPr>
      <w:bookmarkStart w:id="38" w:name="_Toc78993273"/>
      <w:r>
        <w:rPr>
          <w:rFonts w:hint="eastAsia" w:ascii="仿宋" w:hAnsi="仿宋" w:eastAsia="仿宋" w:cs="宋体"/>
          <w:b/>
          <w:bCs/>
          <w:sz w:val="24"/>
          <w:szCs w:val="24"/>
        </w:rPr>
        <w:t>十、知识产权与保密条款</w:t>
      </w:r>
      <w:bookmarkEnd w:id="37"/>
      <w:bookmarkEnd w:id="38"/>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一）甲、乙双方应对本项目成果及相关附件、相关技术经济资料（以下简称“本项目资料”）的著作权进行保护。对于乙方提交的工作成果，甲方支付完成本合同项下相应款项后，乙方仅享有署名权，其他权利由甲方享有。甲方书面同意后，乙方可将本合同项下的工作成果用于参加行业相关评选活动、奖项申报活动等。除本合同约定外，乙方不得以任何方式向第三人泄露或转让本项目资料，无论何种原因导致的合同终止，双方仍应继续履行本合同中著作权保护条款，否则由乙方承担</w:t>
      </w:r>
      <w:r>
        <w:rPr>
          <w:rFonts w:ascii="仿宋" w:hAnsi="仿宋" w:eastAsia="仿宋" w:cs="仿宋"/>
          <w:sz w:val="24"/>
          <w:szCs w:val="24"/>
        </w:rPr>
        <w:t>全部</w:t>
      </w:r>
      <w:r>
        <w:rPr>
          <w:rFonts w:hint="eastAsia" w:ascii="仿宋" w:hAnsi="仿宋" w:eastAsia="仿宋" w:cs="仿宋"/>
          <w:sz w:val="24"/>
          <w:szCs w:val="24"/>
        </w:rPr>
        <w:t>责任并赔偿因此给甲方造成的经济损失。</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（二）乙方应向甲方提供的成果文件，系专用于本项目的成果文件，乙方在未征得甲方书面同意的情况下，不得将本项目的成果文件用于其它项目，或者允许他人使用该成果。</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三）在不违背本条（一）款的前提下，甲方有权在本项目自身宣传的印刷品和其它商业出版物上转载乙方提交的成果文件，乙方也可在用于自身宣传的印刷品或其它商业出版物上公布与本项目有关的报道或报告，但均不得含有对对方不利的宣传或报道。</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（四）本合同终止后，甲方保留在本项目中继续使用、深化、或将乙方工作成果提交其他第三方单位参考的权利。</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五）乙方应使用经合法授权的正版软件制作提交成果文件，否则由此导致的法律纠纷由乙方处理，造成甲方或第三方损失的，由乙方承担赔偿责任。乙方承诺甲方不会因采用乙方的工作成果而在专利权及其它知识产权等方面受到来自第三方的诉讼或索赔，如有发生时，乙方承担与此有关的全部责任和所有的费用，若由甲方先行承担的，乙方应当于甲方承担上述费用之日起</w:t>
      </w:r>
      <w:r>
        <w:rPr>
          <w:rFonts w:ascii="仿宋" w:hAnsi="仿宋" w:eastAsia="仿宋" w:cs="仿宋"/>
          <w:sz w:val="24"/>
          <w:szCs w:val="24"/>
        </w:rPr>
        <w:t>15日内赔偿甲方。</w:t>
      </w:r>
    </w:p>
    <w:p>
      <w:pPr>
        <w:autoSpaceDE w:val="0"/>
        <w:autoSpaceDN w:val="0"/>
        <w:adjustRightInd w:val="0"/>
        <w:spacing w:line="360" w:lineRule="auto"/>
        <w:ind w:firstLine="482" w:firstLineChars="200"/>
        <w:jc w:val="both"/>
        <w:outlineLvl w:val="0"/>
        <w:rPr>
          <w:rFonts w:ascii="仿宋" w:hAnsi="仿宋" w:eastAsia="仿宋" w:cs="宋体"/>
          <w:b/>
          <w:bCs/>
          <w:sz w:val="24"/>
          <w:szCs w:val="24"/>
        </w:rPr>
      </w:pPr>
      <w:bookmarkStart w:id="39" w:name="_Toc3482849"/>
      <w:bookmarkStart w:id="40" w:name="_Toc78993274"/>
      <w:r>
        <w:rPr>
          <w:rFonts w:hint="eastAsia" w:ascii="仿宋" w:hAnsi="仿宋" w:eastAsia="仿宋" w:cs="宋体"/>
          <w:b/>
          <w:bCs/>
          <w:sz w:val="24"/>
          <w:szCs w:val="24"/>
        </w:rPr>
        <w:t>十一、不可抗力</w:t>
      </w:r>
      <w:bookmarkEnd w:id="39"/>
      <w:bookmarkEnd w:id="40"/>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一）“不可抗力”是指甲乙双方不能合理控制、不可预见或即使预见亦无法避免且无法克服的事件，该事件实质妨碍、影响或延误任何一方根据本合同履行其全部或部分义务。该事件包括但不限于政府政策调整、地震、台风、洪水、火灾、瘟疫、其他天灾、战争、政变、骚乱、罢工或其他类似事件等因素。</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（二）如发生不可抗力事件，遭受该事件的一方应立即通知对方，并在</w:t>
      </w:r>
      <w:r>
        <w:rPr>
          <w:rFonts w:ascii="仿宋" w:hAnsi="仿宋" w:eastAsia="仿宋" w:cs="仿宋"/>
          <w:sz w:val="24"/>
          <w:szCs w:val="24"/>
        </w:rPr>
        <w:t>30日内提供</w:t>
      </w:r>
      <w:r>
        <w:rPr>
          <w:rFonts w:hint="eastAsia" w:ascii="仿宋" w:hAnsi="仿宋" w:eastAsia="仿宋" w:cs="仿宋"/>
          <w:sz w:val="24"/>
          <w:szCs w:val="24"/>
        </w:rPr>
        <w:t>书面</w:t>
      </w:r>
      <w:r>
        <w:rPr>
          <w:rFonts w:ascii="仿宋" w:hAnsi="仿宋" w:eastAsia="仿宋" w:cs="仿宋"/>
          <w:sz w:val="24"/>
          <w:szCs w:val="24"/>
        </w:rPr>
        <w:t>证明文件说明有关事件的细节和不能履行或部分不能履行或需延迟履行本合同的原因。</w:t>
      </w:r>
      <w:r>
        <w:rPr>
          <w:rFonts w:hint="eastAsia" w:ascii="仿宋" w:hAnsi="仿宋" w:eastAsia="仿宋" w:cs="仿宋"/>
          <w:sz w:val="24"/>
          <w:szCs w:val="24"/>
        </w:rPr>
        <w:t>甲乙双方</w:t>
      </w:r>
      <w:r>
        <w:rPr>
          <w:rFonts w:ascii="仿宋" w:hAnsi="仿宋" w:eastAsia="仿宋" w:cs="仿宋"/>
          <w:sz w:val="24"/>
          <w:szCs w:val="24"/>
        </w:rPr>
        <w:t>应在协商一致的基础上决定是否延期履行本合同或终止本合同，并达成书面</w:t>
      </w:r>
      <w:r>
        <w:rPr>
          <w:rFonts w:hint="eastAsia" w:ascii="仿宋" w:hAnsi="仿宋" w:eastAsia="仿宋" w:cs="仿宋"/>
          <w:sz w:val="24"/>
          <w:szCs w:val="24"/>
        </w:rPr>
        <w:t>协商意见</w:t>
      </w:r>
      <w:r>
        <w:rPr>
          <w:rFonts w:ascii="仿宋" w:hAnsi="仿宋" w:eastAsia="仿宋" w:cs="仿宋"/>
          <w:sz w:val="24"/>
          <w:szCs w:val="24"/>
        </w:rPr>
        <w:t>。</w:t>
      </w:r>
    </w:p>
    <w:p>
      <w:pPr>
        <w:autoSpaceDE w:val="0"/>
        <w:autoSpaceDN w:val="0"/>
        <w:adjustRightInd w:val="0"/>
        <w:spacing w:line="360" w:lineRule="auto"/>
        <w:ind w:firstLine="482" w:firstLineChars="200"/>
        <w:jc w:val="both"/>
        <w:outlineLvl w:val="0"/>
        <w:rPr>
          <w:rFonts w:ascii="仿宋" w:hAnsi="仿宋" w:eastAsia="仿宋" w:cs="宋体"/>
          <w:b/>
          <w:bCs/>
          <w:sz w:val="24"/>
          <w:szCs w:val="24"/>
        </w:rPr>
      </w:pPr>
      <w:bookmarkStart w:id="41" w:name="_Toc78993275"/>
      <w:bookmarkStart w:id="42" w:name="_Toc3482851"/>
      <w:r>
        <w:rPr>
          <w:rFonts w:hint="eastAsia" w:ascii="仿宋" w:hAnsi="仿宋" w:eastAsia="仿宋" w:cs="宋体"/>
          <w:b/>
          <w:bCs/>
          <w:sz w:val="24"/>
          <w:szCs w:val="24"/>
        </w:rPr>
        <w:t>十二、通知</w:t>
      </w:r>
      <w:bookmarkEnd w:id="41"/>
      <w:bookmarkEnd w:id="42"/>
    </w:p>
    <w:p>
      <w:pPr>
        <w:spacing w:line="360" w:lineRule="auto"/>
        <w:ind w:firstLine="480" w:firstLineChars="200"/>
        <w:jc w:val="both"/>
        <w:rPr>
          <w:rFonts w:ascii="仿宋" w:hAnsi="仿宋" w:eastAsia="仿宋"/>
          <w:sz w:val="24"/>
          <w:szCs w:val="24"/>
        </w:rPr>
      </w:pPr>
      <w:bookmarkStart w:id="43" w:name="_Toc194315983"/>
      <w:bookmarkStart w:id="44" w:name="_Toc194314205"/>
      <w:bookmarkStart w:id="45" w:name="_Toc194313598"/>
      <w:bookmarkStart w:id="46" w:name="_Toc194312192"/>
      <w:bookmarkStart w:id="47" w:name="_Toc194719610"/>
      <w:bookmarkStart w:id="48" w:name="_Toc169340916"/>
      <w:bookmarkStart w:id="49" w:name="_Toc393701443"/>
      <w:bookmarkStart w:id="50" w:name="_Toc194373696"/>
      <w:bookmarkStart w:id="51" w:name="_Toc194312909"/>
      <w:bookmarkStart w:id="52" w:name="_Toc430186010"/>
      <w:bookmarkStart w:id="53" w:name="_Toc194316602"/>
      <w:bookmarkStart w:id="54" w:name="_Toc3482852"/>
      <w:r>
        <w:rPr>
          <w:rFonts w:hint="eastAsia" w:ascii="仿宋" w:hAnsi="仿宋" w:eastAsia="仿宋"/>
          <w:sz w:val="24"/>
          <w:szCs w:val="24"/>
        </w:rPr>
        <w:t>（一）甲方的通讯地址为：</w:t>
      </w:r>
      <w:r>
        <w:rPr>
          <w:rFonts w:ascii="仿宋" w:hAnsi="仿宋" w:eastAsia="仿宋"/>
          <w:sz w:val="24"/>
          <w:szCs w:val="24"/>
        </w:rPr>
        <w:t xml:space="preserve">       </w:t>
      </w:r>
      <w:r>
        <w:rPr>
          <w:rFonts w:hint="eastAsia" w:ascii="仿宋" w:hAnsi="仿宋" w:eastAsia="仿宋"/>
          <w:sz w:val="24"/>
          <w:szCs w:val="24"/>
        </w:rPr>
        <w:t>，收件人为：</w:t>
      </w:r>
      <w:r>
        <w:rPr>
          <w:rFonts w:ascii="仿宋" w:hAnsi="仿宋" w:eastAsia="仿宋"/>
          <w:sz w:val="24"/>
          <w:szCs w:val="24"/>
        </w:rPr>
        <w:t xml:space="preserve">    </w:t>
      </w:r>
      <w:r>
        <w:rPr>
          <w:rFonts w:hint="eastAsia" w:ascii="仿宋" w:hAnsi="仿宋" w:eastAsia="仿宋"/>
          <w:sz w:val="24"/>
          <w:szCs w:val="24"/>
        </w:rPr>
        <w:t>，邮政编码为：</w:t>
      </w:r>
      <w:r>
        <w:rPr>
          <w:rFonts w:ascii="仿宋" w:hAnsi="仿宋" w:eastAsia="仿宋"/>
          <w:sz w:val="24"/>
          <w:szCs w:val="24"/>
        </w:rPr>
        <w:t xml:space="preserve">    </w:t>
      </w:r>
      <w:r>
        <w:rPr>
          <w:rFonts w:hint="eastAsia" w:ascii="仿宋" w:hAnsi="仿宋" w:eastAsia="仿宋"/>
          <w:sz w:val="24"/>
          <w:szCs w:val="24"/>
        </w:rPr>
        <w:t>，电子邮件地址为：</w:t>
      </w:r>
      <w:r>
        <w:rPr>
          <w:rFonts w:ascii="仿宋" w:hAnsi="仿宋" w:eastAsia="仿宋"/>
          <w:sz w:val="24"/>
          <w:szCs w:val="24"/>
        </w:rPr>
        <w:t xml:space="preserve">     </w:t>
      </w:r>
      <w:r>
        <w:rPr>
          <w:rFonts w:hint="eastAsia" w:ascii="仿宋" w:hAnsi="仿宋" w:eastAsia="仿宋"/>
          <w:sz w:val="24"/>
          <w:szCs w:val="24"/>
        </w:rPr>
        <w:t>。若甲方拒收、拒签、第三人代签、所留地址有误或变更地址、联系人未通知乙方的，责任由甲方承担，乙方向甲方上述地址所发送的信函文件等视为已送达甲方。</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（二）乙方（主）的通讯地址为：</w:t>
      </w:r>
      <w:r>
        <w:rPr>
          <w:rFonts w:ascii="仿宋" w:hAnsi="仿宋" w:eastAsia="仿宋"/>
          <w:sz w:val="24"/>
          <w:szCs w:val="24"/>
        </w:rPr>
        <w:t xml:space="preserve">       </w:t>
      </w:r>
      <w:r>
        <w:rPr>
          <w:rFonts w:hint="eastAsia" w:ascii="仿宋" w:hAnsi="仿宋" w:eastAsia="仿宋"/>
          <w:sz w:val="24"/>
          <w:szCs w:val="24"/>
        </w:rPr>
        <w:t>，收件人为：</w:t>
      </w:r>
      <w:r>
        <w:rPr>
          <w:rFonts w:ascii="仿宋" w:hAnsi="仿宋" w:eastAsia="仿宋"/>
          <w:sz w:val="24"/>
          <w:szCs w:val="24"/>
        </w:rPr>
        <w:t xml:space="preserve">    </w:t>
      </w:r>
      <w:r>
        <w:rPr>
          <w:rFonts w:hint="eastAsia" w:ascii="仿宋" w:hAnsi="仿宋" w:eastAsia="仿宋"/>
          <w:sz w:val="24"/>
          <w:szCs w:val="24"/>
        </w:rPr>
        <w:t>，邮政编码为：</w:t>
      </w:r>
      <w:r>
        <w:rPr>
          <w:rFonts w:ascii="仿宋" w:hAnsi="仿宋" w:eastAsia="仿宋"/>
          <w:sz w:val="24"/>
          <w:szCs w:val="24"/>
        </w:rPr>
        <w:t xml:space="preserve">    </w:t>
      </w:r>
      <w:r>
        <w:rPr>
          <w:rFonts w:hint="eastAsia" w:ascii="仿宋" w:hAnsi="仿宋" w:eastAsia="仿宋"/>
          <w:sz w:val="24"/>
          <w:szCs w:val="24"/>
        </w:rPr>
        <w:t>，电子邮件地址为：</w:t>
      </w:r>
      <w:r>
        <w:rPr>
          <w:rFonts w:ascii="仿宋" w:hAnsi="仿宋" w:eastAsia="仿宋"/>
          <w:sz w:val="24"/>
          <w:szCs w:val="24"/>
        </w:rPr>
        <w:t xml:space="preserve">     </w:t>
      </w:r>
      <w:r>
        <w:rPr>
          <w:rFonts w:hint="eastAsia" w:ascii="仿宋" w:hAnsi="仿宋" w:eastAsia="仿宋"/>
          <w:sz w:val="24"/>
          <w:szCs w:val="24"/>
        </w:rPr>
        <w:t>。若乙方拒收、拒签、第三人代签、所留地址有误或变更地址、联系人未通知甲方的，责任由乙方承担，甲方向乙方上述地址所发送的信函文件等视为已送达甲方。</w:t>
      </w:r>
    </w:p>
    <w:p>
      <w:pPr>
        <w:spacing w:line="360" w:lineRule="auto"/>
        <w:ind w:firstLine="480" w:firstLineChars="200"/>
        <w:jc w:val="both"/>
        <w:rPr>
          <w:rFonts w:ascii="仿宋" w:hAnsi="仿宋" w:eastAsia="仿宋"/>
          <w:sz w:val="24"/>
          <w:szCs w:val="24"/>
        </w:rPr>
      </w:pPr>
      <w:r>
        <w:rPr>
          <w:rFonts w:hint="eastAsia" w:ascii="仿宋" w:hAnsi="仿宋" w:eastAsia="仿宋"/>
          <w:sz w:val="24"/>
          <w:szCs w:val="24"/>
        </w:rPr>
        <w:t>（三）乙方（成）的通讯地址为：</w:t>
      </w:r>
      <w:r>
        <w:rPr>
          <w:rFonts w:ascii="仿宋" w:hAnsi="仿宋" w:eastAsia="仿宋"/>
          <w:sz w:val="24"/>
          <w:szCs w:val="24"/>
        </w:rPr>
        <w:t xml:space="preserve">       </w:t>
      </w:r>
      <w:r>
        <w:rPr>
          <w:rFonts w:hint="eastAsia" w:ascii="仿宋" w:hAnsi="仿宋" w:eastAsia="仿宋"/>
          <w:sz w:val="24"/>
          <w:szCs w:val="24"/>
        </w:rPr>
        <w:t>，收件人为：</w:t>
      </w:r>
      <w:r>
        <w:rPr>
          <w:rFonts w:ascii="仿宋" w:hAnsi="仿宋" w:eastAsia="仿宋"/>
          <w:sz w:val="24"/>
          <w:szCs w:val="24"/>
        </w:rPr>
        <w:t xml:space="preserve">    </w:t>
      </w:r>
      <w:r>
        <w:rPr>
          <w:rFonts w:hint="eastAsia" w:ascii="仿宋" w:hAnsi="仿宋" w:eastAsia="仿宋"/>
          <w:sz w:val="24"/>
          <w:szCs w:val="24"/>
        </w:rPr>
        <w:t>，邮政编码为：</w:t>
      </w:r>
      <w:r>
        <w:rPr>
          <w:rFonts w:ascii="仿宋" w:hAnsi="仿宋" w:eastAsia="仿宋"/>
          <w:sz w:val="24"/>
          <w:szCs w:val="24"/>
        </w:rPr>
        <w:t xml:space="preserve">    </w:t>
      </w:r>
      <w:r>
        <w:rPr>
          <w:rFonts w:hint="eastAsia" w:ascii="仿宋" w:hAnsi="仿宋" w:eastAsia="仿宋"/>
          <w:sz w:val="24"/>
          <w:szCs w:val="24"/>
        </w:rPr>
        <w:t>，电子邮件地址为：</w:t>
      </w:r>
      <w:r>
        <w:rPr>
          <w:rFonts w:ascii="仿宋" w:hAnsi="仿宋" w:eastAsia="仿宋"/>
          <w:sz w:val="24"/>
          <w:szCs w:val="24"/>
        </w:rPr>
        <w:t xml:space="preserve">     </w:t>
      </w:r>
      <w:r>
        <w:rPr>
          <w:rFonts w:hint="eastAsia" w:ascii="仿宋" w:hAnsi="仿宋" w:eastAsia="仿宋"/>
          <w:sz w:val="24"/>
          <w:szCs w:val="24"/>
        </w:rPr>
        <w:t>。若乙方拒收、拒签、第三人代签、所留地址有误或变更地址、联系人未通知甲方的，责任由乙方承担，甲方向乙方上述地址所发送的信函文件等视为已送达甲方。</w:t>
      </w:r>
    </w:p>
    <w:p>
      <w:pPr>
        <w:pStyle w:val="19"/>
        <w:ind w:left="400"/>
        <w:jc w:val="both"/>
      </w:pP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乙方变更本项目上述乙方项目负责人前应取得甲方书面同意。</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（四）通知在下列日期视为送达被通知方：</w:t>
      </w:r>
    </w:p>
    <w:p>
      <w:pPr>
        <w:adjustRightInd w:val="0"/>
        <w:snapToGrid w:val="0"/>
        <w:spacing w:line="360" w:lineRule="auto"/>
        <w:ind w:firstLine="480" w:firstLineChars="200"/>
        <w:jc w:val="both"/>
        <w:rPr>
          <w:rFonts w:ascii="仿宋" w:hAnsi="仿宋" w:eastAsia="仿宋" w:cs="仿宋"/>
          <w:sz w:val="24"/>
          <w:szCs w:val="24"/>
        </w:rPr>
      </w:pPr>
      <w:r>
        <w:rPr>
          <w:rFonts w:ascii="仿宋" w:hAnsi="仿宋" w:eastAsia="仿宋" w:cs="仿宋"/>
          <w:sz w:val="24"/>
          <w:szCs w:val="24"/>
        </w:rPr>
        <w:t>1.专人送达：送达人将文件送抵被通知方或被通知方上述联系地址；</w:t>
      </w:r>
    </w:p>
    <w:p>
      <w:pPr>
        <w:adjustRightInd w:val="0"/>
        <w:snapToGrid w:val="0"/>
        <w:spacing w:line="360" w:lineRule="auto"/>
        <w:ind w:firstLine="480" w:firstLineChars="200"/>
        <w:jc w:val="both"/>
        <w:rPr>
          <w:rFonts w:ascii="仿宋" w:hAnsi="仿宋" w:eastAsia="仿宋" w:cs="仿宋"/>
          <w:sz w:val="24"/>
          <w:szCs w:val="24"/>
        </w:rPr>
      </w:pPr>
      <w:r>
        <w:rPr>
          <w:rFonts w:ascii="仿宋" w:hAnsi="仿宋" w:eastAsia="仿宋" w:cs="仿宋"/>
          <w:sz w:val="24"/>
          <w:szCs w:val="24"/>
        </w:rPr>
        <w:t>2.快递：快递员向收件人通知收件并投递之日或邮件寄出后第七日；</w:t>
      </w:r>
    </w:p>
    <w:p>
      <w:pPr>
        <w:adjustRightInd w:val="0"/>
        <w:snapToGrid w:val="0"/>
        <w:spacing w:line="360" w:lineRule="auto"/>
        <w:ind w:firstLine="480" w:firstLineChars="200"/>
        <w:jc w:val="both"/>
        <w:rPr>
          <w:rFonts w:ascii="仿宋" w:hAnsi="仿宋" w:eastAsia="仿宋" w:cs="仿宋"/>
          <w:sz w:val="24"/>
          <w:szCs w:val="24"/>
        </w:rPr>
      </w:pPr>
      <w:r>
        <w:rPr>
          <w:rFonts w:ascii="仿宋" w:hAnsi="仿宋" w:eastAsia="仿宋" w:cs="仿宋"/>
          <w:sz w:val="24"/>
          <w:szCs w:val="24"/>
        </w:rPr>
        <w:t>3.电子邮件：以电子邮件发出之日。</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（五）一方通讯地址或联络方式发生变化，应自发生变化之日起</w:t>
      </w:r>
      <w:r>
        <w:rPr>
          <w:rFonts w:ascii="仿宋" w:hAnsi="仿宋" w:eastAsia="仿宋" w:cs="仿宋"/>
          <w:sz w:val="24"/>
          <w:szCs w:val="24"/>
        </w:rPr>
        <w:t>3日内以书面形式通知另一方。否则，由此造成的损失由变动一方承担责任。</w:t>
      </w:r>
    </w:p>
    <w:p>
      <w:pPr>
        <w:autoSpaceDE w:val="0"/>
        <w:autoSpaceDN w:val="0"/>
        <w:adjustRightInd w:val="0"/>
        <w:spacing w:line="360" w:lineRule="auto"/>
        <w:ind w:firstLine="482" w:firstLineChars="200"/>
        <w:jc w:val="both"/>
        <w:outlineLvl w:val="0"/>
        <w:rPr>
          <w:rFonts w:ascii="仿宋" w:hAnsi="仿宋" w:eastAsia="仿宋" w:cs="宋体"/>
          <w:b/>
          <w:bCs/>
          <w:sz w:val="24"/>
          <w:szCs w:val="24"/>
        </w:rPr>
      </w:pPr>
      <w:bookmarkStart w:id="55" w:name="_Toc78993276"/>
      <w:r>
        <w:rPr>
          <w:rFonts w:hint="eastAsia" w:ascii="仿宋" w:hAnsi="仿宋" w:eastAsia="仿宋" w:cs="宋体"/>
          <w:b/>
          <w:bCs/>
          <w:sz w:val="24"/>
          <w:szCs w:val="24"/>
        </w:rPr>
        <w:t>十三、廉洁条款</w:t>
      </w:r>
      <w:bookmarkEnd w:id="43"/>
      <w:bookmarkEnd w:id="44"/>
      <w:bookmarkEnd w:id="45"/>
      <w:bookmarkEnd w:id="46"/>
      <w:bookmarkEnd w:id="47"/>
      <w:bookmarkEnd w:id="48"/>
      <w:bookmarkEnd w:id="49"/>
      <w:bookmarkEnd w:id="50"/>
      <w:bookmarkEnd w:id="51"/>
      <w:bookmarkEnd w:id="52"/>
      <w:bookmarkEnd w:id="53"/>
      <w:bookmarkEnd w:id="54"/>
      <w:bookmarkEnd w:id="55"/>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（一）严禁甲方以任何方式明、暗示乙方请吃、请喝、收受乙方礼金、礼品或接受乙方提供的其他私人便利或利益。</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二）严禁乙方以任何方式向甲方人员提供私人便利、行贿或进行非正常商务宴请。如果出现服务人员在履约过程进行私下请吃、向甲方人员提供私人便利、行贿等一切非正常的经济活动，一经查实，甲方有权单方解除合同，且乙方须承担由此导致的延误、合同解除等一切经济及法律后果，双方此前签署的关于进度顺延、增加价款的签认均告无效，行为严重者，甲方保留追究刑事责任的权利；如果乙方事后主动积极向甲方陈述事实，或乙方有证据显示以上行为为甲方人员施压的不得已行为，则乙方仍保留与上述行为相关的合同的权利和义务。</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三）为维护公平、公正的商业环境，保护双方共同利益，乙方应在与甲方各单位、部门业务交往工作中，将甲方人员明示或暗示要求宴请、招待，或索取礼金、礼品、礼券、其他利益，或故意刁难、显失公平现象，向监察部门进行举报。</w:t>
      </w:r>
    </w:p>
    <w:p>
      <w:pPr>
        <w:autoSpaceDE w:val="0"/>
        <w:autoSpaceDN w:val="0"/>
        <w:adjustRightInd w:val="0"/>
        <w:spacing w:line="360" w:lineRule="auto"/>
        <w:ind w:firstLine="482" w:firstLineChars="200"/>
        <w:jc w:val="both"/>
        <w:outlineLvl w:val="0"/>
        <w:rPr>
          <w:rFonts w:ascii="仿宋" w:hAnsi="仿宋" w:eastAsia="仿宋" w:cs="宋体"/>
          <w:b/>
          <w:bCs/>
          <w:sz w:val="24"/>
          <w:szCs w:val="24"/>
        </w:rPr>
      </w:pPr>
      <w:bookmarkStart w:id="56" w:name="_Toc3482853"/>
      <w:bookmarkStart w:id="57" w:name="_Toc78993277"/>
      <w:r>
        <w:rPr>
          <w:rFonts w:hint="eastAsia" w:ascii="仿宋" w:hAnsi="仿宋" w:eastAsia="仿宋" w:cs="宋体"/>
          <w:b/>
          <w:bCs/>
          <w:sz w:val="24"/>
          <w:szCs w:val="24"/>
        </w:rPr>
        <w:t>十四、权利保留和合同效力</w:t>
      </w:r>
      <w:bookmarkEnd w:id="56"/>
      <w:bookmarkEnd w:id="57"/>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一）任何一方没有行使其权利或没有就对方的违约行为采取任何行动，不应被视为对权利的放弃或对追究对方违约责任或义务的放弃。任何一方放弃针对对方的任何权利或放弃追究对方的任何责任，不应视为放弃对对方任何其他权利或任何其他过失的追究。所有权利放弃均应以书面形式做出。</w:t>
      </w:r>
    </w:p>
    <w:p>
      <w:pPr>
        <w:numPr>
          <w:ilvl w:val="0"/>
          <w:numId w:val="2"/>
        </w:num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如果本合同的任何约定依现行法律被确定为无效或无法实施，本合同的其他条款将继续有效。此种情况下，本合同的其他条款的合法性、有效性和强制执行力不受影响，且双方将以有效的约定替换该无效或无法实施的约定，且该有效约定应尽可能接近原约定和本合同相应的目的和精神。</w:t>
      </w:r>
    </w:p>
    <w:p>
      <w:pPr>
        <w:autoSpaceDE w:val="0"/>
        <w:autoSpaceDN w:val="0"/>
        <w:adjustRightInd w:val="0"/>
        <w:spacing w:line="360" w:lineRule="auto"/>
        <w:ind w:firstLine="482" w:firstLineChars="200"/>
        <w:jc w:val="both"/>
        <w:outlineLvl w:val="0"/>
        <w:rPr>
          <w:rFonts w:ascii="仿宋" w:hAnsi="仿宋" w:eastAsia="仿宋" w:cs="宋体"/>
          <w:b/>
          <w:bCs/>
          <w:sz w:val="24"/>
          <w:szCs w:val="24"/>
        </w:rPr>
      </w:pPr>
      <w:bookmarkStart w:id="58" w:name="_Toc78993278"/>
      <w:r>
        <w:rPr>
          <w:rFonts w:hint="eastAsia" w:ascii="仿宋" w:hAnsi="仿宋" w:eastAsia="仿宋" w:cs="宋体"/>
          <w:b/>
          <w:bCs/>
          <w:sz w:val="24"/>
          <w:szCs w:val="24"/>
        </w:rPr>
        <w:t>十五、法律适用与争议解决</w:t>
      </w:r>
      <w:bookmarkEnd w:id="58"/>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（一）本合同的订立、生效、履行、解释、修改、争议解决和终止等事项适用中华人民共和国现行法律、法规及规章。</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（二）因本合同而起或与本合同有关的任何争议，由双方协商解决。协商不成的，任何一方均有权将争议提交至</w:t>
      </w:r>
      <w:r>
        <w:rPr>
          <w:rFonts w:ascii="仿宋" w:hAnsi="仿宋" w:eastAsia="仿宋" w:cs="仿宋"/>
          <w:sz w:val="24"/>
          <w:szCs w:val="24"/>
        </w:rPr>
        <w:t>甲方</w:t>
      </w:r>
      <w:r>
        <w:rPr>
          <w:rFonts w:hint="eastAsia" w:ascii="仿宋" w:hAnsi="仿宋" w:eastAsia="仿宋" w:cs="仿宋"/>
          <w:sz w:val="24"/>
          <w:szCs w:val="24"/>
        </w:rPr>
        <w:t>所在地有管辖权的人民法院通过诉讼解决。除非生效判决另有规定，双方为诉讼而实际支付的费用（包括但不限于诉讼费、保全费、保险费、律师费、执行费、评估费、公证费等）由违约方承担。</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（三）在诉讼过程中，除双方有争议正在进行诉讼的事项以外，各方应继续履行其他部分的义务。</w:t>
      </w:r>
    </w:p>
    <w:p>
      <w:pPr>
        <w:autoSpaceDE w:val="0"/>
        <w:autoSpaceDN w:val="0"/>
        <w:adjustRightInd w:val="0"/>
        <w:spacing w:line="360" w:lineRule="auto"/>
        <w:ind w:firstLine="482" w:firstLineChars="200"/>
        <w:jc w:val="both"/>
        <w:outlineLvl w:val="0"/>
        <w:rPr>
          <w:rFonts w:ascii="仿宋" w:hAnsi="仿宋" w:eastAsia="仿宋" w:cs="宋体"/>
          <w:b/>
          <w:bCs/>
          <w:sz w:val="24"/>
          <w:szCs w:val="24"/>
        </w:rPr>
      </w:pPr>
      <w:bookmarkStart w:id="59" w:name="_Toc78993279"/>
      <w:r>
        <w:rPr>
          <w:rFonts w:hint="eastAsia" w:ascii="仿宋" w:hAnsi="仿宋" w:eastAsia="仿宋" w:cs="宋体"/>
          <w:b/>
          <w:bCs/>
          <w:sz w:val="24"/>
          <w:szCs w:val="24"/>
        </w:rPr>
        <w:t>十六、</w:t>
      </w:r>
      <w:r>
        <w:rPr>
          <w:rFonts w:ascii="仿宋" w:hAnsi="仿宋" w:eastAsia="仿宋" w:cs="宋体"/>
          <w:b/>
          <w:bCs/>
          <w:sz w:val="24"/>
          <w:szCs w:val="24"/>
        </w:rPr>
        <w:t>其他</w:t>
      </w:r>
      <w:bookmarkEnd w:id="59"/>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（一）合同执行过程中的未尽事宜，双方应本着实事求是、友好协商的态度加以解决。双方协商一致的，签订补充协议。补充协议与本合同具有同等法律效力。补充协议与本合同约定不一致的，以补充协议为准。</w:t>
      </w:r>
    </w:p>
    <w:p>
      <w:pPr>
        <w:adjustRightInd w:val="0"/>
        <w:snapToGrid w:val="0"/>
        <w:spacing w:line="360" w:lineRule="auto"/>
        <w:ind w:firstLine="480" w:firstLineChars="200"/>
        <w:jc w:val="both"/>
        <w:rPr>
          <w:rFonts w:ascii="仿宋" w:hAnsi="仿宋" w:eastAsia="仿宋" w:cs="仿宋"/>
          <w:sz w:val="24"/>
          <w:szCs w:val="24"/>
        </w:rPr>
      </w:pPr>
      <w:bookmarkStart w:id="60" w:name="_Toc3482855"/>
      <w:r>
        <w:rPr>
          <w:rFonts w:hint="eastAsia" w:ascii="仿宋" w:hAnsi="仿宋" w:eastAsia="仿宋" w:cs="仿宋"/>
          <w:sz w:val="24"/>
          <w:szCs w:val="24"/>
        </w:rPr>
        <w:t>（二）</w:t>
      </w:r>
      <w:bookmarkEnd w:id="60"/>
      <w:r>
        <w:rPr>
          <w:rFonts w:hint="eastAsia" w:ascii="仿宋" w:hAnsi="仿宋" w:eastAsia="仿宋" w:cs="仿宋"/>
          <w:sz w:val="24"/>
          <w:szCs w:val="24"/>
        </w:rPr>
        <w:t>下列文件为本合同组成部分，且优先解释顺序如下：</w:t>
      </w:r>
    </w:p>
    <w:p>
      <w:pPr>
        <w:adjustRightInd w:val="0"/>
        <w:snapToGrid w:val="0"/>
        <w:spacing w:line="360" w:lineRule="auto"/>
        <w:ind w:firstLine="480" w:firstLineChars="200"/>
        <w:jc w:val="both"/>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在执行本合同的过程中，所有经双方协商一致签署确认的文件（包括会议纪要、补充协议）</w:t>
      </w:r>
    </w:p>
    <w:p>
      <w:pPr>
        <w:adjustRightInd w:val="0"/>
        <w:snapToGrid w:val="0"/>
        <w:spacing w:line="360" w:lineRule="auto"/>
        <w:ind w:firstLine="480" w:firstLineChars="200"/>
        <w:jc w:val="both"/>
        <w:rPr>
          <w:rFonts w:ascii="仿宋" w:hAnsi="仿宋" w:eastAsia="仿宋" w:cs="仿宋"/>
          <w:sz w:val="24"/>
          <w:szCs w:val="24"/>
        </w:rPr>
      </w:pPr>
      <w:r>
        <w:rPr>
          <w:rFonts w:ascii="仿宋" w:hAnsi="仿宋" w:eastAsia="仿宋" w:cs="仿宋"/>
          <w:sz w:val="24"/>
          <w:szCs w:val="24"/>
        </w:rPr>
        <w:t>2.本</w:t>
      </w:r>
      <w:r>
        <w:rPr>
          <w:rFonts w:hint="eastAsia" w:ascii="仿宋" w:hAnsi="仿宋" w:eastAsia="仿宋" w:cs="仿宋"/>
          <w:sz w:val="24"/>
          <w:szCs w:val="24"/>
        </w:rPr>
        <w:t>技术服务</w:t>
      </w:r>
      <w:r>
        <w:rPr>
          <w:rFonts w:ascii="仿宋" w:hAnsi="仿宋" w:eastAsia="仿宋" w:cs="仿宋"/>
          <w:sz w:val="24"/>
          <w:szCs w:val="24"/>
        </w:rPr>
        <w:t>合同</w:t>
      </w:r>
    </w:p>
    <w:p>
      <w:pPr>
        <w:adjustRightInd w:val="0"/>
        <w:snapToGrid w:val="0"/>
        <w:spacing w:line="360" w:lineRule="auto"/>
        <w:ind w:firstLine="480" w:firstLineChars="200"/>
        <w:jc w:val="both"/>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中标通知书</w:t>
      </w:r>
    </w:p>
    <w:p>
      <w:pPr>
        <w:adjustRightInd w:val="0"/>
        <w:snapToGrid w:val="0"/>
        <w:spacing w:line="360" w:lineRule="auto"/>
        <w:ind w:firstLine="480" w:firstLineChars="200"/>
        <w:jc w:val="both"/>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投标文件</w:t>
      </w:r>
    </w:p>
    <w:p>
      <w:pPr>
        <w:adjustRightInd w:val="0"/>
        <w:snapToGrid w:val="0"/>
        <w:spacing w:line="360" w:lineRule="auto"/>
        <w:ind w:firstLine="480" w:firstLineChars="200"/>
        <w:jc w:val="both"/>
        <w:rPr>
          <w:rFonts w:ascii="仿宋" w:hAnsi="仿宋" w:eastAsia="仿宋" w:cs="仿宋"/>
          <w:sz w:val="24"/>
        </w:rPr>
      </w:pPr>
      <w:r>
        <w:rPr>
          <w:rFonts w:ascii="仿宋" w:hAnsi="仿宋" w:eastAsia="仿宋" w:cs="仿宋"/>
          <w:sz w:val="24"/>
          <w:szCs w:val="24"/>
        </w:rPr>
        <w:t>5.</w:t>
      </w:r>
      <w:r>
        <w:rPr>
          <w:rFonts w:hint="eastAsia" w:ascii="仿宋" w:hAnsi="仿宋" w:eastAsia="仿宋" w:cs="仿宋"/>
          <w:sz w:val="24"/>
          <w:szCs w:val="24"/>
        </w:rPr>
        <w:t>招标文件</w:t>
      </w:r>
    </w:p>
    <w:p>
      <w:pPr>
        <w:adjustRightInd w:val="0"/>
        <w:snapToGrid w:val="0"/>
        <w:spacing w:line="360" w:lineRule="auto"/>
        <w:ind w:firstLine="480" w:firstLineChars="200"/>
        <w:jc w:val="both"/>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相关标准、规范及有关技术文件</w:t>
      </w:r>
    </w:p>
    <w:p>
      <w:pPr>
        <w:autoSpaceDE w:val="0"/>
        <w:autoSpaceDN w:val="0"/>
        <w:adjustRightInd w:val="0"/>
        <w:spacing w:line="360" w:lineRule="auto"/>
        <w:ind w:firstLine="482" w:firstLineChars="200"/>
        <w:jc w:val="both"/>
        <w:outlineLvl w:val="0"/>
        <w:rPr>
          <w:rFonts w:ascii="仿宋" w:hAnsi="仿宋" w:eastAsia="仿宋" w:cs="宋体"/>
          <w:b/>
          <w:bCs/>
          <w:sz w:val="24"/>
          <w:szCs w:val="24"/>
        </w:rPr>
      </w:pPr>
      <w:bookmarkStart w:id="61" w:name="_Toc78993280"/>
      <w:r>
        <w:rPr>
          <w:rFonts w:hint="eastAsia" w:ascii="仿宋" w:hAnsi="仿宋" w:eastAsia="仿宋" w:cs="宋体"/>
          <w:b/>
          <w:bCs/>
          <w:sz w:val="24"/>
          <w:szCs w:val="24"/>
        </w:rPr>
        <w:t>十七、合同的生效、份数</w:t>
      </w:r>
      <w:bookmarkEnd w:id="61"/>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（一）本合同</w:t>
      </w:r>
      <w:r>
        <w:rPr>
          <w:rFonts w:ascii="仿宋" w:hAnsi="仿宋" w:eastAsia="仿宋" w:cs="仿宋"/>
          <w:sz w:val="24"/>
          <w:szCs w:val="24"/>
        </w:rPr>
        <w:t>自双方签字盖章之日起生效。</w:t>
      </w:r>
    </w:p>
    <w:p>
      <w:pPr>
        <w:adjustRightInd w:val="0"/>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（二）本合同一式</w:t>
      </w:r>
      <w:r>
        <w:rPr>
          <w:rFonts w:hint="eastAsia" w:ascii="仿宋" w:hAnsi="仿宋" w:eastAsia="仿宋" w:cs="仿宋"/>
          <w:sz w:val="24"/>
          <w:szCs w:val="24"/>
          <w:u w:val="single"/>
          <w:lang w:val="en-US" w:eastAsia="zh-CN"/>
        </w:rPr>
        <w:t>捌</w:t>
      </w:r>
      <w:r>
        <w:rPr>
          <w:rFonts w:ascii="仿宋" w:hAnsi="仿宋" w:eastAsia="仿宋" w:cs="仿宋"/>
          <w:sz w:val="24"/>
          <w:szCs w:val="24"/>
        </w:rPr>
        <w:t>份，甲</w:t>
      </w:r>
      <w:r>
        <w:rPr>
          <w:rFonts w:hint="eastAsia" w:ascii="仿宋" w:hAnsi="仿宋" w:eastAsia="仿宋" w:cs="仿宋"/>
          <w:sz w:val="24"/>
          <w:szCs w:val="24"/>
        </w:rPr>
        <w:t>方、乙方各执</w:t>
      </w:r>
      <w:r>
        <w:rPr>
          <w:rFonts w:hint="eastAsia" w:ascii="仿宋" w:hAnsi="仿宋" w:eastAsia="仿宋" w:cs="仿宋"/>
          <w:sz w:val="24"/>
          <w:szCs w:val="24"/>
          <w:u w:val="single"/>
        </w:rPr>
        <w:t>肆</w:t>
      </w:r>
      <w:r>
        <w:rPr>
          <w:rFonts w:hint="eastAsia" w:ascii="仿宋" w:hAnsi="仿宋" w:eastAsia="仿宋" w:cs="仿宋"/>
          <w:sz w:val="24"/>
          <w:szCs w:val="24"/>
        </w:rPr>
        <w:t>份</w:t>
      </w:r>
      <w:r>
        <w:rPr>
          <w:rFonts w:ascii="仿宋" w:hAnsi="仿宋" w:eastAsia="仿宋" w:cs="仿宋"/>
          <w:sz w:val="24"/>
          <w:szCs w:val="24"/>
        </w:rPr>
        <w:t>，</w:t>
      </w:r>
      <w:r>
        <w:rPr>
          <w:rFonts w:hint="eastAsia" w:ascii="仿宋" w:hAnsi="仿宋" w:eastAsia="仿宋" w:cs="仿宋"/>
          <w:sz w:val="24"/>
          <w:szCs w:val="24"/>
        </w:rPr>
        <w:t>均具有同等法律效力。</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42" w:type="dxa"/>
          <w:bottom w:w="57" w:type="dxa"/>
          <w:right w:w="142" w:type="dxa"/>
        </w:tblCellMar>
      </w:tblPr>
      <w:tblGrid>
        <w:gridCol w:w="3963"/>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1431" w:hRule="atLeast"/>
        </w:trPr>
        <w:tc>
          <w:tcPr>
            <w:tcW w:w="2307" w:type="pct"/>
          </w:tcPr>
          <w:p>
            <w:pPr>
              <w:tabs>
                <w:tab w:val="left" w:pos="3544"/>
              </w:tabs>
              <w:spacing w:line="400" w:lineRule="atLeast"/>
              <w:ind w:right="-102" w:rightChars="-51"/>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委托人名称（甲方）：</w:t>
            </w:r>
            <w:r>
              <w:rPr>
                <w:rFonts w:ascii="仿宋" w:hAnsi="仿宋" w:eastAsia="仿宋"/>
                <w:color w:val="000000" w:themeColor="text1"/>
                <w:szCs w:val="24"/>
                <w14:textFill>
                  <w14:solidFill>
                    <w14:schemeClr w14:val="tx1"/>
                  </w14:solidFill>
                </w14:textFill>
              </w:rPr>
              <w:t xml:space="preserve"> </w:t>
            </w:r>
          </w:p>
        </w:tc>
        <w:tc>
          <w:tcPr>
            <w:tcW w:w="2692" w:type="pct"/>
          </w:tcPr>
          <w:p>
            <w:pPr>
              <w:spacing w:line="400" w:lineRule="atLeast"/>
              <w:rPr>
                <w:rFonts w:ascii="仿宋" w:hAnsi="仿宋" w:eastAsia="仿宋"/>
                <w:color w:val="000000" w:themeColor="text1"/>
                <w:szCs w:val="24"/>
                <w14:textFill>
                  <w14:solidFill>
                    <w14:schemeClr w14:val="tx1"/>
                  </w14:solidFill>
                </w14:textFill>
              </w:rPr>
            </w:pPr>
            <w:r>
              <w:rPr>
                <w:rFonts w:hint="eastAsia" w:ascii="仿宋" w:hAnsi="仿宋" w:eastAsia="仿宋"/>
                <w:szCs w:val="24"/>
              </w:rPr>
              <w:t>受托人名称（乙方）：</w:t>
            </w:r>
            <w:r>
              <w:rPr>
                <w:rFonts w:ascii="仿宋" w:hAnsi="仿宋" w:eastAsia="仿宋"/>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53" w:hRule="atLeast"/>
        </w:trPr>
        <w:tc>
          <w:tcPr>
            <w:tcW w:w="2307" w:type="pct"/>
          </w:tcPr>
          <w:p>
            <w:pPr>
              <w:spacing w:line="400" w:lineRule="atLeast"/>
              <w:rPr>
                <w:rFonts w:ascii="仿宋" w:hAnsi="仿宋" w:eastAsia="仿宋"/>
                <w:b/>
                <w:color w:val="000000" w:themeColor="text1"/>
                <w:szCs w:val="24"/>
                <w14:textFill>
                  <w14:solidFill>
                    <w14:schemeClr w14:val="tx1"/>
                  </w14:solidFill>
                </w14:textFill>
              </w:rPr>
            </w:pPr>
          </w:p>
        </w:tc>
        <w:tc>
          <w:tcPr>
            <w:tcW w:w="2692" w:type="pct"/>
          </w:tcPr>
          <w:p>
            <w:pPr>
              <w:spacing w:line="400" w:lineRule="atLeast"/>
              <w:rPr>
                <w:rFonts w:ascii="仿宋" w:hAnsi="仿宋" w:eastAsia="仿宋"/>
                <w:b/>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53" w:hRule="atLeast"/>
        </w:trPr>
        <w:tc>
          <w:tcPr>
            <w:tcW w:w="2307" w:type="pct"/>
          </w:tcPr>
          <w:p>
            <w:pPr>
              <w:spacing w:line="360" w:lineRule="auto"/>
              <w:rPr>
                <w:rFonts w:hint="eastAsia"/>
              </w:rPr>
            </w:pPr>
            <w:r>
              <w:rPr>
                <w:rFonts w:hint="eastAsia"/>
              </w:rPr>
              <w:t>法定代表人（甲方）：</w:t>
            </w:r>
          </w:p>
          <w:p>
            <w:pPr>
              <w:pStyle w:val="2"/>
            </w:pPr>
          </w:p>
        </w:tc>
        <w:tc>
          <w:tcPr>
            <w:tcW w:w="2692" w:type="pct"/>
          </w:tcPr>
          <w:p>
            <w:pPr>
              <w:spacing w:line="360" w:lineRule="auto"/>
              <w:rPr>
                <w:rFonts w:ascii="仿宋" w:hAnsi="仿宋" w:eastAsia="仿宋"/>
                <w:color w:val="000000" w:themeColor="text1"/>
                <w:szCs w:val="24"/>
                <w14:textFill>
                  <w14:solidFill>
                    <w14:schemeClr w14:val="tx1"/>
                  </w14:solidFill>
                </w14:textFill>
              </w:rPr>
            </w:pPr>
            <w:r>
              <w:rPr>
                <w:rFonts w:hint="eastAsia" w:ascii="仿宋" w:hAnsi="仿宋" w:eastAsia="仿宋"/>
              </w:rPr>
              <w:t>法定代表人（</w:t>
            </w:r>
            <w:r>
              <w:rPr>
                <w:rFonts w:hint="eastAsia" w:ascii="仿宋" w:hAnsi="仿宋" w:eastAsia="仿宋"/>
                <w:szCs w:val="24"/>
              </w:rPr>
              <w:t>乙方</w:t>
            </w:r>
            <w:r>
              <w:rPr>
                <w:rFonts w:hint="eastAsia" w:ascii="仿宋" w:hAnsi="仿宋" w:eastAsia="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69" w:hRule="atLeast"/>
        </w:trPr>
        <w:tc>
          <w:tcPr>
            <w:tcW w:w="2307" w:type="pct"/>
          </w:tcPr>
          <w:p>
            <w:pPr>
              <w:spacing w:line="360" w:lineRule="auto"/>
              <w:rPr>
                <w:rFonts w:hint="eastAsia"/>
              </w:rPr>
            </w:pPr>
            <w:r>
              <w:rPr>
                <w:rFonts w:hint="eastAsia"/>
              </w:rPr>
              <w:t>委托代理人（甲方）：</w:t>
            </w:r>
          </w:p>
          <w:p>
            <w:pPr>
              <w:pStyle w:val="2"/>
            </w:pPr>
          </w:p>
        </w:tc>
        <w:tc>
          <w:tcPr>
            <w:tcW w:w="2692" w:type="pct"/>
          </w:tcPr>
          <w:p>
            <w:pPr>
              <w:spacing w:line="360" w:lineRule="auto"/>
              <w:rPr>
                <w:rFonts w:ascii="仿宋" w:hAnsi="仿宋" w:eastAsia="仿宋"/>
              </w:rPr>
            </w:pPr>
            <w:r>
              <w:rPr>
                <w:rFonts w:hint="eastAsia" w:ascii="仿宋" w:hAnsi="仿宋" w:eastAsia="仿宋"/>
                <w:color w:val="000000" w:themeColor="text1"/>
                <w:szCs w:val="24"/>
                <w14:textFill>
                  <w14:solidFill>
                    <w14:schemeClr w14:val="tx1"/>
                  </w14:solidFill>
                </w14:textFill>
              </w:rPr>
              <w:t>委托代理人</w:t>
            </w:r>
            <w:r>
              <w:rPr>
                <w:rFonts w:hint="eastAsia" w:ascii="仿宋" w:hAnsi="仿宋" w:eastAsia="仿宋"/>
              </w:rPr>
              <w:t>（</w:t>
            </w:r>
            <w:r>
              <w:rPr>
                <w:rFonts w:hint="eastAsia" w:ascii="仿宋" w:hAnsi="仿宋" w:eastAsia="仿宋"/>
                <w:szCs w:val="24"/>
              </w:rPr>
              <w:t>乙方</w:t>
            </w:r>
            <w:r>
              <w:rPr>
                <w:rFonts w:hint="eastAsia" w:ascii="仿宋" w:hAnsi="仿宋" w:eastAsia="仿宋"/>
              </w:rPr>
              <w:t>）</w:t>
            </w:r>
            <w:r>
              <w:rPr>
                <w:rFonts w:hint="eastAsia" w:ascii="仿宋" w:hAnsi="仿宋" w:eastAsia="仿宋"/>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69" w:hRule="atLeast"/>
        </w:trPr>
        <w:tc>
          <w:tcPr>
            <w:tcW w:w="2307" w:type="pct"/>
          </w:tcPr>
          <w:p>
            <w:pPr>
              <w:spacing w:line="360" w:lineRule="auto"/>
              <w:rPr>
                <w:rFonts w:ascii="仿宋" w:hAnsi="仿宋" w:eastAsia="仿宋"/>
                <w:color w:val="000000" w:themeColor="text1"/>
                <w:szCs w:val="24"/>
                <w14:textFill>
                  <w14:solidFill>
                    <w14:schemeClr w14:val="tx1"/>
                  </w14:solidFill>
                </w14:textFill>
              </w:rPr>
            </w:pPr>
          </w:p>
        </w:tc>
        <w:tc>
          <w:tcPr>
            <w:tcW w:w="2692" w:type="pct"/>
          </w:tcPr>
          <w:p>
            <w:pPr>
              <w:spacing w:line="360" w:lineRule="auto"/>
              <w:rPr>
                <w:rFonts w:ascii="仿宋" w:hAnsi="仿宋" w:eastAsia="仿宋"/>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906" w:hRule="atLeast"/>
        </w:trPr>
        <w:tc>
          <w:tcPr>
            <w:tcW w:w="2307" w:type="pct"/>
          </w:tcPr>
          <w:p>
            <w:pPr>
              <w:spacing w:line="360" w:lineRule="auto"/>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项目负责人（甲方）：</w:t>
            </w:r>
          </w:p>
        </w:tc>
        <w:tc>
          <w:tcPr>
            <w:tcW w:w="2692" w:type="pct"/>
          </w:tcPr>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项目负责人（乙方）：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69" w:hRule="atLeast"/>
        </w:trPr>
        <w:tc>
          <w:tcPr>
            <w:tcW w:w="2307" w:type="pct"/>
          </w:tcPr>
          <w:p>
            <w:pPr>
              <w:spacing w:line="360" w:lineRule="auto"/>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联系人（甲方）：</w:t>
            </w:r>
          </w:p>
        </w:tc>
        <w:tc>
          <w:tcPr>
            <w:tcW w:w="2692" w:type="pct"/>
          </w:tcPr>
          <w:p>
            <w:pPr>
              <w:spacing w:line="360" w:lineRule="auto"/>
              <w:rPr>
                <w:rFonts w:ascii="仿宋" w:hAnsi="仿宋" w:eastAsia="仿宋"/>
              </w:rPr>
            </w:pPr>
            <w:r>
              <w:rPr>
                <w:rFonts w:hint="eastAsia" w:ascii="仿宋" w:hAnsi="仿宋" w:eastAsia="仿宋"/>
              </w:rPr>
              <w:t>联系人（</w:t>
            </w:r>
            <w:r>
              <w:rPr>
                <w:rFonts w:hint="eastAsia" w:ascii="仿宋" w:hAnsi="仿宋" w:eastAsia="仿宋"/>
                <w:szCs w:val="24"/>
              </w:rPr>
              <w:t>乙方</w:t>
            </w:r>
            <w:r>
              <w:rPr>
                <w:rFonts w:hint="eastAsia" w:ascii="仿宋" w:hAnsi="仿宋" w:eastAsia="仿宋"/>
              </w:rPr>
              <w:t xml:space="preserve">）： </w:t>
            </w:r>
          </w:p>
          <w:p>
            <w:pPr>
              <w:spacing w:line="360" w:lineRule="auto"/>
              <w:rPr>
                <w:rFonts w:ascii="仿宋" w:hAnsi="仿宋" w:eastAsia="仿宋"/>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1376" w:hRule="atLeast"/>
        </w:trPr>
        <w:tc>
          <w:tcPr>
            <w:tcW w:w="2307" w:type="pct"/>
          </w:tcPr>
          <w:p>
            <w:pPr>
              <w:spacing w:line="360" w:lineRule="auto"/>
              <w:rPr>
                <w:rFonts w:ascii="仿宋" w:hAnsi="仿宋" w:eastAsia="仿宋"/>
                <w:b/>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地</w:t>
            </w:r>
            <w:r>
              <w:rPr>
                <w:rFonts w:ascii="仿宋" w:hAnsi="仿宋" w:eastAsia="仿宋"/>
                <w:color w:val="000000" w:themeColor="text1"/>
                <w:szCs w:val="24"/>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址（甲方）：</w:t>
            </w:r>
            <w:r>
              <w:rPr>
                <w:rFonts w:ascii="仿宋" w:hAnsi="仿宋" w:eastAsia="仿宋"/>
                <w:b/>
                <w:color w:val="000000" w:themeColor="text1"/>
                <w:szCs w:val="24"/>
                <w14:textFill>
                  <w14:solidFill>
                    <w14:schemeClr w14:val="tx1"/>
                  </w14:solidFill>
                </w14:textFill>
              </w:rPr>
              <w:t xml:space="preserve"> </w:t>
            </w:r>
          </w:p>
        </w:tc>
        <w:tc>
          <w:tcPr>
            <w:tcW w:w="2692" w:type="pct"/>
          </w:tcPr>
          <w:p>
            <w:pPr>
              <w:spacing w:line="360" w:lineRule="auto"/>
              <w:ind w:left="1600" w:hanging="1600" w:hangingChars="800"/>
              <w:rPr>
                <w:rFonts w:ascii="仿宋" w:hAnsi="仿宋" w:eastAsia="仿宋"/>
              </w:rPr>
            </w:pPr>
            <w:r>
              <w:rPr>
                <w:rFonts w:hint="eastAsia" w:ascii="仿宋" w:hAnsi="仿宋" w:eastAsia="仿宋"/>
              </w:rPr>
              <w:t>地址（</w:t>
            </w:r>
            <w:r>
              <w:rPr>
                <w:rFonts w:hint="eastAsia" w:ascii="仿宋" w:hAnsi="仿宋" w:eastAsia="仿宋"/>
                <w:szCs w:val="24"/>
              </w:rPr>
              <w:t>乙方</w:t>
            </w:r>
            <w:r>
              <w:rPr>
                <w:rFonts w:hint="eastAsia" w:ascii="仿宋" w:hAnsi="仿宋" w:eastAsia="仿宋"/>
              </w:rPr>
              <w:t>）：</w:t>
            </w:r>
            <w:r>
              <w:rPr>
                <w:rFonts w:ascii="仿宋" w:hAnsi="仿宋" w:eastAsia="仿宋"/>
              </w:rPr>
              <w:t xml:space="preserve"> </w:t>
            </w:r>
          </w:p>
          <w:p>
            <w:pPr>
              <w:spacing w:line="360" w:lineRule="auto"/>
              <w:rPr>
                <w:rFonts w:ascii="仿宋" w:hAnsi="仿宋" w:eastAsia="仿宋"/>
                <w:b/>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669" w:hRule="atLeast"/>
        </w:trPr>
        <w:tc>
          <w:tcPr>
            <w:tcW w:w="2307" w:type="pct"/>
          </w:tcPr>
          <w:p>
            <w:pPr>
              <w:spacing w:line="360" w:lineRule="auto"/>
              <w:rPr>
                <w:rFonts w:ascii="仿宋" w:hAnsi="仿宋" w:eastAsia="仿宋"/>
                <w:b/>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邮政编码（甲方）：</w:t>
            </w:r>
          </w:p>
        </w:tc>
        <w:tc>
          <w:tcPr>
            <w:tcW w:w="2692" w:type="pct"/>
          </w:tcPr>
          <w:p>
            <w:pPr>
              <w:spacing w:line="360" w:lineRule="auto"/>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邮政编码</w:t>
            </w:r>
            <w:r>
              <w:rPr>
                <w:rFonts w:hint="eastAsia" w:ascii="仿宋" w:hAnsi="仿宋" w:eastAsia="仿宋"/>
              </w:rPr>
              <w:t>（</w:t>
            </w:r>
            <w:r>
              <w:rPr>
                <w:rFonts w:hint="eastAsia" w:ascii="仿宋" w:hAnsi="仿宋" w:eastAsia="仿宋"/>
                <w:szCs w:val="24"/>
              </w:rPr>
              <w:t>乙方</w:t>
            </w:r>
            <w:r>
              <w:rPr>
                <w:rFonts w:hint="eastAsia" w:ascii="仿宋" w:hAnsi="仿宋" w:eastAsia="仿宋"/>
              </w:rPr>
              <w:t>）</w:t>
            </w:r>
            <w:r>
              <w:rPr>
                <w:rFonts w:hint="eastAsia" w:ascii="仿宋" w:hAnsi="仿宋" w:eastAsia="仿宋"/>
                <w:color w:val="000000" w:themeColor="text1"/>
                <w:szCs w:val="24"/>
                <w14:textFill>
                  <w14:solidFill>
                    <w14:schemeClr w14:val="tx1"/>
                  </w14:solidFill>
                </w14:textFill>
              </w:rPr>
              <w:t>：</w:t>
            </w:r>
          </w:p>
          <w:p>
            <w:pPr>
              <w:pStyle w:val="19"/>
              <w:ind w:left="0" w:leftChars="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69" w:hRule="atLeast"/>
        </w:trPr>
        <w:tc>
          <w:tcPr>
            <w:tcW w:w="2307" w:type="pct"/>
          </w:tcPr>
          <w:p>
            <w:pPr>
              <w:spacing w:line="360" w:lineRule="auto"/>
              <w:rPr>
                <w:rFonts w:ascii="仿宋" w:hAnsi="仿宋" w:eastAsia="仿宋"/>
                <w:b/>
                <w:bCs/>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电</w:t>
            </w:r>
            <w:r>
              <w:rPr>
                <w:rFonts w:ascii="仿宋" w:hAnsi="仿宋" w:eastAsia="仿宋"/>
                <w:color w:val="000000" w:themeColor="text1"/>
                <w:szCs w:val="24"/>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话（甲方）：</w:t>
            </w:r>
          </w:p>
        </w:tc>
        <w:tc>
          <w:tcPr>
            <w:tcW w:w="2692" w:type="pct"/>
          </w:tcPr>
          <w:p>
            <w:pPr>
              <w:spacing w:line="360" w:lineRule="auto"/>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电</w:t>
            </w:r>
            <w:r>
              <w:rPr>
                <w:rFonts w:ascii="仿宋" w:hAnsi="仿宋" w:eastAsia="仿宋"/>
                <w:color w:val="000000" w:themeColor="text1"/>
                <w:szCs w:val="24"/>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话</w:t>
            </w:r>
            <w:r>
              <w:rPr>
                <w:rFonts w:hint="eastAsia" w:ascii="仿宋" w:hAnsi="仿宋" w:eastAsia="仿宋"/>
              </w:rPr>
              <w:t>（</w:t>
            </w:r>
            <w:r>
              <w:rPr>
                <w:rFonts w:hint="eastAsia" w:ascii="仿宋" w:hAnsi="仿宋" w:eastAsia="仿宋"/>
                <w:szCs w:val="24"/>
              </w:rPr>
              <w:t>乙方</w:t>
            </w:r>
            <w:r>
              <w:rPr>
                <w:rFonts w:hint="eastAsia" w:ascii="仿宋" w:hAnsi="仿宋" w:eastAsia="仿宋"/>
              </w:rPr>
              <w:t>）</w:t>
            </w:r>
            <w:r>
              <w:rPr>
                <w:rFonts w:hint="eastAsia" w:ascii="仿宋" w:hAnsi="仿宋" w:eastAsia="仿宋"/>
                <w:color w:val="000000" w:themeColor="text1"/>
                <w:szCs w:val="24"/>
                <w14:textFill>
                  <w14:solidFill>
                    <w14:schemeClr w14:val="tx1"/>
                  </w14:solidFill>
                </w14:textFill>
              </w:rPr>
              <w:t>：</w:t>
            </w:r>
          </w:p>
          <w:p>
            <w:pPr>
              <w:pStyle w:val="19"/>
              <w:ind w:left="0" w:leftChars="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53" w:hRule="atLeast"/>
        </w:trPr>
        <w:tc>
          <w:tcPr>
            <w:tcW w:w="2307" w:type="pct"/>
          </w:tcPr>
          <w:p>
            <w:pPr>
              <w:spacing w:line="360" w:lineRule="auto"/>
              <w:rPr>
                <w:rFonts w:ascii="仿宋" w:hAnsi="仿宋" w:eastAsia="仿宋"/>
                <w:b/>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传</w:t>
            </w:r>
            <w:r>
              <w:rPr>
                <w:rFonts w:ascii="仿宋" w:hAnsi="仿宋" w:eastAsia="仿宋"/>
                <w:color w:val="000000" w:themeColor="text1"/>
                <w:szCs w:val="24"/>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真（甲方）：</w:t>
            </w:r>
          </w:p>
        </w:tc>
        <w:tc>
          <w:tcPr>
            <w:tcW w:w="2692" w:type="pct"/>
          </w:tcPr>
          <w:p>
            <w:pPr>
              <w:spacing w:line="360" w:lineRule="auto"/>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传</w:t>
            </w:r>
            <w:r>
              <w:rPr>
                <w:rFonts w:ascii="仿宋" w:hAnsi="仿宋" w:eastAsia="仿宋"/>
                <w:color w:val="000000" w:themeColor="text1"/>
                <w:szCs w:val="24"/>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真</w:t>
            </w:r>
            <w:r>
              <w:rPr>
                <w:rFonts w:hint="eastAsia" w:ascii="仿宋" w:hAnsi="仿宋" w:eastAsia="仿宋"/>
              </w:rPr>
              <w:t>（</w:t>
            </w:r>
            <w:r>
              <w:rPr>
                <w:rFonts w:hint="eastAsia" w:ascii="仿宋" w:hAnsi="仿宋" w:eastAsia="仿宋"/>
                <w:szCs w:val="24"/>
              </w:rPr>
              <w:t>乙方</w:t>
            </w:r>
            <w:r>
              <w:rPr>
                <w:rFonts w:hint="eastAsia" w:ascii="仿宋" w:hAnsi="仿宋" w:eastAsia="仿宋"/>
              </w:rPr>
              <w:t>）</w:t>
            </w:r>
            <w:r>
              <w:rPr>
                <w:rFonts w:hint="eastAsia" w:ascii="仿宋" w:hAnsi="仿宋" w:eastAsia="仿宋"/>
                <w:color w:val="000000" w:themeColor="text1"/>
                <w:szCs w:val="24"/>
                <w14:textFill>
                  <w14:solidFill>
                    <w14:schemeClr w14:val="tx1"/>
                  </w14:solidFill>
                </w14:textFill>
              </w:rPr>
              <w:t>：</w:t>
            </w:r>
          </w:p>
          <w:p>
            <w:pPr>
              <w:pStyle w:val="19"/>
              <w:ind w:left="0" w:leftChars="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923" w:hRule="atLeast"/>
        </w:trPr>
        <w:tc>
          <w:tcPr>
            <w:tcW w:w="2307" w:type="pct"/>
          </w:tcPr>
          <w:p>
            <w:pPr>
              <w:spacing w:line="360" w:lineRule="auto"/>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开户银行（甲方）：</w:t>
            </w:r>
          </w:p>
        </w:tc>
        <w:tc>
          <w:tcPr>
            <w:tcW w:w="2692" w:type="pct"/>
          </w:tcPr>
          <w:p>
            <w:pPr>
              <w:spacing w:line="360" w:lineRule="auto"/>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开户银行</w:t>
            </w:r>
            <w:r>
              <w:rPr>
                <w:rFonts w:hint="eastAsia" w:ascii="仿宋" w:hAnsi="仿宋" w:eastAsia="仿宋"/>
              </w:rPr>
              <w:t>（</w:t>
            </w:r>
            <w:r>
              <w:rPr>
                <w:rFonts w:hint="eastAsia" w:ascii="仿宋" w:hAnsi="仿宋" w:eastAsia="仿宋"/>
                <w:szCs w:val="24"/>
              </w:rPr>
              <w:t>乙方</w:t>
            </w:r>
            <w:r>
              <w:rPr>
                <w:rFonts w:hint="eastAsia" w:ascii="仿宋" w:hAnsi="仿宋" w:eastAsia="仿宋"/>
              </w:rPr>
              <w:t>）</w:t>
            </w:r>
            <w:r>
              <w:rPr>
                <w:rFonts w:hint="eastAsia" w:ascii="仿宋" w:hAnsi="仿宋" w:eastAsia="仿宋"/>
                <w:color w:val="000000" w:themeColor="text1"/>
                <w:szCs w:val="24"/>
                <w14:textFill>
                  <w14:solidFill>
                    <w14:schemeClr w14:val="tx1"/>
                  </w14:solidFill>
                </w14:textFill>
              </w:rPr>
              <w:t>：</w:t>
            </w:r>
          </w:p>
          <w:p>
            <w:pPr>
              <w:pStyle w:val="19"/>
              <w:ind w:left="0" w:leftChars="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923" w:hRule="atLeast"/>
        </w:trPr>
        <w:tc>
          <w:tcPr>
            <w:tcW w:w="2307" w:type="pct"/>
          </w:tcPr>
          <w:p>
            <w:pPr>
              <w:spacing w:line="360" w:lineRule="auto"/>
              <w:rPr>
                <w:rFonts w:ascii="仿宋" w:hAnsi="仿宋" w:eastAsia="仿宋"/>
                <w:b/>
                <w:bCs/>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银行帐号（甲方）：</w:t>
            </w:r>
          </w:p>
        </w:tc>
        <w:tc>
          <w:tcPr>
            <w:tcW w:w="2692" w:type="pct"/>
          </w:tcPr>
          <w:p>
            <w:pPr>
              <w:spacing w:line="360" w:lineRule="auto"/>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银行帐号</w:t>
            </w:r>
            <w:r>
              <w:rPr>
                <w:rFonts w:hint="eastAsia" w:ascii="仿宋" w:hAnsi="仿宋" w:eastAsia="仿宋"/>
              </w:rPr>
              <w:t>（</w:t>
            </w:r>
            <w:r>
              <w:rPr>
                <w:rFonts w:hint="eastAsia" w:ascii="仿宋" w:hAnsi="仿宋" w:eastAsia="仿宋"/>
                <w:szCs w:val="24"/>
              </w:rPr>
              <w:t>乙方</w:t>
            </w:r>
            <w:r>
              <w:rPr>
                <w:rFonts w:hint="eastAsia" w:ascii="仿宋" w:hAnsi="仿宋" w:eastAsia="仿宋"/>
              </w:rPr>
              <w:t>）</w:t>
            </w:r>
            <w:r>
              <w:rPr>
                <w:rFonts w:hint="eastAsia" w:ascii="仿宋" w:hAnsi="仿宋" w:eastAsia="仿宋"/>
                <w:color w:val="000000" w:themeColor="text1"/>
                <w:szCs w:val="24"/>
                <w14:textFill>
                  <w14:solidFill>
                    <w14:schemeClr w14:val="tx1"/>
                  </w14:solidFill>
                </w14:textFill>
              </w:rPr>
              <w:t>：</w:t>
            </w:r>
          </w:p>
          <w:p>
            <w:pPr>
              <w:pStyle w:val="19"/>
              <w:ind w:left="0" w:leftChars="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1140" w:hRule="atLeast"/>
        </w:trPr>
        <w:tc>
          <w:tcPr>
            <w:tcW w:w="2307" w:type="pct"/>
          </w:tcPr>
          <w:p>
            <w:pPr>
              <w:spacing w:line="360" w:lineRule="auto"/>
              <w:rPr>
                <w:rFonts w:ascii="仿宋" w:hAnsi="仿宋" w:eastAsia="仿宋"/>
                <w:color w:val="000000" w:themeColor="text1"/>
                <w:szCs w:val="24"/>
                <w14:textFill>
                  <w14:solidFill>
                    <w14:schemeClr w14:val="tx1"/>
                  </w14:solidFill>
                </w14:textFill>
              </w:rPr>
            </w:pPr>
          </w:p>
          <w:p>
            <w:pPr>
              <w:spacing w:line="360" w:lineRule="auto"/>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签字日期（甲方）：</w:t>
            </w:r>
            <w:r>
              <w:rPr>
                <w:rFonts w:ascii="仿宋" w:hAnsi="仿宋" w:eastAsia="仿宋"/>
                <w:color w:val="000000" w:themeColor="text1"/>
                <w:szCs w:val="24"/>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年</w:t>
            </w:r>
            <w:r>
              <w:rPr>
                <w:rFonts w:ascii="仿宋" w:hAnsi="仿宋" w:eastAsia="仿宋"/>
                <w:color w:val="000000" w:themeColor="text1"/>
                <w:szCs w:val="24"/>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月</w:t>
            </w:r>
            <w:r>
              <w:rPr>
                <w:rFonts w:ascii="仿宋" w:hAnsi="仿宋" w:eastAsia="仿宋"/>
                <w:color w:val="000000" w:themeColor="text1"/>
                <w:szCs w:val="24"/>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日</w:t>
            </w:r>
          </w:p>
        </w:tc>
        <w:tc>
          <w:tcPr>
            <w:tcW w:w="2692" w:type="pct"/>
          </w:tcPr>
          <w:p>
            <w:pPr>
              <w:spacing w:line="360" w:lineRule="auto"/>
              <w:rPr>
                <w:rFonts w:ascii="仿宋" w:hAnsi="仿宋" w:eastAsia="仿宋"/>
                <w:color w:val="000000" w:themeColor="text1"/>
                <w:szCs w:val="24"/>
                <w14:textFill>
                  <w14:solidFill>
                    <w14:schemeClr w14:val="tx1"/>
                  </w14:solidFill>
                </w14:textFill>
              </w:rPr>
            </w:pPr>
          </w:p>
          <w:p>
            <w:pPr>
              <w:spacing w:line="360" w:lineRule="auto"/>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签字日期（乙方）：</w:t>
            </w:r>
            <w:r>
              <w:rPr>
                <w:rFonts w:ascii="仿宋" w:hAnsi="仿宋" w:eastAsia="仿宋"/>
                <w:color w:val="000000" w:themeColor="text1"/>
                <w:szCs w:val="24"/>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年</w:t>
            </w:r>
            <w:r>
              <w:rPr>
                <w:rFonts w:ascii="仿宋" w:hAnsi="仿宋" w:eastAsia="仿宋"/>
                <w:color w:val="000000" w:themeColor="text1"/>
                <w:szCs w:val="24"/>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月</w:t>
            </w:r>
            <w:r>
              <w:rPr>
                <w:rFonts w:ascii="仿宋" w:hAnsi="仿宋" w:eastAsia="仿宋"/>
                <w:color w:val="000000" w:themeColor="text1"/>
                <w:szCs w:val="24"/>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日</w:t>
            </w:r>
          </w:p>
        </w:tc>
      </w:tr>
    </w:tbl>
    <w:p>
      <w:pPr>
        <w:rPr>
          <w:rFonts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5</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4973"/>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B5D73"/>
    <w:multiLevelType w:val="singleLevel"/>
    <w:tmpl w:val="55AB5D73"/>
    <w:lvl w:ilvl="0" w:tentative="0">
      <w:start w:val="2"/>
      <w:numFmt w:val="decimal"/>
      <w:lvlText w:val="%1."/>
      <w:lvlJc w:val="left"/>
      <w:pPr>
        <w:tabs>
          <w:tab w:val="left" w:pos="312"/>
        </w:tabs>
      </w:pPr>
    </w:lvl>
  </w:abstractNum>
  <w:abstractNum w:abstractNumId="1">
    <w:nsid w:val="6061B418"/>
    <w:multiLevelType w:val="singleLevel"/>
    <w:tmpl w:val="6061B41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jZDk3NzRiMTVmNWM3ZGEwNGVkN2RhYTgwZTM2NjgifQ=="/>
  </w:docVars>
  <w:rsids>
    <w:rsidRoot w:val="0091387F"/>
    <w:rsid w:val="0000465B"/>
    <w:rsid w:val="00015738"/>
    <w:rsid w:val="00015B14"/>
    <w:rsid w:val="000161CC"/>
    <w:rsid w:val="00020259"/>
    <w:rsid w:val="00030CE8"/>
    <w:rsid w:val="00030D5D"/>
    <w:rsid w:val="000357E0"/>
    <w:rsid w:val="00035F6A"/>
    <w:rsid w:val="000424C2"/>
    <w:rsid w:val="00053CCC"/>
    <w:rsid w:val="00054018"/>
    <w:rsid w:val="00055BD7"/>
    <w:rsid w:val="00061B5E"/>
    <w:rsid w:val="00067CE9"/>
    <w:rsid w:val="000704C4"/>
    <w:rsid w:val="00073480"/>
    <w:rsid w:val="000749E3"/>
    <w:rsid w:val="000764F3"/>
    <w:rsid w:val="0008015B"/>
    <w:rsid w:val="00084A92"/>
    <w:rsid w:val="00090C8D"/>
    <w:rsid w:val="00097BF6"/>
    <w:rsid w:val="000A05B2"/>
    <w:rsid w:val="000A3844"/>
    <w:rsid w:val="000A52E1"/>
    <w:rsid w:val="000B0F00"/>
    <w:rsid w:val="000B1329"/>
    <w:rsid w:val="000C2D50"/>
    <w:rsid w:val="000D092B"/>
    <w:rsid w:val="000D174E"/>
    <w:rsid w:val="000E603D"/>
    <w:rsid w:val="000F0C35"/>
    <w:rsid w:val="000F2B97"/>
    <w:rsid w:val="000F2FBD"/>
    <w:rsid w:val="000F4A41"/>
    <w:rsid w:val="000F4F71"/>
    <w:rsid w:val="000F5842"/>
    <w:rsid w:val="0010051B"/>
    <w:rsid w:val="001049BC"/>
    <w:rsid w:val="00105A64"/>
    <w:rsid w:val="00105E21"/>
    <w:rsid w:val="00105E4F"/>
    <w:rsid w:val="001102A7"/>
    <w:rsid w:val="00116FC4"/>
    <w:rsid w:val="00121BD7"/>
    <w:rsid w:val="00123157"/>
    <w:rsid w:val="0012413E"/>
    <w:rsid w:val="0012715A"/>
    <w:rsid w:val="00134B71"/>
    <w:rsid w:val="00136BA1"/>
    <w:rsid w:val="00137FA1"/>
    <w:rsid w:val="001445B9"/>
    <w:rsid w:val="00146EA1"/>
    <w:rsid w:val="00147CF8"/>
    <w:rsid w:val="0015063E"/>
    <w:rsid w:val="00152507"/>
    <w:rsid w:val="001529C0"/>
    <w:rsid w:val="001547D2"/>
    <w:rsid w:val="001552D4"/>
    <w:rsid w:val="0015701C"/>
    <w:rsid w:val="00160D81"/>
    <w:rsid w:val="00165CD2"/>
    <w:rsid w:val="001701BD"/>
    <w:rsid w:val="001715E7"/>
    <w:rsid w:val="00172919"/>
    <w:rsid w:val="00173377"/>
    <w:rsid w:val="001849D1"/>
    <w:rsid w:val="0019110D"/>
    <w:rsid w:val="001913C7"/>
    <w:rsid w:val="00195385"/>
    <w:rsid w:val="001A5C0A"/>
    <w:rsid w:val="001C43E6"/>
    <w:rsid w:val="001C445B"/>
    <w:rsid w:val="001C791B"/>
    <w:rsid w:val="001D6B57"/>
    <w:rsid w:val="001D75BD"/>
    <w:rsid w:val="001E05F2"/>
    <w:rsid w:val="001E1E28"/>
    <w:rsid w:val="001E21BC"/>
    <w:rsid w:val="001E2F1E"/>
    <w:rsid w:val="001E597A"/>
    <w:rsid w:val="001F197A"/>
    <w:rsid w:val="001F19B4"/>
    <w:rsid w:val="001F1D2F"/>
    <w:rsid w:val="00204E4C"/>
    <w:rsid w:val="00205073"/>
    <w:rsid w:val="00217AC9"/>
    <w:rsid w:val="00225935"/>
    <w:rsid w:val="00237054"/>
    <w:rsid w:val="0024277F"/>
    <w:rsid w:val="0025081E"/>
    <w:rsid w:val="0025209A"/>
    <w:rsid w:val="00256ACF"/>
    <w:rsid w:val="00257368"/>
    <w:rsid w:val="002638F0"/>
    <w:rsid w:val="002667BA"/>
    <w:rsid w:val="002667FB"/>
    <w:rsid w:val="00266EDF"/>
    <w:rsid w:val="002719B2"/>
    <w:rsid w:val="00272BD7"/>
    <w:rsid w:val="00282671"/>
    <w:rsid w:val="00283205"/>
    <w:rsid w:val="002839EB"/>
    <w:rsid w:val="002859BD"/>
    <w:rsid w:val="00287991"/>
    <w:rsid w:val="00292E61"/>
    <w:rsid w:val="00294283"/>
    <w:rsid w:val="00294BD0"/>
    <w:rsid w:val="002A1DA7"/>
    <w:rsid w:val="002A3823"/>
    <w:rsid w:val="002A4DCD"/>
    <w:rsid w:val="002B04F8"/>
    <w:rsid w:val="002B3BEF"/>
    <w:rsid w:val="002C07F0"/>
    <w:rsid w:val="002C2C74"/>
    <w:rsid w:val="002C605F"/>
    <w:rsid w:val="002D2B27"/>
    <w:rsid w:val="002D391E"/>
    <w:rsid w:val="002D5F4E"/>
    <w:rsid w:val="002E164C"/>
    <w:rsid w:val="002E3322"/>
    <w:rsid w:val="002F1013"/>
    <w:rsid w:val="002F2685"/>
    <w:rsid w:val="002F5D01"/>
    <w:rsid w:val="00300D64"/>
    <w:rsid w:val="00301F16"/>
    <w:rsid w:val="003033FB"/>
    <w:rsid w:val="00306D37"/>
    <w:rsid w:val="00317F2D"/>
    <w:rsid w:val="003218E9"/>
    <w:rsid w:val="00321D7F"/>
    <w:rsid w:val="0032357D"/>
    <w:rsid w:val="00323DF2"/>
    <w:rsid w:val="00325E89"/>
    <w:rsid w:val="00326141"/>
    <w:rsid w:val="003307B4"/>
    <w:rsid w:val="00337BF4"/>
    <w:rsid w:val="00342599"/>
    <w:rsid w:val="0034313E"/>
    <w:rsid w:val="0035047F"/>
    <w:rsid w:val="00351E14"/>
    <w:rsid w:val="0035676A"/>
    <w:rsid w:val="00356B3E"/>
    <w:rsid w:val="00357940"/>
    <w:rsid w:val="0036414A"/>
    <w:rsid w:val="003647BB"/>
    <w:rsid w:val="00365724"/>
    <w:rsid w:val="00376E71"/>
    <w:rsid w:val="00376EF3"/>
    <w:rsid w:val="00380CDA"/>
    <w:rsid w:val="003863A5"/>
    <w:rsid w:val="00387E70"/>
    <w:rsid w:val="00392127"/>
    <w:rsid w:val="00392747"/>
    <w:rsid w:val="003A0042"/>
    <w:rsid w:val="003A0B4F"/>
    <w:rsid w:val="003A4683"/>
    <w:rsid w:val="003A6840"/>
    <w:rsid w:val="003B0C1A"/>
    <w:rsid w:val="003B14B2"/>
    <w:rsid w:val="003B31F2"/>
    <w:rsid w:val="003C04A3"/>
    <w:rsid w:val="003D4AB8"/>
    <w:rsid w:val="003D5EEB"/>
    <w:rsid w:val="003E00BF"/>
    <w:rsid w:val="003E0444"/>
    <w:rsid w:val="003E14C6"/>
    <w:rsid w:val="003E37F3"/>
    <w:rsid w:val="003E4C1F"/>
    <w:rsid w:val="003E4DBD"/>
    <w:rsid w:val="003F0C59"/>
    <w:rsid w:val="003F1337"/>
    <w:rsid w:val="003F1A67"/>
    <w:rsid w:val="003F3F0E"/>
    <w:rsid w:val="003F522F"/>
    <w:rsid w:val="003F7F14"/>
    <w:rsid w:val="00400046"/>
    <w:rsid w:val="00400C09"/>
    <w:rsid w:val="00405421"/>
    <w:rsid w:val="00407E80"/>
    <w:rsid w:val="004150A5"/>
    <w:rsid w:val="004171D2"/>
    <w:rsid w:val="00417A47"/>
    <w:rsid w:val="0042203B"/>
    <w:rsid w:val="004231C9"/>
    <w:rsid w:val="0042336C"/>
    <w:rsid w:val="00424FBB"/>
    <w:rsid w:val="004277A1"/>
    <w:rsid w:val="0043063E"/>
    <w:rsid w:val="004539FD"/>
    <w:rsid w:val="00456DFD"/>
    <w:rsid w:val="00461990"/>
    <w:rsid w:val="004648EE"/>
    <w:rsid w:val="00466DC8"/>
    <w:rsid w:val="004705AD"/>
    <w:rsid w:val="0047181D"/>
    <w:rsid w:val="0047676C"/>
    <w:rsid w:val="004820C1"/>
    <w:rsid w:val="004833D0"/>
    <w:rsid w:val="00483BE5"/>
    <w:rsid w:val="00483D46"/>
    <w:rsid w:val="004868E2"/>
    <w:rsid w:val="00495491"/>
    <w:rsid w:val="0049692E"/>
    <w:rsid w:val="004B235E"/>
    <w:rsid w:val="004B2EE0"/>
    <w:rsid w:val="004B475F"/>
    <w:rsid w:val="004B48EC"/>
    <w:rsid w:val="004D07B0"/>
    <w:rsid w:val="004D0B53"/>
    <w:rsid w:val="004D2F1D"/>
    <w:rsid w:val="004D4E8C"/>
    <w:rsid w:val="004D5993"/>
    <w:rsid w:val="004E245D"/>
    <w:rsid w:val="004E2E1D"/>
    <w:rsid w:val="004E4D45"/>
    <w:rsid w:val="004E6FF4"/>
    <w:rsid w:val="004F00F0"/>
    <w:rsid w:val="004F013A"/>
    <w:rsid w:val="004F137E"/>
    <w:rsid w:val="004F396D"/>
    <w:rsid w:val="004F4388"/>
    <w:rsid w:val="004F66D0"/>
    <w:rsid w:val="004F6FD5"/>
    <w:rsid w:val="00502E97"/>
    <w:rsid w:val="00505E49"/>
    <w:rsid w:val="00517D51"/>
    <w:rsid w:val="00520095"/>
    <w:rsid w:val="00520603"/>
    <w:rsid w:val="00521F51"/>
    <w:rsid w:val="005226FC"/>
    <w:rsid w:val="0052426F"/>
    <w:rsid w:val="00526B14"/>
    <w:rsid w:val="0053186E"/>
    <w:rsid w:val="005337BD"/>
    <w:rsid w:val="00534DA6"/>
    <w:rsid w:val="00536113"/>
    <w:rsid w:val="005374A8"/>
    <w:rsid w:val="00543257"/>
    <w:rsid w:val="005456C0"/>
    <w:rsid w:val="00546279"/>
    <w:rsid w:val="00551466"/>
    <w:rsid w:val="0055302A"/>
    <w:rsid w:val="00553546"/>
    <w:rsid w:val="005703FA"/>
    <w:rsid w:val="005707AB"/>
    <w:rsid w:val="00572809"/>
    <w:rsid w:val="00577449"/>
    <w:rsid w:val="0058134B"/>
    <w:rsid w:val="00581606"/>
    <w:rsid w:val="00581624"/>
    <w:rsid w:val="0058699D"/>
    <w:rsid w:val="00590487"/>
    <w:rsid w:val="005917A7"/>
    <w:rsid w:val="00595442"/>
    <w:rsid w:val="005A0C4F"/>
    <w:rsid w:val="005B1507"/>
    <w:rsid w:val="005C18A8"/>
    <w:rsid w:val="005C310C"/>
    <w:rsid w:val="005D2DA1"/>
    <w:rsid w:val="005D387C"/>
    <w:rsid w:val="005D3D05"/>
    <w:rsid w:val="005D7553"/>
    <w:rsid w:val="005E4D4B"/>
    <w:rsid w:val="005E6C76"/>
    <w:rsid w:val="005F134E"/>
    <w:rsid w:val="005F433A"/>
    <w:rsid w:val="005F70C8"/>
    <w:rsid w:val="005F73EC"/>
    <w:rsid w:val="00601862"/>
    <w:rsid w:val="00603B54"/>
    <w:rsid w:val="00604634"/>
    <w:rsid w:val="006102A7"/>
    <w:rsid w:val="00611BC4"/>
    <w:rsid w:val="006158D6"/>
    <w:rsid w:val="00616E77"/>
    <w:rsid w:val="0062051B"/>
    <w:rsid w:val="0062304E"/>
    <w:rsid w:val="00623157"/>
    <w:rsid w:val="006316A7"/>
    <w:rsid w:val="0063264C"/>
    <w:rsid w:val="0063536E"/>
    <w:rsid w:val="0063565E"/>
    <w:rsid w:val="00637B5A"/>
    <w:rsid w:val="00643965"/>
    <w:rsid w:val="00647090"/>
    <w:rsid w:val="0064731D"/>
    <w:rsid w:val="0065068C"/>
    <w:rsid w:val="00655437"/>
    <w:rsid w:val="006574E5"/>
    <w:rsid w:val="0066495E"/>
    <w:rsid w:val="006651B1"/>
    <w:rsid w:val="0066591E"/>
    <w:rsid w:val="00672AE8"/>
    <w:rsid w:val="00673951"/>
    <w:rsid w:val="006808D2"/>
    <w:rsid w:val="00683677"/>
    <w:rsid w:val="00684525"/>
    <w:rsid w:val="006850BF"/>
    <w:rsid w:val="0068590A"/>
    <w:rsid w:val="00685D8B"/>
    <w:rsid w:val="006911E8"/>
    <w:rsid w:val="006922E1"/>
    <w:rsid w:val="00692F57"/>
    <w:rsid w:val="00693B80"/>
    <w:rsid w:val="00693F0B"/>
    <w:rsid w:val="006A0250"/>
    <w:rsid w:val="006A3A85"/>
    <w:rsid w:val="006A602C"/>
    <w:rsid w:val="006B1B23"/>
    <w:rsid w:val="006B5833"/>
    <w:rsid w:val="006C2317"/>
    <w:rsid w:val="006C3DB1"/>
    <w:rsid w:val="006C3E9F"/>
    <w:rsid w:val="006C706B"/>
    <w:rsid w:val="006C76BB"/>
    <w:rsid w:val="006D4294"/>
    <w:rsid w:val="006D6B00"/>
    <w:rsid w:val="006D6EB3"/>
    <w:rsid w:val="006E2329"/>
    <w:rsid w:val="006E4F95"/>
    <w:rsid w:val="006E577E"/>
    <w:rsid w:val="006F3BF2"/>
    <w:rsid w:val="00701A33"/>
    <w:rsid w:val="00707291"/>
    <w:rsid w:val="0071568C"/>
    <w:rsid w:val="00716D2B"/>
    <w:rsid w:val="00727670"/>
    <w:rsid w:val="00727CA9"/>
    <w:rsid w:val="00735318"/>
    <w:rsid w:val="00735A31"/>
    <w:rsid w:val="00735D34"/>
    <w:rsid w:val="00737736"/>
    <w:rsid w:val="00742066"/>
    <w:rsid w:val="00743D11"/>
    <w:rsid w:val="00744F73"/>
    <w:rsid w:val="007478B7"/>
    <w:rsid w:val="00751949"/>
    <w:rsid w:val="0075662A"/>
    <w:rsid w:val="007572A2"/>
    <w:rsid w:val="007600AA"/>
    <w:rsid w:val="00760A83"/>
    <w:rsid w:val="00763561"/>
    <w:rsid w:val="007648DE"/>
    <w:rsid w:val="00770C13"/>
    <w:rsid w:val="007735B1"/>
    <w:rsid w:val="00774892"/>
    <w:rsid w:val="00775080"/>
    <w:rsid w:val="0077607E"/>
    <w:rsid w:val="00780146"/>
    <w:rsid w:val="007861CA"/>
    <w:rsid w:val="007862C4"/>
    <w:rsid w:val="007A0CD1"/>
    <w:rsid w:val="007A51B4"/>
    <w:rsid w:val="007B2A5E"/>
    <w:rsid w:val="007B7DED"/>
    <w:rsid w:val="007C5168"/>
    <w:rsid w:val="007C59BF"/>
    <w:rsid w:val="007C7605"/>
    <w:rsid w:val="007D41CC"/>
    <w:rsid w:val="007D550B"/>
    <w:rsid w:val="007D667C"/>
    <w:rsid w:val="007D7F5D"/>
    <w:rsid w:val="007E1056"/>
    <w:rsid w:val="007E1F09"/>
    <w:rsid w:val="007F0BBA"/>
    <w:rsid w:val="007F294E"/>
    <w:rsid w:val="007F30AD"/>
    <w:rsid w:val="007F3E59"/>
    <w:rsid w:val="0080149B"/>
    <w:rsid w:val="00802B80"/>
    <w:rsid w:val="00814C4C"/>
    <w:rsid w:val="0081734A"/>
    <w:rsid w:val="008306FA"/>
    <w:rsid w:val="00831425"/>
    <w:rsid w:val="00832085"/>
    <w:rsid w:val="008321F2"/>
    <w:rsid w:val="00832DE2"/>
    <w:rsid w:val="008507B6"/>
    <w:rsid w:val="008532B8"/>
    <w:rsid w:val="00862459"/>
    <w:rsid w:val="00862AE7"/>
    <w:rsid w:val="00865F16"/>
    <w:rsid w:val="00871E1A"/>
    <w:rsid w:val="0087495F"/>
    <w:rsid w:val="00876583"/>
    <w:rsid w:val="00876926"/>
    <w:rsid w:val="00882BEC"/>
    <w:rsid w:val="008864FF"/>
    <w:rsid w:val="00891177"/>
    <w:rsid w:val="008A6EAC"/>
    <w:rsid w:val="008B2FD5"/>
    <w:rsid w:val="008C6192"/>
    <w:rsid w:val="008D09C2"/>
    <w:rsid w:val="008D7A62"/>
    <w:rsid w:val="008E08AE"/>
    <w:rsid w:val="008E27FA"/>
    <w:rsid w:val="008E336D"/>
    <w:rsid w:val="008E3A37"/>
    <w:rsid w:val="008E6774"/>
    <w:rsid w:val="008F0D69"/>
    <w:rsid w:val="008F7461"/>
    <w:rsid w:val="0091387F"/>
    <w:rsid w:val="009142D2"/>
    <w:rsid w:val="00915A69"/>
    <w:rsid w:val="00916043"/>
    <w:rsid w:val="0091697B"/>
    <w:rsid w:val="0092076F"/>
    <w:rsid w:val="009226B4"/>
    <w:rsid w:val="0092655D"/>
    <w:rsid w:val="00926AE5"/>
    <w:rsid w:val="00940A67"/>
    <w:rsid w:val="00941B92"/>
    <w:rsid w:val="0094559B"/>
    <w:rsid w:val="009635C8"/>
    <w:rsid w:val="009648F5"/>
    <w:rsid w:val="009731B3"/>
    <w:rsid w:val="00974745"/>
    <w:rsid w:val="009823AA"/>
    <w:rsid w:val="00997D2F"/>
    <w:rsid w:val="009A0143"/>
    <w:rsid w:val="009A01DB"/>
    <w:rsid w:val="009A23FC"/>
    <w:rsid w:val="009A2FE4"/>
    <w:rsid w:val="009A5903"/>
    <w:rsid w:val="009B24E2"/>
    <w:rsid w:val="009C0383"/>
    <w:rsid w:val="009C07BE"/>
    <w:rsid w:val="009C3BBD"/>
    <w:rsid w:val="009C4499"/>
    <w:rsid w:val="009C7AC8"/>
    <w:rsid w:val="009D1B93"/>
    <w:rsid w:val="009D5FFF"/>
    <w:rsid w:val="009E1EBD"/>
    <w:rsid w:val="009E2CA4"/>
    <w:rsid w:val="009E6C5D"/>
    <w:rsid w:val="009F222A"/>
    <w:rsid w:val="009F49D7"/>
    <w:rsid w:val="009F502D"/>
    <w:rsid w:val="009F5FC2"/>
    <w:rsid w:val="00A03199"/>
    <w:rsid w:val="00A0413F"/>
    <w:rsid w:val="00A04E61"/>
    <w:rsid w:val="00A17549"/>
    <w:rsid w:val="00A223AE"/>
    <w:rsid w:val="00A24015"/>
    <w:rsid w:val="00A25552"/>
    <w:rsid w:val="00A262FF"/>
    <w:rsid w:val="00A31181"/>
    <w:rsid w:val="00A3397D"/>
    <w:rsid w:val="00A34517"/>
    <w:rsid w:val="00A37A60"/>
    <w:rsid w:val="00A37BF5"/>
    <w:rsid w:val="00A43DC2"/>
    <w:rsid w:val="00A5011B"/>
    <w:rsid w:val="00A506D7"/>
    <w:rsid w:val="00A52CCC"/>
    <w:rsid w:val="00A5340C"/>
    <w:rsid w:val="00A54430"/>
    <w:rsid w:val="00A61BE5"/>
    <w:rsid w:val="00A62EDF"/>
    <w:rsid w:val="00A64327"/>
    <w:rsid w:val="00A71C3B"/>
    <w:rsid w:val="00A77D3C"/>
    <w:rsid w:val="00A82096"/>
    <w:rsid w:val="00A82F29"/>
    <w:rsid w:val="00A831A0"/>
    <w:rsid w:val="00A85D6B"/>
    <w:rsid w:val="00A860CA"/>
    <w:rsid w:val="00A92DDF"/>
    <w:rsid w:val="00AA07B3"/>
    <w:rsid w:val="00AA316D"/>
    <w:rsid w:val="00AA3510"/>
    <w:rsid w:val="00AA4A36"/>
    <w:rsid w:val="00AA6B34"/>
    <w:rsid w:val="00AB4ED7"/>
    <w:rsid w:val="00AC073C"/>
    <w:rsid w:val="00AC2E8A"/>
    <w:rsid w:val="00AC3171"/>
    <w:rsid w:val="00AC4790"/>
    <w:rsid w:val="00AC5164"/>
    <w:rsid w:val="00AC52B3"/>
    <w:rsid w:val="00AC730B"/>
    <w:rsid w:val="00AC7BBA"/>
    <w:rsid w:val="00AE1C8C"/>
    <w:rsid w:val="00AE2B44"/>
    <w:rsid w:val="00AF418C"/>
    <w:rsid w:val="00AF7AA9"/>
    <w:rsid w:val="00B01F21"/>
    <w:rsid w:val="00B0603E"/>
    <w:rsid w:val="00B156F3"/>
    <w:rsid w:val="00B17395"/>
    <w:rsid w:val="00B20A3A"/>
    <w:rsid w:val="00B232D5"/>
    <w:rsid w:val="00B23E6E"/>
    <w:rsid w:val="00B348A2"/>
    <w:rsid w:val="00B36DBC"/>
    <w:rsid w:val="00B374F2"/>
    <w:rsid w:val="00B37DDC"/>
    <w:rsid w:val="00B4171F"/>
    <w:rsid w:val="00B42320"/>
    <w:rsid w:val="00B51D20"/>
    <w:rsid w:val="00B55764"/>
    <w:rsid w:val="00B578E9"/>
    <w:rsid w:val="00B630A4"/>
    <w:rsid w:val="00B65B48"/>
    <w:rsid w:val="00B7317A"/>
    <w:rsid w:val="00B7617C"/>
    <w:rsid w:val="00B82680"/>
    <w:rsid w:val="00B853D9"/>
    <w:rsid w:val="00B8577D"/>
    <w:rsid w:val="00B870E0"/>
    <w:rsid w:val="00B87BE1"/>
    <w:rsid w:val="00B91217"/>
    <w:rsid w:val="00B92BAA"/>
    <w:rsid w:val="00B9311B"/>
    <w:rsid w:val="00B940C2"/>
    <w:rsid w:val="00BA27DA"/>
    <w:rsid w:val="00BA2F2C"/>
    <w:rsid w:val="00BA74C9"/>
    <w:rsid w:val="00BB45A0"/>
    <w:rsid w:val="00BB541B"/>
    <w:rsid w:val="00BB70CB"/>
    <w:rsid w:val="00BC23BE"/>
    <w:rsid w:val="00BC69B4"/>
    <w:rsid w:val="00BC7D37"/>
    <w:rsid w:val="00BE04A8"/>
    <w:rsid w:val="00BE311E"/>
    <w:rsid w:val="00BE3F13"/>
    <w:rsid w:val="00BE4961"/>
    <w:rsid w:val="00BE584E"/>
    <w:rsid w:val="00BE745A"/>
    <w:rsid w:val="00BF4075"/>
    <w:rsid w:val="00BF4DE4"/>
    <w:rsid w:val="00BF5829"/>
    <w:rsid w:val="00BF7A02"/>
    <w:rsid w:val="00C07311"/>
    <w:rsid w:val="00C14AB1"/>
    <w:rsid w:val="00C17DC0"/>
    <w:rsid w:val="00C23E69"/>
    <w:rsid w:val="00C30BEC"/>
    <w:rsid w:val="00C30DB0"/>
    <w:rsid w:val="00C34A86"/>
    <w:rsid w:val="00C40355"/>
    <w:rsid w:val="00C40594"/>
    <w:rsid w:val="00C40BC3"/>
    <w:rsid w:val="00C43328"/>
    <w:rsid w:val="00C44004"/>
    <w:rsid w:val="00C51293"/>
    <w:rsid w:val="00C533AF"/>
    <w:rsid w:val="00C55194"/>
    <w:rsid w:val="00C61BF4"/>
    <w:rsid w:val="00C71E70"/>
    <w:rsid w:val="00C72A33"/>
    <w:rsid w:val="00C7437D"/>
    <w:rsid w:val="00C74D97"/>
    <w:rsid w:val="00C772DD"/>
    <w:rsid w:val="00C83A4F"/>
    <w:rsid w:val="00C9126D"/>
    <w:rsid w:val="00C92722"/>
    <w:rsid w:val="00C94C2A"/>
    <w:rsid w:val="00C951D7"/>
    <w:rsid w:val="00C96881"/>
    <w:rsid w:val="00CA2730"/>
    <w:rsid w:val="00CA46ED"/>
    <w:rsid w:val="00CA6721"/>
    <w:rsid w:val="00CA6EA2"/>
    <w:rsid w:val="00CB33F1"/>
    <w:rsid w:val="00CB425D"/>
    <w:rsid w:val="00CC307D"/>
    <w:rsid w:val="00CC7232"/>
    <w:rsid w:val="00CE045E"/>
    <w:rsid w:val="00CF00E8"/>
    <w:rsid w:val="00CF3594"/>
    <w:rsid w:val="00CF5E87"/>
    <w:rsid w:val="00CF6FCB"/>
    <w:rsid w:val="00CF7DAE"/>
    <w:rsid w:val="00D00A30"/>
    <w:rsid w:val="00D02185"/>
    <w:rsid w:val="00D0616D"/>
    <w:rsid w:val="00D07C62"/>
    <w:rsid w:val="00D2333C"/>
    <w:rsid w:val="00D23883"/>
    <w:rsid w:val="00D25A1E"/>
    <w:rsid w:val="00D27D88"/>
    <w:rsid w:val="00D3038C"/>
    <w:rsid w:val="00D31BBD"/>
    <w:rsid w:val="00D31E65"/>
    <w:rsid w:val="00D31FCA"/>
    <w:rsid w:val="00D3246A"/>
    <w:rsid w:val="00D421AE"/>
    <w:rsid w:val="00D46CC2"/>
    <w:rsid w:val="00D55CAC"/>
    <w:rsid w:val="00D55E03"/>
    <w:rsid w:val="00D56D88"/>
    <w:rsid w:val="00D57A46"/>
    <w:rsid w:val="00D626C2"/>
    <w:rsid w:val="00D635FF"/>
    <w:rsid w:val="00D72BDB"/>
    <w:rsid w:val="00D72FD1"/>
    <w:rsid w:val="00D81C03"/>
    <w:rsid w:val="00D87ECA"/>
    <w:rsid w:val="00D94823"/>
    <w:rsid w:val="00DA075C"/>
    <w:rsid w:val="00DA5912"/>
    <w:rsid w:val="00DB30C9"/>
    <w:rsid w:val="00DB52E8"/>
    <w:rsid w:val="00DC0514"/>
    <w:rsid w:val="00DC1D37"/>
    <w:rsid w:val="00DC4AF9"/>
    <w:rsid w:val="00DC6EA1"/>
    <w:rsid w:val="00DD1E8E"/>
    <w:rsid w:val="00DD3517"/>
    <w:rsid w:val="00DD39F9"/>
    <w:rsid w:val="00DE39AB"/>
    <w:rsid w:val="00DE7E80"/>
    <w:rsid w:val="00DF1775"/>
    <w:rsid w:val="00E07322"/>
    <w:rsid w:val="00E073AF"/>
    <w:rsid w:val="00E12376"/>
    <w:rsid w:val="00E21C59"/>
    <w:rsid w:val="00E21E68"/>
    <w:rsid w:val="00E24789"/>
    <w:rsid w:val="00E2570F"/>
    <w:rsid w:val="00E40D00"/>
    <w:rsid w:val="00E42848"/>
    <w:rsid w:val="00E50689"/>
    <w:rsid w:val="00E60EC0"/>
    <w:rsid w:val="00E6165E"/>
    <w:rsid w:val="00E62A63"/>
    <w:rsid w:val="00E653C2"/>
    <w:rsid w:val="00E66D30"/>
    <w:rsid w:val="00E7192C"/>
    <w:rsid w:val="00E7227E"/>
    <w:rsid w:val="00E73174"/>
    <w:rsid w:val="00E821C2"/>
    <w:rsid w:val="00E82E8C"/>
    <w:rsid w:val="00E83D7F"/>
    <w:rsid w:val="00E840E3"/>
    <w:rsid w:val="00E851A5"/>
    <w:rsid w:val="00E873DC"/>
    <w:rsid w:val="00E8746F"/>
    <w:rsid w:val="00E90EA2"/>
    <w:rsid w:val="00E95FE5"/>
    <w:rsid w:val="00EA0CF0"/>
    <w:rsid w:val="00EB4660"/>
    <w:rsid w:val="00EC1B11"/>
    <w:rsid w:val="00EC3902"/>
    <w:rsid w:val="00EC4924"/>
    <w:rsid w:val="00EC4D6D"/>
    <w:rsid w:val="00ED0665"/>
    <w:rsid w:val="00ED14D8"/>
    <w:rsid w:val="00ED29DB"/>
    <w:rsid w:val="00EE2934"/>
    <w:rsid w:val="00EE59C7"/>
    <w:rsid w:val="00EE71BB"/>
    <w:rsid w:val="00EF073D"/>
    <w:rsid w:val="00EF47B0"/>
    <w:rsid w:val="00EF4D82"/>
    <w:rsid w:val="00EF5D9F"/>
    <w:rsid w:val="00EF711F"/>
    <w:rsid w:val="00F01712"/>
    <w:rsid w:val="00F0354F"/>
    <w:rsid w:val="00F249DC"/>
    <w:rsid w:val="00F27474"/>
    <w:rsid w:val="00F33291"/>
    <w:rsid w:val="00F41598"/>
    <w:rsid w:val="00F42EC4"/>
    <w:rsid w:val="00F436B5"/>
    <w:rsid w:val="00F439E9"/>
    <w:rsid w:val="00F50E98"/>
    <w:rsid w:val="00F52D53"/>
    <w:rsid w:val="00F5782A"/>
    <w:rsid w:val="00F6064C"/>
    <w:rsid w:val="00F611A4"/>
    <w:rsid w:val="00F64AE5"/>
    <w:rsid w:val="00F66E9E"/>
    <w:rsid w:val="00F74150"/>
    <w:rsid w:val="00F82090"/>
    <w:rsid w:val="00F8294D"/>
    <w:rsid w:val="00F853D8"/>
    <w:rsid w:val="00F8550A"/>
    <w:rsid w:val="00F87909"/>
    <w:rsid w:val="00F94E28"/>
    <w:rsid w:val="00F97B67"/>
    <w:rsid w:val="00FA24FE"/>
    <w:rsid w:val="00FA7AE1"/>
    <w:rsid w:val="00FB0430"/>
    <w:rsid w:val="00FB0EC2"/>
    <w:rsid w:val="00FB1A36"/>
    <w:rsid w:val="00FB1D62"/>
    <w:rsid w:val="00FB5A06"/>
    <w:rsid w:val="00FC36BA"/>
    <w:rsid w:val="00FD5DB6"/>
    <w:rsid w:val="00FE374E"/>
    <w:rsid w:val="00FE4635"/>
    <w:rsid w:val="00FE509D"/>
    <w:rsid w:val="00FE6FCB"/>
    <w:rsid w:val="00FF125F"/>
    <w:rsid w:val="00FF68FB"/>
    <w:rsid w:val="01A324E9"/>
    <w:rsid w:val="01B34E22"/>
    <w:rsid w:val="02182ED7"/>
    <w:rsid w:val="036161B1"/>
    <w:rsid w:val="03991DF6"/>
    <w:rsid w:val="03DA2A74"/>
    <w:rsid w:val="03E47442"/>
    <w:rsid w:val="03E70DB3"/>
    <w:rsid w:val="044F6859"/>
    <w:rsid w:val="04DD3F64"/>
    <w:rsid w:val="05094D59"/>
    <w:rsid w:val="055E7362"/>
    <w:rsid w:val="056D178C"/>
    <w:rsid w:val="0571178D"/>
    <w:rsid w:val="06473D8B"/>
    <w:rsid w:val="06F832D7"/>
    <w:rsid w:val="08071A24"/>
    <w:rsid w:val="082425D6"/>
    <w:rsid w:val="08406CE4"/>
    <w:rsid w:val="093B6F84"/>
    <w:rsid w:val="0A073F5D"/>
    <w:rsid w:val="0A6828C3"/>
    <w:rsid w:val="0A8A06EA"/>
    <w:rsid w:val="0A9D666F"/>
    <w:rsid w:val="0AF73FD1"/>
    <w:rsid w:val="0B221E27"/>
    <w:rsid w:val="0B7D7D78"/>
    <w:rsid w:val="0C3C44CF"/>
    <w:rsid w:val="0C9B52A9"/>
    <w:rsid w:val="0CE52123"/>
    <w:rsid w:val="0CE802C6"/>
    <w:rsid w:val="0DF35E1A"/>
    <w:rsid w:val="0F0D7020"/>
    <w:rsid w:val="0FE16FFE"/>
    <w:rsid w:val="10196493"/>
    <w:rsid w:val="102A5607"/>
    <w:rsid w:val="10611EED"/>
    <w:rsid w:val="10E01064"/>
    <w:rsid w:val="11254CC9"/>
    <w:rsid w:val="118F3826"/>
    <w:rsid w:val="11AB78C4"/>
    <w:rsid w:val="11CB1D14"/>
    <w:rsid w:val="129E6D79"/>
    <w:rsid w:val="130A686C"/>
    <w:rsid w:val="1372050F"/>
    <w:rsid w:val="13DA0E81"/>
    <w:rsid w:val="142E0338"/>
    <w:rsid w:val="143D55B7"/>
    <w:rsid w:val="1461070D"/>
    <w:rsid w:val="15466B0E"/>
    <w:rsid w:val="157C455D"/>
    <w:rsid w:val="16565924"/>
    <w:rsid w:val="16D521DA"/>
    <w:rsid w:val="16ED57C2"/>
    <w:rsid w:val="17641CB7"/>
    <w:rsid w:val="187655B2"/>
    <w:rsid w:val="1914706B"/>
    <w:rsid w:val="1950180E"/>
    <w:rsid w:val="19CA465F"/>
    <w:rsid w:val="1A1B310D"/>
    <w:rsid w:val="1A89276C"/>
    <w:rsid w:val="1A8E58F9"/>
    <w:rsid w:val="1B5A5C20"/>
    <w:rsid w:val="1BE0460E"/>
    <w:rsid w:val="1C47468D"/>
    <w:rsid w:val="1D001B04"/>
    <w:rsid w:val="1D574C39"/>
    <w:rsid w:val="1D992CC6"/>
    <w:rsid w:val="1DAA4267"/>
    <w:rsid w:val="1DED3012"/>
    <w:rsid w:val="1EE33F66"/>
    <w:rsid w:val="1EEF37EB"/>
    <w:rsid w:val="1F8332F1"/>
    <w:rsid w:val="1FE870F0"/>
    <w:rsid w:val="2069357B"/>
    <w:rsid w:val="21174B17"/>
    <w:rsid w:val="216547A3"/>
    <w:rsid w:val="21C93C8D"/>
    <w:rsid w:val="21E62252"/>
    <w:rsid w:val="22707D44"/>
    <w:rsid w:val="23B87C1E"/>
    <w:rsid w:val="257F75C4"/>
    <w:rsid w:val="25A80FAE"/>
    <w:rsid w:val="25CE3729"/>
    <w:rsid w:val="27900AE5"/>
    <w:rsid w:val="282B09BF"/>
    <w:rsid w:val="284877C3"/>
    <w:rsid w:val="28F931A5"/>
    <w:rsid w:val="29FC00EB"/>
    <w:rsid w:val="2A8B7E3A"/>
    <w:rsid w:val="2B88001C"/>
    <w:rsid w:val="2BA9603F"/>
    <w:rsid w:val="2BAE3DE1"/>
    <w:rsid w:val="2CE34D14"/>
    <w:rsid w:val="2D53057C"/>
    <w:rsid w:val="2D94739C"/>
    <w:rsid w:val="2E7A444E"/>
    <w:rsid w:val="2E905A1F"/>
    <w:rsid w:val="2EFB1E56"/>
    <w:rsid w:val="2F4A02C4"/>
    <w:rsid w:val="2FB034F3"/>
    <w:rsid w:val="2FD656B4"/>
    <w:rsid w:val="300B4AA7"/>
    <w:rsid w:val="304476AE"/>
    <w:rsid w:val="31064572"/>
    <w:rsid w:val="31B22151"/>
    <w:rsid w:val="32A31F54"/>
    <w:rsid w:val="33311E0F"/>
    <w:rsid w:val="33564FA6"/>
    <w:rsid w:val="33CB74FA"/>
    <w:rsid w:val="34582BEF"/>
    <w:rsid w:val="348E2FB4"/>
    <w:rsid w:val="34A77990"/>
    <w:rsid w:val="356B689E"/>
    <w:rsid w:val="35D60330"/>
    <w:rsid w:val="35EF5721"/>
    <w:rsid w:val="36370E76"/>
    <w:rsid w:val="36C941C4"/>
    <w:rsid w:val="373D24BC"/>
    <w:rsid w:val="37757EA8"/>
    <w:rsid w:val="37FF389E"/>
    <w:rsid w:val="395074BE"/>
    <w:rsid w:val="3A1C3A24"/>
    <w:rsid w:val="3AF630AE"/>
    <w:rsid w:val="3C0529FA"/>
    <w:rsid w:val="3C1A2749"/>
    <w:rsid w:val="3C4F6F1A"/>
    <w:rsid w:val="3C544530"/>
    <w:rsid w:val="3D4E38C5"/>
    <w:rsid w:val="3DC70D32"/>
    <w:rsid w:val="3DD441F1"/>
    <w:rsid w:val="3EF21DDE"/>
    <w:rsid w:val="3FD6525C"/>
    <w:rsid w:val="40572841"/>
    <w:rsid w:val="41055B7A"/>
    <w:rsid w:val="414A5F02"/>
    <w:rsid w:val="42540743"/>
    <w:rsid w:val="437454B8"/>
    <w:rsid w:val="445A689A"/>
    <w:rsid w:val="44A75707"/>
    <w:rsid w:val="44B85878"/>
    <w:rsid w:val="459C4852"/>
    <w:rsid w:val="46F72688"/>
    <w:rsid w:val="47A67A11"/>
    <w:rsid w:val="48270D4B"/>
    <w:rsid w:val="48434C46"/>
    <w:rsid w:val="484C3D73"/>
    <w:rsid w:val="48D16F09"/>
    <w:rsid w:val="49933823"/>
    <w:rsid w:val="49C5081B"/>
    <w:rsid w:val="4A742241"/>
    <w:rsid w:val="4AA04DE4"/>
    <w:rsid w:val="4B306168"/>
    <w:rsid w:val="4B6D116B"/>
    <w:rsid w:val="4BFC577F"/>
    <w:rsid w:val="4C1C7872"/>
    <w:rsid w:val="4C9409C3"/>
    <w:rsid w:val="4D4271A5"/>
    <w:rsid w:val="4D9A5B1B"/>
    <w:rsid w:val="4E593C28"/>
    <w:rsid w:val="4E6324B7"/>
    <w:rsid w:val="4E6845D9"/>
    <w:rsid w:val="4EB444A0"/>
    <w:rsid w:val="4F365D17"/>
    <w:rsid w:val="4FD01CC8"/>
    <w:rsid w:val="518E7B0B"/>
    <w:rsid w:val="52421035"/>
    <w:rsid w:val="52AD009F"/>
    <w:rsid w:val="52FB3500"/>
    <w:rsid w:val="530F0D59"/>
    <w:rsid w:val="538709E1"/>
    <w:rsid w:val="54CF07A0"/>
    <w:rsid w:val="54FF2EBD"/>
    <w:rsid w:val="555B7159"/>
    <w:rsid w:val="557E1708"/>
    <w:rsid w:val="564156CE"/>
    <w:rsid w:val="572D4B4F"/>
    <w:rsid w:val="58A567E7"/>
    <w:rsid w:val="59CB02A5"/>
    <w:rsid w:val="5A586045"/>
    <w:rsid w:val="5B5639C9"/>
    <w:rsid w:val="5B58208B"/>
    <w:rsid w:val="5B7271DE"/>
    <w:rsid w:val="5D753FAB"/>
    <w:rsid w:val="5EBC46B4"/>
    <w:rsid w:val="5EF11E27"/>
    <w:rsid w:val="5F4C6F8C"/>
    <w:rsid w:val="5FFA069B"/>
    <w:rsid w:val="6017124D"/>
    <w:rsid w:val="60673F83"/>
    <w:rsid w:val="60A30D33"/>
    <w:rsid w:val="61135EB8"/>
    <w:rsid w:val="62310735"/>
    <w:rsid w:val="629F653C"/>
    <w:rsid w:val="63D65C0D"/>
    <w:rsid w:val="645D4770"/>
    <w:rsid w:val="647D1316"/>
    <w:rsid w:val="64AD653B"/>
    <w:rsid w:val="64E75692"/>
    <w:rsid w:val="65605444"/>
    <w:rsid w:val="656F7435"/>
    <w:rsid w:val="66015473"/>
    <w:rsid w:val="673D5145"/>
    <w:rsid w:val="68F602F9"/>
    <w:rsid w:val="6A837C0B"/>
    <w:rsid w:val="6B804C2E"/>
    <w:rsid w:val="6BBF08AC"/>
    <w:rsid w:val="6C58326E"/>
    <w:rsid w:val="6CFA1CDB"/>
    <w:rsid w:val="6D45389E"/>
    <w:rsid w:val="6D7D5F1E"/>
    <w:rsid w:val="6E9F0D8B"/>
    <w:rsid w:val="6F3C49DC"/>
    <w:rsid w:val="6F4002B0"/>
    <w:rsid w:val="6F8166E3"/>
    <w:rsid w:val="6FDC764B"/>
    <w:rsid w:val="708145FB"/>
    <w:rsid w:val="71266376"/>
    <w:rsid w:val="71C0420A"/>
    <w:rsid w:val="72247F25"/>
    <w:rsid w:val="72312642"/>
    <w:rsid w:val="72446D2E"/>
    <w:rsid w:val="72587BCF"/>
    <w:rsid w:val="733228C6"/>
    <w:rsid w:val="748B3026"/>
    <w:rsid w:val="748E7C2B"/>
    <w:rsid w:val="75CF35A7"/>
    <w:rsid w:val="75DE3D1D"/>
    <w:rsid w:val="75F76B33"/>
    <w:rsid w:val="765D680F"/>
    <w:rsid w:val="76674885"/>
    <w:rsid w:val="76E9196E"/>
    <w:rsid w:val="772E7150"/>
    <w:rsid w:val="77636E48"/>
    <w:rsid w:val="77770AF7"/>
    <w:rsid w:val="777F79AC"/>
    <w:rsid w:val="78702003"/>
    <w:rsid w:val="78E71CAD"/>
    <w:rsid w:val="79925BE1"/>
    <w:rsid w:val="79C35E4D"/>
    <w:rsid w:val="79D20C62"/>
    <w:rsid w:val="7A236D15"/>
    <w:rsid w:val="7A37631C"/>
    <w:rsid w:val="7A747570"/>
    <w:rsid w:val="7B8A6047"/>
    <w:rsid w:val="7C41025F"/>
    <w:rsid w:val="7C8F0691"/>
    <w:rsid w:val="7CCF6CE0"/>
    <w:rsid w:val="7CD05281"/>
    <w:rsid w:val="7CDE32BE"/>
    <w:rsid w:val="7D0D7808"/>
    <w:rsid w:val="7D3E06B4"/>
    <w:rsid w:val="7E357016"/>
    <w:rsid w:val="7E612428"/>
    <w:rsid w:val="7F4F4108"/>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360" w:lineRule="auto"/>
      <w:jc w:val="center"/>
      <w:textAlignment w:val="baseline"/>
    </w:pPr>
    <w:rPr>
      <w:rFonts w:ascii="Arial" w:hAnsi="Arial"/>
      <w:b/>
      <w:sz w:val="30"/>
    </w:rPr>
  </w:style>
  <w:style w:type="paragraph" w:styleId="4">
    <w:name w:val="annotation text"/>
    <w:basedOn w:val="1"/>
    <w:link w:val="27"/>
    <w:semiHidden/>
    <w:unhideWhenUsed/>
    <w:qFormat/>
    <w:uiPriority w:val="99"/>
  </w:style>
  <w:style w:type="paragraph" w:styleId="5">
    <w:name w:val="Body Text"/>
    <w:basedOn w:val="1"/>
    <w:next w:val="1"/>
    <w:link w:val="31"/>
    <w:unhideWhenUsed/>
    <w:qFormat/>
    <w:uiPriority w:val="0"/>
    <w:pPr>
      <w:spacing w:after="120"/>
    </w:pPr>
  </w:style>
  <w:style w:type="paragraph" w:styleId="6">
    <w:name w:val="Body Text Indent"/>
    <w:basedOn w:val="1"/>
    <w:link w:val="29"/>
    <w:qFormat/>
    <w:uiPriority w:val="0"/>
    <w:pPr>
      <w:widowControl w:val="0"/>
      <w:snapToGrid w:val="0"/>
      <w:spacing w:line="500" w:lineRule="atLeast"/>
      <w:ind w:firstLine="630"/>
      <w:jc w:val="both"/>
    </w:pPr>
    <w:rPr>
      <w:kern w:val="2"/>
      <w:sz w:val="28"/>
    </w:rPr>
  </w:style>
  <w:style w:type="paragraph" w:styleId="7">
    <w:name w:val="Plain Text"/>
    <w:basedOn w:val="1"/>
    <w:next w:val="1"/>
    <w:qFormat/>
    <w:uiPriority w:val="99"/>
    <w:rPr>
      <w:rFonts w:ascii="宋体" w:hAnsi="Courier New" w:cs="Courier New"/>
      <w:szCs w:val="21"/>
    </w:rPr>
  </w:style>
  <w:style w:type="paragraph" w:styleId="8">
    <w:name w:val="Balloon Text"/>
    <w:basedOn w:val="1"/>
    <w:link w:val="24"/>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annotation subject"/>
    <w:basedOn w:val="4"/>
    <w:next w:val="4"/>
    <w:link w:val="28"/>
    <w:semiHidden/>
    <w:unhideWhenUsed/>
    <w:qFormat/>
    <w:uiPriority w:val="99"/>
    <w:rPr>
      <w:b/>
      <w:bCs/>
    </w:rPr>
  </w:style>
  <w:style w:type="paragraph" w:styleId="13">
    <w:name w:val="Body Text First Indent"/>
    <w:basedOn w:val="5"/>
    <w:qFormat/>
    <w:uiPriority w:val="99"/>
    <w:pPr>
      <w:spacing w:line="312" w:lineRule="auto"/>
      <w:ind w:firstLine="420"/>
    </w:pPr>
    <w:rPr>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paragraph" w:customStyle="1" w:styleId="19">
    <w:name w:val="TOC2"/>
    <w:basedOn w:val="1"/>
    <w:next w:val="1"/>
    <w:qFormat/>
    <w:uiPriority w:val="99"/>
    <w:pPr>
      <w:ind w:left="420" w:leftChars="200"/>
    </w:pPr>
  </w:style>
  <w:style w:type="character" w:customStyle="1" w:styleId="20">
    <w:name w:val="页眉 字符"/>
    <w:basedOn w:val="16"/>
    <w:link w:val="10"/>
    <w:qFormat/>
    <w:uiPriority w:val="99"/>
    <w:rPr>
      <w:sz w:val="18"/>
      <w:szCs w:val="18"/>
    </w:rPr>
  </w:style>
  <w:style w:type="character" w:customStyle="1" w:styleId="21">
    <w:name w:val="页脚 字符"/>
    <w:basedOn w:val="16"/>
    <w:link w:val="9"/>
    <w:qFormat/>
    <w:uiPriority w:val="99"/>
    <w:rPr>
      <w:sz w:val="18"/>
      <w:szCs w:val="18"/>
    </w:rPr>
  </w:style>
  <w:style w:type="character" w:customStyle="1" w:styleId="22">
    <w:name w:val="标题 2 字符"/>
    <w:basedOn w:val="16"/>
    <w:link w:val="3"/>
    <w:qFormat/>
    <w:uiPriority w:val="0"/>
    <w:rPr>
      <w:rFonts w:ascii="Arial" w:hAnsi="Arial" w:eastAsia="黑体" w:cs="Times New Roman"/>
      <w:b/>
      <w:bCs/>
      <w:kern w:val="0"/>
      <w:sz w:val="32"/>
      <w:szCs w:val="32"/>
    </w:rPr>
  </w:style>
  <w:style w:type="paragraph" w:styleId="23">
    <w:name w:val="No Spacing"/>
    <w:qFormat/>
    <w:uiPriority w:val="1"/>
    <w:pPr>
      <w:widowControl w:val="0"/>
      <w:jc w:val="both"/>
    </w:pPr>
    <w:rPr>
      <w:rFonts w:ascii="等线" w:hAnsi="等线" w:eastAsia="等线" w:cs="Times New Roman"/>
      <w:kern w:val="2"/>
      <w:sz w:val="21"/>
      <w:szCs w:val="22"/>
      <w:lang w:val="en-US" w:eastAsia="zh-CN" w:bidi="ar-SA"/>
    </w:rPr>
  </w:style>
  <w:style w:type="character" w:customStyle="1" w:styleId="24">
    <w:name w:val="批注框文本 字符"/>
    <w:basedOn w:val="16"/>
    <w:link w:val="8"/>
    <w:semiHidden/>
    <w:qFormat/>
    <w:uiPriority w:val="99"/>
    <w:rPr>
      <w:rFonts w:ascii="Times New Roman" w:hAnsi="Times New Roman" w:eastAsia="宋体" w:cs="Times New Roman"/>
      <w:kern w:val="0"/>
      <w:sz w:val="18"/>
      <w:szCs w:val="18"/>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批注文字 字符"/>
    <w:basedOn w:val="16"/>
    <w:link w:val="4"/>
    <w:semiHidden/>
    <w:qFormat/>
    <w:uiPriority w:val="99"/>
    <w:rPr>
      <w:rFonts w:ascii="Times New Roman" w:hAnsi="Times New Roman" w:eastAsia="宋体" w:cs="Times New Roman"/>
      <w:kern w:val="0"/>
      <w:sz w:val="20"/>
      <w:szCs w:val="20"/>
    </w:rPr>
  </w:style>
  <w:style w:type="character" w:customStyle="1" w:styleId="28">
    <w:name w:val="批注主题 字符"/>
    <w:basedOn w:val="27"/>
    <w:link w:val="12"/>
    <w:semiHidden/>
    <w:qFormat/>
    <w:uiPriority w:val="99"/>
    <w:rPr>
      <w:rFonts w:ascii="Times New Roman" w:hAnsi="Times New Roman" w:eastAsia="宋体" w:cs="Times New Roman"/>
      <w:b/>
      <w:bCs/>
      <w:kern w:val="0"/>
      <w:sz w:val="20"/>
      <w:szCs w:val="20"/>
    </w:rPr>
  </w:style>
  <w:style w:type="character" w:customStyle="1" w:styleId="29">
    <w:name w:val="正文文本缩进 字符"/>
    <w:basedOn w:val="16"/>
    <w:link w:val="6"/>
    <w:qFormat/>
    <w:uiPriority w:val="0"/>
    <w:rPr>
      <w:rFonts w:ascii="Times New Roman" w:hAnsi="Times New Roman" w:eastAsia="宋体" w:cs="Times New Roman"/>
      <w:sz w:val="28"/>
      <w:szCs w:val="20"/>
    </w:rPr>
  </w:style>
  <w:style w:type="paragraph" w:customStyle="1" w:styleId="30">
    <w:name w:val="修订1"/>
    <w:hidden/>
    <w:semiHidden/>
    <w:qFormat/>
    <w:uiPriority w:val="99"/>
    <w:rPr>
      <w:rFonts w:ascii="Times New Roman" w:hAnsi="Times New Roman" w:eastAsia="宋体" w:cs="Times New Roman"/>
      <w:lang w:val="en-US" w:eastAsia="zh-CN" w:bidi="ar-SA"/>
    </w:rPr>
  </w:style>
  <w:style w:type="character" w:customStyle="1" w:styleId="31">
    <w:name w:val="正文文本 字符"/>
    <w:basedOn w:val="16"/>
    <w:link w:val="5"/>
    <w:qFormat/>
    <w:uiPriority w:val="0"/>
  </w:style>
  <w:style w:type="paragraph" w:customStyle="1" w:styleId="32">
    <w:name w:val="文一"/>
    <w:basedOn w:val="1"/>
    <w:qFormat/>
    <w:uiPriority w:val="0"/>
    <w:pPr>
      <w:topLinePunct/>
      <w:adjustRightInd w:val="0"/>
      <w:snapToGrid w:val="0"/>
      <w:spacing w:line="360" w:lineRule="auto"/>
      <w:ind w:firstLine="200" w:firstLineChars="200"/>
    </w:pPr>
    <w:rPr>
      <w:snapToGrid w:val="0"/>
      <w:spacing w:val="4"/>
      <w:sz w:val="24"/>
    </w:rPr>
  </w:style>
  <w:style w:type="paragraph" w:customStyle="1" w:styleId="33">
    <w:name w:val="修订2"/>
    <w:hidden/>
    <w:semiHidden/>
    <w:qFormat/>
    <w:uiPriority w:val="99"/>
    <w:rPr>
      <w:rFonts w:ascii="Times New Roman" w:hAnsi="Times New Roman" w:eastAsia="宋体" w:cs="Times New Roman"/>
      <w:lang w:val="en-US" w:eastAsia="zh-CN" w:bidi="ar-SA"/>
    </w:rPr>
  </w:style>
  <w:style w:type="paragraph" w:customStyle="1" w:styleId="34">
    <w:name w:val="列出段落1"/>
    <w:basedOn w:val="1"/>
    <w:qFormat/>
    <w:uiPriority w:val="99"/>
    <w:pPr>
      <w:ind w:firstLine="420" w:firstLineChars="200"/>
    </w:pPr>
  </w:style>
  <w:style w:type="paragraph" w:customStyle="1" w:styleId="35">
    <w:name w:val="Revision"/>
    <w:hidden/>
    <w:semiHidden/>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DB7F-DF33-424B-8C95-CAD7700114B4}">
  <ds:schemaRefs/>
</ds:datastoreItem>
</file>

<file path=docProps/app.xml><?xml version="1.0" encoding="utf-8"?>
<Properties xmlns="http://schemas.openxmlformats.org/officeDocument/2006/extended-properties" xmlns:vt="http://schemas.openxmlformats.org/officeDocument/2006/docPropsVTypes">
  <Template>Normal.dotm</Template>
  <Company>thape</Company>
  <Pages>16</Pages>
  <Words>1725</Words>
  <Characters>9839</Characters>
  <Lines>81</Lines>
  <Paragraphs>23</Paragraphs>
  <TotalTime>0</TotalTime>
  <ScaleCrop>false</ScaleCrop>
  <LinksUpToDate>false</LinksUpToDate>
  <CharactersWithSpaces>11541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2023-06-07T02:24:00Z</dcterms:created>
  <dc:creator>孙丹丹</dc:creator>
  <cp:lastModifiedBy>MingleLam</cp:lastModifiedBy>
  <cp:lastPrinted>2021-06-11T01:19:00Z</cp:lastPrinted>
  <dcterms:modified xsi:type="dcterms:W3CDTF">2023-06-12T03:57:47Z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13E1FF38F912416DBDAB8AA77509634D_13</vt:lpwstr>
  </property>
</Properties>
</file>