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default" w:ascii="宋体" w:hAnsi="宋体"/>
          <w:b/>
          <w:bCs/>
          <w:color w:val="auto"/>
          <w:sz w:val="48"/>
          <w:szCs w:val="48"/>
          <w:highlight w:val="none"/>
          <w:lang w:val="en-US" w:eastAsia="zh-CN"/>
        </w:rPr>
      </w:pPr>
      <w:r>
        <w:rPr>
          <w:rFonts w:hint="eastAsia" w:ascii="宋体" w:hAnsi="宋体"/>
          <w:b/>
          <w:bCs/>
          <w:color w:val="auto"/>
          <w:sz w:val="48"/>
          <w:szCs w:val="48"/>
          <w:highlight w:val="none"/>
          <w:lang w:val="en-US" w:eastAsia="zh-CN"/>
        </w:rPr>
        <w:t>陆丰市乌坎河流域河道综合整治(二期)工程勘测设计</w:t>
      </w:r>
    </w:p>
    <w:p>
      <w:pPr>
        <w:autoSpaceDE w:val="0"/>
        <w:spacing w:line="360" w:lineRule="auto"/>
        <w:rPr>
          <w:rFonts w:hint="eastAsia" w:ascii="宋体" w:hAnsi="宋体"/>
          <w:b/>
          <w:color w:val="auto"/>
          <w:sz w:val="48"/>
          <w:szCs w:val="48"/>
          <w:highlight w:val="none"/>
        </w:rPr>
      </w:pPr>
    </w:p>
    <w:p>
      <w:pPr>
        <w:pStyle w:val="13"/>
        <w:rPr>
          <w:rFonts w:hint="eastAsia" w:ascii="宋体" w:hAnsi="宋体"/>
          <w:b/>
          <w:color w:val="auto"/>
          <w:sz w:val="48"/>
          <w:szCs w:val="48"/>
          <w:highlight w:val="none"/>
        </w:rPr>
      </w:pPr>
    </w:p>
    <w:p>
      <w:pPr>
        <w:pStyle w:val="13"/>
        <w:rPr>
          <w:rFonts w:hint="eastAsia" w:ascii="宋体" w:hAnsi="宋体"/>
          <w:b/>
          <w:color w:val="auto"/>
          <w:sz w:val="48"/>
          <w:szCs w:val="48"/>
          <w:highlight w:val="none"/>
        </w:rPr>
      </w:pPr>
    </w:p>
    <w:p>
      <w:pPr>
        <w:autoSpaceDE w:val="0"/>
        <w:spacing w:line="360" w:lineRule="auto"/>
        <w:rPr>
          <w:rFonts w:hint="eastAsia" w:ascii="宋体" w:hAnsi="宋体"/>
          <w:b/>
          <w:color w:val="auto"/>
          <w:sz w:val="48"/>
          <w:szCs w:val="48"/>
          <w:highlight w:val="none"/>
        </w:rPr>
      </w:pPr>
    </w:p>
    <w:p>
      <w:pPr>
        <w:autoSpaceDE w:val="0"/>
        <w:spacing w:line="36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招 标 文 件</w:t>
      </w:r>
    </w:p>
    <w:p>
      <w:pPr>
        <w:autoSpaceDE w:val="0"/>
        <w:spacing w:line="360" w:lineRule="auto"/>
        <w:jc w:val="center"/>
        <w:rPr>
          <w:rFonts w:hint="eastAsia" w:ascii="宋体" w:hAnsi="宋体"/>
          <w:b/>
          <w:color w:val="auto"/>
          <w:sz w:val="24"/>
          <w:highlight w:val="none"/>
        </w:rPr>
      </w:pPr>
    </w:p>
    <w:p>
      <w:pPr>
        <w:autoSpaceDE w:val="0"/>
        <w:spacing w:line="360" w:lineRule="auto"/>
        <w:jc w:val="both"/>
        <w:rPr>
          <w:rFonts w:hint="eastAsia" w:ascii="宋体" w:hAnsi="宋体"/>
          <w:color w:val="auto"/>
          <w:sz w:val="24"/>
          <w:highlight w:val="none"/>
        </w:rPr>
      </w:pPr>
    </w:p>
    <w:p>
      <w:pPr>
        <w:autoSpaceDE w:val="0"/>
        <w:spacing w:line="360" w:lineRule="auto"/>
        <w:jc w:val="center"/>
        <w:rPr>
          <w:rFonts w:hint="eastAsia" w:ascii="宋体" w:hAnsi="宋体"/>
          <w:color w:val="auto"/>
          <w:sz w:val="24"/>
          <w:highlight w:val="none"/>
        </w:rPr>
      </w:pPr>
    </w:p>
    <w:p>
      <w:pPr>
        <w:autoSpaceDE w:val="0"/>
        <w:spacing w:line="360" w:lineRule="auto"/>
        <w:rPr>
          <w:rFonts w:hint="eastAsia" w:ascii="宋体" w:hAnsi="宋体"/>
          <w:color w:val="auto"/>
          <w:sz w:val="24"/>
          <w:highlight w:val="none"/>
        </w:rPr>
      </w:pPr>
    </w:p>
    <w:p>
      <w:pPr>
        <w:autoSpaceDE w:val="0"/>
        <w:spacing w:line="720" w:lineRule="auto"/>
        <w:rPr>
          <w:rFonts w:hint="eastAsia" w:ascii="宋体" w:hAnsi="宋体"/>
          <w:color w:val="auto"/>
          <w:sz w:val="24"/>
          <w:highlight w:val="none"/>
        </w:rPr>
      </w:pPr>
    </w:p>
    <w:p>
      <w:pPr>
        <w:widowControl/>
        <w:snapToGrid w:val="0"/>
        <w:spacing w:line="720" w:lineRule="auto"/>
        <w:ind w:firstLine="1265" w:firstLineChars="450"/>
        <w:jc w:val="both"/>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 xml:space="preserve">招  标  人: </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val="en-US" w:eastAsia="zh-CN"/>
        </w:rPr>
        <w:t xml:space="preserve">   陆丰市水利工程建设管理中心</w:t>
      </w:r>
      <w:r>
        <w:rPr>
          <w:rFonts w:hint="eastAsia" w:ascii="宋体" w:hAnsi="宋体" w:eastAsia="宋体" w:cs="宋体"/>
          <w:b/>
          <w:color w:val="auto"/>
          <w:spacing w:val="20"/>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rPr>
        <w:t>（盖章）</w:t>
      </w:r>
    </w:p>
    <w:p>
      <w:pPr>
        <w:pStyle w:val="24"/>
        <w:rPr>
          <w:rFonts w:hint="eastAsia"/>
          <w:color w:val="auto"/>
          <w:highlight w:val="none"/>
        </w:rPr>
      </w:pPr>
    </w:p>
    <w:p>
      <w:pPr>
        <w:widowControl/>
        <w:snapToGrid w:val="0"/>
        <w:spacing w:line="720" w:lineRule="auto"/>
        <w:ind w:firstLine="422" w:firstLineChars="150"/>
        <w:jc w:val="center"/>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招标代理机构:</w:t>
      </w:r>
      <w:r>
        <w:rPr>
          <w:rFonts w:hint="eastAsia" w:ascii="宋体" w:hAnsi="宋体" w:eastAsia="宋体" w:cs="宋体"/>
          <w:b/>
          <w:color w:val="auto"/>
          <w:kern w:val="0"/>
          <w:sz w:val="28"/>
          <w:szCs w:val="28"/>
          <w:highlight w:val="none"/>
          <w:u w:val="single"/>
        </w:rPr>
        <w:t xml:space="preserve">  </w:t>
      </w:r>
      <w:r>
        <w:rPr>
          <w:rFonts w:hint="eastAsia" w:ascii="宋体" w:hAnsi="宋体" w:cs="宋体"/>
          <w:b/>
          <w:color w:val="auto"/>
          <w:kern w:val="0"/>
          <w:sz w:val="28"/>
          <w:szCs w:val="28"/>
          <w:highlight w:val="none"/>
          <w:u w:val="single"/>
          <w:lang w:val="en-US" w:eastAsia="zh-CN"/>
        </w:rPr>
        <w:t>广东仁仁招标代理有限公司</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rPr>
        <w:t>（盖章）</w:t>
      </w:r>
    </w:p>
    <w:p>
      <w:pPr>
        <w:spacing w:line="360" w:lineRule="auto"/>
        <w:ind w:firstLine="980" w:firstLineChars="350"/>
        <w:rPr>
          <w:rFonts w:hint="eastAsia" w:ascii="宋体" w:hAnsi="宋体"/>
          <w:color w:val="auto"/>
          <w:sz w:val="28"/>
          <w:szCs w:val="28"/>
          <w:highlight w:val="none"/>
          <w:u w:val="single"/>
        </w:rPr>
      </w:pPr>
    </w:p>
    <w:p>
      <w:pPr>
        <w:spacing w:line="360" w:lineRule="auto"/>
        <w:ind w:firstLine="964" w:firstLineChars="300"/>
        <w:jc w:val="center"/>
        <w:rPr>
          <w:rFonts w:hint="eastAsia" w:ascii="宋体" w:hAnsi="宋体"/>
          <w:color w:val="auto"/>
          <w:sz w:val="28"/>
          <w:szCs w:val="28"/>
          <w:highlight w:val="none"/>
          <w:u w:val="single"/>
        </w:rPr>
      </w:pPr>
      <w:r>
        <w:rPr>
          <w:rFonts w:hint="eastAsia" w:ascii="宋体" w:hAnsi="宋体" w:eastAsia="宋体" w:cs="宋体"/>
          <w:b/>
          <w:color w:val="auto"/>
          <w:kern w:val="0"/>
          <w:sz w:val="32"/>
          <w:szCs w:val="20"/>
          <w:highlight w:val="none"/>
        </w:rPr>
        <w:t>日  期：</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u w:val="single"/>
          <w:lang w:val="en-US" w:eastAsia="zh-CN"/>
        </w:rPr>
        <w:t>202</w:t>
      </w:r>
      <w:r>
        <w:rPr>
          <w:rFonts w:hint="eastAsia" w:ascii="宋体" w:hAnsi="宋体" w:cs="宋体"/>
          <w:b/>
          <w:color w:val="auto"/>
          <w:kern w:val="0"/>
          <w:sz w:val="32"/>
          <w:szCs w:val="20"/>
          <w:highlight w:val="none"/>
          <w:u w:val="single"/>
          <w:lang w:val="en-US" w:eastAsia="zh-CN"/>
        </w:rPr>
        <w:t>3</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rPr>
        <w:t>年</w:t>
      </w:r>
      <w:r>
        <w:rPr>
          <w:rFonts w:hint="eastAsia" w:ascii="宋体" w:hAnsi="宋体" w:eastAsia="宋体" w:cs="宋体"/>
          <w:b/>
          <w:color w:val="auto"/>
          <w:kern w:val="0"/>
          <w:sz w:val="32"/>
          <w:szCs w:val="20"/>
          <w:highlight w:val="none"/>
          <w:u w:val="single"/>
        </w:rPr>
        <w:t xml:space="preserve"> </w:t>
      </w:r>
      <w:r>
        <w:rPr>
          <w:rFonts w:hint="eastAsia" w:ascii="宋体" w:hAnsi="宋体" w:cs="宋体"/>
          <w:b/>
          <w:color w:val="auto"/>
          <w:kern w:val="0"/>
          <w:sz w:val="32"/>
          <w:szCs w:val="20"/>
          <w:highlight w:val="none"/>
          <w:u w:val="single"/>
          <w:lang w:val="en-US" w:eastAsia="zh-CN"/>
        </w:rPr>
        <w:t>6</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rPr>
        <w:t>月</w:t>
      </w:r>
    </w:p>
    <w:p>
      <w:pPr>
        <w:pStyle w:val="12"/>
        <w:autoSpaceDE w:val="0"/>
        <w:spacing w:line="440" w:lineRule="exact"/>
        <w:jc w:val="center"/>
        <w:rPr>
          <w:rFonts w:hAnsi="宋体" w:eastAsia="宋体"/>
          <w:color w:val="auto"/>
          <w:sz w:val="44"/>
          <w:highlight w:val="none"/>
        </w:rPr>
        <w:sectPr>
          <w:headerReference r:id="rId3" w:type="default"/>
          <w:footerReference r:id="rId4" w:type="default"/>
          <w:footnotePr>
            <w:numRestart w:val="eachPage"/>
          </w:footnotePr>
          <w:type w:val="continuous"/>
          <w:pgSz w:w="11907" w:h="16840"/>
          <w:pgMar w:top="1418" w:right="1134" w:bottom="1134" w:left="1134" w:header="680" w:footer="907" w:gutter="0"/>
          <w:pgNumType w:fmt="decimal"/>
          <w:cols w:space="720" w:num="1"/>
          <w:docGrid w:linePitch="271" w:charSpace="0"/>
        </w:sectPr>
      </w:pPr>
    </w:p>
    <w:p>
      <w:pPr>
        <w:pStyle w:val="12"/>
        <w:autoSpaceDE w:val="0"/>
        <w:spacing w:line="440" w:lineRule="exact"/>
        <w:jc w:val="center"/>
        <w:rPr>
          <w:rFonts w:hint="eastAsia" w:hAnsi="宋体" w:eastAsia="宋体"/>
          <w:color w:val="auto"/>
          <w:sz w:val="44"/>
          <w:highlight w:val="none"/>
        </w:rPr>
      </w:pPr>
      <w:r>
        <w:rPr>
          <w:rFonts w:hAnsi="宋体" w:eastAsia="宋体"/>
          <w:color w:val="auto"/>
          <w:sz w:val="44"/>
          <w:highlight w:val="none"/>
        </w:rPr>
        <w:t>目   录</w:t>
      </w:r>
    </w:p>
    <w:p>
      <w:pPr>
        <w:pStyle w:val="12"/>
        <w:autoSpaceDE w:val="0"/>
        <w:spacing w:line="440" w:lineRule="exact"/>
        <w:jc w:val="center"/>
        <w:rPr>
          <w:rFonts w:hint="eastAsia" w:hAnsi="宋体" w:eastAsia="宋体"/>
          <w:color w:val="auto"/>
          <w:sz w:val="44"/>
          <w:highlight w:val="none"/>
        </w:rPr>
      </w:pPr>
    </w:p>
    <w:p>
      <w:pPr>
        <w:pStyle w:val="12"/>
        <w:autoSpaceDE w:val="0"/>
        <w:spacing w:line="440" w:lineRule="exact"/>
        <w:jc w:val="center"/>
        <w:rPr>
          <w:rFonts w:hint="eastAsia" w:hAnsi="宋体" w:eastAsia="宋体"/>
          <w:color w:val="auto"/>
          <w:sz w:val="44"/>
          <w:highlight w:val="none"/>
        </w:rPr>
      </w:pPr>
    </w:p>
    <w:p>
      <w:pPr>
        <w:pStyle w:val="12"/>
        <w:autoSpaceDE w:val="0"/>
        <w:spacing w:line="440" w:lineRule="exact"/>
        <w:jc w:val="center"/>
        <w:rPr>
          <w:rFonts w:hint="eastAsia" w:hAnsi="宋体" w:eastAsia="宋体"/>
          <w:color w:val="auto"/>
          <w:sz w:val="44"/>
          <w:highlight w:val="none"/>
        </w:rPr>
      </w:pPr>
    </w:p>
    <w:sdt>
      <w:sdtPr>
        <w:rPr>
          <w:rFonts w:ascii="宋体" w:hAnsi="宋体" w:eastAsia="宋体" w:cs="Times New Roman"/>
          <w:color w:val="auto"/>
          <w:kern w:val="2"/>
          <w:sz w:val="21"/>
          <w:szCs w:val="24"/>
          <w:highlight w:val="none"/>
          <w:lang w:val="en-US" w:eastAsia="zh-CN" w:bidi="ar-SA"/>
        </w:rPr>
        <w:id w:val="147470485"/>
        <w15:color w:val="DBDBDB"/>
        <w:docPartObj>
          <w:docPartGallery w:val="Table of Contents"/>
          <w:docPartUnique/>
        </w:docPartObj>
      </w:sdtPr>
      <w:sdtEndPr>
        <w:rPr>
          <w:rFonts w:hint="eastAsia" w:ascii="宋体" w:hAnsi="宋体"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33"/>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p>
        <w:p>
          <w:pPr>
            <w:pStyle w:val="33"/>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章 投标须知及投标须知前附表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_Toc7667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_Toc32412 </w:instrText>
          </w:r>
          <w:r>
            <w:rPr>
              <w:rFonts w:hint="eastAsia" w:ascii="宋体" w:hAnsi="宋体" w:eastAsia="宋体" w:cs="宋体"/>
              <w:color w:val="auto"/>
              <w:sz w:val="24"/>
              <w:szCs w:val="24"/>
              <w:highlight w:val="none"/>
            </w:rPr>
            <w:fldChar w:fldCharType="separate"/>
          </w:r>
          <w:bookmarkStart w:id="741" w:name="_GoBack"/>
          <w:r>
            <w:rPr>
              <w:rFonts w:hint="eastAsia" w:ascii="宋体" w:hAnsi="宋体" w:eastAsia="宋体" w:cs="宋体"/>
              <w:color w:val="auto"/>
              <w:sz w:val="24"/>
              <w:szCs w:val="24"/>
              <w:highlight w:val="none"/>
              <w:lang w:val="en-US" w:eastAsia="zh-CN"/>
            </w:rPr>
            <w:t xml:space="preserve">第三章 </w:t>
          </w:r>
          <w:r>
            <w:rPr>
              <w:rFonts w:hint="eastAsia" w:ascii="宋体" w:hAnsi="宋体" w:eastAsia="宋体" w:cs="宋体"/>
              <w:color w:val="auto"/>
              <w:sz w:val="24"/>
              <w:szCs w:val="24"/>
              <w:highlight w:val="none"/>
            </w:rPr>
            <w:t>评标办法</w:t>
          </w:r>
          <w:bookmarkEnd w:id="741"/>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_Toc32412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w:t>
          </w:r>
          <w:r>
            <w:rPr>
              <w:rFonts w:hint="eastAsia" w:ascii="宋体" w:hAnsi="宋体" w:cs="宋体"/>
              <w:color w:val="auto"/>
              <w:sz w:val="24"/>
              <w:szCs w:val="24"/>
              <w:highlight w:val="none"/>
              <w:lang w:eastAsia="zh-CN"/>
            </w:rPr>
            <w:t>合同条款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_Toc6951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198"/>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_Toc2220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eastAsia="zh-CN"/>
            </w:rPr>
            <w:t>第</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章</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发包人要求</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5</w:t>
          </w:r>
        </w:p>
        <w:p>
          <w:pPr>
            <w:pStyle w:val="33"/>
            <w:tabs>
              <w:tab w:val="right" w:leader="dot" w:pos="9198"/>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_Toc2220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eastAsia="zh-CN"/>
            </w:rPr>
            <w:t>第六章</w:t>
          </w:r>
          <w:r>
            <w:rPr>
              <w:rFonts w:hint="eastAsia" w:ascii="宋体" w:hAnsi="宋体" w:eastAsia="宋体" w:cs="宋体"/>
              <w:color w:val="auto"/>
              <w:sz w:val="24"/>
              <w:szCs w:val="24"/>
              <w:highlight w:val="none"/>
            </w:rPr>
            <w:t xml:space="preserve"> 投标文件及格式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rPr>
              <w:color w:val="auto"/>
              <w:highlight w:val="none"/>
            </w:rPr>
          </w:pP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br w:type="page"/>
          </w:r>
        </w:p>
      </w:sdtContent>
    </w:sdt>
    <w:p>
      <w:pPr>
        <w:pStyle w:val="4"/>
        <w:numPr>
          <w:ilvl w:val="0"/>
          <w:numId w:val="0"/>
        </w:numPr>
        <w:bidi w:val="0"/>
        <w:ind w:leftChars="0"/>
        <w:jc w:val="center"/>
        <w:outlineLvl w:val="0"/>
        <w:rPr>
          <w:rFonts w:hint="eastAsia" w:ascii="宋体" w:hAnsi="宋体" w:cs="宋体"/>
          <w:color w:val="auto"/>
          <w:sz w:val="24"/>
          <w:highlight w:val="none"/>
        </w:rPr>
      </w:pPr>
      <w:bookmarkStart w:id="0" w:name="_Toc18767"/>
      <w:bookmarkStart w:id="1" w:name="_Toc15635"/>
      <w:bookmarkStart w:id="2" w:name="_Toc534471618"/>
      <w:bookmarkStart w:id="3" w:name="_Toc534472020"/>
      <w:r>
        <w:rPr>
          <w:rFonts w:hint="eastAsia"/>
          <w:color w:val="auto"/>
          <w:sz w:val="44"/>
          <w:szCs w:val="44"/>
          <w:highlight w:val="none"/>
        </w:rPr>
        <w:t>第一</w:t>
      </w:r>
      <w:r>
        <w:rPr>
          <w:rFonts w:hint="eastAsia"/>
          <w:color w:val="auto"/>
          <w:sz w:val="44"/>
          <w:szCs w:val="44"/>
          <w:highlight w:val="none"/>
          <w:lang w:val="en-US" w:eastAsia="zh-CN"/>
        </w:rPr>
        <w:t xml:space="preserve">章 </w:t>
      </w:r>
      <w:r>
        <w:rPr>
          <w:rFonts w:hint="eastAsia"/>
          <w:color w:val="auto"/>
          <w:sz w:val="44"/>
          <w:szCs w:val="44"/>
          <w:highlight w:val="none"/>
        </w:rPr>
        <w:t>招标公告</w:t>
      </w:r>
      <w:bookmarkEnd w:id="0"/>
    </w:p>
    <w:p>
      <w:pPr>
        <w:snapToGrid w:val="0"/>
        <w:spacing w:line="360" w:lineRule="auto"/>
        <w:jc w:val="center"/>
        <w:rPr>
          <w:rFonts w:hint="eastAsia" w:ascii="宋体" w:hAnsi="宋体" w:cs="Times New Roman"/>
          <w:b/>
          <w:color w:val="auto"/>
          <w:spacing w:val="6"/>
          <w:sz w:val="32"/>
          <w:szCs w:val="32"/>
          <w:highlight w:val="none"/>
          <w:lang w:val="en-US" w:eastAsia="zh-CN"/>
        </w:rPr>
      </w:pPr>
      <w:r>
        <w:rPr>
          <w:rFonts w:hint="eastAsia" w:ascii="宋体" w:hAnsi="宋体" w:cs="Times New Roman"/>
          <w:b/>
          <w:color w:val="auto"/>
          <w:spacing w:val="6"/>
          <w:sz w:val="32"/>
          <w:szCs w:val="32"/>
          <w:highlight w:val="none"/>
          <w:lang w:val="en-US" w:eastAsia="zh-CN"/>
        </w:rPr>
        <w:t>陆丰市乌坎河流域河道综合整治(二期)工程</w:t>
      </w:r>
    </w:p>
    <w:p>
      <w:pPr>
        <w:snapToGrid w:val="0"/>
        <w:spacing w:line="360" w:lineRule="auto"/>
        <w:jc w:val="center"/>
        <w:rPr>
          <w:rFonts w:hint="eastAsia"/>
          <w:b/>
          <w:color w:val="auto"/>
          <w:sz w:val="32"/>
          <w:szCs w:val="32"/>
          <w:highlight w:val="none"/>
        </w:rPr>
      </w:pPr>
      <w:r>
        <w:rPr>
          <w:rFonts w:hint="eastAsia" w:ascii="宋体" w:hAnsi="宋体" w:cs="Times New Roman"/>
          <w:b/>
          <w:color w:val="auto"/>
          <w:spacing w:val="6"/>
          <w:sz w:val="32"/>
          <w:szCs w:val="32"/>
          <w:highlight w:val="none"/>
          <w:lang w:val="en-US" w:eastAsia="zh-CN"/>
        </w:rPr>
        <w:t>勘测设计</w:t>
      </w:r>
      <w:r>
        <w:rPr>
          <w:rFonts w:hint="eastAsia" w:ascii="宋体" w:hAnsi="宋体" w:eastAsia="宋体" w:cs="Times New Roman"/>
          <w:b/>
          <w:color w:val="auto"/>
          <w:spacing w:val="6"/>
          <w:sz w:val="32"/>
          <w:szCs w:val="32"/>
          <w:highlight w:val="none"/>
          <w:lang w:val="en-US" w:eastAsia="zh-CN"/>
        </w:rPr>
        <w:t>招标</w:t>
      </w:r>
      <w:r>
        <w:rPr>
          <w:rFonts w:hint="eastAsia"/>
          <w:b/>
          <w:color w:val="auto"/>
          <w:sz w:val="32"/>
          <w:szCs w:val="32"/>
          <w:highlight w:val="none"/>
        </w:rPr>
        <w:t>公告</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b/>
          <w:color w:val="auto"/>
          <w:sz w:val="21"/>
          <w:szCs w:val="21"/>
          <w:highlight w:val="none"/>
        </w:rPr>
      </w:pPr>
      <w:r>
        <w:rPr>
          <w:rFonts w:hint="eastAsia" w:ascii="宋体" w:hAnsi="宋体"/>
          <w:b/>
          <w:color w:val="auto"/>
          <w:sz w:val="21"/>
          <w:szCs w:val="21"/>
          <w:highlight w:val="none"/>
        </w:rPr>
        <w:t>1</w:t>
      </w:r>
      <w:r>
        <w:rPr>
          <w:rFonts w:hint="eastAsia" w:ascii="宋体" w:hAnsi="宋体"/>
          <w:b/>
          <w:color w:val="auto"/>
          <w:sz w:val="21"/>
          <w:szCs w:val="21"/>
          <w:highlight w:val="none"/>
          <w:lang w:val="en-US" w:eastAsia="zh-CN"/>
        </w:rPr>
        <w:t>、招标条件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b w:val="0"/>
          <w:bCs/>
          <w:color w:val="auto"/>
          <w:sz w:val="21"/>
          <w:szCs w:val="21"/>
          <w:highlight w:val="none"/>
        </w:rPr>
      </w:pPr>
      <w:r>
        <w:rPr>
          <w:rFonts w:hint="eastAsia" w:ascii="宋体" w:hAnsi="宋体"/>
          <w:b w:val="0"/>
          <w:bCs/>
          <w:color w:val="auto"/>
          <w:sz w:val="21"/>
          <w:szCs w:val="21"/>
          <w:highlight w:val="none"/>
        </w:rPr>
        <w:t>本招标项目</w:t>
      </w:r>
      <w:r>
        <w:rPr>
          <w:rFonts w:hint="eastAsia" w:ascii="宋体" w:hAnsi="宋体"/>
          <w:b w:val="0"/>
          <w:bCs/>
          <w:color w:val="auto"/>
          <w:sz w:val="21"/>
          <w:szCs w:val="21"/>
          <w:highlight w:val="none"/>
          <w:u w:val="single"/>
          <w:lang w:val="en-US" w:eastAsia="zh-CN"/>
        </w:rPr>
        <w:t xml:space="preserve">陆丰市乌坎河流域河道综合整治(二期)工程 </w:t>
      </w:r>
      <w:r>
        <w:rPr>
          <w:rFonts w:hint="eastAsia" w:ascii="宋体" w:hAnsi="宋体"/>
          <w:b w:val="0"/>
          <w:bCs/>
          <w:color w:val="auto"/>
          <w:sz w:val="21"/>
          <w:szCs w:val="21"/>
          <w:highlight w:val="none"/>
        </w:rPr>
        <w:t>已由</w:t>
      </w:r>
      <w:r>
        <w:rPr>
          <w:rFonts w:hint="eastAsia" w:ascii="宋体" w:hAnsi="宋体"/>
          <w:b w:val="0"/>
          <w:bCs/>
          <w:color w:val="auto"/>
          <w:sz w:val="21"/>
          <w:szCs w:val="21"/>
          <w:highlight w:val="none"/>
          <w:u w:val="single"/>
          <w:lang w:val="en-US" w:eastAsia="zh-CN"/>
        </w:rPr>
        <w:t xml:space="preserve"> 陆丰市政府 </w:t>
      </w:r>
      <w:r>
        <w:rPr>
          <w:rFonts w:hint="eastAsia" w:ascii="宋体" w:hAnsi="宋体"/>
          <w:b w:val="0"/>
          <w:bCs/>
          <w:color w:val="auto"/>
          <w:sz w:val="21"/>
          <w:szCs w:val="21"/>
          <w:highlight w:val="none"/>
          <w:u w:val="none"/>
          <w:lang w:val="en-US" w:eastAsia="zh-CN"/>
        </w:rPr>
        <w:t>批</w:t>
      </w:r>
      <w:r>
        <w:rPr>
          <w:rFonts w:hint="eastAsia" w:ascii="宋体" w:hAnsi="宋体"/>
          <w:b w:val="0"/>
          <w:bCs/>
          <w:color w:val="auto"/>
          <w:sz w:val="21"/>
          <w:szCs w:val="21"/>
          <w:highlight w:val="none"/>
        </w:rPr>
        <w:t>准建设，招标人为</w:t>
      </w:r>
      <w:r>
        <w:rPr>
          <w:rFonts w:hint="eastAsia" w:ascii="宋体" w:hAnsi="宋体"/>
          <w:b w:val="0"/>
          <w:bCs/>
          <w:color w:val="auto"/>
          <w:sz w:val="21"/>
          <w:szCs w:val="21"/>
          <w:highlight w:val="none"/>
          <w:u w:val="single"/>
        </w:rPr>
        <w:t xml:space="preserve"> </w:t>
      </w:r>
      <w:r>
        <w:rPr>
          <w:rFonts w:hint="eastAsia" w:ascii="宋体" w:hAnsi="宋体"/>
          <w:b w:val="0"/>
          <w:bCs/>
          <w:color w:val="auto"/>
          <w:sz w:val="21"/>
          <w:szCs w:val="21"/>
          <w:highlight w:val="none"/>
          <w:u w:val="single"/>
          <w:lang w:val="en-US" w:eastAsia="zh-CN"/>
        </w:rPr>
        <w:t xml:space="preserve">陆丰市水利工程建设管理中心 </w:t>
      </w:r>
      <w:r>
        <w:rPr>
          <w:rFonts w:hint="eastAsia" w:ascii="宋体" w:hAnsi="宋体"/>
          <w:b w:val="0"/>
          <w:bCs/>
          <w:color w:val="auto"/>
          <w:sz w:val="21"/>
          <w:szCs w:val="21"/>
          <w:highlight w:val="none"/>
        </w:rPr>
        <w:t>，建设资金</w:t>
      </w:r>
      <w:r>
        <w:rPr>
          <w:rFonts w:hint="eastAsia" w:ascii="宋体" w:hAnsi="宋体"/>
          <w:b w:val="0"/>
          <w:bCs/>
          <w:color w:val="auto"/>
          <w:sz w:val="21"/>
          <w:szCs w:val="21"/>
          <w:highlight w:val="none"/>
          <w:lang w:val="en-US" w:eastAsia="zh-CN"/>
        </w:rPr>
        <w:t>为</w:t>
      </w:r>
      <w:r>
        <w:rPr>
          <w:rFonts w:hint="eastAsia" w:ascii="宋体" w:hAnsi="宋体" w:cs="Times New Roman"/>
          <w:b w:val="0"/>
          <w:bCs/>
          <w:color w:val="auto"/>
          <w:sz w:val="21"/>
          <w:szCs w:val="21"/>
          <w:highlight w:val="none"/>
          <w:u w:val="single"/>
          <w:lang w:val="en-US" w:eastAsia="zh-CN"/>
        </w:rPr>
        <w:t>申请上级补助及地方政府专项债券资金，不足部分由市财政配</w:t>
      </w:r>
      <w:r>
        <w:rPr>
          <w:rFonts w:hint="eastAsia" w:ascii="宋体" w:hAnsi="宋体"/>
          <w:b w:val="0"/>
          <w:bCs/>
          <w:color w:val="auto"/>
          <w:sz w:val="21"/>
          <w:szCs w:val="21"/>
          <w:highlight w:val="none"/>
        </w:rPr>
        <w:t>。项目已具备招标条件，现对该项目的</w:t>
      </w:r>
      <w:r>
        <w:rPr>
          <w:rFonts w:hint="eastAsia" w:ascii="宋体" w:hAnsi="宋体"/>
          <w:b w:val="0"/>
          <w:bCs/>
          <w:color w:val="auto"/>
          <w:sz w:val="21"/>
          <w:szCs w:val="21"/>
          <w:highlight w:val="none"/>
          <w:lang w:val="en-US" w:eastAsia="zh-CN"/>
        </w:rPr>
        <w:t>勘测</w:t>
      </w:r>
      <w:r>
        <w:rPr>
          <w:rFonts w:hint="eastAsia" w:ascii="宋体" w:hAnsi="宋体"/>
          <w:b w:val="0"/>
          <w:bCs/>
          <w:color w:val="auto"/>
          <w:sz w:val="21"/>
          <w:szCs w:val="21"/>
          <w:highlight w:val="none"/>
          <w:lang w:eastAsia="zh-CN"/>
        </w:rPr>
        <w:t>设计</w:t>
      </w:r>
      <w:r>
        <w:rPr>
          <w:rFonts w:hint="eastAsia" w:ascii="宋体" w:hAnsi="宋体"/>
          <w:b w:val="0"/>
          <w:bCs/>
          <w:color w:val="auto"/>
          <w:sz w:val="21"/>
          <w:szCs w:val="21"/>
          <w:highlight w:val="none"/>
        </w:rPr>
        <w:t>进行公开招标。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ascii="宋体" w:hAnsi="宋体"/>
          <w:b/>
          <w:color w:val="auto"/>
          <w:sz w:val="21"/>
          <w:szCs w:val="21"/>
          <w:highlight w:val="none"/>
        </w:rPr>
      </w:pPr>
      <w:r>
        <w:rPr>
          <w:rFonts w:hint="eastAsia" w:ascii="宋体" w:hAnsi="宋体"/>
          <w:b/>
          <w:color w:val="auto"/>
          <w:sz w:val="21"/>
          <w:szCs w:val="21"/>
          <w:highlight w:val="none"/>
          <w:lang w:val="en-US" w:eastAsia="zh-CN"/>
        </w:rPr>
        <w:t>2</w:t>
      </w:r>
      <w:r>
        <w:rPr>
          <w:rFonts w:hint="eastAsia" w:ascii="宋体" w:hAnsi="宋体"/>
          <w:b/>
          <w:color w:val="auto"/>
          <w:sz w:val="21"/>
          <w:szCs w:val="21"/>
          <w:highlight w:val="none"/>
        </w:rPr>
        <w:t>、项目概况及招标范围</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2.</w:t>
      </w:r>
      <w:r>
        <w:rPr>
          <w:rFonts w:hint="eastAsia" w:ascii="宋体" w:hAnsi="宋体"/>
          <w:iCs/>
          <w:color w:val="auto"/>
          <w:sz w:val="21"/>
          <w:szCs w:val="21"/>
          <w:highlight w:val="none"/>
        </w:rPr>
        <w:t>1、工程名称</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lang w:val="en-US" w:eastAsia="zh-CN"/>
        </w:rPr>
        <w:t>陆丰市乌坎河流域河道综合整治(二期)工程勘测设计。</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2、工程建设地点</w:t>
      </w: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陆丰市辖区内。</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3、</w:t>
      </w:r>
      <w:r>
        <w:rPr>
          <w:rFonts w:hint="eastAsia" w:ascii="宋体" w:hAnsi="宋体"/>
          <w:strike w:val="0"/>
          <w:dstrike w:val="0"/>
          <w:color w:val="auto"/>
          <w:sz w:val="21"/>
          <w:szCs w:val="21"/>
          <w:highlight w:val="none"/>
          <w:lang w:val="en-US" w:eastAsia="zh-CN"/>
        </w:rPr>
        <w:t>工程估算批复</w:t>
      </w:r>
      <w:r>
        <w:rPr>
          <w:rFonts w:hint="eastAsia" w:ascii="宋体" w:hAnsi="宋体"/>
          <w:color w:val="auto"/>
          <w:sz w:val="21"/>
          <w:szCs w:val="21"/>
          <w:highlight w:val="none"/>
          <w:lang w:eastAsia="zh-CN"/>
        </w:rPr>
        <w:t>总投资</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66272.32万元，其中建安费53477.14万元</w:t>
      </w:r>
      <w:r>
        <w:rPr>
          <w:rFonts w:hint="eastAsia" w:ascii="宋体" w:hAnsi="宋体"/>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4、</w:t>
      </w: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1114.35万</w:t>
      </w:r>
      <w:r>
        <w:rPr>
          <w:rFonts w:hint="eastAsia" w:ascii="宋体" w:hAnsi="宋体"/>
          <w:color w:val="auto"/>
          <w:sz w:val="21"/>
          <w:szCs w:val="21"/>
          <w:highlight w:val="none"/>
        </w:rPr>
        <w:t>元</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其中勘察费招标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限价：532.27万元，</w:t>
      </w:r>
      <w:r>
        <w:rPr>
          <w:rFonts w:hint="eastAsia" w:ascii="宋体" w:hAnsi="宋体"/>
          <w:iCs/>
          <w:color w:val="auto"/>
          <w:sz w:val="21"/>
          <w:szCs w:val="21"/>
          <w:highlight w:val="none"/>
          <w:lang w:eastAsia="zh-CN"/>
        </w:rPr>
        <w:t>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限价：582.08万元。</w:t>
      </w:r>
    </w:p>
    <w:p>
      <w:pPr>
        <w:keepNext w:val="0"/>
        <w:keepLines w:val="0"/>
        <w:pageBreakBefore w:val="0"/>
        <w:widowControl w:val="0"/>
        <w:tabs>
          <w:tab w:val="left" w:pos="180"/>
        </w:tabs>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5、</w:t>
      </w:r>
      <w:r>
        <w:rPr>
          <w:rFonts w:hint="eastAsia" w:ascii="宋体" w:hAnsi="宋体"/>
          <w:color w:val="auto"/>
          <w:sz w:val="21"/>
          <w:szCs w:val="21"/>
          <w:highlight w:val="none"/>
          <w:lang w:val="en-US" w:eastAsia="zh-CN"/>
        </w:rPr>
        <w:t>建设</w:t>
      </w:r>
      <w:r>
        <w:rPr>
          <w:rFonts w:hint="eastAsia" w:ascii="宋体" w:hAnsi="宋体"/>
          <w:color w:val="auto"/>
          <w:sz w:val="21"/>
          <w:szCs w:val="21"/>
          <w:highlight w:val="none"/>
        </w:rPr>
        <w:t>规模</w:t>
      </w:r>
      <w:r>
        <w:rPr>
          <w:rFonts w:hint="eastAsia" w:ascii="宋体" w:hAnsi="宋体"/>
          <w:color w:val="auto"/>
          <w:sz w:val="21"/>
          <w:szCs w:val="21"/>
          <w:highlight w:val="none"/>
          <w:lang w:val="en-US" w:eastAsia="zh-CN"/>
        </w:rPr>
        <w:t>及主要内容</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项目整治范围由乌坎河段、东河段和运河段三个部分组成，总长 7.416km。其中乌坎河段起自乌坎水闸，终于乌坎大桥，全长2.144km；东河段起自东河与运河交叉口，终于乌坎大桥，全长 4.186km；运河段起自永泰路，终于东河与运河交叉口，全长 1.086km。项目主要建设内容:1. 堤防工程，堤防加高培厚工程11.82km；2. 疏浚工程，清淤疏浚河道 7.427km；3.穿堤涵闸，共新(拆)建涵闸 17 座，其中，单孔 1.5× 2.0(m，宽度×高度) 5 座，双孔 1.5× 2.0(m，宽度×高度) 7座，三孔 2.5× 2.5(m，宽度×高度) 3座，四孔2.5× 2.0(m，宽度×高度)2座；4. 乌坎河、东河段堤防堤顶道路采用沥青混凝土结构，道路总长 9.637km，配套绿化及景观工程、生态水环境检测等</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textAlignment w:val="baseline"/>
        <w:outlineLvl w:val="9"/>
        <w:rPr>
          <w:rFonts w:hint="eastAsia" w:eastAsia="宋体"/>
          <w:color w:val="auto"/>
          <w:highlight w:val="none"/>
          <w:lang w:val="en-US" w:eastAsia="zh-CN"/>
        </w:rPr>
      </w:pPr>
      <w:r>
        <w:rPr>
          <w:rFonts w:hint="eastAsia" w:ascii="宋体" w:hAnsi="宋体"/>
          <w:color w:val="auto"/>
          <w:sz w:val="21"/>
          <w:szCs w:val="21"/>
          <w:highlight w:val="none"/>
          <w:lang w:val="en-US" w:eastAsia="zh-CN"/>
        </w:rPr>
        <w:t>2.6</w:t>
      </w:r>
      <w:r>
        <w:rPr>
          <w:rFonts w:hint="eastAsia" w:ascii="宋体" w:hAnsi="宋体"/>
          <w:color w:val="auto"/>
          <w:sz w:val="21"/>
          <w:szCs w:val="21"/>
          <w:highlight w:val="none"/>
        </w:rPr>
        <w:t>、招标范围及要求：</w:t>
      </w:r>
      <w:r>
        <w:rPr>
          <w:rFonts w:hint="eastAsia" w:ascii="宋体" w:hAnsi="宋体"/>
          <w:color w:val="auto"/>
          <w:sz w:val="21"/>
          <w:szCs w:val="21"/>
          <w:highlight w:val="none"/>
          <w:lang w:eastAsia="zh-CN"/>
        </w:rPr>
        <w:t>包括但不限于岩土工程勘察、工程测量、初步设计、招标设计、施工图设计及概预算编制，工程施工期间</w:t>
      </w:r>
      <w:r>
        <w:rPr>
          <w:rFonts w:hint="eastAsia" w:ascii="宋体" w:hAnsi="宋体"/>
          <w:color w:val="auto"/>
          <w:sz w:val="21"/>
          <w:szCs w:val="21"/>
          <w:highlight w:val="none"/>
          <w:lang w:val="en-US" w:eastAsia="zh-CN"/>
        </w:rPr>
        <w:t>勘察、</w:t>
      </w:r>
      <w:r>
        <w:rPr>
          <w:rFonts w:hint="eastAsia" w:ascii="宋体" w:hAnsi="宋体"/>
          <w:color w:val="auto"/>
          <w:sz w:val="21"/>
          <w:szCs w:val="21"/>
          <w:highlight w:val="none"/>
          <w:lang w:eastAsia="zh-CN"/>
        </w:rPr>
        <w:t>设计代表驻地服务、配合竣工验收服务及相应阶段的工程勘察相关工作以及按国家有关规程规范的要求应由勘察、设计单位完成的其他勘察设计服务。</w:t>
      </w:r>
    </w:p>
    <w:p>
      <w:pPr>
        <w:adjustRightInd w:val="0"/>
        <w:snapToGrid w:val="0"/>
        <w:spacing w:beforeLines="1" w:afterLines="1" w:line="440" w:lineRule="exact"/>
        <w:ind w:firstLine="420" w:firstLineChars="200"/>
        <w:textAlignment w:val="baseline"/>
        <w:rPr>
          <w:rFonts w:ascii="宋体" w:hAnsi="宋体"/>
          <w:color w:val="auto"/>
          <w:sz w:val="21"/>
          <w:szCs w:val="21"/>
          <w:highlight w:val="none"/>
        </w:rPr>
      </w:pPr>
      <w:r>
        <w:rPr>
          <w:rFonts w:hint="eastAsia" w:ascii="宋体" w:hAnsi="宋体"/>
          <w:color w:val="auto"/>
          <w:sz w:val="21"/>
          <w:szCs w:val="21"/>
          <w:highlight w:val="none"/>
          <w:lang w:val="en-US" w:eastAsia="zh-CN"/>
        </w:rPr>
        <w:t>2.7</w:t>
      </w:r>
      <w:r>
        <w:rPr>
          <w:rFonts w:hint="eastAsia" w:ascii="宋体" w:hAnsi="宋体"/>
          <w:color w:val="auto"/>
          <w:sz w:val="21"/>
          <w:szCs w:val="21"/>
          <w:highlight w:val="none"/>
        </w:rPr>
        <w:t>、</w:t>
      </w:r>
      <w:r>
        <w:rPr>
          <w:rFonts w:hint="eastAsia" w:ascii="宋体" w:hAnsi="宋体"/>
          <w:color w:val="auto"/>
          <w:szCs w:val="21"/>
          <w:highlight w:val="none"/>
        </w:rPr>
        <w:t>服务期限：①合同签订后</w:t>
      </w:r>
      <w:r>
        <w:rPr>
          <w:rFonts w:hint="eastAsia" w:ascii="宋体" w:hAnsi="宋体"/>
          <w:color w:val="auto"/>
          <w:szCs w:val="21"/>
          <w:highlight w:val="none"/>
          <w:lang w:val="en-US" w:eastAsia="zh-CN"/>
        </w:rPr>
        <w:t>9</w:t>
      </w:r>
      <w:r>
        <w:rPr>
          <w:rFonts w:hint="eastAsia" w:ascii="宋体" w:hAnsi="宋体"/>
          <w:color w:val="auto"/>
          <w:szCs w:val="21"/>
          <w:highlight w:val="none"/>
        </w:rPr>
        <w:t>0日历天内提交勘察成果报告、初步设计报告及图纸、工程概算书等报审稿；②审批部门完成初步设计报告及概算审批后</w:t>
      </w:r>
      <w:r>
        <w:rPr>
          <w:rFonts w:hint="eastAsia" w:ascii="宋体" w:hAnsi="宋体"/>
          <w:color w:val="auto"/>
          <w:szCs w:val="21"/>
          <w:highlight w:val="none"/>
          <w:lang w:val="en-US" w:eastAsia="zh-CN"/>
        </w:rPr>
        <w:t>3</w:t>
      </w:r>
      <w:r>
        <w:rPr>
          <w:rFonts w:hint="eastAsia" w:ascii="宋体" w:hAnsi="宋体"/>
          <w:color w:val="auto"/>
          <w:szCs w:val="21"/>
          <w:highlight w:val="none"/>
        </w:rPr>
        <w:t>0日历天内提交</w:t>
      </w:r>
      <w:r>
        <w:rPr>
          <w:rFonts w:hint="eastAsia" w:ascii="宋体" w:hAnsi="宋体"/>
          <w:color w:val="auto"/>
          <w:szCs w:val="21"/>
          <w:highlight w:val="none"/>
          <w:lang w:val="en-US" w:eastAsia="zh-CN"/>
        </w:rPr>
        <w:t>招标设计、</w:t>
      </w:r>
      <w:r>
        <w:rPr>
          <w:rFonts w:hint="eastAsia" w:ascii="宋体" w:hAnsi="宋体"/>
          <w:color w:val="auto"/>
          <w:szCs w:val="21"/>
          <w:highlight w:val="none"/>
        </w:rPr>
        <w:t>施工图设计及施工图预算；③勘察设计服务期限为工程建设全过程，自签订合同之日起至工程竣工验收止。</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rPr>
      </w:pPr>
      <w:bookmarkStart w:id="4" w:name="_Toc234382572"/>
      <w:r>
        <w:rPr>
          <w:rFonts w:hint="eastAsia" w:ascii="宋体" w:hAnsi="宋体" w:eastAsia="宋体" w:cs="Times New Roman"/>
          <w:b/>
          <w:color w:val="auto"/>
          <w:sz w:val="21"/>
          <w:szCs w:val="21"/>
          <w:highlight w:val="none"/>
          <w:lang w:val="en-US" w:eastAsia="zh-CN"/>
        </w:rPr>
        <w:t>3</w:t>
      </w:r>
      <w:r>
        <w:rPr>
          <w:rFonts w:hint="eastAsia" w:ascii="宋体" w:hAnsi="宋体" w:eastAsia="宋体" w:cs="Times New Roman"/>
          <w:b/>
          <w:color w:val="auto"/>
          <w:sz w:val="21"/>
          <w:szCs w:val="21"/>
          <w:highlight w:val="none"/>
        </w:rPr>
        <w:t>、投标人资格要求</w:t>
      </w:r>
      <w:bookmarkEnd w:id="4"/>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3.</w:t>
      </w:r>
      <w:r>
        <w:rPr>
          <w:rFonts w:hint="eastAsia" w:ascii="宋体" w:hAnsi="宋体"/>
          <w:iCs/>
          <w:color w:val="auto"/>
          <w:sz w:val="21"/>
          <w:szCs w:val="21"/>
          <w:highlight w:val="none"/>
        </w:rPr>
        <w:t>1、具有经建设行政主管部门核发的下列资质证书的独立法人企业，或分别具备下列资质的企业组成的联合体：</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（1）设计资质：须具备以下工程设计资质证书（具备以下①或②或③）：</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①工程设计综合甲级资质；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②</w:t>
      </w:r>
      <w:r>
        <w:rPr>
          <w:rFonts w:hint="eastAsia" w:ascii="宋体" w:hAnsi="宋体" w:cs="Times New Roman"/>
          <w:iCs/>
          <w:color w:val="auto"/>
          <w:sz w:val="21"/>
          <w:szCs w:val="21"/>
          <w:highlight w:val="none"/>
          <w:lang w:eastAsia="zh-CN"/>
        </w:rPr>
        <w:t>工程设计水利行业乙级和风景园林工程设计专项乙级（或以上）</w:t>
      </w:r>
      <w:r>
        <w:rPr>
          <w:rFonts w:hint="eastAsia" w:ascii="宋体" w:hAnsi="宋体" w:eastAsia="宋体" w:cs="Times New Roman"/>
          <w:iCs/>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③</w:t>
      </w:r>
      <w:r>
        <w:rPr>
          <w:rFonts w:hint="eastAsia" w:ascii="宋体" w:hAnsi="宋体" w:cs="Times New Roman"/>
          <w:iCs/>
          <w:color w:val="auto"/>
          <w:sz w:val="21"/>
          <w:szCs w:val="21"/>
          <w:highlight w:val="none"/>
          <w:lang w:eastAsia="zh-CN"/>
        </w:rPr>
        <w:t>工程设计水利行业（河道整治）专业乙级（或以上）和风景园林工程设计专项乙级（或以上）</w:t>
      </w:r>
      <w:r>
        <w:rPr>
          <w:rFonts w:hint="eastAsia" w:ascii="宋体" w:hAnsi="宋体" w:eastAsia="宋体" w:cs="Times New Roman"/>
          <w:iCs/>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（2）勘察资质：须具备以下工程勘察资质证书（具备以下①或②）：</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①工程勘察综合类甲级资质；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eastAsia="zh-CN"/>
        </w:rPr>
      </w:pPr>
      <w:r>
        <w:rPr>
          <w:rFonts w:hint="eastAsia" w:ascii="宋体" w:hAnsi="宋体" w:eastAsia="宋体" w:cs="Times New Roman"/>
          <w:iCs/>
          <w:color w:val="auto"/>
          <w:sz w:val="21"/>
          <w:szCs w:val="21"/>
          <w:highlight w:val="none"/>
        </w:rPr>
        <w:t>②工程勘察专业类（岩土工程(勘察)）乙级（或以上）和工程勘察专业类（工程测量）乙级（或以上）资质。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lang w:val="en-US" w:eastAsia="zh-CN"/>
        </w:rPr>
        <w:t>3.2</w:t>
      </w:r>
      <w:r>
        <w:rPr>
          <w:rFonts w:hint="eastAsia" w:ascii="宋体" w:hAnsi="宋体"/>
          <w:iCs/>
          <w:color w:val="auto"/>
          <w:sz w:val="21"/>
          <w:szCs w:val="21"/>
          <w:highlight w:val="none"/>
        </w:rPr>
        <w:t>、本项目</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u w:val="single"/>
        </w:rPr>
        <w:t>接受</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rPr>
        <w:t>联合体投标。</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联合体投标的，应满足下列要求：</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（1）联合体各方应签订联合体协议书，明确联合体</w:t>
      </w:r>
      <w:r>
        <w:rPr>
          <w:rFonts w:hint="eastAsia" w:ascii="宋体" w:hAnsi="宋体"/>
          <w:iCs/>
          <w:color w:val="auto"/>
          <w:sz w:val="21"/>
          <w:szCs w:val="21"/>
          <w:highlight w:val="none"/>
          <w:lang w:eastAsia="zh-CN"/>
        </w:rPr>
        <w:t>牵头人</w:t>
      </w:r>
      <w:r>
        <w:rPr>
          <w:rFonts w:hint="eastAsia" w:ascii="宋体" w:hAnsi="宋体"/>
          <w:iCs/>
          <w:color w:val="auto"/>
          <w:sz w:val="21"/>
          <w:szCs w:val="21"/>
          <w:highlight w:val="none"/>
        </w:rPr>
        <w:t>和各方责任、权利、义务等；</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（2）联合体各方不得再以自己名义单独或与其他企业组成联合体参加本招标项目的投标；</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525" w:firstLineChars="25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rPr>
        <w:t>（3）联合体成员数量</w:t>
      </w:r>
      <w:r>
        <w:rPr>
          <w:rFonts w:hint="eastAsia" w:ascii="宋体" w:hAnsi="宋体"/>
          <w:iCs/>
          <w:color w:val="auto"/>
          <w:sz w:val="21"/>
          <w:szCs w:val="21"/>
          <w:highlight w:val="none"/>
          <w:lang w:val="en-US" w:eastAsia="zh-CN"/>
        </w:rPr>
        <w:t>不超过2家</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rPr>
        <w:t>联合体以设计方为</w:t>
      </w:r>
      <w:r>
        <w:rPr>
          <w:rFonts w:hint="eastAsia" w:ascii="宋体" w:hAnsi="宋体"/>
          <w:iCs/>
          <w:color w:val="auto"/>
          <w:sz w:val="21"/>
          <w:szCs w:val="21"/>
          <w:highlight w:val="none"/>
          <w:lang w:eastAsia="zh-CN"/>
        </w:rPr>
        <w:t>牵头人。</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3.3、投标人已在广东省水利建设市场信用信息平台完成信息录入手续</w:t>
      </w:r>
      <w:r>
        <w:rPr>
          <w:rFonts w:hint="eastAsia" w:cs="Times New Roman"/>
          <w:iCs/>
          <w:color w:val="auto"/>
          <w:sz w:val="21"/>
          <w:szCs w:val="21"/>
          <w:highlight w:val="none"/>
          <w:lang w:val="en-US" w:eastAsia="zh-CN"/>
        </w:rPr>
        <w:t>，拟担任本项目的负责人为本企业信息登记中的在册人员</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3.4、在“信用中国”网站（http://www.creditchina.gov.cn/)中被列入失信被执行人名单的投标人，在国家企业信用信息公示系统（http://www.gsxt.gov.cn/）中被列入严重违法失信企业名单的投标人，均按否决投标处理。</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宋体"/>
          <w:iCs/>
          <w:color w:val="auto"/>
          <w:kern w:val="0"/>
          <w:sz w:val="21"/>
          <w:szCs w:val="21"/>
          <w:highlight w:val="none"/>
          <w:lang w:val="en-US" w:eastAsia="zh-CN" w:bidi="ar-SA"/>
        </w:rPr>
      </w:pPr>
      <w:r>
        <w:rPr>
          <w:rFonts w:hint="eastAsia" w:ascii="宋体" w:hAnsi="宋体" w:eastAsia="宋体" w:cs="Times New Roman"/>
          <w:iCs/>
          <w:color w:val="auto"/>
          <w:sz w:val="21"/>
          <w:szCs w:val="21"/>
          <w:highlight w:val="none"/>
          <w:lang w:val="en-US" w:eastAsia="zh-CN"/>
        </w:rPr>
        <w:t>3.5</w:t>
      </w:r>
      <w:r>
        <w:rPr>
          <w:rFonts w:hint="eastAsia" w:ascii="宋体" w:hAnsi="宋体"/>
          <w:iCs/>
          <w:color w:val="auto"/>
          <w:kern w:val="0"/>
          <w:sz w:val="21"/>
          <w:szCs w:val="21"/>
          <w:highlight w:val="none"/>
          <w:lang w:val="en-US" w:eastAsia="zh-CN" w:bidi="ar-SA"/>
        </w:rPr>
        <w:t>、</w:t>
      </w:r>
      <w:r>
        <w:rPr>
          <w:rFonts w:hint="eastAsia" w:cs="宋体"/>
          <w:iCs/>
          <w:color w:val="auto"/>
          <w:kern w:val="0"/>
          <w:sz w:val="21"/>
          <w:szCs w:val="21"/>
          <w:highlight w:val="none"/>
          <w:lang w:val="en-US" w:eastAsia="zh-CN" w:bidi="ar-SA"/>
        </w:rPr>
        <w:t>拟派项目负责人（兼设计负责人）具有水利相关行业高级工程师（或以上）职称证书或注册土木工程师（水利水电工程）资格证书，</w:t>
      </w:r>
      <w:r>
        <w:rPr>
          <w:rFonts w:hint="eastAsia"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ascii="宋体" w:hAnsi="宋体" w:eastAsia="宋体" w:cs="宋体"/>
          <w:iCs/>
          <w:color w:val="auto"/>
          <w:kern w:val="0"/>
          <w:sz w:val="21"/>
          <w:szCs w:val="21"/>
          <w:highlight w:val="none"/>
          <w:lang w:val="en-US" w:eastAsia="zh-CN" w:bidi="ar-SA"/>
        </w:rPr>
        <w:t>。（如是联合体，应为具有设计资质的成员一方）</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default" w:ascii="宋体" w:hAnsi="宋体" w:eastAsia="宋体" w:cs="宋体"/>
          <w:iCs/>
          <w:color w:val="auto"/>
          <w:kern w:val="0"/>
          <w:sz w:val="21"/>
          <w:szCs w:val="21"/>
          <w:highlight w:val="none"/>
          <w:lang w:val="en-US" w:eastAsia="zh-CN" w:bidi="ar-SA"/>
        </w:rPr>
      </w:pPr>
      <w:r>
        <w:rPr>
          <w:rFonts w:hint="eastAsia" w:cs="宋体"/>
          <w:iCs/>
          <w:color w:val="auto"/>
          <w:kern w:val="0"/>
          <w:sz w:val="21"/>
          <w:szCs w:val="21"/>
          <w:highlight w:val="none"/>
          <w:lang w:val="en-US" w:eastAsia="zh-CN" w:bidi="ar-SA"/>
        </w:rPr>
        <w:t>3.6、拟派本项目勘察负责人应具有勘察类高级工程师（或以上）的职称证书或注册土木工程师（岩土）注册执业证书，</w:t>
      </w:r>
      <w:r>
        <w:rPr>
          <w:rFonts w:hint="eastAsia"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cs="宋体"/>
          <w:iCs/>
          <w:color w:val="auto"/>
          <w:kern w:val="0"/>
          <w:sz w:val="21"/>
          <w:szCs w:val="21"/>
          <w:highlight w:val="none"/>
          <w:lang w:val="en-US" w:eastAsia="zh-CN" w:bidi="ar-SA"/>
        </w:rPr>
        <w:t>。（如是联合体，应为具有勘察资质的成员一方）</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4、</w:t>
      </w:r>
      <w:r>
        <w:rPr>
          <w:rFonts w:hint="eastAsia" w:ascii="宋体" w:hAnsi="宋体" w:eastAsia="宋体" w:cs="Times New Roman"/>
          <w:b/>
          <w:iCs/>
          <w:color w:val="auto"/>
          <w:sz w:val="21"/>
          <w:szCs w:val="21"/>
          <w:highlight w:val="none"/>
          <w:lang w:val="en-US" w:eastAsia="zh-CN"/>
        </w:rPr>
        <w:t>招标文件的获取</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招标文件于</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年</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月</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日发出，投标人自行登录广州公共资源交易中心(</w:t>
      </w:r>
      <w:r>
        <w:rPr>
          <w:rFonts w:hint="eastAsia" w:ascii="宋体" w:hAnsi="宋体" w:cs="Times New Roman"/>
          <w:color w:val="auto"/>
          <w:sz w:val="21"/>
          <w:szCs w:val="21"/>
          <w:highlight w:val="none"/>
        </w:rPr>
        <w:fldChar w:fldCharType="begin"/>
      </w:r>
      <w:r>
        <w:rPr>
          <w:rFonts w:hint="eastAsia" w:ascii="宋体" w:hAnsi="宋体" w:cs="Times New Roman"/>
          <w:color w:val="auto"/>
          <w:sz w:val="21"/>
          <w:szCs w:val="21"/>
          <w:highlight w:val="none"/>
        </w:rPr>
        <w:instrText xml:space="preserve"> HYPERLINK "http://ww.gzggzy.cn" </w:instrText>
      </w:r>
      <w:r>
        <w:rPr>
          <w:rFonts w:hint="eastAsia" w:ascii="宋体" w:hAnsi="宋体" w:cs="Times New Roman"/>
          <w:color w:val="auto"/>
          <w:sz w:val="21"/>
          <w:szCs w:val="21"/>
          <w:highlight w:val="none"/>
        </w:rPr>
        <w:fldChar w:fldCharType="separate"/>
      </w:r>
      <w:r>
        <w:rPr>
          <w:rFonts w:hint="eastAsia" w:ascii="宋体" w:hAnsi="宋体" w:cs="Times New Roman"/>
          <w:color w:val="auto"/>
          <w:sz w:val="21"/>
          <w:szCs w:val="21"/>
          <w:highlight w:val="none"/>
        </w:rPr>
        <w:t>http://ww</w:t>
      </w:r>
      <w:r>
        <w:rPr>
          <w:rFonts w:hint="eastAsia" w:ascii="宋体" w:hAnsi="宋体" w:cs="Times New Roman"/>
          <w:color w:val="auto"/>
          <w:sz w:val="21"/>
          <w:szCs w:val="21"/>
          <w:highlight w:val="none"/>
          <w:lang w:val="en-US" w:eastAsia="zh-CN"/>
        </w:rPr>
        <w:t>w</w:t>
      </w:r>
      <w:r>
        <w:rPr>
          <w:rFonts w:hint="eastAsia" w:ascii="宋体" w:hAnsi="宋体" w:cs="Times New Roman"/>
          <w:color w:val="auto"/>
          <w:sz w:val="21"/>
          <w:szCs w:val="21"/>
          <w:highlight w:val="none"/>
        </w:rPr>
        <w:t>.gzggzy.cn</w:t>
      </w:r>
      <w:r>
        <w:rPr>
          <w:rFonts w:hint="eastAsia" w:ascii="宋体" w:hAnsi="宋体" w:cs="Times New Roman"/>
          <w:color w:val="auto"/>
          <w:sz w:val="21"/>
          <w:szCs w:val="21"/>
          <w:highlight w:val="none"/>
        </w:rPr>
        <w:fldChar w:fldCharType="end"/>
      </w:r>
      <w:r>
        <w:rPr>
          <w:rFonts w:hint="eastAsia" w:ascii="宋体" w:hAnsi="宋体" w:cs="Times New Roman"/>
          <w:color w:val="auto"/>
          <w:sz w:val="21"/>
          <w:szCs w:val="21"/>
          <w:highlight w:val="none"/>
        </w:rPr>
        <w:t>),下载招标文件及相关资料。符合本项目资格要求的投标人根据招标文件要求编制投标文件的，均可直接参与本项目的投标。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5</w:t>
      </w:r>
      <w:r>
        <w:rPr>
          <w:rFonts w:hint="eastAsia" w:ascii="宋体" w:hAnsi="宋体" w:cs="Times New Roman"/>
          <w:b/>
          <w:color w:val="auto"/>
          <w:sz w:val="21"/>
          <w:szCs w:val="21"/>
          <w:highlight w:val="none"/>
          <w:lang w:val="en-US" w:eastAsia="zh-CN"/>
        </w:rPr>
        <w:t>、</w:t>
      </w:r>
      <w:r>
        <w:rPr>
          <w:rFonts w:hint="eastAsia" w:ascii="宋体" w:hAnsi="宋体" w:eastAsia="宋体" w:cs="Times New Roman"/>
          <w:b/>
          <w:color w:val="auto"/>
          <w:sz w:val="21"/>
          <w:szCs w:val="21"/>
          <w:highlight w:val="none"/>
          <w:lang w:val="en-US" w:eastAsia="zh-CN"/>
        </w:rPr>
        <w:t>投标文件的递交</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5.1</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 xml:space="preserve"> 递交投标文件起始时间：2023年   月   日   时  分； 截止时间：2023年  月  日    时  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5.2</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开标时间：</w:t>
      </w:r>
      <w:r>
        <w:rPr>
          <w:rFonts w:hint="eastAsia" w:ascii="宋体" w:hAnsi="宋体" w:cs="Times New Roman"/>
          <w:color w:val="auto"/>
          <w:sz w:val="21"/>
          <w:szCs w:val="21"/>
          <w:highlight w:val="none"/>
          <w:lang w:val="en-US" w:eastAsia="zh-CN"/>
        </w:rPr>
        <w:t>2023</w:t>
      </w:r>
      <w:r>
        <w:rPr>
          <w:rFonts w:hint="eastAsia" w:ascii="宋体" w:hAnsi="宋体" w:cs="Times New Roman"/>
          <w:color w:val="auto"/>
          <w:sz w:val="21"/>
          <w:szCs w:val="21"/>
          <w:highlight w:val="none"/>
        </w:rPr>
        <w:t>年</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月</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日</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时</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递交投标文件</w:t>
      </w:r>
      <w:r>
        <w:rPr>
          <w:rFonts w:hint="eastAsia" w:ascii="宋体" w:hAnsi="宋体" w:eastAsia="宋体" w:cs="Times New Roman"/>
          <w:color w:val="auto"/>
          <w:sz w:val="21"/>
          <w:szCs w:val="21"/>
          <w:highlight w:val="none"/>
        </w:rPr>
        <w:t>：投标人通过广州公共资源交易中心交易平台递交电子投标文件。</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5.3</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逾期</w:t>
      </w:r>
      <w:r>
        <w:rPr>
          <w:rFonts w:hint="eastAsia" w:ascii="宋体" w:hAnsi="宋体" w:cs="Times New Roman"/>
          <w:color w:val="auto"/>
          <w:sz w:val="21"/>
          <w:szCs w:val="21"/>
          <w:highlight w:val="none"/>
          <w:lang w:val="en-US" w:eastAsia="zh-CN"/>
        </w:rPr>
        <w:t>递交</w:t>
      </w:r>
      <w:r>
        <w:rPr>
          <w:rFonts w:hint="eastAsia" w:ascii="宋体" w:hAnsi="宋体" w:cs="Times New Roman"/>
          <w:color w:val="auto"/>
          <w:sz w:val="21"/>
          <w:szCs w:val="21"/>
          <w:highlight w:val="none"/>
        </w:rPr>
        <w:t>的或者未</w:t>
      </w:r>
      <w:r>
        <w:rPr>
          <w:rFonts w:hint="eastAsia" w:ascii="宋体" w:hAnsi="宋体" w:cs="Times New Roman"/>
          <w:color w:val="auto"/>
          <w:sz w:val="21"/>
          <w:szCs w:val="21"/>
          <w:highlight w:val="none"/>
          <w:lang w:val="en-US" w:eastAsia="zh-CN"/>
        </w:rPr>
        <w:t>按规定递交</w:t>
      </w:r>
      <w:r>
        <w:rPr>
          <w:rFonts w:hint="eastAsia" w:ascii="宋体" w:hAnsi="宋体" w:cs="Times New Roman"/>
          <w:color w:val="auto"/>
          <w:sz w:val="21"/>
          <w:szCs w:val="21"/>
          <w:highlight w:val="none"/>
        </w:rPr>
        <w:t>的投标文件，招标人不予受理。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2" w:firstLineChars="200"/>
        <w:textAlignment w:val="baseline"/>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注：本项目采用投标登记手续在网上办理。投标人应在招标公告发布后至投标登记截止时间前，登录广州公共资源交易中心交易平台网站办理网上投标登记手续；未办理投标登记手续的，提交的投标文件将被拒绝接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6</w:t>
      </w:r>
      <w:r>
        <w:rPr>
          <w:rFonts w:hint="eastAsia" w:ascii="宋体" w:hAnsi="宋体" w:cs="Times New Roman"/>
          <w:b/>
          <w:color w:val="auto"/>
          <w:sz w:val="21"/>
          <w:szCs w:val="21"/>
          <w:highlight w:val="none"/>
          <w:lang w:val="en-US" w:eastAsia="zh-CN"/>
        </w:rPr>
        <w:t>、</w:t>
      </w:r>
      <w:r>
        <w:rPr>
          <w:rFonts w:hint="eastAsia" w:ascii="宋体" w:hAnsi="宋体" w:eastAsia="宋体" w:cs="Times New Roman"/>
          <w:b/>
          <w:color w:val="auto"/>
          <w:sz w:val="21"/>
          <w:szCs w:val="21"/>
          <w:highlight w:val="none"/>
          <w:lang w:val="en-US" w:eastAsia="zh-CN"/>
        </w:rPr>
        <w:t>投标注意事项</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6.1</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投标人若对招标文件有疑问，在招标文件《投标人须知》规定时间内办理数字证书登陆广州公共资源交易中心</w:t>
      </w:r>
      <w:r>
        <w:rPr>
          <w:rFonts w:hint="eastAsia" w:ascii="宋体" w:hAnsi="宋体" w:cs="Times New Roman"/>
          <w:color w:val="auto"/>
          <w:sz w:val="21"/>
          <w:szCs w:val="21"/>
          <w:highlight w:val="none"/>
          <w:lang w:val="en-US" w:eastAsia="zh-CN"/>
        </w:rPr>
        <w:t>平台</w:t>
      </w:r>
      <w:r>
        <w:rPr>
          <w:rFonts w:hint="eastAsia" w:ascii="宋体" w:hAnsi="宋体" w:cs="Times New Roman"/>
          <w:color w:val="auto"/>
          <w:sz w:val="21"/>
          <w:szCs w:val="21"/>
          <w:highlight w:val="none"/>
        </w:rPr>
        <w:t>进行网上提问，要求招标人对招标文件予以澄清。招标人(或招标代理)将对投标人的问题统一做出澄清和解答，并发布在广州公共资源交易中心网网站。投标人应自行留意招标人(或招标代理)发布的招标文件澄清、修改或补充内容。否则，造成的一切后果由投标人自行承担。</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6.</w:t>
      </w: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未中标单位的经济补偿：</w:t>
      </w:r>
      <w:r>
        <w:rPr>
          <w:rFonts w:hint="eastAsia" w:ascii="宋体" w:hAnsi="宋体" w:cs="Times New Roman"/>
          <w:color w:val="auto"/>
          <w:sz w:val="21"/>
          <w:szCs w:val="21"/>
          <w:highlight w:val="none"/>
          <w:lang w:val="en-US" w:eastAsia="zh-CN"/>
        </w:rPr>
        <w:t>不补偿</w:t>
      </w:r>
      <w:r>
        <w:rPr>
          <w:rFonts w:hint="eastAsia" w:ascii="宋体" w:hAnsi="宋体"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7</w:t>
      </w:r>
      <w:r>
        <w:rPr>
          <w:rFonts w:hint="eastAsia" w:ascii="宋体" w:hAnsi="宋体" w:cs="Times New Roman"/>
          <w:b/>
          <w:color w:val="auto"/>
          <w:sz w:val="21"/>
          <w:szCs w:val="21"/>
          <w:highlight w:val="none"/>
          <w:lang w:val="en-US" w:eastAsia="zh-CN"/>
        </w:rPr>
        <w:t>、</w:t>
      </w:r>
      <w:r>
        <w:rPr>
          <w:rFonts w:hint="eastAsia" w:ascii="宋体" w:hAnsi="宋体" w:eastAsia="宋体" w:cs="Times New Roman"/>
          <w:b/>
          <w:color w:val="auto"/>
          <w:sz w:val="21"/>
          <w:szCs w:val="21"/>
          <w:highlight w:val="none"/>
          <w:lang w:val="en-US" w:eastAsia="zh-CN"/>
        </w:rPr>
        <w:t>发布公告的媒介</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ascii="宋体" w:hAnsi="宋体" w:cs="Times New Roman"/>
          <w:color w:val="auto"/>
          <w:sz w:val="21"/>
          <w:szCs w:val="21"/>
          <w:highlight w:val="none"/>
        </w:rPr>
      </w:pPr>
      <w:r>
        <w:rPr>
          <w:rFonts w:hint="eastAsia" w:ascii="宋体" w:hAnsi="宋体" w:cs="Times New Roman"/>
          <w:color w:val="auto"/>
          <w:sz w:val="21"/>
          <w:szCs w:val="21"/>
          <w:highlight w:val="none"/>
        </w:rPr>
        <w:t>本次招标公告同时在广州公共资源交易中心网、广东省招标投标监管网上发布。</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bookmarkStart w:id="5" w:name="_Toc234382576"/>
      <w:r>
        <w:rPr>
          <w:rFonts w:hint="eastAsia" w:ascii="宋体" w:hAnsi="宋体" w:cs="Times New Roman"/>
          <w:b/>
          <w:color w:val="auto"/>
          <w:sz w:val="21"/>
          <w:szCs w:val="21"/>
          <w:highlight w:val="none"/>
          <w:lang w:val="en-US" w:eastAsia="zh-CN"/>
        </w:rPr>
        <w:t>8</w:t>
      </w:r>
      <w:r>
        <w:rPr>
          <w:rFonts w:hint="eastAsia" w:ascii="宋体" w:hAnsi="宋体" w:eastAsia="宋体" w:cs="Times New Roman"/>
          <w:b/>
          <w:color w:val="auto"/>
          <w:sz w:val="21"/>
          <w:szCs w:val="21"/>
          <w:highlight w:val="none"/>
          <w:lang w:val="en-US" w:eastAsia="zh-CN"/>
        </w:rPr>
        <w:t>、联系方式</w:t>
      </w:r>
      <w:bookmarkEnd w:id="5"/>
    </w:p>
    <w:p>
      <w:pPr>
        <w:keepNext w:val="0"/>
        <w:keepLines w:val="0"/>
        <w:pageBreakBefore w:val="0"/>
        <w:kinsoku/>
        <w:wordWrap/>
        <w:overflowPunct/>
        <w:topLinePunct w:val="0"/>
        <w:autoSpaceDE/>
        <w:autoSpaceDN/>
        <w:bidi w:val="0"/>
        <w:adjustRightInd w:val="0"/>
        <w:spacing w:line="360" w:lineRule="auto"/>
        <w:textAlignment w:val="baseline"/>
        <w:rPr>
          <w:rFonts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招</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标</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人：</w:t>
      </w:r>
      <w:r>
        <w:rPr>
          <w:rFonts w:hint="eastAsia" w:ascii="宋体" w:hAnsi="宋体" w:cs="Times New Roman"/>
          <w:color w:val="auto"/>
          <w:sz w:val="21"/>
          <w:szCs w:val="21"/>
          <w:highlight w:val="none"/>
          <w:u w:val="none"/>
          <w:lang w:val="en-US" w:eastAsia="zh-CN"/>
        </w:rPr>
        <w:t xml:space="preserve">陆丰市水利工程建设管理中心 </w:t>
      </w:r>
    </w:p>
    <w:p>
      <w:pPr>
        <w:keepNext w:val="0"/>
        <w:keepLines w:val="0"/>
        <w:pageBreakBefore w:val="0"/>
        <w:tabs>
          <w:tab w:val="left" w:pos="4536"/>
        </w:tabs>
        <w:kinsoku/>
        <w:wordWrap/>
        <w:overflowPunct/>
        <w:topLinePunct w:val="0"/>
        <w:autoSpaceDE/>
        <w:autoSpaceDN/>
        <w:bidi w:val="0"/>
        <w:adjustRightInd w:val="0"/>
        <w:spacing w:line="360" w:lineRule="auto"/>
        <w:jc w:val="left"/>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cs="Times New Roman"/>
          <w:color w:val="auto"/>
          <w:sz w:val="21"/>
          <w:szCs w:val="21"/>
          <w:highlight w:val="none"/>
          <w:u w:val="none"/>
        </w:rPr>
        <w:t xml:space="preserve">地  </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址：</w:t>
      </w:r>
      <w:r>
        <w:rPr>
          <w:rFonts w:hint="eastAsia" w:ascii="宋体" w:hAnsi="宋体" w:cs="Times New Roman"/>
          <w:color w:val="auto"/>
          <w:sz w:val="21"/>
          <w:szCs w:val="21"/>
          <w:highlight w:val="none"/>
          <w:u w:val="none"/>
          <w:lang w:eastAsia="zh-CN"/>
        </w:rPr>
        <w:t>陆丰市东海镇人民路27号水务局大院内</w:t>
      </w:r>
    </w:p>
    <w:p>
      <w:pPr>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cs="Times New Roman"/>
          <w:color w:val="auto"/>
          <w:sz w:val="21"/>
          <w:szCs w:val="21"/>
          <w:highlight w:val="none"/>
          <w:u w:val="none"/>
        </w:rPr>
        <w:t>联</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系 </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人：林</w:t>
      </w:r>
      <w:r>
        <w:rPr>
          <w:rFonts w:hint="eastAsia" w:ascii="宋体" w:hAnsi="宋体" w:cs="Times New Roman"/>
          <w:color w:val="auto"/>
          <w:sz w:val="21"/>
          <w:szCs w:val="21"/>
          <w:highlight w:val="none"/>
          <w:u w:val="none"/>
          <w:lang w:val="en-US" w:eastAsia="zh-CN"/>
        </w:rPr>
        <w:t>先生</w:t>
      </w:r>
    </w:p>
    <w:p>
      <w:pPr>
        <w:keepNext w:val="0"/>
        <w:keepLines w:val="0"/>
        <w:pageBreakBefore w:val="0"/>
        <w:kinsoku/>
        <w:wordWrap/>
        <w:overflowPunct/>
        <w:topLinePunct w:val="0"/>
        <w:autoSpaceDE/>
        <w:autoSpaceDN/>
        <w:bidi w:val="0"/>
        <w:adjustRightInd w:val="0"/>
        <w:spacing w:line="360" w:lineRule="auto"/>
        <w:jc w:val="both"/>
        <w:textAlignment w:val="baseline"/>
        <w:rPr>
          <w:rFonts w:hint="eastAsia"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 xml:space="preserve">电   </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话：0660-8881789</w:t>
      </w:r>
    </w:p>
    <w:p>
      <w:pPr>
        <w:keepNext w:val="0"/>
        <w:keepLines w:val="0"/>
        <w:pageBreakBefore w:val="0"/>
        <w:kinsoku/>
        <w:wordWrap/>
        <w:overflowPunct/>
        <w:topLinePunct w:val="0"/>
        <w:autoSpaceDE/>
        <w:autoSpaceDN/>
        <w:bidi w:val="0"/>
        <w:adjustRightInd w:val="0"/>
        <w:spacing w:line="360" w:lineRule="auto"/>
        <w:jc w:val="right"/>
        <w:textAlignment w:val="baseline"/>
        <w:rPr>
          <w:rFonts w:hint="eastAsia" w:ascii="宋体" w:hAnsi="宋体" w:cs="Times New Roman"/>
          <w:color w:val="auto"/>
          <w:sz w:val="21"/>
          <w:szCs w:val="21"/>
          <w:highlight w:val="none"/>
          <w:u w:val="none"/>
          <w:lang w:val="en-US" w:eastAsia="zh-CN"/>
        </w:rPr>
      </w:pPr>
    </w:p>
    <w:p>
      <w:pPr>
        <w:spacing w:line="360" w:lineRule="auto"/>
        <w:jc w:val="both"/>
        <w:rPr>
          <w:rFonts w:hint="eastAsia"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招标代理机构：</w:t>
      </w:r>
      <w:r>
        <w:rPr>
          <w:rFonts w:hint="eastAsia" w:ascii="宋体" w:hAnsi="宋体" w:cs="Times New Roman"/>
          <w:color w:val="auto"/>
          <w:sz w:val="21"/>
          <w:szCs w:val="21"/>
          <w:highlight w:val="none"/>
          <w:u w:val="none"/>
          <w:lang w:val="en-US" w:eastAsia="zh-CN"/>
        </w:rPr>
        <w:t>广东仁仁招标代理有限公司</w:t>
      </w:r>
    </w:p>
    <w:p>
      <w:pPr>
        <w:widowControl w:val="0"/>
        <w:spacing w:line="360" w:lineRule="auto"/>
        <w:ind w:left="0" w:leftChars="0" w:firstLine="0" w:firstLineChars="0"/>
        <w:jc w:val="both"/>
        <w:rPr>
          <w:rFonts w:hint="eastAsia" w:ascii="宋体" w:hAnsi="宋体" w:eastAsia="宋体" w:cs="Times New Roman"/>
          <w:color w:val="auto"/>
          <w:kern w:val="2"/>
          <w:sz w:val="21"/>
          <w:szCs w:val="21"/>
          <w:highlight w:val="none"/>
          <w:u w:val="none"/>
          <w:lang w:val="en-US" w:eastAsia="zh-CN" w:bidi="ar-SA"/>
        </w:rPr>
      </w:pPr>
      <w:r>
        <w:rPr>
          <w:rFonts w:hint="eastAsia" w:ascii="宋体" w:hAnsi="宋体" w:eastAsia="宋体" w:cs="Times New Roman"/>
          <w:color w:val="auto"/>
          <w:kern w:val="2"/>
          <w:sz w:val="21"/>
          <w:szCs w:val="21"/>
          <w:highlight w:val="none"/>
          <w:u w:val="none"/>
          <w:lang w:val="en-US" w:eastAsia="zh-CN" w:bidi="ar-SA"/>
        </w:rPr>
        <w:t>地        址：陆丰市东海镇南华路1号阳光大厦9楼</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default" w:ascii="宋体" w:hAnsi="宋体" w:cs="Times New Roman"/>
          <w:color w:val="auto"/>
          <w:sz w:val="21"/>
          <w:szCs w:val="21"/>
          <w:highlight w:val="none"/>
          <w:u w:val="none"/>
          <w:lang w:val="en-US" w:eastAsia="zh-CN"/>
        </w:rPr>
      </w:pPr>
      <w:r>
        <w:rPr>
          <w:rFonts w:hint="eastAsia" w:ascii="宋体" w:hAnsi="宋体" w:cs="Times New Roman"/>
          <w:color w:val="auto"/>
          <w:sz w:val="21"/>
          <w:szCs w:val="21"/>
          <w:highlight w:val="none"/>
          <w:u w:val="none"/>
        </w:rPr>
        <w:t>联   系   人：</w:t>
      </w:r>
      <w:r>
        <w:rPr>
          <w:rFonts w:hint="eastAsia" w:ascii="宋体" w:hAnsi="宋体" w:cs="Times New Roman"/>
          <w:color w:val="auto"/>
          <w:sz w:val="21"/>
          <w:szCs w:val="21"/>
          <w:highlight w:val="none"/>
          <w:u w:val="none"/>
          <w:lang w:val="en-US" w:eastAsia="zh-CN"/>
        </w:rPr>
        <w:t>郑工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电        话：</w:t>
      </w:r>
      <w:r>
        <w:rPr>
          <w:rFonts w:hint="eastAsia" w:ascii="宋体" w:hAnsi="宋体" w:cs="Times New Roman"/>
          <w:color w:val="auto"/>
          <w:sz w:val="21"/>
          <w:szCs w:val="21"/>
          <w:highlight w:val="none"/>
          <w:u w:val="none"/>
          <w:lang w:eastAsia="zh-CN"/>
        </w:rPr>
        <w:t>15976762347</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right"/>
        <w:textAlignment w:val="baseline"/>
        <w:rPr>
          <w:rFonts w:hint="eastAsia" w:ascii="宋体" w:hAnsi="宋体" w:eastAsia="宋体" w:cs="Times New Roman"/>
          <w:color w:val="auto"/>
          <w:sz w:val="21"/>
          <w:szCs w:val="21"/>
          <w:highlight w:val="none"/>
          <w:u w:val="none"/>
          <w:lang w:val="en-US" w:eastAsia="zh-CN"/>
        </w:rPr>
      </w:pP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 xml:space="preserve">                                                      年     月     日</w:t>
      </w:r>
    </w:p>
    <w:p>
      <w:pPr>
        <w:rPr>
          <w:rFonts w:hint="eastAsia" w:ascii="宋体" w:hAnsi="宋体" w:eastAsia="宋体" w:cs="宋体"/>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br w:type="page"/>
      </w: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w:t>
      </w:r>
    </w:p>
    <w:p>
      <w:pPr>
        <w:rPr>
          <w:rFonts w:hint="eastAsia" w:ascii="宋体" w:hAnsi="宋体" w:cs="宋体"/>
          <w:color w:val="auto"/>
          <w:highlight w:val="none"/>
        </w:rPr>
      </w:pPr>
      <w:r>
        <w:rPr>
          <w:rFonts w:hint="eastAsia" w:ascii="宋体" w:hAnsi="宋体" w:cs="宋体"/>
          <w:color w:val="auto"/>
          <w:highlight w:val="none"/>
        </w:rPr>
        <w:t>联合体协议书格式（参考格式）</w:t>
      </w:r>
    </w:p>
    <w:p>
      <w:pPr>
        <w:pStyle w:val="18"/>
        <w:jc w:val="center"/>
        <w:rPr>
          <w:rFonts w:hint="eastAsia" w:ascii="宋体" w:hAnsi="宋体" w:eastAsia="宋体" w:cs="宋体"/>
          <w:b/>
          <w:bCs w:val="0"/>
          <w:color w:val="auto"/>
          <w:kern w:val="2"/>
          <w:sz w:val="22"/>
          <w:szCs w:val="24"/>
          <w:highlight w:val="none"/>
          <w:lang w:val="en-US" w:eastAsia="zh-CN" w:bidi="ar-SA"/>
        </w:rPr>
      </w:pPr>
      <w:bookmarkStart w:id="6" w:name="_Toc26223"/>
      <w:r>
        <w:rPr>
          <w:rFonts w:hint="eastAsia" w:ascii="宋体" w:hAnsi="宋体" w:eastAsia="宋体" w:cs="宋体"/>
          <w:b/>
          <w:bCs w:val="0"/>
          <w:color w:val="auto"/>
          <w:kern w:val="2"/>
          <w:sz w:val="22"/>
          <w:szCs w:val="24"/>
          <w:highlight w:val="none"/>
          <w:lang w:val="en-US" w:eastAsia="zh-CN" w:bidi="ar-SA"/>
        </w:rPr>
        <w:t>联合体协议书</w:t>
      </w:r>
      <w:bookmarkEnd w:id="6"/>
    </w:p>
    <w:p>
      <w:pPr>
        <w:topLinePunct/>
        <w:spacing w:line="440" w:lineRule="exact"/>
        <w:rPr>
          <w:rFonts w:hint="eastAsia" w:ascii="宋体" w:hAnsi="宋体" w:eastAsia="宋体" w:cs="宋体"/>
          <w:color w:val="auto"/>
          <w:szCs w:val="21"/>
          <w:highlight w:val="none"/>
          <w:u w:val="singl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pStyle w:val="1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注：如是联合体，由联合体各成员签名盖章。</w:t>
      </w:r>
    </w:p>
    <w:p>
      <w:pPr>
        <w:rPr>
          <w:rFonts w:hint="eastAsia"/>
          <w:color w:val="auto"/>
          <w:highlight w:val="none"/>
        </w:rPr>
      </w:pPr>
      <w:r>
        <w:rPr>
          <w:rFonts w:hint="eastAsia" w:ascii="宋体" w:hAnsi="宋体" w:cs="宋体"/>
          <w:color w:val="auto"/>
          <w:highlight w:val="none"/>
        </w:rPr>
        <w:br w:type="page"/>
      </w:r>
    </w:p>
    <w:p>
      <w:pPr>
        <w:pStyle w:val="4"/>
        <w:numPr>
          <w:ilvl w:val="0"/>
          <w:numId w:val="0"/>
        </w:numPr>
        <w:autoSpaceDE w:val="0"/>
        <w:ind w:leftChars="0"/>
        <w:jc w:val="center"/>
        <w:outlineLvl w:val="0"/>
        <w:rPr>
          <w:rFonts w:hint="eastAsia" w:ascii="宋体" w:hAnsi="宋体"/>
          <w:b/>
          <w:color w:val="auto"/>
          <w:sz w:val="30"/>
          <w:szCs w:val="30"/>
          <w:highlight w:val="none"/>
        </w:rPr>
      </w:pPr>
      <w:bookmarkStart w:id="7" w:name="_Toc7667"/>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val="en-US" w:eastAsia="zh-CN"/>
        </w:rPr>
        <w:t>二</w:t>
      </w:r>
      <w:r>
        <w:rPr>
          <w:rFonts w:hint="eastAsia" w:ascii="宋体" w:hAnsi="宋体" w:eastAsia="宋体"/>
          <w:color w:val="auto"/>
          <w:sz w:val="36"/>
          <w:szCs w:val="36"/>
          <w:highlight w:val="none"/>
        </w:rPr>
        <w:t>章 投标须知</w:t>
      </w:r>
      <w:bookmarkEnd w:id="1"/>
      <w:bookmarkEnd w:id="2"/>
      <w:bookmarkEnd w:id="3"/>
      <w:r>
        <w:rPr>
          <w:rFonts w:hint="eastAsia" w:ascii="宋体" w:hAnsi="宋体" w:eastAsia="宋体"/>
          <w:color w:val="auto"/>
          <w:sz w:val="36"/>
          <w:szCs w:val="36"/>
          <w:highlight w:val="none"/>
        </w:rPr>
        <w:t>及投标须知前附表</w:t>
      </w:r>
      <w:bookmarkEnd w:id="7"/>
      <w:bookmarkStart w:id="8" w:name="_Toc17216785"/>
    </w:p>
    <w:p>
      <w:pPr>
        <w:autoSpaceDE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一、投标须知前附表</w:t>
      </w:r>
      <w:bookmarkEnd w:id="8"/>
    </w:p>
    <w:tbl>
      <w:tblPr>
        <w:tblStyle w:val="19"/>
        <w:tblW w:w="100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1103"/>
        <w:gridCol w:w="1904"/>
        <w:gridCol w:w="6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ind w:right="-358"/>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内    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陆丰市水利工程建设管理中心</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spacing w:val="0"/>
                <w:kern w:val="0"/>
                <w:sz w:val="21"/>
                <w:szCs w:val="21"/>
                <w:highlight w:val="none"/>
                <w:u w:val="none"/>
                <w:lang w:eastAsia="zh-CN"/>
              </w:rPr>
            </w:pPr>
            <w:r>
              <w:rPr>
                <w:rFonts w:hint="eastAsia" w:ascii="宋体" w:hAnsi="宋体" w:eastAsia="宋体" w:cs="宋体"/>
                <w:color w:val="auto"/>
                <w:kern w:val="0"/>
                <w:sz w:val="21"/>
                <w:szCs w:val="21"/>
                <w:highlight w:val="none"/>
              </w:rPr>
              <w:t>地址：</w:t>
            </w:r>
            <w:r>
              <w:rPr>
                <w:rFonts w:hint="eastAsia" w:ascii="宋体" w:hAnsi="宋体" w:cs="宋体"/>
                <w:color w:val="auto"/>
                <w:kern w:val="0"/>
                <w:sz w:val="21"/>
                <w:szCs w:val="21"/>
                <w:highlight w:val="none"/>
                <w:lang w:eastAsia="zh-CN"/>
              </w:rPr>
              <w:t>陆丰市东海镇人民路27号水务局大院内</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联系人：林</w:t>
            </w:r>
            <w:r>
              <w:rPr>
                <w:rFonts w:hint="eastAsia" w:ascii="宋体" w:hAnsi="宋体" w:cs="宋体"/>
                <w:color w:val="auto"/>
                <w:kern w:val="0"/>
                <w:sz w:val="21"/>
                <w:szCs w:val="21"/>
                <w:highlight w:val="none"/>
                <w:lang w:val="en-US" w:eastAsia="zh-CN"/>
              </w:rPr>
              <w:t>工</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cs="宋体"/>
                <w:color w:val="auto"/>
                <w:spacing w:val="6"/>
                <w:szCs w:val="21"/>
                <w:highlight w:val="none"/>
              </w:rPr>
            </w:pPr>
            <w:r>
              <w:rPr>
                <w:rFonts w:hint="eastAsia" w:ascii="宋体" w:hAnsi="宋体" w:eastAsia="宋体" w:cs="宋体"/>
                <w:color w:val="auto"/>
                <w:kern w:val="0"/>
                <w:sz w:val="21"/>
                <w:szCs w:val="21"/>
                <w:highlight w:val="none"/>
              </w:rPr>
              <w:t>电话：0660-8881789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广东仁仁招标代理有限公司</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630" w:hanging="630" w:hangingChars="3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地址：</w:t>
            </w:r>
            <w:r>
              <w:rPr>
                <w:rFonts w:hint="eastAsia" w:ascii="宋体" w:hAnsi="宋体" w:cs="宋体"/>
                <w:color w:val="auto"/>
                <w:sz w:val="21"/>
                <w:szCs w:val="21"/>
                <w:highlight w:val="none"/>
                <w:u w:val="none"/>
                <w:lang w:eastAsia="zh-CN"/>
              </w:rPr>
              <w:t>陆丰市东海镇南华路1号阳光大厦9楼</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134" w:leftChars="-64" w:firstLine="134" w:firstLineChars="64"/>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郑工</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134" w:leftChars="-64" w:firstLine="134" w:firstLineChars="64"/>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rPr>
              <w:t>电话：</w:t>
            </w:r>
            <w:r>
              <w:rPr>
                <w:rFonts w:hint="eastAsia" w:ascii="宋体" w:hAnsi="宋体" w:cs="宋体"/>
                <w:color w:val="auto"/>
                <w:kern w:val="0"/>
                <w:sz w:val="21"/>
                <w:szCs w:val="21"/>
                <w:highlight w:val="none"/>
                <w:lang w:eastAsia="zh-CN"/>
              </w:rPr>
              <w:t>15976762347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autoSpaceDE/>
              <w:autoSpaceDN/>
              <w:bidi w:val="0"/>
              <w:adjustRightInd/>
              <w:snapToGrid w:val="0"/>
              <w:spacing w:before="157" w:beforeLines="50" w:line="360" w:lineRule="auto"/>
              <w:jc w:val="both"/>
              <w:textAlignment w:val="auto"/>
              <w:rPr>
                <w:rFonts w:hint="eastAsia" w:ascii="宋体" w:hAnsi="宋体" w:cs="宋体"/>
                <w:color w:val="auto"/>
                <w:szCs w:val="21"/>
                <w:highlight w:val="none"/>
              </w:rPr>
            </w:pPr>
            <w:r>
              <w:rPr>
                <w:rFonts w:hint="eastAsia" w:ascii="宋体" w:hAnsi="宋体"/>
                <w:iCs/>
                <w:color w:val="auto"/>
                <w:sz w:val="21"/>
                <w:szCs w:val="21"/>
                <w:highlight w:val="none"/>
                <w:lang w:val="en-US" w:eastAsia="zh-CN"/>
              </w:rPr>
              <w:t>陆丰市乌坎河流域河道综合整治(二期)工程勘测设计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3" w:beforeLines="1" w:after="3" w:afterLines="1" w:line="360" w:lineRule="auto"/>
              <w:jc w:val="both"/>
              <w:textAlignment w:val="baseline"/>
              <w:outlineLvl w:val="9"/>
              <w:rPr>
                <w:rFonts w:hint="eastAsia" w:ascii="宋体" w:hAnsi="宋体" w:cs="宋体"/>
                <w:color w:val="auto"/>
                <w:szCs w:val="21"/>
                <w:highlight w:val="none"/>
              </w:rPr>
            </w:pP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w:t>
            </w:r>
            <w:r>
              <w:rPr>
                <w:rFonts w:hint="eastAsia" w:ascii="宋体" w:hAnsi="宋体"/>
                <w:iCs/>
                <w:color w:val="auto"/>
                <w:szCs w:val="21"/>
                <w:highlight w:val="none"/>
              </w:rPr>
              <w:t>辖区内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highlight w:val="none"/>
                <w:vertAlign w:val="superscript"/>
              </w:rPr>
            </w:pPr>
            <w:r>
              <w:rPr>
                <w:rFonts w:hint="eastAsia" w:ascii="宋体" w:hAnsi="宋体"/>
                <w:color w:val="auto"/>
                <w:sz w:val="21"/>
                <w:szCs w:val="21"/>
                <w:highlight w:val="none"/>
                <w:lang w:val="en-US" w:eastAsia="zh-CN"/>
              </w:rPr>
              <w:t>项目整治范围由乌坎河段、东河段和运河段三个部分组成，总长 7.416km。其中乌坎河段起自乌坎水闸，终于乌坎大桥，全长2.144km；东河段起自东河与运河交叉口，终于乌坎大桥，全长 4.186km；运河段起自永泰路，终于东河与运河交叉口，全长 1.086km。项目主要建设内容:1. 堤防工程，堤防加高培厚工程11.82km；2. 疏浚工程，清淤疏浚河道 7.427km；3.穿堤涵闸，共新(拆)建涵闸 17 座，其中，单孔 1.5× 2.0(m，宽度×高度) 5 座，双孔 1.5× 2.0(m，宽度×高度) 7座，三孔 2.5× 2.5(m，宽度×高度) 3座，四孔2.5× 2.0(m，宽度×高度)2座；4. 乌坎河、东河段堤防堤顶道路采用沥青混凝土结构，道路总长 9.637km，配套绿化及景观工程、生态水环境检测等</w:t>
            </w:r>
            <w:r>
              <w:rPr>
                <w:rFonts w:hint="eastAsia" w:ascii="宋体" w:hAnsi="宋体" w:eastAsia="宋体" w:cs="Times New Roman"/>
                <w:i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1.1.7</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项目投资估算</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工程总投资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66272.32万元,其中建安费53477.14万元</w:t>
            </w:r>
            <w:r>
              <w:rPr>
                <w:rFonts w:hint="eastAsia" w:ascii="宋体" w:hAnsi="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资金来源及</w:t>
            </w:r>
          </w:p>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资金落实情况</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资金来源：</w:t>
            </w:r>
            <w:r>
              <w:rPr>
                <w:rFonts w:hint="eastAsia" w:ascii="宋体" w:hAnsi="宋体" w:cs="宋体"/>
                <w:color w:val="auto"/>
                <w:szCs w:val="21"/>
                <w:highlight w:val="none"/>
                <w:lang w:val="en-US" w:eastAsia="zh-CN"/>
              </w:rPr>
              <w:t>申请上级补助及地方政府专项债券资金，不足部分由市财政配；</w:t>
            </w:r>
          </w:p>
          <w:p>
            <w:pPr>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资金落实情况：已落实</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1.3.1</w:t>
            </w:r>
          </w:p>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招标范围及</w:t>
            </w:r>
            <w:r>
              <w:rPr>
                <w:rFonts w:hint="eastAsia" w:ascii="宋体" w:hAnsi="宋体" w:cs="宋体"/>
                <w:color w:val="auto"/>
                <w:szCs w:val="21"/>
                <w:highlight w:val="none"/>
                <w:lang w:eastAsia="zh-CN"/>
              </w:rPr>
              <w:t>服务期限</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8"/>
              <w:widowControl/>
              <w:autoSpaceDE w:val="0"/>
              <w:adjustRightInd/>
              <w:spacing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招标范围：</w:t>
            </w:r>
            <w:r>
              <w:rPr>
                <w:rFonts w:hint="eastAsia" w:ascii="宋体" w:hAnsi="宋体"/>
                <w:color w:val="auto"/>
                <w:sz w:val="21"/>
                <w:szCs w:val="21"/>
                <w:highlight w:val="none"/>
                <w:lang w:eastAsia="zh-CN"/>
              </w:rPr>
              <w:t>包括但不限于岩土工程勘察、工程测量、初步设计、招标设计、施工图设计及概预算编制，工程施工期间设计代表驻地服务、配合竣工验收服务及相应阶段的工程勘察相关工作以及按国家有关规程规范的要求应由勘察、设计单位完成的其他勘察设计服务。</w:t>
            </w:r>
          </w:p>
          <w:p>
            <w:pPr>
              <w:pStyle w:val="8"/>
              <w:widowControl/>
              <w:autoSpaceDE w:val="0"/>
              <w:adjustRightInd/>
              <w:spacing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服务期限：①合同签订后90日历天内提交勘察成果报告、初步设计报告及图纸、工程概算书等报审稿；②审批部门完成初步设计报告及概算审批后30日历天内提交招标设计、施工图设计及施工图预算；③勘察设计服务期限为工程建设全过程，自签订合同之日起至工程竣工验收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10"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质量标准</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符合国家和行业的规定。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w:t>
            </w:r>
            <w:r>
              <w:rPr>
                <w:rFonts w:hint="eastAsia" w:ascii="宋体" w:hAnsi="宋体" w:cs="宋体"/>
                <w:color w:val="auto"/>
                <w:szCs w:val="21"/>
                <w:highlight w:val="none"/>
                <w:lang w:val="en-US" w:eastAsia="zh-CN"/>
              </w:rPr>
              <w:t>等要求</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1、具有经建设行政主管部门核发的下列资质证书的独立法人企业，或分别具备下列资质的企业组成的联合体：</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（1）设计资质：须具备以下工程设计资质证书（具备以下①或②或③）：</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①工程设计综合甲级资质；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w:t>
            </w:r>
            <w:r>
              <w:rPr>
                <w:rFonts w:hint="eastAsia" w:cs="宋体"/>
                <w:color w:val="auto"/>
                <w:sz w:val="21"/>
                <w:szCs w:val="21"/>
                <w:highlight w:val="none"/>
                <w:lang w:val="en-US" w:eastAsia="zh-CN"/>
              </w:rPr>
              <w:t>工程设计水利行业乙级和风景园林工程设计专项乙级（或以上）</w:t>
            </w:r>
            <w:r>
              <w:rPr>
                <w:rFonts w:hint="eastAsia" w:ascii="宋体" w:hAnsi="宋体" w:cs="宋体"/>
                <w:color w:val="auto"/>
                <w:sz w:val="21"/>
                <w:szCs w:val="21"/>
                <w:highlight w:val="none"/>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w:t>
            </w:r>
            <w:r>
              <w:rPr>
                <w:rFonts w:hint="eastAsia" w:cs="宋体"/>
                <w:color w:val="auto"/>
                <w:sz w:val="21"/>
                <w:szCs w:val="21"/>
                <w:highlight w:val="none"/>
                <w:lang w:val="en-US" w:eastAsia="zh-CN"/>
              </w:rPr>
              <w:t>工程设计水利行业（河道整治）专业乙级（或以上）和风景园林工程设计专项乙级（或以上）</w:t>
            </w:r>
            <w:r>
              <w:rPr>
                <w:rFonts w:hint="eastAsia" w:ascii="宋体" w:hAnsi="宋体" w:cs="宋体"/>
                <w:color w:val="auto"/>
                <w:sz w:val="21"/>
                <w:szCs w:val="21"/>
                <w:highlight w:val="none"/>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（2）勘察资质：须具备以下工程勘察资质证书（具备以下①或②）：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①工程勘察综合类甲级资质；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②工程勘察专业类（岩土工程(勘察)）乙级（或以上）和工程勘察专业类（工程测量）乙级（或以上）资质。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接受</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eastAsia="zh-CN"/>
              </w:rPr>
              <w:t>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联合体投标的，应满足下列要求：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（1）联合体各方应签订联合体协议书，明确联合体牵头人和各方责任、权利、义务等；</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（2）联合体各方不得再以自己名义单独或与其他企业组成联合体参加本招标项目的投标；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（3）联合体成员数量</w:t>
            </w:r>
            <w:r>
              <w:rPr>
                <w:rFonts w:hint="eastAsia" w:ascii="宋体" w:hAnsi="宋体" w:cs="宋体"/>
                <w:color w:val="auto"/>
                <w:sz w:val="21"/>
                <w:szCs w:val="21"/>
                <w:highlight w:val="none"/>
                <w:lang w:val="en-US" w:eastAsia="zh-CN"/>
              </w:rPr>
              <w:t>不超过2家</w:t>
            </w:r>
            <w:r>
              <w:rPr>
                <w:rFonts w:hint="eastAsia" w:ascii="宋体" w:hAnsi="宋体" w:cs="宋体"/>
                <w:color w:val="auto"/>
                <w:sz w:val="21"/>
                <w:szCs w:val="21"/>
                <w:highlight w:val="none"/>
                <w:lang w:eastAsia="zh-CN"/>
              </w:rPr>
              <w:t>，联合体以设计方为牵头人；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投标人已在广东省水利建设市场信用信息平台完成信息录入手续</w:t>
            </w:r>
            <w:r>
              <w:rPr>
                <w:rFonts w:hint="eastAsia" w:cs="宋体"/>
                <w:color w:val="auto"/>
                <w:sz w:val="21"/>
                <w:szCs w:val="21"/>
                <w:highlight w:val="none"/>
                <w:lang w:eastAsia="zh-CN"/>
              </w:rPr>
              <w:t>，</w:t>
            </w:r>
            <w:r>
              <w:rPr>
                <w:rFonts w:hint="eastAsia" w:cs="宋体"/>
                <w:color w:val="auto"/>
                <w:sz w:val="21"/>
                <w:szCs w:val="21"/>
                <w:highlight w:val="none"/>
                <w:lang w:val="en-US" w:eastAsia="zh-CN"/>
              </w:rPr>
              <w:t>拟担任本项目的负责人为本企业信息登记中的在册人员</w:t>
            </w:r>
            <w:r>
              <w:rPr>
                <w:rFonts w:hint="eastAsia" w:ascii="宋体" w:hAnsi="宋体" w:cs="宋体"/>
                <w:color w:val="auto"/>
                <w:sz w:val="21"/>
                <w:szCs w:val="21"/>
                <w:highlight w:val="none"/>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4、在“信用中国”网站（http://www.creditchina.gov.cn/)中被列入失信被执行人名单的投标人，在国家企业信用信息公示系统（http://www.gsxt.gov.cn/）中被列入严重违法失信企业名单的投标人，均按否决投标处理。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cs="宋体"/>
                <w:color w:val="auto"/>
                <w:sz w:val="21"/>
                <w:szCs w:val="21"/>
                <w:highlight w:val="none"/>
                <w:lang w:val="en-US" w:eastAsia="zh-CN"/>
              </w:rPr>
              <w:t>拟派项目负责人（兼设计负责人）具有水利相关行业高级工程师（或以上）职称证书或注册土木工程师（水利水电工程）资格证书，</w:t>
            </w:r>
            <w:r>
              <w:rPr>
                <w:rFonts w:hint="eastAsia" w:cs="宋体"/>
                <w:iCs/>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ascii="宋体" w:hAnsi="宋体" w:cs="宋体"/>
                <w:color w:val="auto"/>
                <w:sz w:val="21"/>
                <w:szCs w:val="21"/>
                <w:highlight w:val="none"/>
                <w:lang w:val="en-US" w:eastAsia="zh-CN"/>
              </w:rPr>
              <w:t>。（如是联合体，应为具有设计资质的成员一方）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6、</w:t>
            </w:r>
            <w:r>
              <w:rPr>
                <w:rFonts w:hint="eastAsia" w:cs="宋体"/>
                <w:iCs/>
                <w:color w:val="auto"/>
                <w:kern w:val="0"/>
                <w:sz w:val="21"/>
                <w:szCs w:val="21"/>
                <w:highlight w:val="none"/>
                <w:lang w:val="en-US" w:eastAsia="zh-CN" w:bidi="ar-SA"/>
              </w:rPr>
              <w:t>拟派本项目勘察负责人应具有勘察类高级工程师（或以上）的职称证书或注册土木工程师（岩土）注册执业证书，</w:t>
            </w:r>
            <w:r>
              <w:rPr>
                <w:rFonts w:hint="eastAsia"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cs="宋体"/>
                <w:iCs/>
                <w:color w:val="auto"/>
                <w:kern w:val="0"/>
                <w:sz w:val="21"/>
                <w:szCs w:val="21"/>
                <w:highlight w:val="none"/>
                <w:lang w:val="en-US" w:eastAsia="zh-CN" w:bidi="ar-SA"/>
              </w:rPr>
              <w:t>。（如是联合体，应为具有勘察资质的成员一方）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是否接受联合体投标</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不接受</w:t>
            </w:r>
          </w:p>
          <w:p>
            <w:pPr>
              <w:pStyle w:val="26"/>
              <w:kinsoku w:val="0"/>
              <w:overflowPunct w:val="0"/>
              <w:spacing w:before="71" w:line="460" w:lineRule="exact"/>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■接受，应满足下列要求：</w:t>
            </w:r>
            <w:r>
              <w:rPr>
                <w:rFonts w:hint="eastAsia" w:ascii="宋体" w:hAnsi="宋体" w:cs="宋体"/>
                <w:color w:val="auto"/>
                <w:sz w:val="21"/>
                <w:szCs w:val="21"/>
                <w:highlight w:val="none"/>
                <w:lang w:val="en-US" w:eastAsia="zh-CN"/>
              </w:rPr>
              <w:t>只接受最多一家设计单位、一家勘察单位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■不组织</w:t>
            </w:r>
          </w:p>
          <w:p>
            <w:pPr>
              <w:pStyle w:val="26"/>
              <w:kinsoku w:val="0"/>
              <w:overflowPunct w:val="0"/>
              <w:spacing w:before="33"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组织，踏勘时间：</w:t>
            </w:r>
          </w:p>
          <w:p>
            <w:pPr>
              <w:autoSpaceDE w:val="0"/>
              <w:spacing w:line="46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踏勘集中地点：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潜在投标人</w:t>
            </w:r>
            <w:r>
              <w:rPr>
                <w:rFonts w:hint="eastAsia" w:ascii="宋体" w:hAnsi="宋体" w:eastAsia="宋体" w:cs="宋体"/>
                <w:color w:val="auto"/>
                <w:sz w:val="21"/>
                <w:szCs w:val="21"/>
                <w:highlight w:val="none"/>
              </w:rPr>
              <w:t>不派员参加，由此产生的后果将由</w:t>
            </w:r>
            <w:r>
              <w:rPr>
                <w:rFonts w:hint="eastAsia" w:ascii="宋体" w:hAnsi="宋体" w:eastAsia="宋体" w:cs="宋体"/>
                <w:color w:val="auto"/>
                <w:sz w:val="21"/>
                <w:szCs w:val="21"/>
                <w:highlight w:val="none"/>
                <w:lang w:val="en-US" w:eastAsia="zh-CN"/>
              </w:rPr>
              <w:t>潜在投标人</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投标预备会</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■不召开</w:t>
            </w:r>
          </w:p>
          <w:p>
            <w:pPr>
              <w:pStyle w:val="26"/>
              <w:kinsoku w:val="0"/>
              <w:overflowPunct w:val="0"/>
              <w:spacing w:before="66"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□召开，召开时间：</w:t>
            </w:r>
          </w:p>
          <w:p>
            <w:pPr>
              <w:pStyle w:val="26"/>
              <w:kinsoku w:val="0"/>
              <w:overflowPunct w:val="0"/>
              <w:spacing w:before="124" w:line="460" w:lineRule="exact"/>
              <w:ind w:firstLine="840" w:firstLineChars="4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召开地点：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ind w:right="1"/>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投标人在投标预备会前提出问题</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2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6"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招标文件澄清发出的形式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val="en-US" w:eastAsia="zh-CN"/>
              </w:rPr>
              <w:t>广州</w:t>
            </w:r>
            <w:r>
              <w:rPr>
                <w:rFonts w:hint="eastAsia" w:ascii="宋体" w:hAnsi="宋体" w:eastAsia="宋体" w:cs="宋体"/>
                <w:strike w:val="0"/>
                <w:dstrike w:val="0"/>
                <w:color w:val="auto"/>
                <w:sz w:val="21"/>
                <w:szCs w:val="21"/>
                <w:highlight w:val="none"/>
              </w:rPr>
              <w:t>公共资源交易中心网站发布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投标人拟分包的工作</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■不允许</w:t>
            </w:r>
          </w:p>
          <w:p>
            <w:pPr>
              <w:pStyle w:val="26"/>
              <w:kinsoku w:val="0"/>
              <w:overflowPunct w:val="0"/>
              <w:spacing w:before="18" w:line="460" w:lineRule="exact"/>
              <w:ind w:right="119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□允许，</w:t>
            </w:r>
            <w:r>
              <w:rPr>
                <w:rFonts w:hint="eastAsia" w:ascii="宋体" w:hAnsi="宋体" w:eastAsia="宋体" w:cs="宋体"/>
                <w:color w:val="auto"/>
                <w:sz w:val="21"/>
                <w:szCs w:val="21"/>
                <w:highlight w:val="none"/>
              </w:rPr>
              <w:t>分包内容要求：非主体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非关键性工作。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偏差</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■不允许</w:t>
            </w:r>
          </w:p>
          <w:p>
            <w:pPr>
              <w:pStyle w:val="26"/>
              <w:kinsoku w:val="0"/>
              <w:overflowPunct w:val="0"/>
              <w:spacing w:before="84" w:line="4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□允许，</w:t>
            </w:r>
            <w:r>
              <w:rPr>
                <w:rFonts w:hint="eastAsia" w:ascii="宋体" w:hAnsi="宋体" w:eastAsia="宋体" w:cs="宋体"/>
                <w:color w:val="auto"/>
                <w:sz w:val="21"/>
                <w:szCs w:val="21"/>
                <w:highlight w:val="none"/>
              </w:rPr>
              <w:t>允许偏离的内容、偏离范围和幅度</w:t>
            </w:r>
            <w:r>
              <w:rPr>
                <w:rFonts w:hint="eastAsia"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构成招标文件的其他资料</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84" w:line="460" w:lineRule="exact"/>
              <w:jc w:val="both"/>
              <w:rPr>
                <w:rFonts w:hint="eastAsia" w:ascii="宋体" w:hAnsi="宋体" w:cs="宋体"/>
                <w:color w:val="auto"/>
                <w:sz w:val="21"/>
                <w:szCs w:val="21"/>
                <w:highlight w:val="none"/>
                <w:lang w:eastAsia="zh-CN"/>
              </w:rPr>
            </w:pPr>
            <w:r>
              <w:rPr>
                <w:rFonts w:hint="eastAsia" w:hAnsi="宋体" w:cs="宋体"/>
                <w:color w:val="auto"/>
                <w:sz w:val="21"/>
                <w:szCs w:val="21"/>
                <w:highlight w:val="none"/>
                <w:lang w:eastAsia="zh-CN"/>
              </w:rPr>
              <w:t>澄清（答疑）、修改、补充通知等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投标人疑问及澄清</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color w:val="auto"/>
                <w:highlight w:val="none"/>
              </w:rPr>
            </w:pPr>
            <w:r>
              <w:rPr>
                <w:rFonts w:hint="eastAsia"/>
                <w:color w:val="auto"/>
                <w:highlight w:val="none"/>
              </w:rPr>
              <w:t>接收疑问截止时间：招标文件发出后，提交投标文件截止时间1</w:t>
            </w:r>
            <w:r>
              <w:rPr>
                <w:rFonts w:hint="eastAsia"/>
                <w:color w:val="auto"/>
                <w:highlight w:val="none"/>
                <w:lang w:val="en-US" w:eastAsia="zh-CN"/>
              </w:rPr>
              <w:t>7</w:t>
            </w:r>
            <w:r>
              <w:rPr>
                <w:rFonts w:hint="eastAsia"/>
                <w:color w:val="auto"/>
                <w:highlight w:val="none"/>
              </w:rPr>
              <w:t>日前</w:t>
            </w:r>
            <w:r>
              <w:rPr>
                <w:rFonts w:hint="eastAsia"/>
                <w:color w:val="auto"/>
                <w:highlight w:val="none"/>
                <w:lang w:eastAsia="zh-CN"/>
              </w:rPr>
              <w:t>；</w:t>
            </w:r>
          </w:p>
          <w:p>
            <w:pPr>
              <w:tabs>
                <w:tab w:val="left" w:pos="1180"/>
              </w:tabs>
              <w:autoSpaceDE w:val="0"/>
              <w:spacing w:line="460" w:lineRule="exact"/>
              <w:rPr>
                <w:rFonts w:hint="eastAsia"/>
                <w:color w:val="auto"/>
                <w:highlight w:val="none"/>
                <w:lang w:eastAsia="zh-CN"/>
              </w:rPr>
            </w:pPr>
            <w:r>
              <w:rPr>
                <w:rFonts w:hint="eastAsia"/>
                <w:color w:val="auto"/>
                <w:highlight w:val="none"/>
              </w:rPr>
              <w:t>招标人澄清截止时间：招标文件发出后，提交投标文件截止时间15日前</w:t>
            </w:r>
            <w:r>
              <w:rPr>
                <w:rFonts w:hint="eastAsia"/>
                <w:color w:val="auto"/>
                <w:highlight w:val="none"/>
                <w:lang w:eastAsia="zh-CN"/>
              </w:rPr>
              <w:t>；</w:t>
            </w:r>
          </w:p>
          <w:p>
            <w:pPr>
              <w:autoSpaceDE w:val="0"/>
              <w:spacing w:line="46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形式：投标人的疑问通过广州公共资源交易中心交易平台提交。</w:t>
            </w:r>
          </w:p>
          <w:p>
            <w:pPr>
              <w:autoSpaceDE w:val="0"/>
              <w:spacing w:line="460" w:lineRule="exact"/>
              <w:rPr>
                <w:rFonts w:hint="eastAsia"/>
                <w:color w:val="auto"/>
                <w:highlight w:val="none"/>
              </w:rPr>
            </w:pPr>
            <w:r>
              <w:rPr>
                <w:rFonts w:hint="eastAsia" w:ascii="Times New Roman" w:hAnsi="Times New Roman" w:eastAsia="宋体" w:cs="Times New Roman"/>
                <w:color w:val="auto"/>
                <w:highlight w:val="none"/>
              </w:rPr>
              <w:t>具体要求：按照交易平台关于全流程电子化项目的相关指南进行操作。 提问一律不得署名。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投标人确认收到招标文件澄清时间</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strike w:val="0"/>
                <w:dstrike w:val="0"/>
                <w:color w:val="auto"/>
                <w:sz w:val="21"/>
                <w:szCs w:val="21"/>
                <w:highlight w:val="none"/>
                <w:lang w:val="en-US" w:eastAsia="zh-CN"/>
              </w:rPr>
              <w:t>广州公共资源交易中心网站</w:t>
            </w:r>
            <w:r>
              <w:rPr>
                <w:rFonts w:hint="eastAsia" w:ascii="宋体" w:hAnsi="宋体" w:eastAsia="宋体" w:cs="宋体"/>
                <w:strike w:val="0"/>
                <w:dstrike w:val="0"/>
                <w:color w:val="auto"/>
                <w:sz w:val="21"/>
                <w:szCs w:val="21"/>
                <w:highlight w:val="none"/>
              </w:rPr>
              <w:t>发布</w:t>
            </w:r>
            <w:r>
              <w:rPr>
                <w:rFonts w:hint="eastAsia" w:ascii="宋体" w:hAnsi="宋体" w:cs="宋体"/>
                <w:color w:val="auto"/>
                <w:szCs w:val="21"/>
                <w:highlight w:val="none"/>
              </w:rPr>
              <w:t>，即视为送达</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招标文件修改发出的形式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在广东省招标投标监管网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eastAsia="zh-CN"/>
              </w:rPr>
              <w:t>广州公共资源交易中心网站</w:t>
            </w:r>
            <w:r>
              <w:rPr>
                <w:rFonts w:hint="eastAsia" w:ascii="宋体" w:hAnsi="宋体" w:eastAsia="宋体" w:cs="宋体"/>
                <w:strike w:val="0"/>
                <w:dstrike w:val="0"/>
                <w:color w:val="auto"/>
                <w:sz w:val="21"/>
                <w:szCs w:val="21"/>
                <w:highlight w:val="none"/>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8" w:hRule="atLeast"/>
          <w:jc w:val="center"/>
        </w:trPr>
        <w:tc>
          <w:tcPr>
            <w:tcW w:w="816"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103"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04"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投标人确认收到招标文件修改</w:t>
            </w:r>
            <w:r>
              <w:rPr>
                <w:rFonts w:hint="eastAsia" w:ascii="宋体" w:hAnsi="宋体" w:cs="宋体"/>
                <w:color w:val="auto"/>
                <w:szCs w:val="21"/>
                <w:highlight w:val="none"/>
                <w:lang w:val="en-US" w:eastAsia="zh-CN"/>
              </w:rPr>
              <w:t>时间</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val="en-US" w:eastAsia="zh-CN"/>
              </w:rPr>
              <w:t>广州公共资源交易中心网站</w:t>
            </w:r>
            <w:r>
              <w:rPr>
                <w:rFonts w:hint="eastAsia" w:ascii="宋体" w:hAnsi="宋体" w:eastAsia="宋体" w:cs="宋体"/>
                <w:strike w:val="0"/>
                <w:dstrike w:val="0"/>
                <w:color w:val="auto"/>
                <w:sz w:val="21"/>
                <w:szCs w:val="21"/>
                <w:highlight w:val="none"/>
              </w:rPr>
              <w:t>发布</w:t>
            </w:r>
            <w:r>
              <w:rPr>
                <w:rFonts w:hint="eastAsia" w:ascii="宋体" w:hAnsi="宋体" w:cs="宋体"/>
                <w:color w:val="auto"/>
                <w:szCs w:val="21"/>
                <w:highlight w:val="none"/>
              </w:rPr>
              <w:t>，即视为送达</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23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rPr>
              <w:t>3.1.</w:t>
            </w:r>
            <w:r>
              <w:rPr>
                <w:rFonts w:hint="eastAsia" w:ascii="宋体" w:hAnsi="宋体" w:cs="宋体"/>
                <w:strike w:val="0"/>
                <w:dstrike w:val="0"/>
                <w:color w:val="auto"/>
                <w:szCs w:val="21"/>
                <w:highlight w:val="none"/>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构成投标文件的其他资料</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default" w:ascii="宋体" w:hAnsi="宋体" w:eastAsia="宋体" w:cs="宋体"/>
                <w:strike/>
                <w:dstrike w:val="0"/>
                <w:color w:val="auto"/>
                <w:szCs w:val="21"/>
                <w:highlight w:val="none"/>
                <w:lang w:val="en-US" w:eastAsia="zh-CN"/>
              </w:rPr>
            </w:pPr>
            <w:r>
              <w:rPr>
                <w:rFonts w:hint="eastAsia" w:ascii="宋体" w:hAnsi="宋体"/>
                <w:color w:val="auto"/>
                <w:szCs w:val="21"/>
                <w:highlight w:val="none"/>
                <w:lang w:val="en-US" w:eastAsia="zh-CN"/>
              </w:rPr>
              <w:t>投标人在评标过程中作出的符合法律法规和招标文件规定的澄清确认</w:t>
            </w:r>
            <w:r>
              <w:rPr>
                <w:rFonts w:hint="eastAsia" w:ascii="宋体" w:hAnsi="宋体" w:cs="宋体"/>
                <w:strike w:val="0"/>
                <w:dstrike w:val="0"/>
                <w:color w:val="auto"/>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报价方式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460" w:lineRule="exact"/>
              <w:rPr>
                <w:rFonts w:hint="default"/>
                <w:color w:val="auto"/>
                <w:highlight w:val="none"/>
                <w:lang w:val="en-US" w:eastAsia="zh-CN"/>
              </w:rPr>
            </w:pPr>
            <w:r>
              <w:rPr>
                <w:rFonts w:hint="eastAsia" w:ascii="宋体" w:hAnsi="宋体" w:cs="宋体"/>
                <w:color w:val="auto"/>
                <w:highlight w:val="none"/>
                <w:lang w:val="en-US" w:eastAsia="zh-CN"/>
              </w:rPr>
              <w:t>按勘察设计费最高投标限价下浮报价，投标函的投标报价须列明人民币大、小写报价金额及报价下浮率。报价下浮率有效范围为大于0.00%。报价下浮率保留小数点后两位，低于下浮率有效范围的投标报价作投标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勘察</w:t>
            </w:r>
            <w:r>
              <w:rPr>
                <w:rFonts w:hint="eastAsia" w:ascii="宋体" w:hAnsi="宋体" w:cs="宋体"/>
                <w:color w:val="auto"/>
                <w:sz w:val="21"/>
                <w:szCs w:val="21"/>
                <w:highlight w:val="none"/>
              </w:rPr>
              <w:t>设计费最高投标限价</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71" w:line="460" w:lineRule="exact"/>
              <w:ind w:left="103"/>
              <w:jc w:val="both"/>
              <w:rPr>
                <w:rFonts w:hint="eastAsia" w:ascii="宋体" w:hAnsi="宋体" w:cs="宋体"/>
                <w:color w:val="auto"/>
                <w:sz w:val="21"/>
                <w:szCs w:val="21"/>
                <w:highlight w:val="none"/>
                <w:lang w:eastAsia="zh-CN"/>
              </w:rPr>
            </w:pP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1114.35万</w:t>
            </w:r>
            <w:r>
              <w:rPr>
                <w:rFonts w:hint="eastAsia" w:ascii="宋体" w:hAnsi="宋体"/>
                <w:color w:val="auto"/>
                <w:sz w:val="21"/>
                <w:szCs w:val="21"/>
                <w:highlight w:val="none"/>
              </w:rPr>
              <w:t>元</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其中勘察费招标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限价：532.27万元，</w:t>
            </w:r>
            <w:r>
              <w:rPr>
                <w:rFonts w:hint="eastAsia" w:ascii="宋体" w:hAnsi="宋体"/>
                <w:iCs/>
                <w:color w:val="auto"/>
                <w:sz w:val="21"/>
                <w:szCs w:val="21"/>
                <w:highlight w:val="none"/>
                <w:lang w:eastAsia="zh-CN"/>
              </w:rPr>
              <w:t>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限价：582.08万元。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3.5.1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日历天（从投标截止之日起）</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1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tabs>
                <w:tab w:val="left" w:pos="0"/>
                <w:tab w:val="left" w:pos="360"/>
                <w:tab w:val="left" w:pos="1620"/>
              </w:tabs>
              <w:kinsoku/>
              <w:wordWrap/>
              <w:overflowPunct/>
              <w:topLinePunct w:val="0"/>
              <w:autoSpaceDE/>
              <w:autoSpaceDN/>
              <w:bidi w:val="0"/>
              <w:adjustRightInd w:val="0"/>
              <w:snapToGrid/>
              <w:spacing w:line="332" w:lineRule="auto"/>
              <w:ind w:right="181" w:rightChars="86"/>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投标保证金形式：</w:t>
            </w:r>
            <w:r>
              <w:rPr>
                <w:rFonts w:hint="eastAsia" w:ascii="宋体" w:hAnsi="宋体" w:cs="宋体"/>
                <w:color w:val="auto"/>
                <w:kern w:val="0"/>
                <w:sz w:val="21"/>
                <w:szCs w:val="21"/>
                <w:highlight w:val="none"/>
                <w:u w:val="single"/>
              </w:rPr>
              <w:t>银行保函或</w:t>
            </w:r>
            <w:r>
              <w:rPr>
                <w:rFonts w:hint="eastAsia" w:ascii="宋体" w:hAnsi="宋体" w:cs="宋体"/>
                <w:color w:val="auto"/>
                <w:kern w:val="0"/>
                <w:sz w:val="21"/>
                <w:szCs w:val="21"/>
                <w:highlight w:val="none"/>
                <w:u w:val="single"/>
                <w:lang w:val="en-US" w:eastAsia="zh-CN"/>
              </w:rPr>
              <w:t>保证</w:t>
            </w:r>
            <w:r>
              <w:rPr>
                <w:rFonts w:hint="eastAsia" w:ascii="宋体" w:hAnsi="宋体" w:cs="宋体"/>
                <w:color w:val="auto"/>
                <w:kern w:val="0"/>
                <w:sz w:val="21"/>
                <w:szCs w:val="21"/>
                <w:highlight w:val="none"/>
                <w:u w:val="single"/>
              </w:rPr>
              <w:t>保险</w:t>
            </w:r>
          </w:p>
          <w:p>
            <w:pPr>
              <w:keepNext w:val="0"/>
              <w:keepLines w:val="0"/>
              <w:pageBreakBefore w:val="0"/>
              <w:widowControl w:val="0"/>
              <w:numPr>
                <w:ilvl w:val="0"/>
                <w:numId w:val="0"/>
              </w:numPr>
              <w:tabs>
                <w:tab w:val="left" w:pos="0"/>
                <w:tab w:val="left" w:pos="360"/>
                <w:tab w:val="left" w:pos="1620"/>
              </w:tabs>
              <w:kinsoku/>
              <w:wordWrap/>
              <w:overflowPunct/>
              <w:topLinePunct w:val="0"/>
              <w:autoSpaceDE/>
              <w:autoSpaceDN/>
              <w:bidi w:val="0"/>
              <w:adjustRightInd w:val="0"/>
              <w:snapToGrid/>
              <w:spacing w:line="332" w:lineRule="auto"/>
              <w:ind w:right="693" w:rightChars="33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投标保证金的金额：人民币</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贰拾 </w:t>
            </w:r>
            <w:r>
              <w:rPr>
                <w:rFonts w:hint="eastAsia" w:ascii="宋体" w:hAnsi="宋体" w:cs="宋体"/>
                <w:color w:val="auto"/>
                <w:kern w:val="0"/>
                <w:sz w:val="21"/>
                <w:szCs w:val="21"/>
                <w:highlight w:val="none"/>
              </w:rPr>
              <w:t>万元。</w:t>
            </w:r>
          </w:p>
          <w:p>
            <w:pPr>
              <w:autoSpaceDE w:val="0"/>
              <w:spacing w:line="460" w:lineRule="exact"/>
              <w:rPr>
                <w:rFonts w:hint="eastAsia" w:ascii="宋体" w:hAnsi="宋体" w:cs="宋体"/>
                <w:color w:val="auto"/>
                <w:szCs w:val="21"/>
                <w:highlight w:val="none"/>
              </w:rPr>
            </w:pPr>
            <w:r>
              <w:rPr>
                <w:rFonts w:hint="eastAsia" w:ascii="宋体" w:hAnsi="宋体" w:cs="宋体"/>
                <w:color w:val="auto"/>
                <w:kern w:val="0"/>
                <w:sz w:val="21"/>
                <w:szCs w:val="21"/>
                <w:highlight w:val="none"/>
              </w:rPr>
              <w:t>采用银行保函或</w:t>
            </w:r>
            <w:r>
              <w:rPr>
                <w:rFonts w:hint="eastAsia" w:ascii="宋体" w:hAnsi="宋体" w:cs="宋体"/>
                <w:color w:val="auto"/>
                <w:kern w:val="0"/>
                <w:sz w:val="21"/>
                <w:szCs w:val="21"/>
                <w:highlight w:val="none"/>
                <w:lang w:val="en-US" w:eastAsia="zh-CN"/>
              </w:rPr>
              <w:t>保证</w:t>
            </w:r>
            <w:r>
              <w:rPr>
                <w:rFonts w:hint="eastAsia" w:ascii="宋体" w:hAnsi="宋体" w:cs="宋体"/>
                <w:color w:val="auto"/>
                <w:kern w:val="0"/>
                <w:sz w:val="21"/>
                <w:szCs w:val="21"/>
                <w:highlight w:val="none"/>
              </w:rPr>
              <w:t>保险的方式提交的，投标保函需开具给招标人；保证保险需开具给招标人（受益人也必须是招标人）。</w:t>
            </w:r>
            <w:r>
              <w:rPr>
                <w:rFonts w:hint="eastAsia" w:ascii="宋体" w:hAnsi="宋体" w:cs="宋体"/>
                <w:color w:val="auto"/>
                <w:kern w:val="0"/>
                <w:sz w:val="21"/>
                <w:szCs w:val="21"/>
                <w:highlight w:val="none"/>
                <w:lang w:val="zh-CN" w:eastAsia="zh-TW"/>
              </w:rPr>
              <w:t>纸质原件须在投标截止时间前提交</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zh-CN" w:eastAsia="zh-TW"/>
              </w:rPr>
              <w:t>具体提交时间及地点同递交备用电子U盘的时间及地点。</w:t>
            </w:r>
            <w:r>
              <w:rPr>
                <w:rFonts w:hint="eastAsia" w:ascii="宋体" w:hAnsi="宋体" w:cs="宋体"/>
                <w:color w:val="auto"/>
                <w:kern w:val="0"/>
                <w:sz w:val="21"/>
                <w:szCs w:val="21"/>
                <w:highlight w:val="none"/>
              </w:rPr>
              <w:t>投标人应在投标文件中提交投标保函或投标保险等的扫描件并加盖投标人电子印章。若以交易系统支持的电子保函或电子投标保证保险递交的，到账情况以开标时广州公共资源交易中心数据库查询信息为准。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3.7.1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是否允许递交备选投标方案</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2" w:line="460" w:lineRule="exact"/>
              <w:ind w:left="103"/>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■不允许</w:t>
            </w:r>
          </w:p>
          <w:p>
            <w:pPr>
              <w:pStyle w:val="26"/>
              <w:kinsoku w:val="0"/>
              <w:overflowPunct w:val="0"/>
              <w:spacing w:before="66" w:line="460" w:lineRule="exact"/>
              <w:ind w:left="103"/>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投标文件份数</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ascii="宋体" w:hAnsi="宋体" w:cs="宋体"/>
                <w:color w:val="auto"/>
                <w:szCs w:val="21"/>
                <w:highlight w:val="none"/>
              </w:rPr>
            </w:pPr>
            <w:r>
              <w:rPr>
                <w:rFonts w:hint="eastAsia" w:ascii="宋体" w:hAnsi="宋体" w:eastAsia="宋体" w:cs="宋体"/>
                <w:color w:val="auto"/>
                <w:sz w:val="21"/>
                <w:szCs w:val="21"/>
                <w:highlight w:val="none"/>
              </w:rPr>
              <w:t>中标人在签订合同前需向招标人另行提供与投标递交的电子标书一致且加盖单位公章的纸质投标文件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份及电子文件1份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电子文件介质使用</w:t>
            </w:r>
            <w:r>
              <w:rPr>
                <w:rFonts w:hint="eastAsia" w:ascii="宋体" w:hAnsi="宋体" w:cs="宋体"/>
                <w:color w:val="auto"/>
                <w:sz w:val="21"/>
                <w:szCs w:val="21"/>
                <w:highlight w:val="none"/>
                <w:lang w:val="en-US" w:eastAsia="zh-CN"/>
              </w:rPr>
              <w:t>U盘</w:t>
            </w:r>
            <w:r>
              <w:rPr>
                <w:rFonts w:hint="eastAsia" w:ascii="宋体" w:hAnsi="宋体" w:eastAsia="宋体" w:cs="宋体"/>
                <w:color w:val="auto"/>
                <w:sz w:val="21"/>
                <w:szCs w:val="21"/>
                <w:highlight w:val="none"/>
              </w:rPr>
              <w:t>，所有电子文件不能采用压缩处理。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Cs w:val="21"/>
                <w:highlight w:val="none"/>
              </w:rPr>
              <w:t>投标文件签字或盖章要求</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投标文件全部采用电子文档，投标文件所附证书证件均为原件清晰扫描件</w:t>
            </w:r>
            <w:r>
              <w:rPr>
                <w:rFonts w:hint="eastAsia" w:ascii="宋体" w:hAnsi="宋体" w:cs="宋体"/>
                <w:color w:val="auto"/>
                <w:szCs w:val="21"/>
                <w:highlight w:val="none"/>
              </w:rPr>
              <w:t>，并采用单位数字证书，按招标文件要求在相应位置加盖电子印章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w:t>
            </w:r>
            <w:r>
              <w:rPr>
                <w:rFonts w:hint="eastAsia" w:ascii="宋体" w:hAnsi="宋体" w:cs="宋体"/>
                <w:color w:val="auto"/>
                <w:szCs w:val="21"/>
                <w:highlight w:val="none"/>
              </w:rPr>
              <w:t>需个人签字或盖章的，</w:t>
            </w:r>
            <w:r>
              <w:rPr>
                <w:rFonts w:hint="eastAsia" w:ascii="宋体" w:hAnsi="宋体" w:cs="宋体"/>
                <w:b/>
                <w:color w:val="auto"/>
                <w:szCs w:val="21"/>
                <w:highlight w:val="none"/>
              </w:rPr>
              <w:t>应加盖个人电子印章或在线下完成后扫描上传。</w:t>
            </w: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交易平台关于全流程电子化项目的相关指南进行操作</w:t>
            </w: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4.1.1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投标文件是否需分册装订</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■不需要</w:t>
            </w:r>
          </w:p>
          <w:p>
            <w:pPr>
              <w:pStyle w:val="26"/>
              <w:kinsoku w:val="0"/>
              <w:overflowPunct w:val="0"/>
              <w:spacing w:before="66" w:line="460" w:lineRule="exact"/>
              <w:ind w:left="103"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□需要，分册装订要求：</w:t>
            </w:r>
            <w:r>
              <w:rPr>
                <w:rFonts w:hint="eastAsia" w:ascii="宋体" w:hAnsi="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封套上应载明的</w:t>
            </w:r>
          </w:p>
          <w:p>
            <w:pPr>
              <w:autoSpaceDE w:val="0"/>
              <w:spacing w:line="460" w:lineRule="exact"/>
              <w:jc w:val="center"/>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SA"/>
              </w:rPr>
              <w:t>信息</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4"/>
              <w:jc w:val="center"/>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投标文件的</w:t>
            </w:r>
            <w:r>
              <w:rPr>
                <w:rFonts w:hint="eastAsia" w:ascii="Times New Roman" w:cs="Times New Roman"/>
                <w:color w:val="auto"/>
                <w:kern w:val="2"/>
                <w:sz w:val="21"/>
                <w:szCs w:val="24"/>
                <w:highlight w:val="none"/>
                <w:lang w:val="en-US" w:eastAsia="zh-CN" w:bidi="ar-SA"/>
              </w:rPr>
              <w:t>提交</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color w:val="auto"/>
                <w:highlight w:val="none"/>
                <w:lang w:val="en-US" w:eastAsia="zh-CN"/>
              </w:rPr>
            </w:pPr>
            <w:r>
              <w:rPr>
                <w:rFonts w:hint="eastAsia"/>
                <w:color w:val="auto"/>
                <w:highlight w:val="none"/>
                <w:lang w:val="en-US" w:eastAsia="zh-CN"/>
              </w:rPr>
              <w:t>提</w:t>
            </w:r>
            <w:r>
              <w:rPr>
                <w:rFonts w:hint="eastAsia"/>
                <w:color w:val="auto"/>
                <w:highlight w:val="none"/>
              </w:rPr>
              <w:t>交投标文件</w:t>
            </w:r>
            <w:r>
              <w:rPr>
                <w:rFonts w:hint="eastAsia"/>
                <w:color w:val="auto"/>
                <w:highlight w:val="none"/>
                <w:lang w:val="en-US" w:eastAsia="zh-CN"/>
              </w:rPr>
              <w:t xml:space="preserve">的时间：按媒介发布的招标公告中载明的投标截止时间为准 </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宋体" w:hAnsi="宋体" w:cs="宋体"/>
                <w:color w:val="auto"/>
                <w:szCs w:val="21"/>
                <w:highlight w:val="none"/>
                <w:lang w:val="en-US"/>
              </w:rPr>
            </w:pPr>
            <w:r>
              <w:rPr>
                <w:rFonts w:hint="eastAsia"/>
                <w:color w:val="auto"/>
                <w:highlight w:val="none"/>
                <w:lang w:val="en-US" w:eastAsia="zh-CN"/>
              </w:rPr>
              <w:t>提</w:t>
            </w:r>
            <w:r>
              <w:rPr>
                <w:rFonts w:hint="eastAsia"/>
                <w:color w:val="auto"/>
                <w:highlight w:val="none"/>
              </w:rPr>
              <w:t>交投标文件</w:t>
            </w:r>
            <w:r>
              <w:rPr>
                <w:rFonts w:hint="eastAsia"/>
                <w:color w:val="auto"/>
                <w:highlight w:val="none"/>
                <w:lang w:val="en-US" w:eastAsia="zh-CN"/>
              </w:rPr>
              <w:t>的</w:t>
            </w:r>
            <w:r>
              <w:rPr>
                <w:rFonts w:hint="eastAsia"/>
                <w:color w:val="auto"/>
                <w:highlight w:val="none"/>
              </w:rPr>
              <w:t>地点</w:t>
            </w:r>
            <w:r>
              <w:rPr>
                <w:rFonts w:hint="eastAsia" w:ascii="Times New Roman" w:hAnsi="Times New Roman" w:eastAsia="宋体" w:cs="Times New Roman"/>
                <w:color w:val="auto"/>
                <w:highlight w:val="none"/>
              </w:rPr>
              <w:t>：</w:t>
            </w:r>
            <w:r>
              <w:rPr>
                <w:rFonts w:hint="eastAsia" w:ascii="宋体" w:hAnsi="宋体" w:eastAsia="宋体" w:cs="宋体"/>
                <w:color w:val="auto"/>
                <w:sz w:val="21"/>
                <w:szCs w:val="21"/>
                <w:highlight w:val="none"/>
                <w:lang w:eastAsia="zh-CN"/>
              </w:rPr>
              <w:t>广州公共资源交易中心</w:t>
            </w:r>
            <w:r>
              <w:rPr>
                <w:rFonts w:hint="eastAsia" w:ascii="宋体" w:hAnsi="宋体" w:cs="宋体"/>
                <w:color w:val="auto"/>
                <w:sz w:val="21"/>
                <w:szCs w:val="21"/>
                <w:highlight w:val="none"/>
                <w:lang w:val="en-US" w:eastAsia="zh-CN"/>
              </w:rPr>
              <w:t xml:space="preserve">交易平台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开标时间和地点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开标时间：</w:t>
            </w:r>
            <w:r>
              <w:rPr>
                <w:rFonts w:hint="eastAsia" w:ascii="Times New Roman" w:hAnsi="Times New Roman" w:eastAsia="宋体" w:cs="Times New Roman"/>
                <w:color w:val="auto"/>
                <w:highlight w:val="none"/>
                <w:lang w:val="en-US" w:eastAsia="zh-CN"/>
              </w:rPr>
              <w:t>按媒介发布的招标公告中载明的开标时间为准。</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开标地点：</w:t>
            </w:r>
            <w:r>
              <w:rPr>
                <w:rFonts w:hint="eastAsia" w:ascii="Times New Roman" w:hAnsi="Times New Roman" w:eastAsia="宋体" w:cs="Times New Roman"/>
                <w:color w:val="auto"/>
                <w:highlight w:val="none"/>
                <w:lang w:eastAsia="zh-CN"/>
              </w:rPr>
              <w:t>广州公共资源交易中心（广州市天河区天润路333号）</w:t>
            </w:r>
            <w:r>
              <w:rPr>
                <w:rFonts w:hint="eastAsia" w:ascii="Times New Roman" w:hAnsi="Times New Roman" w:eastAsia="宋体" w:cs="Times New Roman"/>
                <w:color w:val="auto"/>
                <w:highlight w:val="none"/>
              </w:rPr>
              <w:t>投标人也可选择参加在线开标，具体按照交易平台相关指南进行操作。</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注：投标文件解密问题。投标人只用执行一次解密，招标人执行解密次数根据招标文件开标次数确定。</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、递交投标文件备用</w:t>
            </w:r>
            <w:r>
              <w:rPr>
                <w:rFonts w:hint="eastAsia" w:cs="Times New Roman"/>
                <w:color w:val="auto"/>
                <w:highlight w:val="none"/>
                <w:lang w:eastAsia="zh-CN"/>
              </w:rPr>
              <w:t>U盘</w:t>
            </w:r>
            <w:r>
              <w:rPr>
                <w:rFonts w:hint="eastAsia" w:ascii="Times New Roman" w:hAnsi="Times New Roman" w:eastAsia="宋体" w:cs="Times New Roman"/>
                <w:color w:val="auto"/>
                <w:highlight w:val="none"/>
              </w:rPr>
              <w:t>时间：2023年  月  日   时   分至2023年   月   日   时   分；递交地点：广州公共资源交易中心。</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cs="宋体"/>
                <w:color w:val="auto"/>
                <w:spacing w:val="6"/>
                <w:szCs w:val="21"/>
                <w:highlight w:val="none"/>
              </w:rPr>
            </w:pPr>
            <w:r>
              <w:rPr>
                <w:rFonts w:hint="eastAsia" w:ascii="Times New Roman" w:hAnsi="Times New Roman" w:eastAsia="宋体" w:cs="Times New Roman"/>
                <w:color w:val="auto"/>
                <w:highlight w:val="none"/>
              </w:rPr>
              <w:t>上述时间及地点是否有改变，请密切留意补充公告和招标答疑纪要的相关信息。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35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5.3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8" w:line="460" w:lineRule="exact"/>
              <w:ind w:right="1"/>
              <w:jc w:val="center"/>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开标程序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4"/>
              <w:jc w:val="left"/>
              <w:rPr>
                <w:rFonts w:hint="eastAsia"/>
                <w:strike/>
                <w:dstrike w:val="0"/>
                <w:color w:val="auto"/>
                <w:highlight w:val="none"/>
              </w:rPr>
            </w:pPr>
            <w:r>
              <w:rPr>
                <w:rFonts w:hint="eastAsia" w:ascii="宋体" w:hAnsi="宋体" w:eastAsia="宋体" w:cs="宋体"/>
                <w:strike w:val="0"/>
                <w:dstrike w:val="0"/>
                <w:color w:val="auto"/>
                <w:sz w:val="21"/>
                <w:szCs w:val="21"/>
                <w:highlight w:val="none"/>
              </w:rPr>
              <w:t>开标顺序：按</w:t>
            </w:r>
            <w:r>
              <w:rPr>
                <w:rFonts w:hint="eastAsia" w:ascii="宋体" w:hAnsi="宋体" w:eastAsia="宋体" w:cs="宋体"/>
                <w:strike w:val="0"/>
                <w:dstrike w:val="0"/>
                <w:color w:val="auto"/>
                <w:sz w:val="21"/>
                <w:szCs w:val="21"/>
                <w:highlight w:val="none"/>
                <w:lang w:val="en-US" w:eastAsia="zh-CN"/>
              </w:rPr>
              <w:t>随机</w:t>
            </w:r>
            <w:r>
              <w:rPr>
                <w:rFonts w:hint="eastAsia" w:ascii="宋体" w:hAnsi="宋体" w:eastAsia="宋体" w:cs="宋体"/>
                <w:strike w:val="0"/>
                <w:dstrike w:val="0"/>
                <w:color w:val="auto"/>
                <w:sz w:val="21"/>
                <w:szCs w:val="21"/>
                <w:highlight w:val="none"/>
              </w:rPr>
              <w:t>顺序进行开标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8"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评标委员会的组建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hAnsi="宋体"/>
                <w:b/>
                <w:color w:val="auto"/>
                <w:sz w:val="21"/>
                <w:szCs w:val="21"/>
                <w:highlight w:val="none"/>
              </w:rPr>
              <w:t>评标委员会构成：</w:t>
            </w:r>
            <w:r>
              <w:rPr>
                <w:rFonts w:hAnsi="宋体"/>
                <w:color w:val="auto"/>
                <w:sz w:val="21"/>
                <w:szCs w:val="21"/>
                <w:highlight w:val="none"/>
                <w:lang w:val="zh-CN"/>
              </w:rPr>
              <w:t>5</w:t>
            </w:r>
            <w:r>
              <w:rPr>
                <w:rFonts w:hint="eastAsia" w:hAnsi="宋体"/>
                <w:color w:val="auto"/>
                <w:sz w:val="21"/>
                <w:szCs w:val="21"/>
                <w:highlight w:val="none"/>
                <w:lang w:val="zh-CN"/>
              </w:rPr>
              <w:t>人</w:t>
            </w:r>
            <w:r>
              <w:rPr>
                <w:rFonts w:hAnsi="宋体"/>
                <w:color w:val="auto"/>
                <w:sz w:val="21"/>
                <w:szCs w:val="21"/>
                <w:highlight w:val="none"/>
                <w:lang w:val="zh-CN"/>
              </w:rPr>
              <w:t>组成</w:t>
            </w:r>
            <w:r>
              <w:rPr>
                <w:rFonts w:hint="eastAsia" w:hAnsi="宋体"/>
                <w:color w:val="auto"/>
                <w:sz w:val="21"/>
                <w:szCs w:val="21"/>
                <w:highlight w:val="none"/>
                <w:lang w:val="zh-CN"/>
              </w:rPr>
              <w:t>，其中招标人代表0人，评标专家5人</w:t>
            </w:r>
            <w:r>
              <w:rPr>
                <w:rFonts w:hAnsi="宋体"/>
                <w:color w:val="auto"/>
                <w:sz w:val="21"/>
                <w:szCs w:val="21"/>
                <w:highlight w:val="none"/>
              </w:rPr>
              <w:t>；</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eastAsia="zh-CN"/>
              </w:rPr>
            </w:pPr>
            <w:r>
              <w:rPr>
                <w:rFonts w:hint="eastAsia" w:ascii="宋体" w:hAnsi="宋体" w:eastAsia="宋体" w:cs="宋体"/>
                <w:color w:val="auto"/>
                <w:sz w:val="21"/>
                <w:szCs w:val="21"/>
                <w:highlight w:val="none"/>
                <w:lang w:val="en-US" w:eastAsia="zh-CN"/>
              </w:rPr>
              <w:t>评标专家确定方式：从广东省综合评标评审专家库中随机抽取产生。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中标候选人公示</w:t>
            </w:r>
          </w:p>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媒介及期限</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10" w:line="240" w:lineRule="auto"/>
              <w:ind w:left="103"/>
              <w:jc w:val="both"/>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公示媒介：广东省招标投标监管网和</w:t>
            </w:r>
            <w:r>
              <w:rPr>
                <w:rFonts w:hint="eastAsia" w:ascii="宋体" w:hAnsi="宋体" w:cs="宋体"/>
                <w:color w:val="auto"/>
                <w:sz w:val="21"/>
                <w:szCs w:val="21"/>
                <w:highlight w:val="none"/>
                <w:u w:val="none"/>
                <w:lang w:val="en-US" w:eastAsia="zh-CN"/>
              </w:rPr>
              <w:t>广州公共资源交易中心网站</w:t>
            </w:r>
          </w:p>
          <w:p>
            <w:pPr>
              <w:pStyle w:val="26"/>
              <w:tabs>
                <w:tab w:val="left" w:pos="2100"/>
              </w:tabs>
              <w:kinsoku w:val="0"/>
              <w:overflowPunct w:val="0"/>
              <w:spacing w:before="164" w:line="240" w:lineRule="auto"/>
              <w:ind w:left="103"/>
              <w:jc w:val="both"/>
              <w:rPr>
                <w:rFonts w:hint="eastAsia" w:ascii="宋体" w:hAnsi="宋体" w:cs="宋体"/>
                <w:color w:val="auto"/>
                <w:spacing w:val="6"/>
                <w:sz w:val="21"/>
                <w:szCs w:val="21"/>
                <w:highlight w:val="none"/>
              </w:rPr>
            </w:pPr>
            <w:r>
              <w:rPr>
                <w:rFonts w:hint="eastAsia" w:ascii="宋体" w:hAnsi="宋体" w:cs="宋体"/>
                <w:color w:val="auto"/>
                <w:spacing w:val="-2"/>
                <w:sz w:val="21"/>
                <w:szCs w:val="21"/>
                <w:highlight w:val="none"/>
                <w:u w:val="none"/>
              </w:rPr>
              <w:t>公示期限：不少于3日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是否授权评标委员会确定中标人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□是</w:t>
            </w:r>
          </w:p>
          <w:p>
            <w:pPr>
              <w:pStyle w:val="26"/>
              <w:kinsoku w:val="0"/>
              <w:overflowPunct w:val="0"/>
              <w:spacing w:before="71" w:line="460" w:lineRule="exact"/>
              <w:ind w:left="103"/>
              <w:jc w:val="both"/>
              <w:rPr>
                <w:rFonts w:hint="eastAsia" w:ascii="宋体" w:hAnsi="宋体" w:eastAsia="宋体" w:cs="宋体"/>
                <w:color w:val="auto"/>
                <w:spacing w:val="-2"/>
                <w:sz w:val="21"/>
                <w:szCs w:val="21"/>
                <w:highlight w:val="none"/>
                <w:lang w:val="en-US" w:eastAsia="zh-CN"/>
              </w:rPr>
            </w:pPr>
            <w:r>
              <w:rPr>
                <w:rFonts w:hint="eastAsia" w:ascii="宋体" w:hAnsi="宋体" w:cs="宋体"/>
                <w:color w:val="auto"/>
                <w:sz w:val="21"/>
                <w:szCs w:val="21"/>
                <w:highlight w:val="none"/>
              </w:rPr>
              <w:t>■否</w:t>
            </w:r>
            <w:r>
              <w:rPr>
                <w:rFonts w:hint="eastAsia" w:ascii="宋体" w:hAnsi="宋体" w:cs="宋体"/>
                <w:color w:val="auto"/>
                <w:sz w:val="21"/>
                <w:szCs w:val="21"/>
                <w:highlight w:val="none"/>
                <w:lang w:val="en-US" w:eastAsia="zh-CN"/>
              </w:rPr>
              <w:t>,评标委员会推荐中标候选人的人数为3 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技术成果经济补偿</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30"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■不补偿</w:t>
            </w:r>
          </w:p>
          <w:p>
            <w:pPr>
              <w:pStyle w:val="26"/>
              <w:kinsoku w:val="0"/>
              <w:overflowPunct w:val="0"/>
              <w:spacing w:before="61"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□补偿，补偿标准：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7.7</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snapToGrid w:val="0"/>
                <w:color w:val="auto"/>
                <w:szCs w:val="21"/>
                <w:highlight w:val="none"/>
              </w:rPr>
              <w:t>履约担保</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是否要求中标人提交履约保证金：</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ascii="仿宋" w:hAnsi="仿宋" w:eastAsia="仿宋"/>
                <w:b/>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履约担保的形式：</w:t>
            </w:r>
            <w:r>
              <w:rPr>
                <w:rFonts w:hint="eastAsia" w:ascii="宋体" w:hAnsi="宋体" w:eastAsia="宋体" w:cs="宋体"/>
                <w:color w:val="auto"/>
                <w:sz w:val="21"/>
                <w:szCs w:val="21"/>
                <w:highlight w:val="none"/>
                <w:lang w:val="en-US" w:eastAsia="zh-CN"/>
              </w:rPr>
              <w:t>银行保函或</w:t>
            </w:r>
            <w:r>
              <w:rPr>
                <w:rFonts w:hint="eastAsia" w:ascii="宋体" w:hAnsi="宋体" w:cs="宋体"/>
                <w:color w:val="auto"/>
                <w:sz w:val="21"/>
                <w:szCs w:val="21"/>
                <w:highlight w:val="none"/>
                <w:lang w:val="en-US" w:eastAsia="zh-CN"/>
              </w:rPr>
              <w:t>保证保险</w:t>
            </w:r>
          </w:p>
          <w:p>
            <w:pPr>
              <w:pStyle w:val="14"/>
              <w:rPr>
                <w:rFonts w:hint="eastAsia"/>
                <w:color w:val="auto"/>
                <w:highlight w:val="none"/>
              </w:rPr>
            </w:pPr>
            <w:r>
              <w:rPr>
                <w:rFonts w:hint="eastAsia" w:ascii="宋体" w:hAnsi="宋体" w:eastAsia="宋体" w:cs="宋体"/>
                <w:color w:val="auto"/>
                <w:sz w:val="21"/>
                <w:szCs w:val="21"/>
                <w:highlight w:val="none"/>
              </w:rPr>
              <w:t xml:space="preserve">履约担保的金额：投标人提供的履约担保金额为：中标价10% </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rPr>
            </w:pPr>
            <w:r>
              <w:rPr>
                <w:rFonts w:hint="eastAsia" w:ascii="宋体" w:hAnsi="宋体" w:eastAsia="宋体" w:cs="宋体"/>
                <w:color w:val="auto"/>
                <w:sz w:val="21"/>
                <w:szCs w:val="21"/>
                <w:highlight w:val="none"/>
                <w:lang w:val="en-US" w:eastAsia="zh-CN"/>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strike/>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41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9</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napToGrid w:val="0"/>
                <w:color w:val="auto"/>
                <w:szCs w:val="21"/>
                <w:highlight w:val="none"/>
                <w:lang w:val="en-US" w:eastAsia="zh-CN"/>
              </w:rPr>
            </w:pPr>
            <w:r>
              <w:rPr>
                <w:rFonts w:hint="eastAsia" w:ascii="宋体" w:hAnsi="宋体" w:cs="宋体"/>
                <w:snapToGrid w:val="0"/>
                <w:color w:val="auto"/>
                <w:szCs w:val="21"/>
                <w:highlight w:val="none"/>
                <w:lang w:val="en-US" w:eastAsia="zh-CN"/>
              </w:rPr>
              <w:t>是否采用</w:t>
            </w:r>
          </w:p>
          <w:p>
            <w:pPr>
              <w:autoSpaceDE w:val="0"/>
              <w:spacing w:line="460" w:lineRule="exact"/>
              <w:jc w:val="center"/>
              <w:rPr>
                <w:rFonts w:hint="eastAsia" w:ascii="宋体" w:hAnsi="宋体" w:cs="宋体"/>
                <w:strike/>
                <w:dstrike w:val="0"/>
                <w:snapToGrid w:val="0"/>
                <w:color w:val="auto"/>
                <w:szCs w:val="21"/>
                <w:highlight w:val="none"/>
              </w:rPr>
            </w:pPr>
            <w:r>
              <w:rPr>
                <w:rFonts w:hint="eastAsia" w:ascii="宋体" w:hAnsi="宋体" w:cs="宋体"/>
                <w:snapToGrid w:val="0"/>
                <w:color w:val="auto"/>
                <w:szCs w:val="21"/>
                <w:highlight w:val="none"/>
                <w:lang w:val="en-US" w:eastAsia="zh-CN"/>
              </w:rPr>
              <w:t>电子招标投标</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32"/>
                <w:szCs w:val="32"/>
                <w:highlight w:val="none"/>
                <w:lang w:val="en-US" w:eastAsia="zh-CN" w:bidi="ar"/>
              </w:rPr>
              <w:t>□</w:t>
            </w:r>
            <w:r>
              <w:rPr>
                <w:rFonts w:hint="eastAsia" w:ascii="宋体" w:hAnsi="宋体" w:eastAsia="宋体" w:cs="宋体"/>
                <w:color w:val="auto"/>
                <w:kern w:val="0"/>
                <w:sz w:val="21"/>
                <w:szCs w:val="21"/>
                <w:highlight w:val="none"/>
                <w:lang w:val="en-US" w:eastAsia="zh-CN" w:bidi="ar"/>
              </w:rPr>
              <w:t>否</w:t>
            </w:r>
          </w:p>
          <w:p>
            <w:pPr>
              <w:autoSpaceDE w:val="0"/>
              <w:spacing w:line="460" w:lineRule="exact"/>
              <w:rPr>
                <w:rFonts w:hint="eastAsia" w:ascii="宋体" w:hAnsi="宋体" w:cs="宋体"/>
                <w:strike/>
                <w:dstrike w:val="0"/>
                <w:color w:val="auto"/>
                <w:szCs w:val="21"/>
                <w:highlight w:val="none"/>
              </w:rPr>
            </w:pPr>
            <w:r>
              <w:rPr>
                <w:rFonts w:hint="eastAsia" w:ascii="宋体" w:hAnsi="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val="0"/>
                <w:dstrike w:val="0"/>
                <w:color w:val="auto"/>
                <w:szCs w:val="21"/>
                <w:highlight w:val="none"/>
                <w:lang w:eastAsia="zh-CN"/>
              </w:rPr>
            </w:pPr>
            <w:r>
              <w:rPr>
                <w:rFonts w:hint="eastAsia" w:ascii="宋体" w:hAnsi="宋体" w:cs="宋体"/>
                <w:strike w:val="0"/>
                <w:dstrike w:val="0"/>
                <w:color w:val="auto"/>
                <w:szCs w:val="21"/>
                <w:highlight w:val="none"/>
              </w:rPr>
              <w:t>4</w:t>
            </w:r>
            <w:r>
              <w:rPr>
                <w:rFonts w:hint="eastAsia" w:ascii="宋体" w:hAnsi="宋体" w:cs="宋体"/>
                <w:strike w:val="0"/>
                <w:dstrike w:val="0"/>
                <w:color w:val="auto"/>
                <w:szCs w:val="21"/>
                <w:highlight w:val="none"/>
                <w:lang w:val="en-US" w:eastAsia="zh-CN"/>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10</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snapToGrid w:val="0"/>
                <w:color w:val="auto"/>
                <w:szCs w:val="21"/>
                <w:highlight w:val="none"/>
              </w:rPr>
            </w:pPr>
            <w:r>
              <w:rPr>
                <w:rFonts w:hint="eastAsia" w:ascii="宋体" w:hAnsi="宋体" w:cs="宋体"/>
                <w:strike w:val="0"/>
                <w:dstrike w:val="0"/>
                <w:snapToGrid w:val="0"/>
                <w:color w:val="auto"/>
                <w:szCs w:val="21"/>
                <w:highlight w:val="none"/>
              </w:rPr>
              <w:t>其他</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本项目进入广州公共资源交易中心所发生的交易服务费由中标人按广州公共资源交易中心有关规定执行。</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2、招标代理服务费及支付办法</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1）本项目招标代理费由中标人支付，代理费计费基数为中标价，按国家计委《招标代理服务收费管理暂行办法》（计价价格﹝2002﹞1980号）及《国家发展改革委关于降低部分建设项目收费标准规范收费行为等有关问题的通知》（发改价格﹝2011﹞534号）文件规定的标准并下浮50%计收。</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2）支付方式：银行转账。</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3）支付时间：中标通知书发出后七个工作日内。</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电子招标投标解密失败及突发情况的补救</w:t>
            </w:r>
            <w:r>
              <w:rPr>
                <w:rFonts w:hint="eastAsia" w:ascii="Times New Roman" w:hAnsi="Times New Roman" w:eastAsia="宋体" w:cs="Times New Roman"/>
                <w:color w:val="auto"/>
                <w:highlight w:val="none"/>
                <w:lang w:val="en-US" w:eastAsia="zh-CN"/>
              </w:rPr>
              <w:t>：</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1、按照交易平台关于全流程电子化项目的相关指南进行操作。</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2、提交投标文件</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备用</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投标人可制作非加密的电子投标文件（PDF格式）</w:t>
            </w:r>
            <w:r>
              <w:rPr>
                <w:rFonts w:hint="eastAsia" w:cs="Times New Roman"/>
                <w:color w:val="auto"/>
                <w:highlight w:val="none"/>
                <w:lang w:val="en-US" w:eastAsia="zh-CN"/>
              </w:rPr>
              <w:t>放入U盘</w:t>
            </w:r>
            <w:r>
              <w:rPr>
                <w:rFonts w:hint="default" w:ascii="Times New Roman" w:hAnsi="Times New Roman" w:eastAsia="宋体" w:cs="Times New Roman"/>
                <w:color w:val="auto"/>
                <w:highlight w:val="none"/>
                <w:lang w:val="en-US" w:eastAsia="zh-CN"/>
              </w:rPr>
              <w:t>（1份），在投标须知前附表第</w:t>
            </w:r>
            <w:r>
              <w:rPr>
                <w:rFonts w:hint="eastAsia" w:cs="Times New Roman"/>
                <w:color w:val="auto"/>
                <w:highlight w:val="none"/>
                <w:lang w:val="en-US" w:eastAsia="zh-CN"/>
              </w:rPr>
              <w:t>34</w:t>
            </w:r>
            <w:r>
              <w:rPr>
                <w:rFonts w:hint="default" w:ascii="Times New Roman" w:hAnsi="Times New Roman" w:eastAsia="宋体" w:cs="Times New Roman"/>
                <w:color w:val="auto"/>
                <w:highlight w:val="none"/>
                <w:lang w:val="en-US" w:eastAsia="zh-CN"/>
              </w:rPr>
              <w:t>项规定的时间、地点提交备用。备用</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密封在密封袋中，并在封口处加盖投标人单位公章。密封袋上应写明项目名称和招标人名称。递交的</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不得加密。</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无法读取或导入的，则视为未提交备用投标文件</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。如果投标人没有按规定通过交易平台网上递交电子投标文件的，不再读取提交的</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。投标人也可不提交备用</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3、补救方案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（1）投标文件解密失败的补救方案：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在规定时间内，因投标人之外原因</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指网络瘫痪、服务器损坏、交易系统故障短期无法恢复</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导致的电子投标文件解密失败，在开标现场读取</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内容，继续开标程序。评标委员会对其投标文件的评审以</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内容为准。因投标人之外原因解密失败且未递交电子</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的，视为撤回投标文件。</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（2）评标时突发情况的补救方案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若遇不可抗力发生（指网络瘫痪、服务器损坏、交易系统故障短期无法恢复等因素），由评标委员会开启投标人递交的全部投标文件</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，并按</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内容进行评审。</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（3）除发生上述情况外，开标评标均以投标人通过交易平台网上递交的电子投标文件为准。</w:t>
            </w:r>
          </w:p>
        </w:tc>
      </w:tr>
    </w:tbl>
    <w:p>
      <w:pPr>
        <w:autoSpaceDE w:val="0"/>
        <w:spacing w:after="120" w:line="360" w:lineRule="auto"/>
        <w:rPr>
          <w:rFonts w:hint="eastAsia" w:ascii="宋体" w:hAnsi="宋体"/>
          <w:color w:val="auto"/>
          <w:sz w:val="24"/>
          <w:highlight w:val="none"/>
        </w:rPr>
        <w:sectPr>
          <w:footerReference r:id="rId5" w:type="default"/>
          <w:footnotePr>
            <w:numRestart w:val="eachPage"/>
          </w:footnotePr>
          <w:pgSz w:w="11907" w:h="16840"/>
          <w:pgMar w:top="1418" w:right="1134" w:bottom="1134" w:left="1134" w:header="680" w:footer="907" w:gutter="0"/>
          <w:pgNumType w:fmt="decimal" w:start="1"/>
          <w:cols w:space="720" w:num="1"/>
          <w:docGrid w:linePitch="271" w:charSpace="0"/>
        </w:sectPr>
      </w:pPr>
    </w:p>
    <w:p>
      <w:pPr>
        <w:numPr>
          <w:ilvl w:val="0"/>
          <w:numId w:val="2"/>
        </w:numPr>
        <w:autoSpaceDE w:val="0"/>
        <w:spacing w:line="520" w:lineRule="exact"/>
        <w:jc w:val="center"/>
        <w:rPr>
          <w:rFonts w:hint="eastAsia" w:ascii="宋体" w:hAnsi="宋体"/>
          <w:b/>
          <w:color w:val="auto"/>
          <w:sz w:val="30"/>
          <w:szCs w:val="30"/>
          <w:highlight w:val="none"/>
        </w:rPr>
      </w:pPr>
      <w:bookmarkStart w:id="9" w:name="_Toc60537378"/>
      <w:r>
        <w:rPr>
          <w:rFonts w:hint="eastAsia" w:ascii="宋体" w:hAnsi="宋体"/>
          <w:b/>
          <w:color w:val="auto"/>
          <w:sz w:val="30"/>
          <w:szCs w:val="30"/>
          <w:highlight w:val="none"/>
        </w:rPr>
        <w:t>投标须知</w:t>
      </w:r>
      <w:bookmarkEnd w:id="9"/>
    </w:p>
    <w:p>
      <w:pPr>
        <w:autoSpaceDE w:val="0"/>
        <w:spacing w:line="520" w:lineRule="exact"/>
        <w:jc w:val="left"/>
        <w:rPr>
          <w:rFonts w:hint="eastAsia" w:ascii="宋体" w:hAnsi="宋体"/>
          <w:b/>
          <w:color w:val="auto"/>
          <w:sz w:val="28"/>
          <w:szCs w:val="28"/>
          <w:highlight w:val="none"/>
        </w:rPr>
      </w:pPr>
      <w:r>
        <w:rPr>
          <w:rFonts w:hint="eastAsia" w:ascii="宋体" w:hAnsi="宋体"/>
          <w:b/>
          <w:color w:val="auto"/>
          <w:sz w:val="28"/>
          <w:szCs w:val="28"/>
          <w:highlight w:val="none"/>
        </w:rPr>
        <w:t>1.总则</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1.1招标项目概况</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1.1.1根据《中华人民共和国招标投标法》、《中华人民共和国招标投标法实施条例》等有关法律、法规和规章的规定，本招标项目已具备招标条件，现对勘察设计进行招标。</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1.1.2招标人：见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1.1.3招标代理机构：见</w:t>
      </w:r>
      <w:r>
        <w:rPr>
          <w:rFonts w:hint="eastAsia" w:ascii="宋体" w:hAnsi="宋体"/>
          <w:color w:val="auto"/>
          <w:szCs w:val="21"/>
          <w:highlight w:val="none"/>
          <w:lang w:eastAsia="zh-CN"/>
        </w:rPr>
        <w:t>投标须知前附表。</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1.1.4项目名称：见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1.1.5建设地点：见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1.1.6建设规模：见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1.1.7项目投资估算：见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1.2  招标项目的资金来源和落实情况</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1.2.1资金来源：见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1.2.2资金落实情况：见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1.3招标范围和</w:t>
      </w:r>
      <w:r>
        <w:rPr>
          <w:rFonts w:hint="eastAsia" w:ascii="宋体" w:hAnsi="宋体"/>
          <w:b/>
          <w:bCs/>
          <w:color w:val="auto"/>
          <w:szCs w:val="21"/>
          <w:highlight w:val="none"/>
          <w:lang w:eastAsia="zh-CN"/>
        </w:rPr>
        <w:t>服务期限</w:t>
      </w:r>
      <w:r>
        <w:rPr>
          <w:rFonts w:hint="eastAsia" w:ascii="宋体" w:hAnsi="宋体"/>
          <w:b/>
          <w:bCs/>
          <w:color w:val="auto"/>
          <w:szCs w:val="21"/>
          <w:highlight w:val="none"/>
        </w:rPr>
        <w:t>和质量标准</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1.3.1招标范围：见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1.3.2</w:t>
      </w:r>
      <w:r>
        <w:rPr>
          <w:rFonts w:hint="eastAsia" w:ascii="宋体" w:hAnsi="宋体"/>
          <w:color w:val="auto"/>
          <w:szCs w:val="21"/>
          <w:highlight w:val="none"/>
          <w:lang w:eastAsia="zh-CN"/>
        </w:rPr>
        <w:t>服务期限</w:t>
      </w:r>
      <w:r>
        <w:rPr>
          <w:rFonts w:hint="eastAsia" w:ascii="宋体" w:hAnsi="宋体"/>
          <w:color w:val="auto"/>
          <w:szCs w:val="21"/>
          <w:highlight w:val="none"/>
        </w:rPr>
        <w:t>：见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1.3.3质量标准：见</w:t>
      </w:r>
      <w:r>
        <w:rPr>
          <w:rFonts w:hint="eastAsia" w:ascii="宋体" w:hAnsi="宋体"/>
          <w:color w:val="auto"/>
          <w:szCs w:val="21"/>
          <w:highlight w:val="none"/>
          <w:lang w:eastAsia="zh-CN"/>
        </w:rPr>
        <w:t>投标须知前附表。</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1.4投标人资格要求</w:t>
      </w:r>
    </w:p>
    <w:p>
      <w:pPr>
        <w:autoSpaceDE w:val="0"/>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 投标人应具备承担本招标项目资质条件</w:t>
      </w:r>
      <w:r>
        <w:rPr>
          <w:rFonts w:hint="eastAsia" w:ascii="宋体" w:hAnsi="宋体" w:cs="宋体"/>
          <w:color w:val="auto"/>
          <w:szCs w:val="21"/>
          <w:highlight w:val="none"/>
          <w:lang w:val="en-US" w:eastAsia="zh-CN"/>
        </w:rPr>
        <w:t>等要求</w:t>
      </w:r>
      <w:r>
        <w:rPr>
          <w:rFonts w:hint="eastAsia" w:ascii="宋体" w:hAnsi="宋体" w:cs="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（1）资质要求：见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（2）项目负责人的资格要求：见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其他</w:t>
      </w:r>
      <w:r>
        <w:rPr>
          <w:rFonts w:hint="eastAsia" w:ascii="宋体" w:hAnsi="宋体"/>
          <w:color w:val="auto"/>
          <w:szCs w:val="21"/>
          <w:highlight w:val="none"/>
        </w:rPr>
        <w:t>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ascii="宋体" w:hAnsi="宋体"/>
          <w:color w:val="auto"/>
          <w:szCs w:val="21"/>
          <w:highlight w:val="none"/>
        </w:rPr>
        <w:t xml:space="preserve">1.4.2 </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规定接受联合体投标的，联合体除应符合本须知第1.4.1条款要求外，还应遵守以下规定：</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）联合体各方应按招标文件提供的格式签订联合体协议书，明确联合体牵头人和各方权利义务，并承诺就中标项目向招标人承担连带责任；</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iCs/>
          <w:color w:val="auto"/>
          <w:sz w:val="21"/>
          <w:szCs w:val="21"/>
          <w:highlight w:val="none"/>
        </w:rPr>
        <w:t>由同一专业的单位组成的联合体，按照资质等级较低的单位确定资质等级；</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）联合体各方不得再以自己名义单独或参加其他联合体在本招标项目中投标，否则各相关投标均无效。</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1.4.3 投标人不得存在下列情形之一：</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（1）为招标人不具有独立法人资格的附属机构（单位）；</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（2）与招标人存在利害关系且可能影响招标公正性；</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（3）与本招标项目的其他投标人为同一个单位负责人；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（4）与本招标项目的其他投标人存在控股、管理关系；</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（5）为本招标项目的代建人；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（6）为本招标项目的招标代理机构；</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（9）被依法暂停或者取消投标资格；</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（10）被责令停产停业、暂扣或者吊销许可证、暂扣或者吊销执照；</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（11）进入清算程序，或被宣告破产，或其他丧失履约能力的情形；</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1.5费用承担</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投标人准备和参加投标活动发生的费用自理。</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1.6保密</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参与招标投标活动的各方应对招标文件和投标文件中的商业和技术等秘密保密，否则应承担相应的法律责任。</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1.7语言文字</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招标投标文件使用的语言文字为中文。专用术语使用外文的，应附有中文注释。</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1.8 计量单位</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所有计量均采用中华人民共和国法定计量单位。</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1.9踏勘现场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1.9.1</w:t>
      </w:r>
      <w:r>
        <w:rPr>
          <w:rFonts w:hint="eastAsia" w:ascii="宋体" w:hAnsi="宋体"/>
          <w:color w:val="auto"/>
          <w:szCs w:val="21"/>
          <w:highlight w:val="none"/>
          <w:lang w:eastAsia="zh-CN"/>
        </w:rPr>
        <w:t>投标须知前附表</w:t>
      </w:r>
      <w:r>
        <w:rPr>
          <w:rFonts w:hint="eastAsia" w:ascii="宋体" w:hAnsi="宋体"/>
          <w:color w:val="auto"/>
          <w:szCs w:val="21"/>
          <w:highlight w:val="none"/>
        </w:rPr>
        <w:t>第12项规定组织踏勘现场的，招标人按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规定的时间、地点组织投标人踏勘项目现场。部分投标人未按时参加踏勘现场的，不影响踏勘现场的正常进行。</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1.9.2投标人踏勘现场发生的费用自理。</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1.9.3除招标人的原因外，投标人自行负责在踏勘现场中所发生的人员伤亡和财产损失。</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1.9.4 招标人在踏勘现场中介绍的工程场地和相关的周边环境情况，供投标人在编制投标文 件时参考，招标人不对投标人据此作出的判断和决策负责。</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1.10 投标预备会</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1.10.1</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规定召开投标预备会的，招标人按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规定的时间和地点召开投标预备会，澄清投标人提出的问题。</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1.10.2投标人应按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规定的时间和形式将提出的问题送达招标人，以便招标人在会议期间澄清。</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1.10.3投标预备会后，招标人将对投标人所提问题的澄清，以</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规定的形式通知</w:t>
      </w:r>
      <w:r>
        <w:rPr>
          <w:rFonts w:hint="eastAsia" w:ascii="宋体" w:hAnsi="宋体"/>
          <w:color w:val="auto"/>
          <w:szCs w:val="21"/>
          <w:highlight w:val="none"/>
          <w:lang w:val="en-US" w:eastAsia="zh-CN"/>
        </w:rPr>
        <w:t>潜在</w:t>
      </w:r>
      <w:r>
        <w:rPr>
          <w:rFonts w:hint="eastAsia" w:ascii="宋体" w:hAnsi="宋体"/>
          <w:color w:val="auto"/>
          <w:szCs w:val="21"/>
          <w:highlight w:val="none"/>
        </w:rPr>
        <w:t>的投标人。该澄清内容为招标文件的组成部分。</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1.11分包</w:t>
      </w:r>
    </w:p>
    <w:p>
      <w:pPr>
        <w:autoSpaceDE w:val="0"/>
        <w:spacing w:line="52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1.11.1 投标人拟在中标后将中标项目的非主体、非关键性设计工作进行分包的，应符合投标须知前附表规定的分包内容、分包金额和资质要求等限制性条件，除投标须知前附表规定的非主体、非关键性设计工作外，其他工作不得分包。</w:t>
      </w:r>
    </w:p>
    <w:p>
      <w:pPr>
        <w:autoSpaceDE w:val="0"/>
        <w:spacing w:line="52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1.11.2 中标人不得向他人转让中标项目，接受分包的人不得再次分包。中标人应当就分包项目向招标人负责，接受分包的人就分包项目承担连带责任。</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1.12响应和偏差</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1.12.1投标文件应当对招标文件的实质性要求和条件作出满足性或更有利于招标人的响应，否则，投标人的投标将被否决。</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1.12.2投标人应根据招标文件的要求提供投标设计方案等内容以对招标文件作出响应。</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1.12.3</w:t>
      </w:r>
      <w:r>
        <w:rPr>
          <w:rFonts w:hint="eastAsia" w:ascii="宋体" w:hAnsi="宋体"/>
          <w:color w:val="auto"/>
          <w:szCs w:val="21"/>
          <w:highlight w:val="none"/>
          <w:lang w:eastAsia="zh-CN"/>
        </w:rPr>
        <w:t>投标须知前附表</w:t>
      </w:r>
      <w:r>
        <w:rPr>
          <w:rFonts w:hint="eastAsia" w:ascii="宋体" w:hAnsi="宋体"/>
          <w:color w:val="auto"/>
          <w:szCs w:val="21"/>
          <w:highlight w:val="none"/>
        </w:rPr>
        <w:t>允许投标文件偏离招标文件某些要求的，偏差应当符合招标文件规定的偏差范围和幅度。</w:t>
      </w:r>
    </w:p>
    <w:p>
      <w:pPr>
        <w:autoSpaceDE w:val="0"/>
        <w:spacing w:line="520" w:lineRule="exact"/>
        <w:jc w:val="left"/>
        <w:rPr>
          <w:rFonts w:hint="eastAsia" w:ascii="宋体" w:hAnsi="宋体"/>
          <w:b/>
          <w:bCs/>
          <w:color w:val="auto"/>
          <w:sz w:val="28"/>
          <w:szCs w:val="28"/>
          <w:highlight w:val="none"/>
        </w:rPr>
      </w:pPr>
      <w:r>
        <w:rPr>
          <w:rFonts w:hint="eastAsia" w:ascii="宋体" w:hAnsi="宋体"/>
          <w:b/>
          <w:bCs/>
          <w:color w:val="auto"/>
          <w:sz w:val="28"/>
          <w:szCs w:val="28"/>
          <w:highlight w:val="none"/>
        </w:rPr>
        <w:t>2.招标文件</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2.1招标文件的组成</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2.1.1本招标文件包括以下内容：</w:t>
      </w:r>
    </w:p>
    <w:p>
      <w:pPr>
        <w:numPr>
          <w:ilvl w:val="0"/>
          <w:numId w:val="3"/>
        </w:num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招标公告</w:t>
      </w:r>
    </w:p>
    <w:p>
      <w:pPr>
        <w:numPr>
          <w:ilvl w:val="0"/>
          <w:numId w:val="3"/>
        </w:num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投标须知</w:t>
      </w:r>
      <w:r>
        <w:rPr>
          <w:rFonts w:hint="eastAsia" w:ascii="宋体" w:hAnsi="宋体"/>
          <w:color w:val="auto"/>
          <w:szCs w:val="21"/>
          <w:highlight w:val="none"/>
          <w:lang w:val="en-US" w:eastAsia="zh-CN"/>
        </w:rPr>
        <w:t>及投标须知前附表</w:t>
      </w:r>
    </w:p>
    <w:p>
      <w:pPr>
        <w:autoSpaceDE w:val="0"/>
        <w:spacing w:line="5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）评标</w:t>
      </w:r>
      <w:r>
        <w:rPr>
          <w:rFonts w:hint="eastAsia" w:ascii="宋体" w:hAnsi="宋体"/>
          <w:color w:val="auto"/>
          <w:szCs w:val="21"/>
          <w:highlight w:val="none"/>
          <w:lang w:val="en-US" w:eastAsia="zh-CN"/>
        </w:rPr>
        <w:t>办法</w:t>
      </w:r>
    </w:p>
    <w:p>
      <w:pPr>
        <w:autoSpaceDE w:val="0"/>
        <w:spacing w:line="5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eastAsia="zh-CN"/>
        </w:rPr>
        <w:t>合同条款</w:t>
      </w:r>
    </w:p>
    <w:p>
      <w:pPr>
        <w:autoSpaceDE w:val="0"/>
        <w:spacing w:line="520" w:lineRule="exact"/>
        <w:ind w:firstLine="420" w:firstLineChars="200"/>
        <w:jc w:val="left"/>
        <w:rPr>
          <w:rFonts w:hint="eastAsia" w:ascii="宋体" w:hAnsi="宋体"/>
          <w:strike w:val="0"/>
          <w:dstrike w:val="0"/>
          <w:color w:val="auto"/>
          <w:szCs w:val="21"/>
          <w:highlight w:val="none"/>
        </w:rPr>
      </w:pP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5</w:t>
      </w: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发包人</w:t>
      </w:r>
      <w:r>
        <w:rPr>
          <w:rFonts w:hint="eastAsia" w:ascii="宋体" w:hAnsi="宋体"/>
          <w:strike w:val="0"/>
          <w:dstrike w:val="0"/>
          <w:color w:val="auto"/>
          <w:szCs w:val="21"/>
          <w:highlight w:val="none"/>
        </w:rPr>
        <w:t>要求</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）投标文件及格式</w:t>
      </w:r>
    </w:p>
    <w:p>
      <w:pPr>
        <w:autoSpaceDE w:val="0"/>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2.1.2除本须知第2.1条款内容外,招标人在投标截止时间</w:t>
      </w:r>
      <w:r>
        <w:rPr>
          <w:rFonts w:hint="eastAsia" w:ascii="宋体" w:hAnsi="宋体"/>
          <w:color w:val="auto"/>
          <w:szCs w:val="21"/>
          <w:highlight w:val="none"/>
          <w:u w:val="single"/>
        </w:rPr>
        <w:t>15</w:t>
      </w:r>
      <w:r>
        <w:rPr>
          <w:rFonts w:hint="eastAsia" w:ascii="宋体" w:hAnsi="宋体"/>
          <w:color w:val="auto"/>
          <w:szCs w:val="21"/>
          <w:highlight w:val="none"/>
        </w:rPr>
        <w:t>天前，以书面形式发出的对招标文件的澄清或修改内容，均为招标文件的组成部分，对招标人和投标人起约束作用。</w:t>
      </w:r>
    </w:p>
    <w:p>
      <w:pPr>
        <w:autoSpaceDE w:val="0"/>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2.1.3投标人获取招标文件后，应仔细检查招标文件的所有内容，如有残缺等问题</w:t>
      </w:r>
      <w:r>
        <w:rPr>
          <w:rFonts w:hint="eastAsia"/>
          <w:color w:val="auto"/>
          <w:szCs w:val="21"/>
          <w:highlight w:val="none"/>
        </w:rPr>
        <w:t>应</w:t>
      </w:r>
      <w:r>
        <w:rPr>
          <w:rFonts w:hint="eastAsia"/>
          <w:color w:val="auto"/>
          <w:szCs w:val="21"/>
          <w:highlight w:val="none"/>
          <w:lang w:val="en-US" w:eastAsia="zh-CN"/>
        </w:rPr>
        <w:t>及时</w:t>
      </w:r>
      <w:r>
        <w:rPr>
          <w:rFonts w:hint="eastAsia"/>
          <w:color w:val="auto"/>
          <w:szCs w:val="21"/>
          <w:highlight w:val="none"/>
        </w:rPr>
        <w:t>向招标人提出</w:t>
      </w:r>
      <w:r>
        <w:rPr>
          <w:rFonts w:hint="eastAsia" w:ascii="宋体" w:hAnsi="宋体"/>
          <w:color w:val="auto"/>
          <w:szCs w:val="21"/>
          <w:highlight w:val="none"/>
        </w:rPr>
        <w:t>，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p>
    <w:p>
      <w:pPr>
        <w:autoSpaceDE w:val="0"/>
        <w:spacing w:line="500" w:lineRule="exact"/>
        <w:ind w:firstLine="422" w:firstLineChars="200"/>
        <w:rPr>
          <w:rFonts w:ascii="宋体" w:hAnsi="宋体"/>
          <w:b/>
          <w:bCs/>
          <w:color w:val="auto"/>
          <w:szCs w:val="21"/>
          <w:highlight w:val="none"/>
        </w:rPr>
      </w:pPr>
      <w:bookmarkStart w:id="10" w:name="_Toc17216796"/>
      <w:r>
        <w:rPr>
          <w:rFonts w:hint="eastAsia" w:ascii="宋体" w:hAnsi="宋体"/>
          <w:b/>
          <w:bCs/>
          <w:color w:val="auto"/>
          <w:szCs w:val="21"/>
          <w:highlight w:val="none"/>
        </w:rPr>
        <w:t>2.2招标文件的澄清</w:t>
      </w:r>
      <w:bookmarkEnd w:id="10"/>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2.2.1 投标人应仔细阅读和检查招标文件的全部内容。如发现缺页或附件不全，应及时向招标人提出，以便补齐。如有疑问，应按投标须知前附表规定的时间和形式将提出的问题送达招标人，要求招标人对招标文件予以澄清。</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2.2.2 招标文件的澄清以投标须知前附表规定的形式在</w:t>
      </w: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规定的媒介</w:t>
      </w:r>
      <w:r>
        <w:rPr>
          <w:rFonts w:hint="eastAsia" w:ascii="宋体" w:hAnsi="宋体"/>
          <w:color w:val="auto"/>
          <w:szCs w:val="21"/>
          <w:highlight w:val="none"/>
          <w:lang w:val="en-US" w:eastAsia="zh-CN"/>
        </w:rPr>
        <w:t>上</w:t>
      </w:r>
      <w:r>
        <w:rPr>
          <w:rFonts w:hint="eastAsia" w:ascii="宋体" w:hAnsi="宋体"/>
          <w:strike w:val="0"/>
          <w:dstrike w:val="0"/>
          <w:color w:val="auto"/>
          <w:szCs w:val="21"/>
          <w:highlight w:val="none"/>
          <w:lang w:val="en-US" w:eastAsia="zh-CN"/>
        </w:rPr>
        <w:t xml:space="preserve">发布，即视为送达所有投标人，但不指明澄清问题的来源。澄清发出的时间距本章第4.2.2项规定的投标截止时间不足 15 日的，并且澄清内容可能影响投标文件编制的，将相应延长投标截止时间。 </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 xml:space="preserve">2.2.3 除非招标人认为确有必要答复，否则，招标人有权拒绝回复投标人在本章第 2.2.1项规定的时间后的任何澄清要求。 </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lang w:val="en-US" w:eastAsia="zh-CN"/>
        </w:rPr>
        <w:t xml:space="preserve">2.3 招标文件的修改 </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2.3.1 招标人以投标须知前附表规定的形式修改招标文件，并以书面形式在</w:t>
      </w: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规定的媒介</w:t>
      </w:r>
      <w:r>
        <w:rPr>
          <w:rFonts w:hint="eastAsia" w:ascii="宋体" w:hAnsi="宋体"/>
          <w:color w:val="auto"/>
          <w:szCs w:val="21"/>
          <w:highlight w:val="none"/>
          <w:lang w:val="en-US" w:eastAsia="zh-CN"/>
        </w:rPr>
        <w:t>上</w:t>
      </w:r>
      <w:r>
        <w:rPr>
          <w:rFonts w:hint="eastAsia" w:ascii="宋体" w:hAnsi="宋体"/>
          <w:strike w:val="0"/>
          <w:dstrike w:val="0"/>
          <w:color w:val="auto"/>
          <w:szCs w:val="21"/>
          <w:highlight w:val="none"/>
          <w:lang w:val="en-US" w:eastAsia="zh-CN"/>
        </w:rPr>
        <w:t>发布，即视为送达所有投标人。修改招标文件的时间距本章第4.2.2项规定的投标截止时间不足15日的，并且修改内容可能影响投标文件编制的，将相应延长投标截止时间。</w:t>
      </w:r>
    </w:p>
    <w:p>
      <w:pPr>
        <w:autoSpaceDE w:val="0"/>
        <w:spacing w:line="500" w:lineRule="exact"/>
        <w:ind w:firstLine="420" w:firstLineChars="200"/>
        <w:rPr>
          <w:rFonts w:hint="eastAsia" w:ascii="宋体" w:hAnsi="宋体"/>
          <w:strike w:val="0"/>
          <w:dstrike w:val="0"/>
          <w:color w:val="auto"/>
          <w:szCs w:val="21"/>
          <w:highlight w:val="none"/>
          <w:lang w:val="en-US" w:eastAsia="zh-CN"/>
        </w:rPr>
      </w:pPr>
      <w:r>
        <w:rPr>
          <w:rFonts w:hint="eastAsia" w:ascii="宋体" w:hAnsi="宋体"/>
          <w:strike w:val="0"/>
          <w:dstrike w:val="0"/>
          <w:color w:val="auto"/>
          <w:szCs w:val="21"/>
          <w:highlight w:val="none"/>
          <w:lang w:val="en-US" w:eastAsia="zh-CN"/>
        </w:rPr>
        <w:t>2.3.2 投标人收到修改内容后，应按投标须知前附表规定的时间和形式通知招标人，确认已收到该修改。</w:t>
      </w:r>
    </w:p>
    <w:p>
      <w:pPr>
        <w:autoSpaceDE w:val="0"/>
        <w:spacing w:line="500" w:lineRule="exact"/>
        <w:ind w:firstLine="422" w:firstLineChars="20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2.4 招标文件的异议</w:t>
      </w:r>
    </w:p>
    <w:p>
      <w:pPr>
        <w:autoSpaceDE w:val="0"/>
        <w:spacing w:line="500" w:lineRule="exact"/>
        <w:ind w:firstLine="420" w:firstLineChars="200"/>
        <w:rPr>
          <w:rFonts w:hint="eastAsia" w:ascii="宋体" w:hAnsi="宋体"/>
          <w:strike/>
          <w:dstrike w:val="0"/>
          <w:color w:val="auto"/>
          <w:szCs w:val="21"/>
          <w:highlight w:val="none"/>
        </w:rPr>
      </w:pPr>
      <w:r>
        <w:rPr>
          <w:rFonts w:hint="eastAsia" w:ascii="宋体" w:hAnsi="宋体"/>
          <w:strike w:val="0"/>
          <w:dstrike w:val="0"/>
          <w:color w:val="auto"/>
          <w:szCs w:val="21"/>
          <w:highlight w:val="none"/>
          <w:lang w:val="en-US" w:eastAsia="zh-CN"/>
        </w:rPr>
        <w:t>投标人或者其他利害关系人对招标文件有异议的，应当在投标截止时间10日前以书面形式向招标人一次性提出。招标人将在收到异议之日起 3 日内作出答复；作出答复前，将暂停招标投标活动。</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3.投标文件</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3.1投标文件的组成</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投标文件由商务部分和技术部分</w:t>
      </w:r>
      <w:r>
        <w:rPr>
          <w:rFonts w:hint="eastAsia" w:ascii="宋体" w:hAnsi="宋体"/>
          <w:color w:val="auto"/>
          <w:szCs w:val="21"/>
          <w:highlight w:val="none"/>
          <w:lang w:val="en-US" w:eastAsia="zh-CN"/>
        </w:rPr>
        <w:t>两</w:t>
      </w:r>
      <w:r>
        <w:rPr>
          <w:rFonts w:hint="eastAsia" w:ascii="宋体" w:hAnsi="宋体"/>
          <w:color w:val="auto"/>
          <w:szCs w:val="21"/>
          <w:highlight w:val="none"/>
        </w:rPr>
        <w:t>部分组成。</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3.1.</w:t>
      </w:r>
      <w:r>
        <w:rPr>
          <w:rFonts w:hint="eastAsia" w:ascii="宋体" w:hAnsi="宋体"/>
          <w:color w:val="auto"/>
          <w:szCs w:val="21"/>
          <w:highlight w:val="none"/>
          <w:lang w:val="en-US" w:eastAsia="zh-CN"/>
        </w:rPr>
        <w:t>1</w:t>
      </w:r>
      <w:r>
        <w:rPr>
          <w:rFonts w:hint="eastAsia" w:ascii="宋体" w:hAnsi="宋体"/>
          <w:color w:val="auto"/>
          <w:szCs w:val="21"/>
          <w:highlight w:val="none"/>
        </w:rPr>
        <w:t>商务部分主要包括下列内容：</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color w:val="auto"/>
          <w:szCs w:val="21"/>
          <w:highlight w:val="none"/>
          <w:lang w:val="en-US" w:eastAsia="zh-CN"/>
        </w:rPr>
        <w:t>及</w:t>
      </w:r>
      <w:r>
        <w:rPr>
          <w:rFonts w:hint="eastAsia" w:ascii="宋体" w:hAnsi="宋体"/>
          <w:color w:val="auto"/>
          <w:szCs w:val="21"/>
          <w:highlight w:val="none"/>
        </w:rPr>
        <w:t>投标函附</w:t>
      </w:r>
      <w:r>
        <w:rPr>
          <w:rFonts w:hint="eastAsia" w:ascii="宋体" w:hAnsi="宋体"/>
          <w:color w:val="auto"/>
          <w:szCs w:val="21"/>
          <w:highlight w:val="none"/>
          <w:lang w:val="en-US" w:eastAsia="zh-CN"/>
        </w:rPr>
        <w:t>录</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（2）法定代表人身份证明</w:t>
      </w:r>
      <w:r>
        <w:rPr>
          <w:rFonts w:hint="eastAsia" w:ascii="宋体" w:hAnsi="宋体"/>
          <w:color w:val="auto"/>
          <w:szCs w:val="21"/>
          <w:highlight w:val="none"/>
          <w:lang w:val="en-US" w:eastAsia="zh-CN"/>
        </w:rPr>
        <w:t>及</w:t>
      </w:r>
      <w:r>
        <w:rPr>
          <w:rFonts w:hint="eastAsia" w:ascii="宋体" w:hAnsi="宋体"/>
          <w:color w:val="auto"/>
          <w:szCs w:val="21"/>
          <w:highlight w:val="none"/>
        </w:rPr>
        <w:t>授权委托书；</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联合体协议书</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（4）投标保证金凭证；</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勘察</w:t>
      </w:r>
      <w:r>
        <w:rPr>
          <w:rFonts w:hint="eastAsia" w:ascii="宋体" w:hAnsi="宋体"/>
          <w:color w:val="auto"/>
          <w:szCs w:val="21"/>
          <w:highlight w:val="none"/>
        </w:rPr>
        <w:t>设计费投标报价表；</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资格审查文件</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其他资料</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3.1</w:t>
      </w:r>
      <w:r>
        <w:rPr>
          <w:rFonts w:hint="eastAsia" w:ascii="宋体" w:hAnsi="宋体"/>
          <w:color w:val="auto"/>
          <w:szCs w:val="21"/>
          <w:highlight w:val="none"/>
          <w:lang w:val="en-US" w:eastAsia="zh-CN"/>
        </w:rPr>
        <w:t>.2</w:t>
      </w:r>
      <w:r>
        <w:rPr>
          <w:rFonts w:hint="eastAsia" w:ascii="宋体" w:hAnsi="宋体"/>
          <w:color w:val="auto"/>
          <w:szCs w:val="21"/>
          <w:highlight w:val="none"/>
        </w:rPr>
        <w:t>技术部分</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3.1.3投标人在评标过程中作出的符合法律法规和招标文件规定的澄清确认，构成投标文件的组成部分。</w:t>
      </w:r>
    </w:p>
    <w:p>
      <w:pPr>
        <w:autoSpaceDE w:val="0"/>
        <w:spacing w:line="440" w:lineRule="exact"/>
        <w:ind w:firstLine="420" w:firstLineChars="200"/>
        <w:rPr>
          <w:rFonts w:hint="eastAsia" w:ascii="宋体" w:hAnsi="宋体"/>
          <w:color w:val="auto"/>
          <w:szCs w:val="21"/>
          <w:highlight w:val="none"/>
        </w:rPr>
      </w:pPr>
      <w:r>
        <w:rPr>
          <w:rFonts w:hint="default" w:ascii="宋体" w:hAnsi="宋体"/>
          <w:color w:val="auto"/>
          <w:szCs w:val="21"/>
          <w:highlight w:val="none"/>
          <w:lang w:val="en-US" w:eastAsia="zh-CN"/>
        </w:rPr>
        <w:t>3.1.</w:t>
      </w:r>
      <w:r>
        <w:rPr>
          <w:rFonts w:hint="eastAsia" w:ascii="宋体" w:hAnsi="宋体"/>
          <w:color w:val="auto"/>
          <w:szCs w:val="21"/>
          <w:highlight w:val="none"/>
          <w:lang w:val="en-US" w:eastAsia="zh-CN"/>
        </w:rPr>
        <w:t>4</w:t>
      </w:r>
      <w:r>
        <w:rPr>
          <w:rFonts w:hint="default" w:ascii="宋体" w:hAnsi="宋体"/>
          <w:color w:val="auto"/>
          <w:szCs w:val="21"/>
          <w:highlight w:val="none"/>
          <w:lang w:val="en-US" w:eastAsia="zh-CN"/>
        </w:rPr>
        <w:t xml:space="preserve"> </w:t>
      </w:r>
      <w:r>
        <w:rPr>
          <w:rFonts w:hint="eastAsia" w:ascii="宋体" w:hAnsi="宋体"/>
          <w:color w:val="auto"/>
          <w:szCs w:val="21"/>
          <w:highlight w:val="none"/>
          <w:lang w:val="en-US" w:eastAsia="zh-CN"/>
        </w:rPr>
        <w:t>投标须知前附表规定不接受联合体投标的，</w:t>
      </w:r>
      <w:r>
        <w:rPr>
          <w:rFonts w:hint="eastAsia" w:ascii="宋体" w:hAnsi="宋体"/>
          <w:strike w:val="0"/>
          <w:dstrike w:val="0"/>
          <w:color w:val="auto"/>
          <w:szCs w:val="21"/>
          <w:highlight w:val="none"/>
          <w:lang w:val="en-US" w:eastAsia="zh-CN"/>
        </w:rPr>
        <w:t>或投标人没有组成联合体的，</w:t>
      </w:r>
      <w:r>
        <w:rPr>
          <w:rFonts w:hint="eastAsia" w:ascii="宋体" w:hAnsi="宋体"/>
          <w:color w:val="auto"/>
          <w:szCs w:val="21"/>
          <w:highlight w:val="none"/>
          <w:lang w:val="en-US" w:eastAsia="zh-CN"/>
        </w:rPr>
        <w:t>投标文件不包括联合体协议书。</w:t>
      </w:r>
    </w:p>
    <w:p>
      <w:pPr>
        <w:autoSpaceDE w:val="0"/>
        <w:spacing w:line="440" w:lineRule="exact"/>
        <w:ind w:firstLine="420" w:firstLineChars="200"/>
        <w:rPr>
          <w:rFonts w:hint="eastAsia"/>
          <w:color w:val="auto"/>
          <w:highlight w:val="none"/>
        </w:rPr>
      </w:pPr>
      <w:r>
        <w:rPr>
          <w:rFonts w:hint="default" w:ascii="宋体" w:hAnsi="宋体"/>
          <w:color w:val="auto"/>
          <w:szCs w:val="21"/>
          <w:highlight w:val="none"/>
          <w:lang w:val="en-US" w:eastAsia="zh-CN"/>
        </w:rPr>
        <w:t>3.1.</w:t>
      </w:r>
      <w:r>
        <w:rPr>
          <w:rFonts w:hint="eastAsia" w:ascii="宋体" w:hAnsi="宋体"/>
          <w:color w:val="auto"/>
          <w:szCs w:val="21"/>
          <w:highlight w:val="none"/>
          <w:lang w:val="en-US" w:eastAsia="zh-CN"/>
        </w:rPr>
        <w:t>5</w:t>
      </w:r>
      <w:r>
        <w:rPr>
          <w:rFonts w:hint="default" w:ascii="宋体" w:hAnsi="宋体"/>
          <w:color w:val="auto"/>
          <w:szCs w:val="21"/>
          <w:highlight w:val="none"/>
          <w:lang w:val="en-US" w:eastAsia="zh-CN"/>
        </w:rPr>
        <w:t xml:space="preserve"> </w:t>
      </w:r>
      <w:r>
        <w:rPr>
          <w:rFonts w:hint="eastAsia" w:ascii="宋体" w:hAnsi="宋体"/>
          <w:color w:val="auto"/>
          <w:szCs w:val="21"/>
          <w:highlight w:val="none"/>
          <w:lang w:val="en-US" w:eastAsia="zh-CN"/>
        </w:rPr>
        <w:t>投标须知前附表未要求提交投标保证金的，投标文件不包括本章第3.1.1（4）目所指的投标保证金。</w:t>
      </w:r>
    </w:p>
    <w:p>
      <w:pPr>
        <w:autoSpaceDE w:val="0"/>
        <w:spacing w:line="520" w:lineRule="exact"/>
        <w:ind w:firstLine="422" w:firstLineChars="200"/>
        <w:rPr>
          <w:rFonts w:hint="eastAsia" w:ascii="宋体" w:hAnsi="宋体"/>
          <w:color w:val="auto"/>
          <w:szCs w:val="21"/>
          <w:highlight w:val="none"/>
        </w:rPr>
      </w:pPr>
      <w:bookmarkStart w:id="11" w:name="_Toc17216800"/>
      <w:r>
        <w:rPr>
          <w:rFonts w:hint="eastAsia" w:ascii="宋体" w:hAnsi="宋体"/>
          <w:b/>
          <w:bCs/>
          <w:color w:val="auto"/>
          <w:szCs w:val="21"/>
          <w:highlight w:val="none"/>
        </w:rPr>
        <w:t>3.2投标文件格式</w:t>
      </w:r>
      <w:bookmarkEnd w:id="11"/>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投标人提交的投标文件应当使用招标文件</w:t>
      </w:r>
      <w:r>
        <w:rPr>
          <w:rFonts w:hint="eastAsia" w:ascii="宋体" w:hAnsi="宋体"/>
          <w:color w:val="auto"/>
          <w:szCs w:val="21"/>
          <w:highlight w:val="none"/>
          <w:lang w:eastAsia="zh-CN"/>
        </w:rPr>
        <w:t>第六章</w:t>
      </w:r>
      <w:r>
        <w:rPr>
          <w:rFonts w:hint="eastAsia" w:ascii="宋体" w:hAnsi="宋体"/>
          <w:color w:val="auto"/>
          <w:szCs w:val="21"/>
          <w:highlight w:val="none"/>
        </w:rPr>
        <w:t>“投标文件及格式”所提供的投标文件全部格式（表格可以按同样格式扩展）。</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3.3投标报价</w:t>
      </w:r>
    </w:p>
    <w:p>
      <w:pPr>
        <w:autoSpaceDE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3.3.1报价内容</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投标报价为投标人在投标文件中提出的各项支付金额的总和，其中包括招标范围规定的设计及其配套技术服务的所有费用。</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（1）、本招标工程项目按本须知第3.3.1.（2）条款计取费用；</w:t>
      </w:r>
    </w:p>
    <w:p>
      <w:pPr>
        <w:autoSpaceDE w:val="0"/>
        <w:spacing w:line="440" w:lineRule="exact"/>
        <w:ind w:firstLine="420" w:firstLineChars="200"/>
        <w:rPr>
          <w:rFonts w:hint="eastAsia" w:ascii="宋体" w:hAnsi="宋体"/>
          <w:strike w:val="0"/>
          <w:color w:val="auto"/>
          <w:szCs w:val="21"/>
          <w:highlight w:val="none"/>
        </w:rPr>
      </w:pPr>
      <w:r>
        <w:rPr>
          <w:rFonts w:hint="eastAsia" w:ascii="宋体" w:hAnsi="宋体"/>
          <w:color w:val="auto"/>
          <w:szCs w:val="21"/>
          <w:highlight w:val="none"/>
        </w:rPr>
        <w:t>（2）、投标人应根据本工程的要求，在保证国家设计规范要求的前提下，结合市场情况和自身状况，</w:t>
      </w:r>
      <w:r>
        <w:rPr>
          <w:rFonts w:hint="eastAsia" w:ascii="宋体" w:hAnsi="宋体" w:eastAsia="宋体" w:cs="宋体"/>
          <w:color w:val="auto"/>
          <w:highlight w:val="none"/>
        </w:rPr>
        <w:t>投标人的投标报价不得超过最高投标限价，</w:t>
      </w:r>
      <w:r>
        <w:rPr>
          <w:rFonts w:hint="eastAsia" w:ascii="宋体" w:hAnsi="宋体"/>
          <w:strike w:val="0"/>
          <w:color w:val="auto"/>
          <w:szCs w:val="21"/>
          <w:highlight w:val="none"/>
        </w:rPr>
        <w:t>否则其投标作为废标处理。</w:t>
      </w:r>
      <w:r>
        <w:rPr>
          <w:rFonts w:hint="eastAsia" w:ascii="宋体" w:hAnsi="宋体"/>
          <w:strike w:val="0"/>
          <w:dstrike w:val="0"/>
          <w:color w:val="auto"/>
          <w:szCs w:val="21"/>
          <w:highlight w:val="none"/>
        </w:rPr>
        <w:t>本项目工程</w:t>
      </w: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详见投标须知前附表。</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3.3</w:t>
      </w:r>
      <w:r>
        <w:rPr>
          <w:rFonts w:ascii="宋体" w:hAnsi="宋体"/>
          <w:color w:val="auto"/>
          <w:szCs w:val="21"/>
          <w:highlight w:val="none"/>
        </w:rPr>
        <w:t>.2</w:t>
      </w:r>
      <w:r>
        <w:rPr>
          <w:rFonts w:hint="eastAsia" w:ascii="宋体" w:hAnsi="宋体"/>
          <w:color w:val="auto"/>
          <w:szCs w:val="21"/>
          <w:highlight w:val="none"/>
        </w:rPr>
        <w:t>投标人的投标报价，应是完成本招标范围的全部工作，不得以任何理由予以重复，作为投标人计算单价或总价的依据。除非招标人对招标文件予以修改，投标人应按本招标文件及招标人提供的技术资料进行报价。任何有选择的报价将不予接受。</w:t>
      </w:r>
    </w:p>
    <w:p>
      <w:pPr>
        <w:autoSpaceDE w:val="0"/>
        <w:spacing w:line="440" w:lineRule="exact"/>
        <w:ind w:firstLine="422" w:firstLineChars="200"/>
        <w:rPr>
          <w:rFonts w:ascii="宋体" w:hAnsi="宋体"/>
          <w:b/>
          <w:bCs/>
          <w:color w:val="auto"/>
          <w:szCs w:val="21"/>
          <w:highlight w:val="none"/>
        </w:rPr>
      </w:pPr>
      <w:bookmarkStart w:id="12" w:name="_Toc17216802"/>
      <w:r>
        <w:rPr>
          <w:rFonts w:hint="eastAsia" w:ascii="宋体" w:hAnsi="宋体"/>
          <w:b/>
          <w:bCs/>
          <w:color w:val="auto"/>
          <w:szCs w:val="21"/>
          <w:highlight w:val="none"/>
        </w:rPr>
        <w:t>3.4投标货币</w:t>
      </w:r>
      <w:bookmarkEnd w:id="12"/>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本工程投标报价采用的币种：人民币。</w:t>
      </w:r>
    </w:p>
    <w:p>
      <w:pPr>
        <w:autoSpaceDE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3.5投标有效期</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3.5.1除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另有规定外，投标有效期为</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0</w:t>
      </w:r>
      <w:r>
        <w:rPr>
          <w:rFonts w:hint="eastAsia" w:ascii="宋体" w:hAnsi="宋体"/>
          <w:color w:val="auto"/>
          <w:szCs w:val="21"/>
          <w:highlight w:val="none"/>
        </w:rPr>
        <w:t>天。</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3.5.2在投标有效期内，投标人撤销投标文件的，应承担招标文件和法律规定的责任。</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autoSpaceDE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3.6投标保证金</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3.6.1投标人应在提交投标文件的同时，按有关规定提交</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规定数额的投标担保，并作为其投标文件的一部分。</w:t>
      </w:r>
      <w:r>
        <w:rPr>
          <w:rFonts w:hint="eastAsia" w:ascii="宋体" w:hAnsi="宋体"/>
          <w:color w:val="auto"/>
          <w:szCs w:val="21"/>
          <w:highlight w:val="none"/>
          <w:lang w:val="en-US" w:eastAsia="zh-CN"/>
        </w:rPr>
        <w:t>联合体投标的，其投标保证金可以由牵头人递交，并</w:t>
      </w:r>
      <w:r>
        <w:rPr>
          <w:rFonts w:hint="eastAsia" w:ascii="宋体" w:hAnsi="宋体"/>
          <w:color w:val="auto"/>
          <w:szCs w:val="21"/>
          <w:highlight w:val="none"/>
        </w:rPr>
        <w:t>应符合</w:t>
      </w:r>
      <w:r>
        <w:rPr>
          <w:rFonts w:hint="eastAsia" w:ascii="宋体" w:hAnsi="宋体"/>
          <w:color w:val="auto"/>
          <w:szCs w:val="21"/>
          <w:highlight w:val="none"/>
          <w:lang w:eastAsia="zh-CN"/>
        </w:rPr>
        <w:t>投标须知前附表</w:t>
      </w:r>
      <w:r>
        <w:rPr>
          <w:rFonts w:hint="eastAsia" w:ascii="宋体" w:hAnsi="宋体"/>
          <w:color w:val="auto"/>
          <w:szCs w:val="21"/>
          <w:highlight w:val="none"/>
        </w:rPr>
        <w:t>的规定。</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3.6.2投标人应按要求提交投标保证金，投标保证金形式为：按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3.6.3对于未能按要求提交投标保证金的投标文件,招标人将视为不响应招标文件而予以拒绝。</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3.6.4未中标的投标人的投标保证金，将在中标通知书发出后5日内无息退还。</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3.6.5中标人的投标保证金，在招标人与中标人签订合同后5日内予以退还（不计利息）。</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3.6.6如投标人发生下列情况之一时，投标担保将被没收；</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（1）开标后投标人在投标有效期内撤回投标；</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中标人未能按招标文件的要求提交履约担保或与招标人签订合同协议</w:t>
      </w:r>
      <w:r>
        <w:rPr>
          <w:rFonts w:hint="eastAsia" w:ascii="宋体" w:hAnsi="宋体"/>
          <w:color w:val="auto"/>
          <w:szCs w:val="21"/>
          <w:highlight w:val="none"/>
        </w:rPr>
        <w:t>。</w:t>
      </w:r>
    </w:p>
    <w:p>
      <w:pPr>
        <w:autoSpaceDE w:val="0"/>
        <w:spacing w:line="440" w:lineRule="exact"/>
        <w:ind w:firstLine="422" w:firstLineChars="200"/>
        <w:rPr>
          <w:rFonts w:hint="eastAsia" w:ascii="宋体" w:hAnsi="宋体"/>
          <w:b/>
          <w:bCs/>
          <w:color w:val="auto"/>
          <w:szCs w:val="21"/>
          <w:highlight w:val="none"/>
        </w:rPr>
      </w:pPr>
      <w:r>
        <w:rPr>
          <w:rFonts w:ascii="宋体" w:hAnsi="宋体"/>
          <w:b/>
          <w:bCs/>
          <w:color w:val="auto"/>
          <w:szCs w:val="21"/>
          <w:highlight w:val="none"/>
        </w:rPr>
        <w:t>3.</w:t>
      </w:r>
      <w:r>
        <w:rPr>
          <w:rFonts w:hint="eastAsia" w:ascii="宋体" w:hAnsi="宋体"/>
          <w:b/>
          <w:bCs/>
          <w:color w:val="auto"/>
          <w:szCs w:val="21"/>
          <w:highlight w:val="none"/>
        </w:rPr>
        <w:t>7备选投标方案</w:t>
      </w:r>
    </w:p>
    <w:p>
      <w:pPr>
        <w:autoSpaceDE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 xml:space="preserve">.1 </w:t>
      </w:r>
      <w:r>
        <w:rPr>
          <w:rFonts w:hint="eastAsia" w:ascii="宋体" w:hAnsi="宋体"/>
          <w:color w:val="auto"/>
          <w:szCs w:val="21"/>
          <w:highlight w:val="none"/>
        </w:rPr>
        <w:t>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规定允许外，投标人不得递交备选投标方案，否则其投标将被否决。</w:t>
      </w:r>
    </w:p>
    <w:p>
      <w:pPr>
        <w:autoSpaceDE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 xml:space="preserve">.2 </w:t>
      </w:r>
      <w:r>
        <w:rPr>
          <w:rFonts w:hint="eastAsia" w:ascii="宋体" w:hAnsi="宋体"/>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 xml:space="preserve">.3 </w:t>
      </w:r>
      <w:r>
        <w:rPr>
          <w:rFonts w:hint="eastAsia" w:ascii="宋体" w:hAnsi="宋体"/>
          <w:color w:val="auto"/>
          <w:szCs w:val="21"/>
          <w:highlight w:val="none"/>
        </w:rPr>
        <w:t>投标人提供两个或两个以上投标报价，或者在投标文件中提供一个报价，但同时提供两个或两个以上设计方案的，视为提供备选方案。</w:t>
      </w:r>
    </w:p>
    <w:p>
      <w:pPr>
        <w:autoSpaceDE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3.8投标文件的编制</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3.8.1投标人应按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要求提供投标文件的份数</w:t>
      </w:r>
      <w:r>
        <w:rPr>
          <w:rFonts w:hint="eastAsia" w:ascii="宋体" w:hAnsi="宋体"/>
          <w:color w:val="auto"/>
          <w:szCs w:val="21"/>
          <w:highlight w:val="none"/>
          <w:lang w:val="en-US" w:eastAsia="zh-CN"/>
        </w:rPr>
        <w:t>和</w:t>
      </w:r>
      <w:r>
        <w:rPr>
          <w:rFonts w:hint="eastAsia" w:ascii="宋体" w:hAnsi="宋体"/>
          <w:color w:val="auto"/>
          <w:szCs w:val="21"/>
          <w:highlight w:val="none"/>
          <w:lang w:eastAsia="zh-CN"/>
        </w:rPr>
        <w:t>电子版文件</w:t>
      </w:r>
      <w:r>
        <w:rPr>
          <w:rFonts w:hint="eastAsia" w:ascii="宋体" w:hAnsi="宋体"/>
          <w:color w:val="auto"/>
          <w:szCs w:val="21"/>
          <w:highlight w:val="none"/>
        </w:rPr>
        <w:t>。</w:t>
      </w:r>
    </w:p>
    <w:p>
      <w:pPr>
        <w:autoSpaceDE w:val="0"/>
        <w:spacing w:line="500" w:lineRule="exact"/>
        <w:ind w:firstLine="420" w:firstLineChars="200"/>
        <w:rPr>
          <w:rFonts w:hint="eastAsia" w:ascii="宋体" w:hAnsi="宋体"/>
          <w:color w:val="auto"/>
          <w:szCs w:val="21"/>
          <w:highlight w:val="none"/>
          <w:lang w:eastAsia="zh-CN"/>
        </w:rPr>
      </w:pPr>
      <w:r>
        <w:rPr>
          <w:rFonts w:ascii="宋体" w:hAnsi="宋体"/>
          <w:color w:val="auto"/>
          <w:szCs w:val="21"/>
          <w:highlight w:val="none"/>
        </w:rPr>
        <w:drawing>
          <wp:anchor distT="0" distB="0" distL="114300" distR="114300" simplePos="0" relativeHeight="251662336" behindDoc="1" locked="1" layoutInCell="1" allowOverlap="1">
            <wp:simplePos x="0" y="0"/>
            <wp:positionH relativeFrom="column">
              <wp:posOffset>4572000</wp:posOffset>
            </wp:positionH>
            <wp:positionV relativeFrom="paragraph">
              <wp:posOffset>10096500</wp:posOffset>
            </wp:positionV>
            <wp:extent cx="533400" cy="508000"/>
            <wp:effectExtent l="0" t="0" r="0" b="10160"/>
            <wp:wrapNone/>
            <wp:docPr id="5" name="图片 3"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38"/>
                    <pic:cNvPicPr>
                      <a:picLocks noChangeAspect="1"/>
                    </pic:cNvPicPr>
                  </pic:nvPicPr>
                  <pic:blipFill>
                    <a:blip r:embed="rId17"/>
                    <a:stretch>
                      <a:fillRect/>
                    </a:stretch>
                  </pic:blipFill>
                  <pic:spPr>
                    <a:xfrm>
                      <a:off x="0" y="0"/>
                      <a:ext cx="533400" cy="508000"/>
                    </a:xfrm>
                    <a:prstGeom prst="rect">
                      <a:avLst/>
                    </a:prstGeom>
                    <a:noFill/>
                    <a:ln>
                      <a:noFill/>
                    </a:ln>
                  </pic:spPr>
                </pic:pic>
              </a:graphicData>
            </a:graphic>
          </wp:anchor>
        </w:drawing>
      </w:r>
      <w:r>
        <w:rPr>
          <w:rFonts w:hint="eastAsia" w:ascii="宋体" w:hAnsi="宋体"/>
          <w:color w:val="auto"/>
          <w:szCs w:val="21"/>
          <w:highlight w:val="none"/>
        </w:rPr>
        <w:t>3.8.2</w:t>
      </w:r>
      <w:r>
        <w:rPr>
          <w:rFonts w:hint="eastAsia" w:ascii="宋体" w:hAnsi="宋体"/>
          <w:color w:val="auto"/>
          <w:szCs w:val="21"/>
          <w:highlight w:val="none"/>
          <w:lang w:eastAsia="zh-CN"/>
        </w:rPr>
        <w:t>投标文件全部采用电子文档，投标文件所附证书证件均为原件清晰扫描件，并采用单位数字证书，按招标文件要求在相应位置加盖电子印章。投标文件需个人签字或盖章的，应加盖个人电子印章或在线下完成后扫描上传。按照广州公共资源交易中心交易平台关于全流程电子化项目的相关指南进行操作。</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3.8.3</w:t>
      </w:r>
      <w:r>
        <w:rPr>
          <w:rFonts w:ascii="宋体" w:hAnsi="宋体"/>
          <w:color w:val="auto"/>
          <w:szCs w:val="21"/>
          <w:highlight w:val="none"/>
        </w:rPr>
        <w:t>投标文件</w:t>
      </w:r>
      <w:r>
        <w:rPr>
          <w:rFonts w:hint="eastAsia" w:ascii="宋体" w:hAnsi="宋体"/>
          <w:color w:val="auto"/>
          <w:szCs w:val="21"/>
          <w:highlight w:val="none"/>
        </w:rPr>
        <w:t>应符合</w:t>
      </w:r>
      <w:r>
        <w:rPr>
          <w:rFonts w:hint="eastAsia" w:ascii="宋体" w:hAnsi="宋体"/>
          <w:color w:val="auto"/>
          <w:szCs w:val="21"/>
          <w:highlight w:val="none"/>
          <w:lang w:eastAsia="zh-CN"/>
        </w:rPr>
        <w:t>第六章</w:t>
      </w:r>
      <w:r>
        <w:rPr>
          <w:rFonts w:hint="eastAsia" w:ascii="宋体" w:hAnsi="宋体"/>
          <w:color w:val="auto"/>
          <w:szCs w:val="21"/>
          <w:highlight w:val="none"/>
        </w:rPr>
        <w:t>“投标文件及格式”的要求，投标文件格式中所要求盖章签名的地方均应按要求盖章签名；</w:t>
      </w:r>
      <w:r>
        <w:rPr>
          <w:rFonts w:ascii="宋体" w:hAnsi="宋体"/>
          <w:color w:val="auto"/>
          <w:szCs w:val="21"/>
          <w:highlight w:val="none"/>
        </w:rPr>
        <w:t>投标文件签署授权委托书格式、签字、盖章及内容均应符合要求，否则投标文件签署授权委托书无效。</w:t>
      </w:r>
      <w:r>
        <w:rPr>
          <w:rFonts w:hint="eastAsia" w:ascii="宋体" w:hAnsi="宋体"/>
          <w:color w:val="auto"/>
          <w:szCs w:val="21"/>
          <w:highlight w:val="none"/>
        </w:rPr>
        <w:t>投标文件</w:t>
      </w:r>
      <w:r>
        <w:rPr>
          <w:rFonts w:hint="eastAsia" w:ascii="宋体" w:hAnsi="宋体"/>
          <w:color w:val="auto"/>
          <w:szCs w:val="21"/>
          <w:highlight w:val="none"/>
          <w:lang w:val="en-US" w:eastAsia="zh-CN"/>
        </w:rPr>
        <w:t>的签字或盖章具体要求按</w:t>
      </w:r>
      <w:r>
        <w:rPr>
          <w:rFonts w:hint="eastAsia" w:ascii="宋体" w:hAnsi="宋体"/>
          <w:color w:val="auto"/>
          <w:szCs w:val="21"/>
          <w:highlight w:val="none"/>
          <w:lang w:eastAsia="zh-CN"/>
        </w:rPr>
        <w:t>投标须知前附表</w:t>
      </w:r>
      <w:r>
        <w:rPr>
          <w:rFonts w:hint="eastAsia" w:ascii="宋体" w:hAnsi="宋体"/>
          <w:color w:val="auto"/>
          <w:szCs w:val="21"/>
          <w:highlight w:val="none"/>
          <w:lang w:val="en-US" w:eastAsia="zh-CN"/>
        </w:rPr>
        <w:t>的规定。</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3.8.4投标人如对投标文件有修改，修改处应由投标人加盖投标人的</w:t>
      </w:r>
      <w:r>
        <w:rPr>
          <w:rFonts w:hint="eastAsia" w:ascii="宋体" w:hAnsi="宋体"/>
          <w:color w:val="auto"/>
          <w:szCs w:val="21"/>
          <w:highlight w:val="none"/>
          <w:lang w:val="en-US" w:eastAsia="zh-CN"/>
        </w:rPr>
        <w:t>公</w:t>
      </w:r>
      <w:r>
        <w:rPr>
          <w:rFonts w:hint="eastAsia" w:ascii="宋体" w:hAnsi="宋体"/>
          <w:color w:val="auto"/>
          <w:szCs w:val="21"/>
          <w:highlight w:val="none"/>
        </w:rPr>
        <w:t>章或由法定代表人或其授权代表签字或盖章。</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4.投标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4.1 投标文件的密封和标记</w:t>
      </w:r>
    </w:p>
    <w:p>
      <w:pPr>
        <w:autoSpaceDE w:val="0"/>
        <w:spacing w:line="5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4.1.1投标文件</w:t>
      </w:r>
      <w:r>
        <w:rPr>
          <w:rFonts w:hint="eastAsia" w:ascii="宋体" w:hAnsi="宋体"/>
          <w:color w:val="auto"/>
          <w:szCs w:val="21"/>
          <w:highlight w:val="none"/>
          <w:lang w:val="en-US" w:eastAsia="zh-CN"/>
        </w:rPr>
        <w:t>的装订要求按</w:t>
      </w:r>
      <w:r>
        <w:rPr>
          <w:rFonts w:hint="eastAsia" w:ascii="宋体" w:hAnsi="宋体"/>
          <w:color w:val="auto"/>
          <w:szCs w:val="21"/>
          <w:highlight w:val="none"/>
          <w:lang w:eastAsia="zh-CN"/>
        </w:rPr>
        <w:t>投标须知前附表</w:t>
      </w:r>
      <w:r>
        <w:rPr>
          <w:rFonts w:hint="eastAsia" w:ascii="宋体" w:hAnsi="宋体"/>
          <w:color w:val="auto"/>
          <w:szCs w:val="21"/>
          <w:highlight w:val="none"/>
          <w:lang w:val="en-US" w:eastAsia="zh-CN"/>
        </w:rPr>
        <w:t>的规定。</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w:t>
      </w:r>
      <w:r>
        <w:rPr>
          <w:rFonts w:hint="eastAsia" w:ascii="宋体" w:hAnsi="宋体"/>
          <w:color w:val="auto"/>
          <w:szCs w:val="21"/>
          <w:highlight w:val="none"/>
          <w:lang w:val="en-US" w:eastAsia="zh-CN"/>
        </w:rPr>
        <w:t>2投标文件的密封要求按投标须知前附表的规定</w:t>
      </w:r>
      <w:r>
        <w:rPr>
          <w:rFonts w:hint="eastAsia" w:ascii="宋体" w:hAnsi="宋体"/>
          <w:strike w:val="0"/>
          <w:dstrike w:val="0"/>
          <w:color w:val="auto"/>
          <w:szCs w:val="21"/>
          <w:highlight w:val="none"/>
          <w:lang w:val="en-US" w:eastAsia="zh-CN"/>
        </w:rPr>
        <w:t>。</w:t>
      </w:r>
    </w:p>
    <w:p>
      <w:pPr>
        <w:autoSpaceDE w:val="0"/>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4.1.</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投标文件封套上应写明的内容见投标人须知前附表。</w:t>
      </w:r>
    </w:p>
    <w:p>
      <w:pPr>
        <w:autoSpaceDE w:val="0"/>
        <w:spacing w:line="500" w:lineRule="exact"/>
        <w:ind w:firstLine="420" w:firstLineChars="200"/>
        <w:rPr>
          <w:rFonts w:hint="eastAsia" w:ascii="宋体" w:hAnsi="宋体" w:eastAsia="宋体"/>
          <w:strike w:val="0"/>
          <w:dstrike w:val="0"/>
          <w:color w:val="auto"/>
          <w:szCs w:val="21"/>
          <w:highlight w:val="none"/>
          <w:lang w:val="en-US" w:eastAsia="zh-CN"/>
        </w:rPr>
      </w:pPr>
      <w:r>
        <w:rPr>
          <w:rFonts w:hint="eastAsia" w:ascii="宋体" w:hAnsi="宋体"/>
          <w:color w:val="auto"/>
          <w:szCs w:val="21"/>
          <w:highlight w:val="none"/>
        </w:rPr>
        <w:t>4.1.</w:t>
      </w:r>
      <w:r>
        <w:rPr>
          <w:rFonts w:hint="eastAsia" w:ascii="宋体" w:hAnsi="宋体"/>
          <w:color w:val="auto"/>
          <w:szCs w:val="21"/>
          <w:highlight w:val="none"/>
          <w:lang w:val="en-US" w:eastAsia="zh-CN"/>
        </w:rPr>
        <w:t>4</w:t>
      </w:r>
      <w:r>
        <w:rPr>
          <w:rFonts w:hint="eastAsia" w:ascii="宋体" w:hAnsi="宋体"/>
          <w:color w:val="auto"/>
          <w:szCs w:val="21"/>
          <w:highlight w:val="none"/>
        </w:rPr>
        <w:t>如果投标文件没有按本须知第4.1.1条款</w:t>
      </w:r>
      <w:r>
        <w:rPr>
          <w:rFonts w:hint="eastAsia" w:ascii="宋体" w:hAnsi="宋体"/>
          <w:color w:val="auto"/>
          <w:szCs w:val="21"/>
          <w:highlight w:val="none"/>
          <w:lang w:eastAsia="zh-CN"/>
        </w:rPr>
        <w:t>、</w:t>
      </w:r>
      <w:r>
        <w:rPr>
          <w:rFonts w:hint="eastAsia" w:ascii="宋体" w:hAnsi="宋体"/>
          <w:color w:val="auto"/>
          <w:szCs w:val="21"/>
          <w:highlight w:val="none"/>
        </w:rPr>
        <w:t>第4.1.2条款</w:t>
      </w:r>
      <w:r>
        <w:rPr>
          <w:rFonts w:hint="eastAsia" w:ascii="宋体" w:hAnsi="宋体"/>
          <w:color w:val="auto"/>
          <w:szCs w:val="21"/>
          <w:highlight w:val="none"/>
          <w:lang w:val="en-US" w:eastAsia="zh-CN"/>
        </w:rPr>
        <w:t>和</w:t>
      </w:r>
      <w:r>
        <w:rPr>
          <w:rFonts w:hint="eastAsia" w:ascii="宋体" w:hAnsi="宋体"/>
          <w:color w:val="auto"/>
          <w:szCs w:val="21"/>
          <w:highlight w:val="none"/>
        </w:rPr>
        <w:t>第4.1.</w:t>
      </w:r>
      <w:r>
        <w:rPr>
          <w:rFonts w:hint="eastAsia" w:ascii="宋体" w:hAnsi="宋体"/>
          <w:color w:val="auto"/>
          <w:szCs w:val="21"/>
          <w:highlight w:val="none"/>
          <w:lang w:val="en-US" w:eastAsia="zh-CN"/>
        </w:rPr>
        <w:t>3</w:t>
      </w:r>
      <w:r>
        <w:rPr>
          <w:rFonts w:hint="eastAsia" w:ascii="宋体" w:hAnsi="宋体"/>
          <w:color w:val="auto"/>
          <w:szCs w:val="21"/>
          <w:highlight w:val="none"/>
        </w:rPr>
        <w:t>条款的规定装订和注明标记及密封，招标人将予以拒绝。</w:t>
      </w:r>
    </w:p>
    <w:p>
      <w:pPr>
        <w:autoSpaceDE w:val="0"/>
        <w:spacing w:line="500" w:lineRule="exact"/>
        <w:ind w:firstLine="422" w:firstLineChars="200"/>
        <w:rPr>
          <w:rFonts w:ascii="宋体" w:hAnsi="宋体"/>
          <w:b/>
          <w:bCs/>
          <w:color w:val="auto"/>
          <w:szCs w:val="21"/>
          <w:highlight w:val="none"/>
        </w:rPr>
      </w:pPr>
      <w:bookmarkStart w:id="13" w:name="_Toc17216809"/>
      <w:r>
        <w:rPr>
          <w:rFonts w:hint="eastAsia" w:ascii="宋体" w:hAnsi="宋体"/>
          <w:b/>
          <w:bCs/>
          <w:color w:val="auto"/>
          <w:szCs w:val="21"/>
          <w:highlight w:val="none"/>
        </w:rPr>
        <w:t>4.2投标文件的提交</w:t>
      </w:r>
      <w:bookmarkEnd w:id="13"/>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4.2.1投标人应按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所规定的地点，于截止时间前提交投标文件。</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4.2.2投标文件的截止时间按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的规定，招标人在投标截止时间以后收到的投标文件，将被拒绝。</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4.2.3招标人可按本须知第2.3条款规定以修改补充通知的方式，酌情延后提交投标文件的截止时间。在此情况下，投标人的所有权利和义务以及投标人受制约的截止时间，均以延后的投标截止时间为准。</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4.2.4到投标截止时间止，招标人收到的投标文件少于</w:t>
      </w:r>
      <w:r>
        <w:rPr>
          <w:rFonts w:ascii="宋体" w:hAnsi="宋体"/>
          <w:color w:val="auto"/>
          <w:szCs w:val="21"/>
          <w:highlight w:val="none"/>
        </w:rPr>
        <w:t>3</w:t>
      </w:r>
      <w:r>
        <w:rPr>
          <w:rFonts w:hint="eastAsia" w:ascii="宋体" w:hAnsi="宋体"/>
          <w:color w:val="auto"/>
          <w:szCs w:val="21"/>
          <w:highlight w:val="none"/>
        </w:rPr>
        <w:t>个的，招标人将依法重新组织招标。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4.3投标文件的补充、修改与撤回</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4.3.1投标人在提交投标文件以后，在规定的投标截止时间之前，可以书面形式补充修改或撤回已提交的投标文件，并以书面形式通知招标人。补充、修改的内容为投标文件的组成部分。</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4.3.2投标人对投标文件的补充、修改，应按本须知第4.1条款有关规定密封、标记和提交，并清楚标明“补充、修改”或“撤回”字样。</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4.3.3在投标截止时间之后，投标人不得补充、修改投标文件。</w:t>
      </w:r>
    </w:p>
    <w:p>
      <w:pPr>
        <w:autoSpaceDE w:val="0"/>
        <w:spacing w:line="500" w:lineRule="exact"/>
        <w:ind w:firstLine="420" w:firstLineChars="200"/>
        <w:rPr>
          <w:rFonts w:hint="eastAsia" w:ascii="宋体" w:hAnsi="宋体"/>
          <w:color w:val="auto"/>
          <w:sz w:val="24"/>
          <w:highlight w:val="none"/>
        </w:rPr>
      </w:pPr>
      <w:r>
        <w:rPr>
          <w:rFonts w:hint="eastAsia" w:ascii="宋体" w:hAnsi="宋体"/>
          <w:color w:val="auto"/>
          <w:szCs w:val="21"/>
          <w:highlight w:val="none"/>
        </w:rPr>
        <w:t>4.3.4在投标截止时间至投标有效期满之前，投标人不得撤回其投标文件</w:t>
      </w:r>
      <w:r>
        <w:rPr>
          <w:rFonts w:hint="eastAsia" w:ascii="宋体" w:hAnsi="宋体"/>
          <w:color w:val="auto"/>
          <w:sz w:val="24"/>
          <w:highlight w:val="none"/>
        </w:rPr>
        <w:t>。</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5.开标</w:t>
      </w:r>
    </w:p>
    <w:p>
      <w:pPr>
        <w:autoSpaceDE w:val="0"/>
        <w:spacing w:line="500" w:lineRule="exact"/>
        <w:ind w:firstLine="422" w:firstLineChars="200"/>
        <w:rPr>
          <w:rFonts w:hint="eastAsia" w:ascii="宋体" w:hAnsi="宋体"/>
          <w:b/>
          <w:bCs/>
          <w:color w:val="auto"/>
          <w:szCs w:val="21"/>
          <w:highlight w:val="none"/>
          <w:lang w:val="en-US" w:eastAsia="zh-CN"/>
        </w:rPr>
      </w:pPr>
      <w:r>
        <w:rPr>
          <w:rFonts w:hint="eastAsia" w:ascii="宋体" w:hAnsi="宋体"/>
          <w:b/>
          <w:bCs/>
          <w:color w:val="auto"/>
          <w:szCs w:val="21"/>
          <w:highlight w:val="none"/>
        </w:rPr>
        <w:t>5.1</w:t>
      </w:r>
      <w:r>
        <w:rPr>
          <w:rFonts w:hint="eastAsia" w:ascii="宋体" w:hAnsi="宋体"/>
          <w:b/>
          <w:bCs/>
          <w:color w:val="auto"/>
          <w:szCs w:val="21"/>
          <w:highlight w:val="none"/>
          <w:lang w:val="en-US" w:eastAsia="zh-CN"/>
        </w:rPr>
        <w:t>开标时间和地点</w:t>
      </w:r>
    </w:p>
    <w:p>
      <w:pPr>
        <w:autoSpaceDE w:val="0"/>
        <w:spacing w:line="500" w:lineRule="exact"/>
        <w:ind w:firstLine="420" w:firstLineChars="200"/>
        <w:rPr>
          <w:rFonts w:hint="eastAsia" w:ascii="宋体" w:hAnsi="宋体"/>
          <w:b/>
          <w:bCs/>
          <w:color w:val="auto"/>
          <w:szCs w:val="21"/>
          <w:highlight w:val="none"/>
        </w:rPr>
      </w:pPr>
      <w:r>
        <w:rPr>
          <w:rFonts w:hint="eastAsia" w:ascii="宋体" w:hAnsi="宋体"/>
          <w:b w:val="0"/>
          <w:bCs w:val="0"/>
          <w:color w:val="auto"/>
          <w:szCs w:val="21"/>
          <w:highlight w:val="none"/>
        </w:rPr>
        <w:t>招标人按</w:t>
      </w:r>
      <w:r>
        <w:rPr>
          <w:rFonts w:hint="eastAsia" w:ascii="宋体" w:hAnsi="宋体"/>
          <w:b w:val="0"/>
          <w:bCs w:val="0"/>
          <w:color w:val="auto"/>
          <w:szCs w:val="21"/>
          <w:highlight w:val="none"/>
          <w:lang w:eastAsia="zh-CN"/>
        </w:rPr>
        <w:t>投标须知前附表</w:t>
      </w:r>
      <w:r>
        <w:rPr>
          <w:rFonts w:hint="eastAsia" w:ascii="宋体" w:hAnsi="宋体"/>
          <w:b w:val="0"/>
          <w:bCs w:val="0"/>
          <w:color w:val="auto"/>
          <w:szCs w:val="21"/>
          <w:highlight w:val="none"/>
        </w:rPr>
        <w:t>所规定的时间和地点开标。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5.2按规定提交合格的撤回通知的投标文件不予开封。</w:t>
      </w:r>
    </w:p>
    <w:p>
      <w:pPr>
        <w:autoSpaceDE w:val="0"/>
        <w:spacing w:line="500" w:lineRule="exact"/>
        <w:ind w:firstLine="420" w:firstLineChars="200"/>
        <w:rPr>
          <w:rFonts w:hint="eastAsia" w:ascii="宋体" w:hAnsi="宋体"/>
          <w:b/>
          <w:bCs/>
          <w:color w:val="auto"/>
          <w:szCs w:val="21"/>
          <w:highlight w:val="none"/>
        </w:rPr>
      </w:pPr>
      <w:r>
        <w:rPr>
          <w:rFonts w:hint="eastAsia" w:ascii="宋体" w:hAnsi="宋体"/>
          <w:b w:val="0"/>
          <w:bCs w:val="0"/>
          <w:color w:val="auto"/>
          <w:szCs w:val="21"/>
          <w:highlight w:val="none"/>
        </w:rPr>
        <w:t>投标文件有下列情况之一的投标，招标人不予接受：</w:t>
      </w:r>
    </w:p>
    <w:p>
      <w:pPr>
        <w:autoSpaceDE w:val="0"/>
        <w:spacing w:line="500" w:lineRule="exact"/>
        <w:ind w:left="420" w:leftChars="200"/>
        <w:rPr>
          <w:rFonts w:hint="eastAsia" w:ascii="宋体" w:hAnsi="宋体"/>
          <w:color w:val="auto"/>
          <w:szCs w:val="21"/>
          <w:highlight w:val="none"/>
        </w:rPr>
      </w:pPr>
      <w:r>
        <w:rPr>
          <w:rFonts w:hint="eastAsia" w:ascii="宋体" w:hAnsi="宋体"/>
          <w:color w:val="auto"/>
          <w:szCs w:val="21"/>
          <w:highlight w:val="none"/>
        </w:rPr>
        <w:t>（1）逾期送达的；</w:t>
      </w:r>
    </w:p>
    <w:p>
      <w:pPr>
        <w:autoSpaceDE w:val="0"/>
        <w:spacing w:line="500" w:lineRule="exact"/>
        <w:ind w:left="420" w:leftChars="200"/>
        <w:rPr>
          <w:rFonts w:hint="eastAsia" w:ascii="宋体" w:hAnsi="宋体"/>
          <w:color w:val="auto"/>
          <w:szCs w:val="21"/>
          <w:highlight w:val="none"/>
        </w:rPr>
      </w:pPr>
      <w:r>
        <w:rPr>
          <w:rFonts w:hint="eastAsia" w:ascii="宋体" w:hAnsi="宋体"/>
          <w:color w:val="auto"/>
          <w:szCs w:val="21"/>
          <w:highlight w:val="none"/>
        </w:rPr>
        <w:t>（2）因投标人原因造成电子投标文件未解密或逾期解密的。</w:t>
      </w:r>
    </w:p>
    <w:p>
      <w:pPr>
        <w:autoSpaceDE w:val="0"/>
        <w:spacing w:line="500" w:lineRule="exact"/>
        <w:ind w:left="420" w:leftChars="200"/>
        <w:rPr>
          <w:rFonts w:hint="eastAsia" w:ascii="宋体" w:hAnsi="宋体"/>
          <w:b/>
          <w:bCs/>
          <w:color w:val="auto"/>
          <w:szCs w:val="21"/>
          <w:highlight w:val="none"/>
        </w:rPr>
      </w:pPr>
      <w:r>
        <w:rPr>
          <w:rFonts w:hint="eastAsia" w:ascii="宋体" w:hAnsi="宋体"/>
          <w:b/>
          <w:bCs/>
          <w:color w:val="auto"/>
          <w:szCs w:val="21"/>
          <w:highlight w:val="none"/>
        </w:rPr>
        <w:t>5.3开标程序：</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主持人按下列程序进行开标：</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（1）宣布开标纪律；</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（2）公布在投标截止时间前递交投标文件的投标人名称；</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（3）宣布开标人、唱标人、记录人、监标人等有关人员姓名；</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（4）投标人通过电子招标投标交易平台对已递交的电子投标文件进行解密，公布招标项目名称、投标人名称、投标保证金的递交情况、投标报价、设计服务期限及其他内容，并记录在案；</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（5）投标人代表、招标人代表、监标人、记录人等有关人员在开标记录上签字确认；</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（6）开标结束。</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5.</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 xml:space="preserve"> 开标异议</w:t>
      </w:r>
    </w:p>
    <w:p>
      <w:pPr>
        <w:autoSpaceDE w:val="0"/>
        <w:spacing w:line="500" w:lineRule="exact"/>
        <w:ind w:left="420" w:leftChars="200"/>
        <w:rPr>
          <w:rFonts w:hint="eastAsia" w:ascii="宋体" w:hAnsi="宋体"/>
          <w:color w:val="auto"/>
          <w:szCs w:val="21"/>
          <w:highlight w:val="none"/>
        </w:rPr>
      </w:pPr>
      <w:r>
        <w:rPr>
          <w:rFonts w:hint="eastAsia" w:ascii="宋体" w:hAnsi="宋体"/>
          <w:color w:val="auto"/>
          <w:szCs w:val="21"/>
          <w:highlight w:val="none"/>
        </w:rPr>
        <w:t>投标人对开标有异议的，应当在开标现场提出，招标人当场作出答复，并制作记录。</w:t>
      </w:r>
    </w:p>
    <w:p>
      <w:pPr>
        <w:autoSpaceDE w:val="0"/>
        <w:spacing w:line="500" w:lineRule="exact"/>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、投标文件的有效性</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开标时，投标文件出现下列情形之一的，应当作为无效投标文件，不得进入评标：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投标文件未按照本须知第4.1条款的要求装订、密封和标记的；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投标文件有关内容未按规定加盖投标人</w:t>
      </w:r>
      <w:r>
        <w:rPr>
          <w:rFonts w:hint="eastAsia" w:ascii="宋体" w:hAnsi="宋体"/>
          <w:color w:val="auto"/>
          <w:szCs w:val="21"/>
          <w:highlight w:val="none"/>
          <w:lang w:val="en-US" w:eastAsia="zh-CN"/>
        </w:rPr>
        <w:t>公</w:t>
      </w:r>
      <w:r>
        <w:rPr>
          <w:rFonts w:hint="eastAsia" w:ascii="宋体" w:hAnsi="宋体"/>
          <w:color w:val="auto"/>
          <w:szCs w:val="21"/>
          <w:highlight w:val="none"/>
        </w:rPr>
        <w:t>章或未经法定代表人或其授权代表签字或盖章的，或有授权代表签字或盖章的，但未随投标文件一起提交有效的“授权委托书”；</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投标文件的关键内容字迹模糊、无法辨认的；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投标人未按照招标文件的要求提供投标保证金的；</w:t>
      </w:r>
    </w:p>
    <w:p>
      <w:pPr>
        <w:autoSpaceDE w:val="0"/>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投标报价超过本项目最高投标限价</w:t>
      </w:r>
      <w:r>
        <w:rPr>
          <w:rFonts w:hint="eastAsia" w:ascii="宋体" w:hAnsi="宋体"/>
          <w:color w:val="auto"/>
          <w:szCs w:val="21"/>
          <w:highlight w:val="none"/>
          <w:lang w:eastAsia="zh-CN"/>
        </w:rPr>
        <w:t>。</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6.评标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6.1评标委员会与评标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6.1.1招标人依法组建评标委员会，</w:t>
      </w:r>
      <w:r>
        <w:rPr>
          <w:rFonts w:hint="eastAsia" w:ascii="宋体" w:hAnsi="宋体"/>
          <w:color w:val="auto"/>
          <w:szCs w:val="21"/>
          <w:highlight w:val="none"/>
          <w:lang w:eastAsia="zh-CN"/>
        </w:rPr>
        <w:t>负责招标工程的评标工作，评委在开标会前在广东省综合评标专家库随机抽取</w:t>
      </w:r>
      <w:r>
        <w:rPr>
          <w:rFonts w:hint="eastAsia" w:ascii="宋体" w:hAnsi="宋体"/>
          <w:color w:val="auto"/>
          <w:szCs w:val="21"/>
          <w:highlight w:val="none"/>
        </w:rPr>
        <w:t>，主任评委在评标委员会委员中推荐产生。</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6.1.2评标委员会负责对投标文件进行审查、质疑、评估和比较。</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6.1.3 评标委员会成员有下列情形之一的，应当回避：</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（1）投标人或投标人主要负责人的近亲属；</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（2）项目主管部门或者行政监督部门的人员；</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（3）与投标人有经济利益关系，可能影响对投标公正评审的；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（4）曾因在招标、评标以及其他与招标投标有关活动中从事违法行为而受过行政处罚或刑事处罚的；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（5）与投标人有其他利害关系。</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6.1.4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6.2评标原则</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评标活动遵循公平、公正、科学和择优的原则。</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6.3评标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6.3.1 评标委员会按照第三章“评标办法”规定的方法、评审因素、标准和程序对投标文件进行评审。第三章“评标办法”没有规定的方法、评审因素和标准，不作为评标依据。 </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6.3.2 评标完成后，评标委员会应当向招标人提交书面评标报告和中标候选人名单。评标委员会推荐中标候选人的人数见投标人须知前附表。</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7.合同授予</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7.1中标候选人公示</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招标人在收到评标报告之日起 3 日内，按照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规定的公示媒介和期限公示中标候选人，公示期不得少于 3 天。</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7.2评标结果异议</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投标人或者其他利害关系人对评标结果有异议的，应当在中标候选人公示期间提出。招标人将在收到异议之日起 3 日内作出答复；作出答复前，将暂停招标投标活动。</w:t>
      </w:r>
    </w:p>
    <w:p>
      <w:pPr>
        <w:autoSpaceDE w:val="0"/>
        <w:spacing w:line="500" w:lineRule="exact"/>
        <w:ind w:firstLine="422" w:firstLineChars="200"/>
        <w:rPr>
          <w:rFonts w:hint="eastAsia" w:ascii="宋体" w:hAnsi="宋体"/>
          <w:color w:val="auto"/>
          <w:szCs w:val="21"/>
          <w:highlight w:val="none"/>
        </w:rPr>
      </w:pPr>
      <w:r>
        <w:rPr>
          <w:rFonts w:hint="eastAsia" w:ascii="宋体" w:hAnsi="宋体"/>
          <w:b/>
          <w:bCs/>
          <w:color w:val="auto"/>
          <w:szCs w:val="21"/>
          <w:highlight w:val="none"/>
        </w:rPr>
        <w:t>7.3中标候选人履约能力审查</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7.4定标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第38项的规定，招标人或招标人授权的评标委员会依法确定中标人。</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7.5中标通知</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在本须知第3.5条款规定的投标有效期内，招标人以书面形式向中标人发出中标通知书，同时将中标结果通知未中标的投标人。</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7.6技术成果经济补偿</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招标人对符合招标文件规定的未中标人的技术成果进行补偿的，招标人将按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第39项规定的标准给予经济补偿，未中标人在投标文件中声明放弃技术成果经济补偿费的除外。招标人将于中标通知书发出后 30 日内向未中标人支付技术成果经济补偿费。如采用其它未中标单位的技术成果，需由中标单位付相应费用。</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7.7履约保证金</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7.7.1 在签订合同前，中标人应按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规定的形式、金额和招标文件第</w:t>
      </w:r>
      <w:r>
        <w:rPr>
          <w:rFonts w:hint="eastAsia" w:ascii="宋体" w:hAnsi="宋体"/>
          <w:color w:val="auto"/>
          <w:szCs w:val="21"/>
          <w:highlight w:val="none"/>
          <w:lang w:val="en-US" w:eastAsia="zh-CN"/>
        </w:rPr>
        <w:t>四</w:t>
      </w:r>
      <w:r>
        <w:rPr>
          <w:rFonts w:hint="eastAsia" w:ascii="宋体" w:hAnsi="宋体"/>
          <w:color w:val="auto"/>
          <w:szCs w:val="21"/>
          <w:highlight w:val="none"/>
        </w:rPr>
        <w:t>章“合同条款”规定的或者事先经过招标人书面认可的履约保证金格式向招标人提交履约保证金。除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另有规定外，履约保证金为中标合同金额的10%。联合体中标的，其履约保证金</w:t>
      </w:r>
      <w:r>
        <w:rPr>
          <w:rFonts w:hint="eastAsia" w:ascii="宋体" w:hAnsi="宋体"/>
          <w:strike w:val="0"/>
          <w:dstrike w:val="0"/>
          <w:color w:val="auto"/>
          <w:szCs w:val="21"/>
          <w:highlight w:val="none"/>
        </w:rPr>
        <w:t>以</w:t>
      </w:r>
      <w:r>
        <w:rPr>
          <w:rFonts w:hint="eastAsia" w:ascii="宋体" w:hAnsi="宋体"/>
          <w:color w:val="auto"/>
          <w:szCs w:val="21"/>
          <w:highlight w:val="none"/>
        </w:rPr>
        <w:t>联合体中牵头人的名义提交。</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7.7.2 中标人不能按本须知第7.7.1条款要求提交履约保证金的，视为放弃中标，其投标保证金不予退还，给招标人造成的损失超过投标保证金数额的，中标人还应当对超过部分予以赔偿。</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7.8签订合同</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7.8.2发出中标通知书后，招标人无正当理由拒签合同，或者在签订合同时向中标人提出附加条件的，招标人向中标人退还投标保证金；给中标人造成损失的，还应当赔偿损失。</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7.8.3联合体中标的，联合体各方应当共同与招标人签订合同，就中标项目向招标人承担连带责任。</w:t>
      </w:r>
    </w:p>
    <w:p>
      <w:pPr>
        <w:autoSpaceDE w:val="0"/>
        <w:spacing w:line="500" w:lineRule="exact"/>
        <w:rPr>
          <w:rFonts w:hint="eastAsia" w:ascii="宋体" w:hAnsi="宋体"/>
          <w:color w:val="auto"/>
          <w:sz w:val="28"/>
          <w:szCs w:val="28"/>
          <w:highlight w:val="none"/>
        </w:rPr>
      </w:pPr>
      <w:r>
        <w:rPr>
          <w:rFonts w:hint="eastAsia" w:ascii="宋体" w:hAnsi="宋体"/>
          <w:b/>
          <w:bCs/>
          <w:color w:val="auto"/>
          <w:sz w:val="28"/>
          <w:szCs w:val="28"/>
          <w:highlight w:val="none"/>
        </w:rPr>
        <w:t>8.纪律和监督</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8.1对招标人的纪律要求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招标人不得泄露招标投标活动中应当保密的情况和资料，不得与投标人串通损害国家利益、社会公共利益或者他人合法权益。</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8.2对投标人的纪律要求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8.3对评标委员会成员的纪律要求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r>
        <w:rPr>
          <w:rFonts w:hint="eastAsia" w:ascii="宋体" w:hAnsi="宋体"/>
          <w:color w:val="auto"/>
          <w:szCs w:val="21"/>
          <w:highlight w:val="none"/>
          <w:lang w:val="en-US" w:eastAsia="zh-CN"/>
        </w:rPr>
        <w:t>三</w:t>
      </w:r>
      <w:r>
        <w:rPr>
          <w:rFonts w:hint="eastAsia" w:ascii="宋体" w:hAnsi="宋体"/>
          <w:color w:val="auto"/>
          <w:szCs w:val="21"/>
          <w:highlight w:val="none"/>
        </w:rPr>
        <w:t>章“</w:t>
      </w:r>
      <w:r>
        <w:rPr>
          <w:rFonts w:hint="eastAsia" w:ascii="宋体" w:hAnsi="宋体"/>
          <w:color w:val="auto"/>
          <w:szCs w:val="21"/>
          <w:highlight w:val="none"/>
          <w:lang w:val="en-US" w:eastAsia="zh-CN"/>
        </w:rPr>
        <w:t>评标办法</w:t>
      </w:r>
      <w:r>
        <w:rPr>
          <w:rFonts w:hint="eastAsia" w:ascii="宋体" w:hAnsi="宋体"/>
          <w:color w:val="auto"/>
          <w:szCs w:val="21"/>
          <w:highlight w:val="none"/>
        </w:rPr>
        <w:t>”没有规定的评审因素和标准进行评标。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8.4对与评标活动有关的工作人员的纪律要求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8.5 投诉</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8.5.1投标人或者其他利害关系人认为招标投标活动不符合法律、行政法规规定的，可以自知道或者应当知道之日起 10 日内向有关行政监督部门投诉。投诉应当有明确的请求和必要的证明材料。</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8.5.2投标人或者其他利害关系人对招标文件、开标和评标结果提出投诉的，应当按照本须知</w:t>
      </w:r>
      <w:r>
        <w:rPr>
          <w:rFonts w:hint="eastAsia" w:ascii="宋体" w:hAnsi="宋体"/>
          <w:strike w:val="0"/>
          <w:dstrike w:val="0"/>
          <w:color w:val="auto"/>
          <w:szCs w:val="21"/>
          <w:highlight w:val="none"/>
        </w:rPr>
        <w:t>第5.</w:t>
      </w:r>
      <w:r>
        <w:rPr>
          <w:rFonts w:hint="eastAsia" w:ascii="宋体" w:hAnsi="宋体"/>
          <w:strike w:val="0"/>
          <w:dstrike w:val="0"/>
          <w:color w:val="auto"/>
          <w:szCs w:val="21"/>
          <w:highlight w:val="none"/>
          <w:lang w:val="en-US" w:eastAsia="zh-CN"/>
        </w:rPr>
        <w:t>4</w:t>
      </w:r>
      <w:r>
        <w:rPr>
          <w:rFonts w:hint="eastAsia" w:ascii="宋体" w:hAnsi="宋体"/>
          <w:strike w:val="0"/>
          <w:dstrike w:val="0"/>
          <w:color w:val="auto"/>
          <w:szCs w:val="21"/>
          <w:highlight w:val="none"/>
        </w:rPr>
        <w:t>条款、</w:t>
      </w:r>
      <w:r>
        <w:rPr>
          <w:rFonts w:hint="eastAsia" w:ascii="宋体" w:hAnsi="宋体"/>
          <w:color w:val="auto"/>
          <w:szCs w:val="21"/>
          <w:highlight w:val="none"/>
        </w:rPr>
        <w:t>第7.2条款的规定先向招标人提出异议。异议答复期间不计算在本须知第8.5.1条款规定的期限内。</w:t>
      </w:r>
    </w:p>
    <w:p>
      <w:pPr>
        <w:autoSpaceDE w:val="0"/>
        <w:spacing w:line="50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 xml:space="preserve">9.是否采用电子招标投标 </w:t>
      </w:r>
    </w:p>
    <w:p>
      <w:pPr>
        <w:autoSpaceDE w:val="0"/>
        <w:spacing w:line="5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本招标项目是否采用电子招标投标方式，见投标须知前附表。</w:t>
      </w:r>
    </w:p>
    <w:p>
      <w:pPr>
        <w:autoSpaceDE w:val="0"/>
        <w:spacing w:line="500" w:lineRule="exact"/>
        <w:rPr>
          <w:rFonts w:hint="eastAsia" w:ascii="宋体" w:hAnsi="宋体"/>
          <w:color w:val="auto"/>
          <w:sz w:val="24"/>
          <w:highlight w:val="none"/>
        </w:rPr>
      </w:pPr>
      <w:r>
        <w:rPr>
          <w:rFonts w:hint="eastAsia" w:ascii="宋体" w:hAnsi="宋体"/>
          <w:b/>
          <w:bCs/>
          <w:color w:val="auto"/>
          <w:sz w:val="24"/>
          <w:highlight w:val="none"/>
          <w:lang w:val="en-US" w:eastAsia="zh-CN"/>
        </w:rPr>
        <w:t>10</w:t>
      </w:r>
      <w:r>
        <w:rPr>
          <w:rFonts w:hint="eastAsia" w:ascii="宋体" w:hAnsi="宋体"/>
          <w:b/>
          <w:bCs/>
          <w:color w:val="auto"/>
          <w:sz w:val="24"/>
          <w:highlight w:val="none"/>
        </w:rPr>
        <w:t>.需要补充的其他内容</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需要补充的其他内容：见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bookmarkStart w:id="14" w:name="_Toc534472023"/>
      <w:bookmarkStart w:id="15" w:name="_Toc31996"/>
      <w:bookmarkStart w:id="16" w:name="_Toc534471619"/>
    </w:p>
    <w:p>
      <w:pPr>
        <w:numPr>
          <w:ilvl w:val="0"/>
          <w:numId w:val="0"/>
        </w:numPr>
        <w:autoSpaceDE w:val="0"/>
        <w:spacing w:line="500" w:lineRule="exact"/>
        <w:ind w:leftChars="0"/>
        <w:jc w:val="center"/>
        <w:outlineLvl w:val="0"/>
        <w:rPr>
          <w:rFonts w:hint="eastAsia" w:ascii="宋体" w:hAnsi="宋体"/>
          <w:b/>
          <w:color w:val="auto"/>
          <w:sz w:val="44"/>
          <w:szCs w:val="44"/>
          <w:highlight w:val="none"/>
        </w:rPr>
      </w:pPr>
      <w:r>
        <w:rPr>
          <w:rFonts w:hint="eastAsia" w:ascii="宋体" w:hAnsi="宋体"/>
          <w:color w:val="auto"/>
          <w:szCs w:val="21"/>
          <w:highlight w:val="none"/>
        </w:rPr>
        <w:br w:type="page"/>
      </w:r>
      <w:bookmarkStart w:id="17" w:name="_Toc32412"/>
      <w:r>
        <w:rPr>
          <w:rFonts w:hint="eastAsia" w:ascii="宋体" w:hAnsi="宋体"/>
          <w:b/>
          <w:color w:val="auto"/>
          <w:sz w:val="44"/>
          <w:szCs w:val="44"/>
          <w:highlight w:val="none"/>
          <w:lang w:val="en-US" w:eastAsia="zh-CN"/>
        </w:rPr>
        <w:t xml:space="preserve">第三章 </w:t>
      </w:r>
      <w:r>
        <w:rPr>
          <w:rFonts w:hint="eastAsia" w:ascii="宋体" w:hAnsi="宋体"/>
          <w:b/>
          <w:color w:val="auto"/>
          <w:sz w:val="44"/>
          <w:szCs w:val="44"/>
          <w:highlight w:val="none"/>
        </w:rPr>
        <w:t>评标办法（综合评估法）</w:t>
      </w:r>
      <w:bookmarkEnd w:id="17"/>
    </w:p>
    <w:p>
      <w:pPr>
        <w:pStyle w:val="24"/>
        <w:numPr>
          <w:ilvl w:val="0"/>
          <w:numId w:val="0"/>
        </w:numPr>
        <w:ind w:leftChars="0"/>
        <w:rPr>
          <w:rFonts w:hint="eastAsia"/>
          <w:color w:val="auto"/>
          <w:highlight w:val="none"/>
        </w:rPr>
      </w:pPr>
    </w:p>
    <w:p>
      <w:pPr>
        <w:pStyle w:val="29"/>
        <w:spacing w:line="360" w:lineRule="auto"/>
        <w:jc w:val="center"/>
        <w:rPr>
          <w:rFonts w:hint="eastAsia"/>
          <w:b/>
          <w:bCs/>
          <w:color w:val="auto"/>
          <w:highlight w:val="none"/>
        </w:rPr>
      </w:pPr>
      <w:r>
        <w:rPr>
          <w:rFonts w:hint="eastAsia"/>
          <w:b/>
          <w:bCs/>
          <w:color w:val="auto"/>
          <w:highlight w:val="none"/>
        </w:rPr>
        <w:t>评标办法前附表</w:t>
      </w:r>
    </w:p>
    <w:tbl>
      <w:tblPr>
        <w:tblStyle w:val="19"/>
        <w:tblW w:w="9466" w:type="dxa"/>
        <w:tblInd w:w="-198" w:type="dxa"/>
        <w:tblLayout w:type="fixed"/>
        <w:tblCellMar>
          <w:top w:w="0" w:type="dxa"/>
          <w:left w:w="0" w:type="dxa"/>
          <w:bottom w:w="0" w:type="dxa"/>
          <w:right w:w="0" w:type="dxa"/>
        </w:tblCellMar>
      </w:tblPr>
      <w:tblGrid>
        <w:gridCol w:w="800"/>
        <w:gridCol w:w="1252"/>
        <w:gridCol w:w="2213"/>
        <w:gridCol w:w="5201"/>
      </w:tblGrid>
      <w:tr>
        <w:tblPrEx>
          <w:tblCellMar>
            <w:top w:w="0" w:type="dxa"/>
            <w:left w:w="0" w:type="dxa"/>
            <w:bottom w:w="0" w:type="dxa"/>
            <w:right w:w="0" w:type="dxa"/>
          </w:tblCellMar>
        </w:tblPrEx>
        <w:trPr>
          <w:trHeight w:val="367" w:hRule="atLeast"/>
        </w:trPr>
        <w:tc>
          <w:tcPr>
            <w:tcW w:w="20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条款号</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评审因素</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评审标准</w:t>
            </w:r>
          </w:p>
        </w:tc>
      </w:tr>
      <w:tr>
        <w:tblPrEx>
          <w:tblCellMar>
            <w:top w:w="0" w:type="dxa"/>
            <w:left w:w="0" w:type="dxa"/>
            <w:bottom w:w="0" w:type="dxa"/>
            <w:right w:w="0" w:type="dxa"/>
          </w:tblCellMar>
        </w:tblPrEx>
        <w:trPr>
          <w:trHeight w:val="621" w:hRule="atLeast"/>
        </w:trPr>
        <w:tc>
          <w:tcPr>
            <w:tcW w:w="80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2.1.1</w:t>
            </w:r>
          </w:p>
        </w:tc>
        <w:tc>
          <w:tcPr>
            <w:tcW w:w="12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符合性审查</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投标函签字盖章</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有法定代表人或其委托代理人签字或盖章并加盖单位章</w:t>
            </w:r>
          </w:p>
        </w:tc>
      </w:tr>
      <w:tr>
        <w:tblPrEx>
          <w:tblCellMar>
            <w:top w:w="0" w:type="dxa"/>
            <w:left w:w="0" w:type="dxa"/>
            <w:bottom w:w="0" w:type="dxa"/>
            <w:right w:w="0" w:type="dxa"/>
          </w:tblCellMar>
        </w:tblPrEx>
        <w:trPr>
          <w:trHeight w:val="593"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投标文件格式</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w:t>
            </w:r>
            <w:r>
              <w:rPr>
                <w:rStyle w:val="30"/>
                <w:rFonts w:hint="eastAsia" w:ascii="宋体" w:hAnsi="宋体" w:cs="宋体"/>
                <w:color w:val="auto"/>
                <w:highlight w:val="none"/>
                <w:lang w:bidi="ar"/>
              </w:rPr>
              <w:t>“</w:t>
            </w:r>
            <w:r>
              <w:rPr>
                <w:rStyle w:val="31"/>
                <w:rFonts w:hint="default"/>
                <w:color w:val="auto"/>
                <w:highlight w:val="none"/>
                <w:lang w:bidi="ar"/>
              </w:rPr>
              <w:t>投标文件格式</w:t>
            </w:r>
            <w:r>
              <w:rPr>
                <w:rStyle w:val="30"/>
                <w:rFonts w:hint="eastAsia" w:ascii="宋体" w:hAnsi="宋体" w:cs="宋体"/>
                <w:color w:val="auto"/>
                <w:highlight w:val="none"/>
                <w:lang w:bidi="ar"/>
              </w:rPr>
              <w:t>”</w:t>
            </w:r>
            <w:r>
              <w:rPr>
                <w:rStyle w:val="31"/>
                <w:rFonts w:hint="default"/>
                <w:color w:val="auto"/>
                <w:highlight w:val="none"/>
                <w:lang w:bidi="ar"/>
              </w:rPr>
              <w:t>的要求</w:t>
            </w:r>
          </w:p>
        </w:tc>
      </w:tr>
      <w:tr>
        <w:tblPrEx>
          <w:tblCellMar>
            <w:top w:w="0" w:type="dxa"/>
            <w:left w:w="0" w:type="dxa"/>
            <w:bottom w:w="0" w:type="dxa"/>
            <w:right w:w="0" w:type="dxa"/>
          </w:tblCellMar>
        </w:tblPrEx>
        <w:trPr>
          <w:trHeight w:val="59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投标报价</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只能有一个有效报价</w:t>
            </w:r>
          </w:p>
        </w:tc>
      </w:tr>
      <w:tr>
        <w:tblPrEx>
          <w:tblCellMar>
            <w:top w:w="0" w:type="dxa"/>
            <w:left w:w="0" w:type="dxa"/>
            <w:bottom w:w="0" w:type="dxa"/>
            <w:right w:w="0" w:type="dxa"/>
          </w:tblCellMar>
        </w:tblPrEx>
        <w:trPr>
          <w:trHeight w:val="524"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服务期限</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符合第二章“</w:t>
            </w:r>
            <w:r>
              <w:rPr>
                <w:rStyle w:val="31"/>
                <w:rFonts w:hint="default"/>
                <w:color w:val="auto"/>
                <w:highlight w:val="none"/>
                <w:lang w:bidi="ar"/>
              </w:rPr>
              <w:t>投标须知</w:t>
            </w:r>
            <w:r>
              <w:rPr>
                <w:rStyle w:val="30"/>
                <w:rFonts w:hint="eastAsia" w:ascii="宋体" w:hAnsi="宋体" w:cs="宋体"/>
                <w:color w:val="auto"/>
                <w:highlight w:val="none"/>
                <w:lang w:bidi="ar"/>
              </w:rPr>
              <w:t>”</w:t>
            </w:r>
            <w:r>
              <w:rPr>
                <w:rStyle w:val="31"/>
                <w:color w:val="auto"/>
                <w:highlight w:val="none"/>
                <w:lang w:bidi="ar"/>
              </w:rPr>
              <w:t>的</w:t>
            </w:r>
            <w:r>
              <w:rPr>
                <w:rStyle w:val="31"/>
                <w:rFonts w:hint="default"/>
                <w:color w:val="auto"/>
                <w:highlight w:val="none"/>
                <w:lang w:bidi="ar"/>
              </w:rPr>
              <w:t>规定</w:t>
            </w:r>
          </w:p>
        </w:tc>
      </w:tr>
      <w:tr>
        <w:tblPrEx>
          <w:tblCellMar>
            <w:top w:w="0" w:type="dxa"/>
            <w:left w:w="0" w:type="dxa"/>
            <w:bottom w:w="0" w:type="dxa"/>
            <w:right w:w="0" w:type="dxa"/>
          </w:tblCellMar>
        </w:tblPrEx>
        <w:trPr>
          <w:trHeight w:val="612"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trike/>
                <w:dstrike w:val="0"/>
                <w:color w:val="auto"/>
                <w:szCs w:val="21"/>
                <w:highlight w:val="none"/>
                <w:lang w:val="en-US" w:eastAsia="zh-CN"/>
              </w:rPr>
            </w:pPr>
            <w:r>
              <w:rPr>
                <w:rFonts w:hint="eastAsia" w:ascii="宋体" w:hAnsi="宋体" w:cs="宋体"/>
                <w:strike w:val="0"/>
                <w:dstrike w:val="0"/>
                <w:color w:val="auto"/>
                <w:kern w:val="0"/>
                <w:szCs w:val="21"/>
                <w:highlight w:val="none"/>
                <w:lang w:bidi="ar"/>
              </w:rPr>
              <w:t>质量标准</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dstrike w:val="0"/>
                <w:color w:val="auto"/>
                <w:szCs w:val="21"/>
                <w:highlight w:val="none"/>
              </w:rPr>
            </w:pPr>
            <w:r>
              <w:rPr>
                <w:rFonts w:hint="eastAsia" w:ascii="宋体" w:hAnsi="宋体" w:cs="宋体"/>
                <w:strike w:val="0"/>
                <w:dstrike w:val="0"/>
                <w:color w:val="auto"/>
                <w:kern w:val="0"/>
                <w:szCs w:val="21"/>
                <w:highlight w:val="none"/>
                <w:lang w:bidi="ar"/>
              </w:rPr>
              <w:t>符合第二章“</w:t>
            </w:r>
            <w:r>
              <w:rPr>
                <w:rStyle w:val="31"/>
                <w:rFonts w:hint="default"/>
                <w:strike w:val="0"/>
                <w:dstrike w:val="0"/>
                <w:color w:val="auto"/>
                <w:highlight w:val="none"/>
                <w:lang w:bidi="ar"/>
              </w:rPr>
              <w:t>投标须知</w:t>
            </w:r>
            <w:r>
              <w:rPr>
                <w:rStyle w:val="30"/>
                <w:rFonts w:hint="eastAsia" w:ascii="宋体" w:hAnsi="宋体" w:cs="宋体"/>
                <w:strike w:val="0"/>
                <w:dstrike w:val="0"/>
                <w:color w:val="auto"/>
                <w:highlight w:val="none"/>
                <w:lang w:bidi="ar"/>
              </w:rPr>
              <w:t>”</w:t>
            </w:r>
            <w:r>
              <w:rPr>
                <w:rStyle w:val="31"/>
                <w:strike w:val="0"/>
                <w:dstrike w:val="0"/>
                <w:color w:val="auto"/>
                <w:highlight w:val="none"/>
                <w:lang w:bidi="ar"/>
              </w:rPr>
              <w:t>的</w:t>
            </w:r>
            <w:r>
              <w:rPr>
                <w:rStyle w:val="30"/>
                <w:rFonts w:hint="eastAsia" w:ascii="宋体" w:hAnsi="宋体" w:cs="宋体"/>
                <w:strike w:val="0"/>
                <w:dstrike w:val="0"/>
                <w:color w:val="auto"/>
                <w:highlight w:val="none"/>
                <w:lang w:bidi="ar"/>
              </w:rPr>
              <w:t>规定</w:t>
            </w:r>
          </w:p>
        </w:tc>
      </w:tr>
      <w:tr>
        <w:tblPrEx>
          <w:tblCellMar>
            <w:top w:w="0" w:type="dxa"/>
            <w:left w:w="0" w:type="dxa"/>
            <w:bottom w:w="0" w:type="dxa"/>
            <w:right w:w="0" w:type="dxa"/>
          </w:tblCellMar>
        </w:tblPrEx>
        <w:trPr>
          <w:trHeight w:val="554"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投标有效期</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符合第二章“</w:t>
            </w:r>
            <w:r>
              <w:rPr>
                <w:rStyle w:val="31"/>
                <w:rFonts w:hint="default"/>
                <w:color w:val="auto"/>
                <w:highlight w:val="none"/>
                <w:lang w:bidi="ar"/>
              </w:rPr>
              <w:t>投标须知</w:t>
            </w:r>
            <w:r>
              <w:rPr>
                <w:rStyle w:val="30"/>
                <w:rFonts w:hint="eastAsia" w:ascii="宋体" w:hAnsi="宋体" w:cs="宋体"/>
                <w:color w:val="auto"/>
                <w:highlight w:val="none"/>
                <w:lang w:bidi="ar"/>
              </w:rPr>
              <w:t>”的规</w:t>
            </w:r>
            <w:r>
              <w:rPr>
                <w:rStyle w:val="31"/>
                <w:rFonts w:hint="default"/>
                <w:color w:val="auto"/>
                <w:highlight w:val="none"/>
                <w:lang w:bidi="ar"/>
              </w:rPr>
              <w:t>定</w:t>
            </w:r>
          </w:p>
        </w:tc>
      </w:tr>
      <w:tr>
        <w:tblPrEx>
          <w:tblCellMar>
            <w:top w:w="0" w:type="dxa"/>
            <w:left w:w="0" w:type="dxa"/>
            <w:bottom w:w="0" w:type="dxa"/>
            <w:right w:w="0" w:type="dxa"/>
          </w:tblCellMar>
        </w:tblPrEx>
        <w:trPr>
          <w:trHeight w:val="537"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投标保证金</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符合第二章“</w:t>
            </w:r>
            <w:r>
              <w:rPr>
                <w:rStyle w:val="31"/>
                <w:rFonts w:hint="default"/>
                <w:color w:val="auto"/>
                <w:highlight w:val="none"/>
                <w:lang w:bidi="ar"/>
              </w:rPr>
              <w:t>投标须知</w:t>
            </w:r>
            <w:r>
              <w:rPr>
                <w:rStyle w:val="30"/>
                <w:rFonts w:hint="eastAsia" w:ascii="宋体" w:hAnsi="宋体" w:cs="宋体"/>
                <w:color w:val="auto"/>
                <w:highlight w:val="none"/>
                <w:lang w:bidi="ar"/>
              </w:rPr>
              <w:t>”</w:t>
            </w:r>
            <w:r>
              <w:rPr>
                <w:rStyle w:val="31"/>
                <w:color w:val="auto"/>
                <w:highlight w:val="none"/>
                <w:lang w:bidi="ar"/>
              </w:rPr>
              <w:t>的</w:t>
            </w:r>
            <w:r>
              <w:rPr>
                <w:rStyle w:val="31"/>
                <w:rFonts w:hint="default"/>
                <w:color w:val="auto"/>
                <w:highlight w:val="none"/>
                <w:lang w:bidi="ar"/>
              </w:rPr>
              <w:t>规定</w:t>
            </w:r>
          </w:p>
        </w:tc>
      </w:tr>
      <w:tr>
        <w:tblPrEx>
          <w:tblCellMar>
            <w:top w:w="0" w:type="dxa"/>
            <w:left w:w="0" w:type="dxa"/>
            <w:bottom w:w="0" w:type="dxa"/>
            <w:right w:w="0" w:type="dxa"/>
          </w:tblCellMar>
        </w:tblPrEx>
        <w:trPr>
          <w:trHeight w:val="409" w:hRule="atLeast"/>
        </w:trPr>
        <w:tc>
          <w:tcPr>
            <w:tcW w:w="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2.1.2</w:t>
            </w: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资格性审查</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营业执照</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20" w:beforeLines="50" w:line="360" w:lineRule="auto"/>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具备有效的营业执照</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资质等级</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val="0"/>
                <w:color w:val="auto"/>
                <w:szCs w:val="21"/>
                <w:highlight w:val="none"/>
              </w:rPr>
            </w:pPr>
            <w:r>
              <w:rPr>
                <w:rFonts w:hint="eastAsia" w:ascii="宋体" w:hAnsi="宋体" w:cs="宋体"/>
                <w:strike w:val="0"/>
                <w:dstrike w:val="0"/>
                <w:color w:val="auto"/>
                <w:kern w:val="0"/>
                <w:szCs w:val="21"/>
                <w:highlight w:val="none"/>
                <w:lang w:bidi="ar"/>
              </w:rPr>
              <w:t>符合招标公告“</w:t>
            </w:r>
            <w:r>
              <w:rPr>
                <w:rStyle w:val="31"/>
                <w:rFonts w:hint="default"/>
                <w:strike w:val="0"/>
                <w:dstrike w:val="0"/>
                <w:color w:val="auto"/>
                <w:highlight w:val="none"/>
                <w:lang w:bidi="ar"/>
              </w:rPr>
              <w:t>投标人资格要求</w:t>
            </w:r>
            <w:r>
              <w:rPr>
                <w:rStyle w:val="30"/>
                <w:rFonts w:hint="eastAsia" w:ascii="宋体" w:hAnsi="宋体" w:cs="宋体"/>
                <w:strike w:val="0"/>
                <w:dstrike w:val="0"/>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项目</w:t>
            </w:r>
            <w:r>
              <w:rPr>
                <w:rFonts w:hint="eastAsia" w:ascii="宋体" w:hAnsi="宋体" w:cs="宋体"/>
                <w:color w:val="auto"/>
                <w:kern w:val="0"/>
                <w:szCs w:val="21"/>
                <w:highlight w:val="none"/>
                <w:lang w:bidi="ar"/>
              </w:rPr>
              <w:t>负责人</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val="0"/>
                <w:color w:val="auto"/>
                <w:szCs w:val="21"/>
                <w:highlight w:val="none"/>
              </w:rPr>
            </w:pPr>
            <w:r>
              <w:rPr>
                <w:rFonts w:hint="eastAsia" w:ascii="宋体" w:hAnsi="宋体" w:cs="宋体"/>
                <w:strike w:val="0"/>
                <w:dstrike w:val="0"/>
                <w:color w:val="auto"/>
                <w:kern w:val="0"/>
                <w:szCs w:val="21"/>
                <w:highlight w:val="none"/>
                <w:lang w:bidi="ar"/>
              </w:rPr>
              <w:t>符合招标公告“</w:t>
            </w:r>
            <w:r>
              <w:rPr>
                <w:rStyle w:val="31"/>
                <w:rFonts w:hint="default"/>
                <w:strike w:val="0"/>
                <w:dstrike w:val="0"/>
                <w:color w:val="auto"/>
                <w:highlight w:val="none"/>
                <w:lang w:bidi="ar"/>
              </w:rPr>
              <w:t>投标人资格要求</w:t>
            </w:r>
            <w:r>
              <w:rPr>
                <w:rStyle w:val="30"/>
                <w:rFonts w:hint="eastAsia" w:ascii="宋体" w:hAnsi="宋体" w:cs="宋体"/>
                <w:strike w:val="0"/>
                <w:dstrike w:val="0"/>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bidi="ar"/>
              </w:rPr>
              <w:t>信用查询</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hint="eastAsia" w:ascii="宋体" w:hAnsi="宋体" w:cs="宋体"/>
                <w:strike w:val="0"/>
                <w:dstrike w:val="0"/>
                <w:color w:val="auto"/>
                <w:kern w:val="0"/>
                <w:szCs w:val="21"/>
                <w:highlight w:val="none"/>
                <w:lang w:bidi="ar"/>
              </w:rPr>
            </w:pPr>
            <w:r>
              <w:rPr>
                <w:rFonts w:hint="eastAsia" w:ascii="宋体" w:hAnsi="宋体" w:cs="宋体"/>
                <w:color w:val="auto"/>
                <w:kern w:val="0"/>
                <w:szCs w:val="21"/>
                <w:highlight w:val="none"/>
                <w:lang w:bidi="ar"/>
              </w:rPr>
              <w:t>符合招标公告“</w:t>
            </w:r>
            <w:r>
              <w:rPr>
                <w:rStyle w:val="31"/>
                <w:rFonts w:hint="default"/>
                <w:color w:val="auto"/>
                <w:highlight w:val="none"/>
                <w:lang w:bidi="ar"/>
              </w:rPr>
              <w:t>投标人资格要求</w:t>
            </w:r>
            <w:r>
              <w:rPr>
                <w:rStyle w:val="30"/>
                <w:rFonts w:hint="eastAsia" w:ascii="宋体" w:hAnsi="宋体" w:cs="宋体"/>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其他要求</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符合招标公告“</w:t>
            </w:r>
            <w:r>
              <w:rPr>
                <w:rStyle w:val="31"/>
                <w:rFonts w:hint="default"/>
                <w:color w:val="auto"/>
                <w:highlight w:val="none"/>
                <w:lang w:bidi="ar"/>
              </w:rPr>
              <w:t>投标人资格要求</w:t>
            </w:r>
            <w:r>
              <w:rPr>
                <w:rStyle w:val="30"/>
                <w:rFonts w:hint="eastAsia" w:ascii="宋体" w:hAnsi="宋体" w:cs="宋体"/>
                <w:color w:val="auto"/>
                <w:highlight w:val="none"/>
                <w:lang w:bidi="ar"/>
              </w:rPr>
              <w:t>”</w:t>
            </w:r>
          </w:p>
        </w:tc>
      </w:tr>
    </w:tbl>
    <w:p>
      <w:pPr>
        <w:spacing w:line="360" w:lineRule="auto"/>
        <w:jc w:val="left"/>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注：</w:t>
      </w:r>
    </w:p>
    <w:p>
      <w:pPr>
        <w:spacing w:line="360" w:lineRule="auto"/>
        <w:jc w:val="left"/>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1、出现上述情况的打“○”，否则打“×”，凡不符合以上任何一项情形，结论均为无效即“不通过”，否则就为有效即“通过”。</w:t>
      </w:r>
    </w:p>
    <w:p>
      <w:pPr>
        <w:pStyle w:val="26"/>
        <w:spacing w:line="360" w:lineRule="auto"/>
        <w:ind w:right="105" w:rightChars="50"/>
        <w:rPr>
          <w:rFonts w:hint="eastAsia"/>
          <w:color w:val="auto"/>
          <w:spacing w:val="0"/>
          <w:sz w:val="21"/>
          <w:szCs w:val="21"/>
          <w:highlight w:val="none"/>
          <w:lang w:val="en-US" w:eastAsia="zh-CN"/>
        </w:rPr>
      </w:pPr>
      <w:r>
        <w:rPr>
          <w:rFonts w:hint="eastAsia"/>
          <w:color w:val="auto"/>
          <w:spacing w:val="0"/>
          <w:sz w:val="21"/>
          <w:szCs w:val="21"/>
          <w:highlight w:val="none"/>
          <w:lang w:val="en-US" w:eastAsia="zh-CN"/>
        </w:rPr>
        <w:t>2、经评标委员会审核后，满足表中全部条件的即为“通过”，进入下一阶段评审；若评委意见不一致时，以评标委员会过半数成员的意见作为评标委员会对该情形的认定结论，决定该投标人是否通过初步评审。</w:t>
      </w:r>
    </w:p>
    <w:p>
      <w:pPr>
        <w:rPr>
          <w:rFonts w:hint="eastAsia"/>
          <w:color w:val="auto"/>
          <w:highlight w:val="none"/>
          <w:lang w:val="en-US" w:eastAsia="zh-CN"/>
        </w:rPr>
      </w:pPr>
      <w:r>
        <w:rPr>
          <w:rFonts w:hint="eastAsia"/>
          <w:color w:val="auto"/>
          <w:spacing w:val="0"/>
          <w:sz w:val="21"/>
          <w:szCs w:val="21"/>
          <w:highlight w:val="none"/>
          <w:lang w:val="en-US" w:eastAsia="zh-CN"/>
        </w:rPr>
        <w:br w:type="page"/>
      </w:r>
    </w:p>
    <w:tbl>
      <w:tblPr>
        <w:tblStyle w:val="19"/>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86"/>
        <w:gridCol w:w="1884"/>
        <w:gridCol w:w="6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条款号</w:t>
            </w:r>
          </w:p>
        </w:tc>
        <w:tc>
          <w:tcPr>
            <w:tcW w:w="1884" w:type="dxa"/>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条款内容</w:t>
            </w:r>
          </w:p>
        </w:tc>
        <w:tc>
          <w:tcPr>
            <w:tcW w:w="6779" w:type="dxa"/>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rFonts w:ascii="宋体" w:hAnsi="宋体"/>
                <w:color w:val="auto"/>
                <w:szCs w:val="21"/>
                <w:highlight w:val="none"/>
              </w:rPr>
            </w:pPr>
            <w:r>
              <w:rPr>
                <w:rFonts w:ascii="宋体" w:hAnsi="宋体"/>
                <w:color w:val="auto"/>
                <w:szCs w:val="21"/>
                <w:highlight w:val="none"/>
              </w:rPr>
              <w:t>2.2.1</w:t>
            </w:r>
          </w:p>
        </w:tc>
        <w:tc>
          <w:tcPr>
            <w:tcW w:w="1884" w:type="dxa"/>
            <w:vAlign w:val="center"/>
          </w:tcPr>
          <w:p>
            <w:pPr>
              <w:widowControl/>
              <w:snapToGrid w:val="0"/>
              <w:spacing w:line="460" w:lineRule="exact"/>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分值构成</w:t>
            </w:r>
          </w:p>
          <w:p>
            <w:pPr>
              <w:widowControl/>
              <w:snapToGrid w:val="0"/>
              <w:spacing w:line="460" w:lineRule="exact"/>
              <w:jc w:val="center"/>
              <w:textAlignment w:val="center"/>
              <w:rPr>
                <w:rFonts w:ascii="宋体" w:hAnsi="宋体" w:cs="宋体"/>
                <w:color w:val="auto"/>
                <w:szCs w:val="21"/>
                <w:highlight w:val="none"/>
              </w:rPr>
            </w:pPr>
            <w:r>
              <w:rPr>
                <w:rFonts w:hint="eastAsia" w:ascii="宋体" w:hAnsi="宋体" w:cs="宋体"/>
                <w:color w:val="auto"/>
                <w:sz w:val="22"/>
                <w:szCs w:val="22"/>
                <w:highlight w:val="none"/>
              </w:rPr>
              <w:t>(总分100分)</w:t>
            </w:r>
          </w:p>
        </w:tc>
        <w:tc>
          <w:tcPr>
            <w:tcW w:w="6779" w:type="dxa"/>
            <w:vAlign w:val="center"/>
          </w:tcPr>
          <w:p>
            <w:pPr>
              <w:widowControl/>
              <w:snapToGrid w:val="0"/>
              <w:spacing w:line="4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1.技术标评分：40分；</w:t>
            </w:r>
          </w:p>
          <w:p>
            <w:pPr>
              <w:widowControl/>
              <w:snapToGrid w:val="0"/>
              <w:spacing w:line="4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2.商务标评分：60分，其中：</w:t>
            </w:r>
          </w:p>
          <w:p>
            <w:pPr>
              <w:widowControl/>
              <w:snapToGrid w:val="0"/>
              <w:spacing w:line="4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（1）商务部分：50分；</w:t>
            </w:r>
          </w:p>
          <w:p>
            <w:pPr>
              <w:widowControl/>
              <w:snapToGrid w:val="0"/>
              <w:spacing w:line="4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（2）投标报价：10分。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b/>
                <w:color w:val="auto"/>
                <w:szCs w:val="21"/>
                <w:highlight w:val="none"/>
              </w:rPr>
            </w:pPr>
            <w:r>
              <w:rPr>
                <w:b/>
                <w:color w:val="auto"/>
                <w:szCs w:val="21"/>
                <w:highlight w:val="none"/>
              </w:rPr>
              <w:t>条款号</w:t>
            </w:r>
          </w:p>
        </w:tc>
        <w:tc>
          <w:tcPr>
            <w:tcW w:w="1884" w:type="dxa"/>
            <w:vAlign w:val="center"/>
          </w:tcPr>
          <w:p>
            <w:pPr>
              <w:spacing w:line="336" w:lineRule="auto"/>
              <w:jc w:val="center"/>
              <w:rPr>
                <w:b/>
                <w:color w:val="auto"/>
                <w:szCs w:val="21"/>
                <w:highlight w:val="none"/>
              </w:rPr>
            </w:pPr>
            <w:r>
              <w:rPr>
                <w:b/>
                <w:color w:val="auto"/>
                <w:szCs w:val="21"/>
                <w:highlight w:val="none"/>
              </w:rPr>
              <w:t>评分因素</w:t>
            </w:r>
          </w:p>
        </w:tc>
        <w:tc>
          <w:tcPr>
            <w:tcW w:w="6779" w:type="dxa"/>
            <w:vAlign w:val="center"/>
          </w:tcPr>
          <w:p>
            <w:pPr>
              <w:spacing w:line="336" w:lineRule="auto"/>
              <w:jc w:val="center"/>
              <w:rPr>
                <w:b/>
                <w:color w:val="auto"/>
                <w:szCs w:val="21"/>
                <w:highlight w:val="none"/>
              </w:rPr>
            </w:pPr>
            <w:r>
              <w:rPr>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781" w:type="dxa"/>
            <w:vMerge w:val="restart"/>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2（1）</w:t>
            </w:r>
          </w:p>
        </w:tc>
        <w:tc>
          <w:tcPr>
            <w:tcW w:w="1086" w:type="dxa"/>
            <w:vMerge w:val="restart"/>
            <w:vAlign w:val="center"/>
          </w:tcPr>
          <w:p>
            <w:pPr>
              <w:spacing w:line="336" w:lineRule="auto"/>
              <w:jc w:val="center"/>
              <w:rPr>
                <w:rFonts w:ascii="宋体" w:hAnsi="宋体"/>
                <w:color w:val="auto"/>
                <w:szCs w:val="21"/>
                <w:highlight w:val="none"/>
              </w:rPr>
            </w:pPr>
            <w:r>
              <w:rPr>
                <w:rFonts w:hint="eastAsia" w:ascii="宋体" w:hAnsi="宋体"/>
                <w:color w:val="auto"/>
                <w:szCs w:val="21"/>
                <w:highlight w:val="none"/>
              </w:rPr>
              <w:t>技术标评分标准</w:t>
            </w:r>
          </w:p>
          <w:p>
            <w:pPr>
              <w:pStyle w:val="13"/>
              <w:ind w:left="0" w:firstLine="0"/>
              <w:rPr>
                <w:color w:val="auto"/>
                <w:highlight w:val="none"/>
              </w:rPr>
            </w:pPr>
            <w:r>
              <w:rPr>
                <w:rFonts w:hint="eastAsia" w:hAnsi="宋体"/>
                <w:color w:val="auto"/>
                <w:sz w:val="21"/>
                <w:szCs w:val="21"/>
                <w:highlight w:val="none"/>
              </w:rPr>
              <w:t>（40分）</w:t>
            </w:r>
          </w:p>
        </w:tc>
        <w:tc>
          <w:tcPr>
            <w:tcW w:w="1884" w:type="dxa"/>
            <w:vAlign w:val="center"/>
          </w:tcPr>
          <w:p>
            <w:pPr>
              <w:spacing w:line="336" w:lineRule="auto"/>
              <w:jc w:val="center"/>
              <w:rPr>
                <w:rFonts w:ascii="宋体" w:hAnsi="宋体" w:cs="宋体"/>
                <w:color w:val="auto"/>
                <w:szCs w:val="21"/>
                <w:highlight w:val="none"/>
              </w:rPr>
            </w:pPr>
            <w:r>
              <w:rPr>
                <w:rFonts w:hint="eastAsia" w:ascii="宋体" w:hAnsi="宋体" w:cs="宋体"/>
                <w:color w:val="auto"/>
                <w:szCs w:val="21"/>
                <w:highlight w:val="none"/>
              </w:rPr>
              <w:t>对工程的理解及重点难点分析 （12分）</w:t>
            </w:r>
          </w:p>
        </w:tc>
        <w:tc>
          <w:tcPr>
            <w:tcW w:w="6779" w:type="dxa"/>
            <w:vAlign w:val="center"/>
          </w:tcPr>
          <w:p>
            <w:pPr>
              <w:autoSpaceDE w:val="0"/>
              <w:autoSpaceDN w:val="0"/>
              <w:adjustRightInd w:val="0"/>
              <w:spacing w:line="360" w:lineRule="auto"/>
              <w:jc w:val="left"/>
              <w:rPr>
                <w:rFonts w:ascii="宋体" w:hAnsi="宋体" w:cs="宋体"/>
                <w:color w:val="auto"/>
                <w:highlight w:val="none"/>
              </w:rPr>
            </w:pPr>
            <w:r>
              <w:rPr>
                <w:rFonts w:hint="eastAsia" w:ascii="宋体" w:hAnsi="宋体" w:cs="宋体"/>
                <w:color w:val="auto"/>
                <w:highlight w:val="none"/>
              </w:rPr>
              <w:t>主要考察投标人对工程的理解程度、对工程勘察设计作出的重点难点分析及本阶段设计应注意的事项。理解清晰，重点难点把握准确，分析透彻、合理、有说服力的得满分，其它按不同等级给分。</w:t>
            </w:r>
          </w:p>
          <w:p>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highlight w:val="none"/>
              </w:rPr>
              <w:t>【优】得（12分），【良】得（11.5分），【一般】得（11分）。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vAlign w:val="center"/>
          </w:tcPr>
          <w:p>
            <w:pPr>
              <w:spacing w:line="336" w:lineRule="auto"/>
              <w:jc w:val="center"/>
              <w:rPr>
                <w:rFonts w:ascii="宋体" w:hAnsi="宋体" w:cs="宋体"/>
                <w:color w:val="auto"/>
                <w:szCs w:val="21"/>
                <w:highlight w:val="none"/>
              </w:rPr>
            </w:pPr>
            <w:r>
              <w:rPr>
                <w:rFonts w:hint="eastAsia" w:ascii="宋体" w:hAnsi="宋体" w:cs="宋体"/>
                <w:color w:val="auto"/>
                <w:szCs w:val="21"/>
                <w:highlight w:val="none"/>
              </w:rPr>
              <w:t>勘察、设计方案</w:t>
            </w:r>
          </w:p>
          <w:p>
            <w:pPr>
              <w:spacing w:line="336" w:lineRule="auto"/>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6779" w:type="dxa"/>
            <w:vAlign w:val="center"/>
          </w:tcPr>
          <w:p>
            <w:pPr>
              <w:autoSpaceDE w:val="0"/>
              <w:autoSpaceDN w:val="0"/>
              <w:adjustRightInd w:val="0"/>
              <w:spacing w:line="360" w:lineRule="auto"/>
              <w:jc w:val="left"/>
              <w:rPr>
                <w:rFonts w:ascii="宋体" w:hAnsi="宋体" w:cs="宋体"/>
                <w:color w:val="auto"/>
                <w:highlight w:val="none"/>
              </w:rPr>
            </w:pPr>
            <w:r>
              <w:rPr>
                <w:rFonts w:hint="eastAsia" w:ascii="宋体" w:hAnsi="宋体" w:cs="宋体"/>
                <w:color w:val="auto"/>
                <w:highlight w:val="none"/>
              </w:rPr>
              <w:t>1、勘察方案（满分5分）：主要考察投标人提出的勘察方案的合理性和可行性。合理、可行、能满足设计需要的得满分，其它按不同等级给分。</w:t>
            </w:r>
          </w:p>
          <w:p>
            <w:pPr>
              <w:autoSpaceDE w:val="0"/>
              <w:autoSpaceDN w:val="0"/>
              <w:adjustRightInd w:val="0"/>
              <w:spacing w:line="360" w:lineRule="auto"/>
              <w:jc w:val="left"/>
              <w:rPr>
                <w:rFonts w:ascii="宋体" w:hAnsi="宋体" w:cs="宋体"/>
                <w:color w:val="auto"/>
                <w:highlight w:val="none"/>
              </w:rPr>
            </w:pPr>
            <w:r>
              <w:rPr>
                <w:rFonts w:hint="eastAsia" w:ascii="宋体" w:hAnsi="宋体" w:cs="宋体"/>
                <w:color w:val="auto"/>
                <w:highlight w:val="none"/>
              </w:rPr>
              <w:t>【优】得（5分），【良】得（4.5分），【一般】得（4分）。</w:t>
            </w:r>
          </w:p>
          <w:p>
            <w:pPr>
              <w:autoSpaceDE w:val="0"/>
              <w:autoSpaceDN w:val="0"/>
              <w:adjustRightInd w:val="0"/>
              <w:spacing w:line="360" w:lineRule="auto"/>
              <w:jc w:val="left"/>
              <w:rPr>
                <w:rFonts w:ascii="宋体" w:hAnsi="宋体" w:cs="宋体"/>
                <w:color w:val="auto"/>
                <w:highlight w:val="none"/>
              </w:rPr>
            </w:pPr>
            <w:r>
              <w:rPr>
                <w:rFonts w:hint="eastAsia" w:ascii="宋体" w:hAnsi="宋体" w:cs="宋体"/>
                <w:color w:val="auto"/>
                <w:highlight w:val="none"/>
              </w:rPr>
              <w:t>2、设计方案（满分5分）：主要考察投标人提出的设计方案的合理性和可行性。合理、可行、能满足设计需要的得满分，其它按不同等级给分。</w:t>
            </w:r>
          </w:p>
          <w:p>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highlight w:val="none"/>
              </w:rPr>
              <w:t>【优】得（5分），【良】得（4.5分），【一般】得（4分）。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ascii="宋体" w:hAnsi="宋体" w:cs="宋体"/>
                <w:color w:val="auto"/>
                <w:szCs w:val="21"/>
                <w:highlight w:val="none"/>
              </w:rPr>
            </w:pPr>
            <w:r>
              <w:rPr>
                <w:rFonts w:hint="eastAsia" w:ascii="宋体" w:hAnsi="宋体" w:cs="宋体"/>
                <w:color w:val="auto"/>
                <w:szCs w:val="21"/>
                <w:highlight w:val="none"/>
              </w:rPr>
              <w:t>进度计划及其保证措施（6分）</w:t>
            </w:r>
          </w:p>
        </w:tc>
        <w:tc>
          <w:tcPr>
            <w:tcW w:w="6779" w:type="dxa"/>
            <w:vAlign w:val="center"/>
          </w:tcPr>
          <w:p>
            <w:pPr>
              <w:autoSpaceDE w:val="0"/>
              <w:autoSpaceDN w:val="0"/>
              <w:adjustRightInd w:val="0"/>
              <w:spacing w:line="360" w:lineRule="auto"/>
              <w:jc w:val="left"/>
              <w:rPr>
                <w:rFonts w:ascii="宋体" w:hAnsi="宋体" w:cs="宋体"/>
                <w:color w:val="auto"/>
                <w:highlight w:val="none"/>
              </w:rPr>
            </w:pPr>
            <w:r>
              <w:rPr>
                <w:rFonts w:hint="eastAsia" w:ascii="宋体" w:hAnsi="宋体" w:cs="宋体"/>
                <w:color w:val="auto"/>
                <w:highlight w:val="none"/>
              </w:rPr>
              <w:t>主要考察投标人的进度计划及其保证措施。进度计划满足招标文件要求，进度计划的各项保证措施（如人员、资金、设备等）具体、可行的得满分，其它按不同等级给分。</w:t>
            </w:r>
          </w:p>
          <w:p>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highlight w:val="none"/>
              </w:rPr>
              <w:t>【优】得（6分），【良】得（5.5分），【一般】得（5分）。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ascii="宋体" w:hAnsi="宋体" w:cs="宋体"/>
                <w:color w:val="auto"/>
                <w:szCs w:val="21"/>
                <w:highlight w:val="none"/>
              </w:rPr>
            </w:pPr>
            <w:r>
              <w:rPr>
                <w:rFonts w:hint="eastAsia" w:ascii="宋体" w:hAnsi="宋体" w:cs="宋体"/>
                <w:color w:val="auto"/>
                <w:szCs w:val="21"/>
                <w:highlight w:val="none"/>
              </w:rPr>
              <w:t>质量控制措施   （6分）</w:t>
            </w:r>
          </w:p>
        </w:tc>
        <w:tc>
          <w:tcPr>
            <w:tcW w:w="6779" w:type="dxa"/>
            <w:vAlign w:val="center"/>
          </w:tcPr>
          <w:p>
            <w:pPr>
              <w:autoSpaceDE w:val="0"/>
              <w:autoSpaceDN w:val="0"/>
              <w:adjustRightInd w:val="0"/>
              <w:spacing w:line="360" w:lineRule="auto"/>
              <w:jc w:val="left"/>
              <w:rPr>
                <w:rFonts w:ascii="宋体" w:hAnsi="宋体" w:cs="宋体"/>
                <w:color w:val="auto"/>
                <w:highlight w:val="none"/>
              </w:rPr>
            </w:pPr>
            <w:r>
              <w:rPr>
                <w:rFonts w:hint="eastAsia" w:ascii="宋体" w:hAnsi="宋体" w:cs="宋体"/>
                <w:color w:val="auto"/>
                <w:highlight w:val="none"/>
              </w:rPr>
              <w:t>主要考察投标人设计过程的质量控制措施。质量控制措施具体、责任明确、满足有关规程规范的可得满分，其它按不同等级给分。</w:t>
            </w:r>
          </w:p>
          <w:p>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highlight w:val="none"/>
              </w:rPr>
              <w:t>【优】得（6分），【良】得（5.5分），【一般】得（5分）。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ascii="宋体" w:hAnsi="宋体" w:cs="宋体"/>
                <w:color w:val="auto"/>
                <w:szCs w:val="21"/>
                <w:highlight w:val="none"/>
              </w:rPr>
            </w:pPr>
            <w:r>
              <w:rPr>
                <w:rFonts w:hint="eastAsia" w:ascii="宋体" w:hAnsi="宋体" w:cs="宋体"/>
                <w:color w:val="auto"/>
                <w:szCs w:val="21"/>
                <w:highlight w:val="none"/>
              </w:rPr>
              <w:t>造价控制措施   （6分）</w:t>
            </w:r>
          </w:p>
        </w:tc>
        <w:tc>
          <w:tcPr>
            <w:tcW w:w="6779" w:type="dxa"/>
            <w:vAlign w:val="center"/>
          </w:tcPr>
          <w:p>
            <w:pPr>
              <w:autoSpaceDE w:val="0"/>
              <w:autoSpaceDN w:val="0"/>
              <w:adjustRightInd w:val="0"/>
              <w:spacing w:line="360" w:lineRule="auto"/>
              <w:jc w:val="left"/>
              <w:rPr>
                <w:rFonts w:ascii="宋体" w:hAnsi="宋体" w:cs="宋体"/>
                <w:color w:val="auto"/>
                <w:highlight w:val="none"/>
              </w:rPr>
            </w:pPr>
            <w:r>
              <w:rPr>
                <w:rFonts w:hint="eastAsia" w:ascii="宋体" w:hAnsi="宋体" w:cs="宋体"/>
                <w:color w:val="auto"/>
                <w:highlight w:val="none"/>
              </w:rPr>
              <w:t>主要考察投标人针对本工程提出的造价控制措施。造价控制措施切实可行的得满分，其它按不同等级给分。</w:t>
            </w:r>
          </w:p>
          <w:p>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highlight w:val="none"/>
              </w:rPr>
              <w:t>【优】得（6分），【良】得（5.5分），【一般】得（5分）。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781" w:type="dxa"/>
            <w:vMerge w:val="restart"/>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2（2）</w:t>
            </w:r>
          </w:p>
        </w:tc>
        <w:tc>
          <w:tcPr>
            <w:tcW w:w="1086" w:type="dxa"/>
            <w:vMerge w:val="restart"/>
            <w:vAlign w:val="center"/>
          </w:tcPr>
          <w:p>
            <w:pPr>
              <w:spacing w:line="336" w:lineRule="auto"/>
              <w:jc w:val="center"/>
              <w:rPr>
                <w:color w:val="auto"/>
                <w:highlight w:val="none"/>
              </w:rPr>
            </w:pPr>
            <w:r>
              <w:rPr>
                <w:rFonts w:hint="eastAsia"/>
                <w:color w:val="auto"/>
                <w:highlight w:val="none"/>
              </w:rPr>
              <w:t>商务部分评分标准</w:t>
            </w:r>
          </w:p>
          <w:p>
            <w:pPr>
              <w:spacing w:line="336" w:lineRule="auto"/>
              <w:jc w:val="center"/>
              <w:rPr>
                <w:color w:val="auto"/>
                <w:highlight w:val="none"/>
              </w:rPr>
            </w:pPr>
            <w:r>
              <w:rPr>
                <w:rFonts w:hint="eastAsia" w:ascii="宋体" w:hAnsi="宋体" w:cs="宋体"/>
                <w:color w:val="auto"/>
                <w:szCs w:val="21"/>
                <w:highlight w:val="none"/>
              </w:rPr>
              <w:t>（50分）</w:t>
            </w:r>
          </w:p>
          <w:p>
            <w:pPr>
              <w:spacing w:line="336" w:lineRule="auto"/>
              <w:jc w:val="center"/>
              <w:rPr>
                <w:rFonts w:ascii="宋体" w:hAnsi="宋体"/>
                <w:color w:val="auto"/>
                <w:szCs w:val="21"/>
                <w:highlight w:val="none"/>
              </w:rPr>
            </w:pPr>
          </w:p>
        </w:tc>
        <w:tc>
          <w:tcPr>
            <w:tcW w:w="1884" w:type="dxa"/>
            <w:vAlign w:val="center"/>
          </w:tcPr>
          <w:p>
            <w:pPr>
              <w:widowControl/>
              <w:spacing w:line="300" w:lineRule="auto"/>
              <w:ind w:right="46" w:rightChars="22"/>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企业业绩    </w:t>
            </w:r>
          </w:p>
          <w:p>
            <w:pPr>
              <w:widowControl/>
              <w:spacing w:line="300" w:lineRule="auto"/>
              <w:ind w:right="46" w:rightChars="22"/>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（12分）</w:t>
            </w:r>
          </w:p>
        </w:tc>
        <w:tc>
          <w:tcPr>
            <w:tcW w:w="6779" w:type="dxa"/>
            <w:vAlign w:val="center"/>
          </w:tcPr>
          <w:p>
            <w:pPr>
              <w:snapToGrid w:val="0"/>
              <w:spacing w:line="360" w:lineRule="auto"/>
              <w:ind w:left="105" w:leftChars="50" w:right="105" w:rightChars="5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投标人（或联合体牵头人）自2018年5月1日至今，承担过总投资或建安费超过</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0000万元及以上的河道（水环境）综合整治或黑臭水体整治或水生态修复设计项目业绩，每提供一项得2分。（本项最高得12分）</w:t>
            </w:r>
          </w:p>
          <w:p>
            <w:pPr>
              <w:widowControl/>
              <w:snapToGrid w:val="0"/>
              <w:spacing w:line="36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注：以上业绩需要提供中标通知书或合同等材料复印件加盖公章，时间以合同签订时间为准；总投资或建安费如中标通知书或合同中未注明，须提供审图合格证或批复证明或业主证明资料。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vAlign w:val="center"/>
          </w:tcPr>
          <w:p>
            <w:pPr>
              <w:snapToGrid w:val="0"/>
              <w:spacing w:line="360" w:lineRule="auto"/>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企业获奖   </w:t>
            </w:r>
          </w:p>
          <w:p>
            <w:pPr>
              <w:snapToGrid w:val="0"/>
              <w:spacing w:line="360" w:lineRule="auto"/>
              <w:ind w:left="105" w:leftChars="50" w:right="105" w:rightChars="50"/>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8</w:t>
            </w:r>
            <w:r>
              <w:rPr>
                <w:rFonts w:hint="eastAsia" w:ascii="宋体" w:hAnsi="宋体" w:cs="宋体"/>
                <w:color w:val="auto"/>
                <w:kern w:val="0"/>
                <w:szCs w:val="21"/>
                <w:highlight w:val="none"/>
                <w:lang w:bidi="ar"/>
              </w:rPr>
              <w:t>分）</w:t>
            </w:r>
          </w:p>
        </w:tc>
        <w:tc>
          <w:tcPr>
            <w:tcW w:w="6779" w:type="dxa"/>
            <w:vAlign w:val="center"/>
          </w:tcPr>
          <w:p>
            <w:pPr>
              <w:snapToGrid w:val="0"/>
              <w:spacing w:line="360" w:lineRule="auto"/>
              <w:ind w:left="105" w:leftChars="50" w:right="105" w:rightChars="5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投标人（或联合体牵头人）自2018年5月1日至今：</w:t>
            </w:r>
          </w:p>
          <w:p>
            <w:pPr>
              <w:snapToGrid w:val="0"/>
              <w:spacing w:line="360" w:lineRule="auto"/>
              <w:ind w:left="105" w:leftChars="50" w:right="105" w:rightChars="5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（1）获得国家优质工程奖的，每次得1分，最高得2分；</w:t>
            </w:r>
          </w:p>
          <w:p>
            <w:pPr>
              <w:snapToGrid w:val="0"/>
              <w:spacing w:line="360" w:lineRule="auto"/>
              <w:ind w:left="105" w:leftChars="50" w:right="105" w:rightChars="50"/>
              <w:jc w:val="left"/>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bidi="ar"/>
              </w:rPr>
              <w:t>（2）获得过国家级科学技术奖项的，每次得1分，最高得2分；</w:t>
            </w:r>
          </w:p>
          <w:p>
            <w:pPr>
              <w:snapToGrid w:val="0"/>
              <w:spacing w:line="360" w:lineRule="auto"/>
              <w:ind w:left="105" w:leftChars="50" w:right="105" w:rightChars="5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（3）获得过国家级优秀勘察设计奖的，每次得1分，最高得2分；</w:t>
            </w:r>
          </w:p>
          <w:p>
            <w:pPr>
              <w:snapToGrid w:val="0"/>
              <w:spacing w:line="360" w:lineRule="auto"/>
              <w:ind w:left="105" w:leftChars="50" w:right="105" w:rightChars="5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（4）获得过詹天佑奖的，每次得1分，最高得2分；</w:t>
            </w:r>
          </w:p>
          <w:p>
            <w:pPr>
              <w:snapToGrid w:val="0"/>
              <w:spacing w:line="360" w:lineRule="auto"/>
              <w:ind w:left="105" w:leftChars="50" w:right="105" w:rightChars="5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注：本项最高得8分。同一工程获奖以最高奖项计算。需要提供获奖证书或获奖公示文件等彩色扫描件。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781" w:type="dxa"/>
            <w:vMerge w:val="continue"/>
            <w:vAlign w:val="center"/>
          </w:tcPr>
          <w:p>
            <w:pPr>
              <w:spacing w:line="336" w:lineRule="auto"/>
              <w:rPr>
                <w:rFonts w:ascii="宋体" w:hAnsi="宋体"/>
                <w:color w:val="auto"/>
                <w:szCs w:val="21"/>
                <w:highlight w:val="none"/>
              </w:rPr>
            </w:pPr>
          </w:p>
        </w:tc>
        <w:tc>
          <w:tcPr>
            <w:tcW w:w="1086" w:type="dxa"/>
            <w:vMerge w:val="continue"/>
            <w:vAlign w:val="center"/>
          </w:tcPr>
          <w:p>
            <w:pPr>
              <w:spacing w:line="336" w:lineRule="auto"/>
              <w:rPr>
                <w:rFonts w:ascii="宋体" w:hAnsi="宋体"/>
                <w:color w:val="auto"/>
                <w:szCs w:val="21"/>
                <w:highlight w:val="none"/>
              </w:rPr>
            </w:pPr>
          </w:p>
        </w:tc>
        <w:tc>
          <w:tcPr>
            <w:tcW w:w="1884" w:type="dxa"/>
            <w:vAlign w:val="center"/>
          </w:tcPr>
          <w:p>
            <w:pPr>
              <w:widowControl/>
              <w:spacing w:line="300" w:lineRule="auto"/>
              <w:ind w:right="46" w:rightChars="22"/>
              <w:jc w:val="center"/>
              <w:rPr>
                <w:rFonts w:ascii="宋体" w:hAnsi="宋体" w:cs="宋体"/>
                <w:color w:val="auto"/>
                <w:szCs w:val="21"/>
                <w:highlight w:val="none"/>
              </w:rPr>
            </w:pPr>
            <w:r>
              <w:rPr>
                <w:rFonts w:hint="eastAsia" w:ascii="宋体" w:hAnsi="宋体" w:cs="宋体"/>
                <w:color w:val="auto"/>
                <w:szCs w:val="21"/>
                <w:highlight w:val="none"/>
              </w:rPr>
              <w:t>企业信用</w:t>
            </w:r>
          </w:p>
          <w:p>
            <w:pPr>
              <w:snapToGrid w:val="0"/>
              <w:spacing w:line="360" w:lineRule="auto"/>
              <w:ind w:left="105" w:leftChars="50" w:right="105" w:rightChars="50"/>
              <w:jc w:val="center"/>
              <w:rPr>
                <w:rFonts w:ascii="宋体" w:hAnsi="宋体" w:cs="宋体"/>
                <w:color w:val="auto"/>
                <w:kern w:val="0"/>
                <w:szCs w:val="21"/>
                <w:highlight w:val="none"/>
                <w:lang w:bidi="ar"/>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779" w:type="dxa"/>
            <w:vAlign w:val="center"/>
          </w:tcPr>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投标人企业信用得分=开标时在广东省水利建设市场信用信息平台“勘测设计资质”栏查询的投标人实时信用分数(超过100分按100分计)×10%。</w:t>
            </w:r>
            <w:r>
              <w:rPr>
                <w:rFonts w:hint="eastAsia" w:ascii="宋体" w:hAnsi="宋体" w:cs="宋体"/>
                <w:b/>
                <w:bCs/>
                <w:color w:val="auto"/>
                <w:szCs w:val="21"/>
                <w:highlight w:val="none"/>
              </w:rPr>
              <w:t>如是联合体的，</w:t>
            </w:r>
            <w:r>
              <w:rPr>
                <w:rFonts w:hint="eastAsia" w:ascii="宋体" w:hAnsi="宋体" w:cs="宋体"/>
                <w:color w:val="auto"/>
                <w:szCs w:val="21"/>
                <w:highlight w:val="none"/>
              </w:rPr>
              <w:t>以信用分值较低的联合体成员的信用分值计算信用得分，本项最高得10分。</w:t>
            </w:r>
          </w:p>
          <w:p>
            <w:pPr>
              <w:snapToGrid w:val="0"/>
              <w:spacing w:line="360" w:lineRule="auto"/>
              <w:ind w:left="105" w:leftChars="50" w:right="105" w:rightChars="50"/>
              <w:jc w:val="left"/>
              <w:rPr>
                <w:rFonts w:ascii="宋体" w:hAnsi="宋体" w:cs="宋体"/>
                <w:color w:val="auto"/>
                <w:kern w:val="0"/>
                <w:szCs w:val="21"/>
                <w:highlight w:val="none"/>
                <w:lang w:bidi="ar"/>
              </w:rPr>
            </w:pPr>
            <w:r>
              <w:rPr>
                <w:rFonts w:hint="eastAsia" w:ascii="宋体" w:hAnsi="宋体" w:cs="宋体"/>
                <w:color w:val="auto"/>
                <w:szCs w:val="21"/>
                <w:highlight w:val="none"/>
              </w:rPr>
              <w:t>注：本项由招标人或招标代理机构在开标现场实时查询，记录在开标现场登记表中。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781" w:type="dxa"/>
            <w:vMerge w:val="continue"/>
            <w:vAlign w:val="center"/>
          </w:tcPr>
          <w:p>
            <w:pPr>
              <w:spacing w:line="336" w:lineRule="auto"/>
              <w:rPr>
                <w:color w:val="auto"/>
                <w:szCs w:val="21"/>
                <w:highlight w:val="none"/>
              </w:rPr>
            </w:pPr>
          </w:p>
        </w:tc>
        <w:tc>
          <w:tcPr>
            <w:tcW w:w="1086" w:type="dxa"/>
            <w:vMerge w:val="continue"/>
            <w:vAlign w:val="center"/>
          </w:tcPr>
          <w:p>
            <w:pPr>
              <w:spacing w:line="336" w:lineRule="auto"/>
              <w:rPr>
                <w:color w:val="auto"/>
                <w:szCs w:val="21"/>
                <w:highlight w:val="none"/>
              </w:rPr>
            </w:pPr>
          </w:p>
        </w:tc>
        <w:tc>
          <w:tcPr>
            <w:tcW w:w="1884" w:type="dxa"/>
            <w:vMerge w:val="restart"/>
            <w:vAlign w:val="center"/>
          </w:tcPr>
          <w:p>
            <w:pPr>
              <w:adjustRightInd w:val="0"/>
              <w:snapToGrid w:val="0"/>
              <w:ind w:left="-21" w:leftChars="-10" w:firstLine="21" w:firstLineChars="1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企业资信     </w:t>
            </w:r>
          </w:p>
          <w:p>
            <w:pPr>
              <w:adjustRightInd w:val="0"/>
              <w:snapToGrid w:val="0"/>
              <w:ind w:left="-21" w:leftChars="-10" w:firstLine="21" w:firstLineChars="10"/>
              <w:jc w:val="center"/>
              <w:rPr>
                <w:rFonts w:ascii="宋体" w:hAnsi="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8</w:t>
            </w:r>
            <w:r>
              <w:rPr>
                <w:rFonts w:hint="eastAsia" w:ascii="宋体" w:hAnsi="宋体" w:cs="宋体"/>
                <w:color w:val="auto"/>
                <w:kern w:val="0"/>
                <w:szCs w:val="21"/>
                <w:highlight w:val="none"/>
                <w:lang w:bidi="ar"/>
              </w:rPr>
              <w:t>分）</w:t>
            </w:r>
          </w:p>
        </w:tc>
        <w:tc>
          <w:tcPr>
            <w:tcW w:w="6779" w:type="dxa"/>
            <w:vAlign w:val="center"/>
          </w:tcPr>
          <w:p>
            <w:pPr>
              <w:spacing w:line="360" w:lineRule="auto"/>
              <w:ind w:left="105" w:leftChars="50" w:right="105" w:rightChars="50"/>
              <w:rPr>
                <w:rFonts w:ascii="宋体" w:hAnsi="宋体" w:cs="宋体"/>
                <w:color w:val="auto"/>
                <w:szCs w:val="21"/>
                <w:highlight w:val="none"/>
              </w:rPr>
            </w:pPr>
            <w:r>
              <w:rPr>
                <w:rFonts w:hint="eastAsia" w:ascii="宋体" w:hAnsi="宋体" w:cs="宋体"/>
                <w:color w:val="auto"/>
                <w:szCs w:val="21"/>
                <w:highlight w:val="none"/>
              </w:rPr>
              <w:t>投标人（或联合体牵头人）具有资信评估机构颁发的资信等级证书，资信等级为AAA级，证书在有效期内，得2分</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（本小项最高得2分）。</w:t>
            </w:r>
          </w:p>
          <w:p>
            <w:pPr>
              <w:spacing w:line="360" w:lineRule="auto"/>
              <w:ind w:left="105" w:leftChars="50" w:right="105" w:rightChars="50"/>
              <w:rPr>
                <w:rFonts w:ascii="宋体" w:hAnsi="宋体" w:cs="宋体"/>
                <w:color w:val="auto"/>
                <w:szCs w:val="21"/>
                <w:highlight w:val="none"/>
              </w:rPr>
            </w:pPr>
            <w:r>
              <w:rPr>
                <w:rFonts w:hint="eastAsia" w:ascii="宋体" w:hAnsi="宋体" w:cs="宋体"/>
                <w:color w:val="auto"/>
                <w:szCs w:val="21"/>
                <w:highlight w:val="none"/>
              </w:rPr>
              <w:t>注：提供相关证书复印件并加盖公章。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81" w:type="dxa"/>
            <w:vMerge w:val="continue"/>
            <w:vAlign w:val="center"/>
          </w:tcPr>
          <w:p>
            <w:pPr>
              <w:widowControl/>
              <w:snapToGrid w:val="0"/>
              <w:spacing w:before="72" w:beforeLines="30" w:line="360" w:lineRule="auto"/>
              <w:ind w:left="105" w:leftChars="50" w:right="105" w:rightChars="50"/>
              <w:rPr>
                <w:color w:val="auto"/>
                <w:highlight w:val="none"/>
              </w:rPr>
            </w:pPr>
          </w:p>
        </w:tc>
        <w:tc>
          <w:tcPr>
            <w:tcW w:w="1086" w:type="dxa"/>
            <w:vMerge w:val="continue"/>
            <w:vAlign w:val="center"/>
          </w:tcPr>
          <w:p>
            <w:pPr>
              <w:widowControl/>
              <w:snapToGrid w:val="0"/>
              <w:spacing w:before="72" w:beforeLines="30" w:line="360" w:lineRule="auto"/>
              <w:ind w:left="105" w:leftChars="50" w:right="105" w:rightChars="50"/>
              <w:rPr>
                <w:color w:val="auto"/>
                <w:highlight w:val="none"/>
              </w:rPr>
            </w:pPr>
          </w:p>
        </w:tc>
        <w:tc>
          <w:tcPr>
            <w:tcW w:w="1884" w:type="dxa"/>
            <w:vMerge w:val="continue"/>
            <w:vAlign w:val="center"/>
          </w:tcPr>
          <w:p>
            <w:pPr>
              <w:adjustRightInd w:val="0"/>
              <w:snapToGrid w:val="0"/>
              <w:ind w:left="-199" w:leftChars="-95" w:firstLine="115" w:firstLineChars="55"/>
              <w:jc w:val="center"/>
              <w:rPr>
                <w:color w:val="auto"/>
                <w:highlight w:val="none"/>
              </w:rPr>
            </w:pPr>
          </w:p>
        </w:tc>
        <w:tc>
          <w:tcPr>
            <w:tcW w:w="6779" w:type="dxa"/>
            <w:vAlign w:val="center"/>
          </w:tcPr>
          <w:p>
            <w:pPr>
              <w:spacing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投标人（或联合体牵头人）通过具有ISO9001质量管理体系认证证书、环境管理体系认证证书、职业健康安全管理体系认证证书、信息安全管理体系认证证书的得2分，通过工程勘察设计行业质量管理体系升级版认证证书AAA级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分、AAA+级得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分。（本小项最高得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pPr>
              <w:spacing w:line="360" w:lineRule="auto"/>
              <w:ind w:left="105" w:leftChars="50" w:right="105" w:rightChars="50"/>
              <w:rPr>
                <w:rFonts w:ascii="宋体" w:hAnsi="宋体" w:cs="宋体"/>
                <w:color w:val="auto"/>
                <w:szCs w:val="21"/>
                <w:highlight w:val="none"/>
              </w:rPr>
            </w:pPr>
            <w:r>
              <w:rPr>
                <w:rFonts w:hint="eastAsia" w:ascii="宋体" w:hAnsi="宋体" w:cs="宋体"/>
                <w:color w:val="auto"/>
                <w:szCs w:val="21"/>
                <w:highlight w:val="none"/>
              </w:rPr>
              <w:t>注：提供相关证书复印件并加盖公章。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81" w:type="dxa"/>
            <w:vMerge w:val="continue"/>
            <w:vAlign w:val="center"/>
          </w:tcPr>
          <w:p>
            <w:pPr>
              <w:spacing w:line="336" w:lineRule="auto"/>
              <w:rPr>
                <w:rFonts w:ascii="宋体" w:hAnsi="宋体"/>
                <w:color w:val="auto"/>
                <w:szCs w:val="21"/>
                <w:highlight w:val="none"/>
              </w:rPr>
            </w:pPr>
          </w:p>
        </w:tc>
        <w:tc>
          <w:tcPr>
            <w:tcW w:w="1086" w:type="dxa"/>
            <w:vMerge w:val="continue"/>
            <w:vAlign w:val="center"/>
          </w:tcPr>
          <w:p>
            <w:pPr>
              <w:spacing w:line="336" w:lineRule="auto"/>
              <w:rPr>
                <w:rFonts w:ascii="宋体" w:hAnsi="宋体"/>
                <w:color w:val="auto"/>
                <w:szCs w:val="21"/>
                <w:highlight w:val="none"/>
              </w:rPr>
            </w:pPr>
          </w:p>
        </w:tc>
        <w:tc>
          <w:tcPr>
            <w:tcW w:w="1884" w:type="dxa"/>
            <w:vAlign w:val="center"/>
          </w:tcPr>
          <w:p>
            <w:pPr>
              <w:adjustRightInd w:val="0"/>
              <w:snapToGrid w:val="0"/>
              <w:ind w:left="-21" w:leftChars="-10" w:firstLine="21" w:firstLineChars="10"/>
              <w:jc w:val="center"/>
              <w:rPr>
                <w:rFonts w:ascii="宋体" w:hAnsi="宋体" w:cs="宋体"/>
                <w:color w:val="auto"/>
                <w:szCs w:val="21"/>
                <w:highlight w:val="none"/>
              </w:rPr>
            </w:pPr>
            <w:r>
              <w:rPr>
                <w:rFonts w:hint="eastAsia" w:ascii="宋体" w:hAnsi="宋体" w:cs="宋体"/>
                <w:color w:val="auto"/>
                <w:szCs w:val="21"/>
                <w:highlight w:val="none"/>
              </w:rPr>
              <w:t>拟投入本项目实施团队配置</w:t>
            </w:r>
          </w:p>
          <w:p>
            <w:pPr>
              <w:adjustRightInd w:val="0"/>
              <w:snapToGrid w:val="0"/>
              <w:ind w:left="-21" w:leftChars="-10" w:firstLine="21" w:firstLineChars="10"/>
              <w:jc w:val="center"/>
              <w:rPr>
                <w:rFonts w:ascii="宋体" w:hAnsi="宋体" w:cs="宋体"/>
                <w:color w:val="auto"/>
                <w:kern w:val="0"/>
                <w:szCs w:val="21"/>
                <w:highlight w:val="none"/>
                <w:lang w:bidi="ar"/>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tc>
        <w:tc>
          <w:tcPr>
            <w:tcW w:w="6779" w:type="dxa"/>
            <w:vAlign w:val="center"/>
          </w:tcPr>
          <w:p>
            <w:pPr>
              <w:widowControl/>
              <w:snapToGrid w:val="0"/>
              <w:spacing w:before="120" w:beforeLines="50" w:line="360" w:lineRule="auto"/>
              <w:ind w:right="105" w:rightChars="50"/>
              <w:rPr>
                <w:color w:val="auto"/>
                <w:highlight w:val="none"/>
              </w:rPr>
            </w:pPr>
            <w:r>
              <w:rPr>
                <w:rFonts w:hint="eastAsia"/>
                <w:color w:val="auto"/>
                <w:highlight w:val="none"/>
              </w:rPr>
              <w:t>1.投标人拟投入项目负责人要求：</w:t>
            </w:r>
          </w:p>
          <w:p>
            <w:pPr>
              <w:pStyle w:val="2"/>
              <w:numPr>
                <w:ilvl w:val="1"/>
                <w:numId w:val="0"/>
              </w:numPr>
              <w:spacing w:line="360" w:lineRule="auto"/>
              <w:ind w:leftChars="0"/>
              <w:rPr>
                <w:rFonts w:hint="eastAsia" w:ascii="Times New Roman" w:hAnsi="Times New Roman" w:eastAsia="宋体" w:cs="Times New Roman"/>
                <w:b w:val="0"/>
                <w:i w:val="0"/>
                <w:color w:val="auto"/>
                <w:kern w:val="2"/>
                <w:sz w:val="21"/>
                <w:szCs w:val="24"/>
                <w:highlight w:val="none"/>
                <w:lang w:val="en-US" w:eastAsia="zh-CN" w:bidi="ar-SA"/>
              </w:rPr>
            </w:pPr>
            <w:r>
              <w:rPr>
                <w:rFonts w:hint="eastAsia" w:ascii="Times New Roman" w:hAnsi="Times New Roman" w:eastAsia="宋体" w:cs="Times New Roman"/>
                <w:b w:val="0"/>
                <w:i w:val="0"/>
                <w:color w:val="auto"/>
                <w:kern w:val="2"/>
                <w:sz w:val="21"/>
                <w:szCs w:val="24"/>
                <w:highlight w:val="none"/>
                <w:lang w:val="en-US" w:eastAsia="zh-CN" w:bidi="ar-SA"/>
              </w:rPr>
              <w:t>具有水利相关专业高级工程师及以上职称且具有注册土木工程师（水利水电工程）执业资格证书的，得1分，其他情况不得分。</w:t>
            </w:r>
          </w:p>
          <w:p>
            <w:pPr>
              <w:pStyle w:val="2"/>
              <w:numPr>
                <w:ilvl w:val="1"/>
                <w:numId w:val="0"/>
              </w:numPr>
              <w:spacing w:line="360" w:lineRule="auto"/>
              <w:ind w:leftChars="0"/>
              <w:rPr>
                <w:rFonts w:hint="eastAsia" w:ascii="Times New Roman" w:hAnsi="Times New Roman" w:eastAsia="宋体" w:cs="Times New Roman"/>
                <w:b w:val="0"/>
                <w:i w:val="0"/>
                <w:color w:val="auto"/>
                <w:kern w:val="2"/>
                <w:sz w:val="21"/>
                <w:szCs w:val="24"/>
                <w:highlight w:val="none"/>
                <w:lang w:val="en-US" w:eastAsia="zh-CN" w:bidi="ar-SA"/>
              </w:rPr>
            </w:pPr>
            <w:r>
              <w:rPr>
                <w:rFonts w:hint="eastAsia" w:ascii="Times New Roman" w:hAnsi="Times New Roman" w:eastAsia="宋体" w:cs="Times New Roman"/>
                <w:b w:val="0"/>
                <w:i w:val="0"/>
                <w:color w:val="auto"/>
                <w:kern w:val="2"/>
                <w:sz w:val="21"/>
                <w:szCs w:val="24"/>
                <w:highlight w:val="none"/>
                <w:lang w:val="en-US" w:eastAsia="zh-CN" w:bidi="ar-SA"/>
              </w:rPr>
              <w:t>注：本项最高得1 分。上述人员需同时提供：①毕业证书复印件；②职称证书复印件；③身份证及近3个月（不含开标当月）的社保缴费单的复印件；④说明：与水利相关的专业，包括水利、水文、农水、水工结构、水工建筑、水利水电等专业。</w:t>
            </w:r>
          </w:p>
          <w:p>
            <w:pPr>
              <w:pStyle w:val="2"/>
              <w:numPr>
                <w:ilvl w:val="1"/>
                <w:numId w:val="0"/>
              </w:numPr>
              <w:spacing w:line="360" w:lineRule="auto"/>
              <w:ind w:leftChars="0"/>
              <w:rPr>
                <w:rFonts w:hint="eastAsia" w:ascii="Times New Roman" w:hAnsi="Times New Roman" w:eastAsia="宋体" w:cs="Times New Roman"/>
                <w:b w:val="0"/>
                <w:i w:val="0"/>
                <w:color w:val="auto"/>
                <w:kern w:val="2"/>
                <w:sz w:val="21"/>
                <w:szCs w:val="24"/>
                <w:highlight w:val="none"/>
                <w:lang w:val="en-US" w:eastAsia="zh-CN" w:bidi="ar-SA"/>
              </w:rPr>
            </w:pPr>
            <w:r>
              <w:rPr>
                <w:rFonts w:hint="eastAsia" w:ascii="Times New Roman" w:hAnsi="Times New Roman" w:eastAsia="宋体" w:cs="Times New Roman"/>
                <w:b w:val="0"/>
                <w:i w:val="0"/>
                <w:color w:val="auto"/>
                <w:kern w:val="2"/>
                <w:sz w:val="21"/>
                <w:szCs w:val="24"/>
                <w:highlight w:val="none"/>
                <w:lang w:val="en-US" w:eastAsia="zh-CN" w:bidi="ar-SA"/>
              </w:rPr>
              <w:t>2.投标人拟投入本项目团队人员情况（项目负责人除外）：</w:t>
            </w:r>
          </w:p>
          <w:p>
            <w:pPr>
              <w:pStyle w:val="2"/>
              <w:numPr>
                <w:ilvl w:val="1"/>
                <w:numId w:val="0"/>
              </w:numPr>
              <w:spacing w:line="360" w:lineRule="auto"/>
              <w:ind w:leftChars="0"/>
              <w:rPr>
                <w:rFonts w:hint="eastAsia" w:ascii="Times New Roman" w:hAnsi="Times New Roman" w:eastAsia="宋体" w:cs="Times New Roman"/>
                <w:b w:val="0"/>
                <w:i w:val="0"/>
                <w:color w:val="auto"/>
                <w:kern w:val="2"/>
                <w:sz w:val="21"/>
                <w:szCs w:val="24"/>
                <w:highlight w:val="none"/>
                <w:lang w:val="en-US" w:eastAsia="zh-CN" w:bidi="ar-SA"/>
              </w:rPr>
            </w:pPr>
            <w:r>
              <w:rPr>
                <w:rFonts w:hint="eastAsia" w:ascii="Times New Roman" w:hAnsi="Times New Roman" w:eastAsia="宋体" w:cs="Times New Roman"/>
                <w:b w:val="0"/>
                <w:i w:val="0"/>
                <w:color w:val="auto"/>
                <w:kern w:val="2"/>
                <w:sz w:val="21"/>
                <w:szCs w:val="24"/>
                <w:highlight w:val="none"/>
                <w:lang w:val="en-US" w:eastAsia="zh-CN" w:bidi="ar-SA"/>
              </w:rPr>
              <w:t>（1）配备勘察专业人员：单个人员具备工程类高级工程师及以上职称得0.5分，同时具备注册土木工程师（岩土）执业资格证书得1分，本项最高得2分。</w:t>
            </w:r>
          </w:p>
          <w:p>
            <w:pPr>
              <w:pStyle w:val="2"/>
              <w:numPr>
                <w:ilvl w:val="1"/>
                <w:numId w:val="0"/>
              </w:numPr>
              <w:spacing w:line="360" w:lineRule="auto"/>
              <w:ind w:leftChars="0"/>
              <w:rPr>
                <w:rFonts w:hint="eastAsia" w:ascii="Times New Roman" w:hAnsi="Times New Roman" w:eastAsia="宋体" w:cs="Times New Roman"/>
                <w:b w:val="0"/>
                <w:i w:val="0"/>
                <w:color w:val="auto"/>
                <w:kern w:val="2"/>
                <w:sz w:val="21"/>
                <w:szCs w:val="24"/>
                <w:highlight w:val="none"/>
                <w:lang w:val="en-US" w:eastAsia="zh-CN" w:bidi="ar-SA"/>
              </w:rPr>
            </w:pPr>
            <w:r>
              <w:rPr>
                <w:rFonts w:hint="eastAsia" w:ascii="Times New Roman" w:hAnsi="Times New Roman" w:eastAsia="宋体" w:cs="Times New Roman"/>
                <w:b w:val="0"/>
                <w:i w:val="0"/>
                <w:color w:val="auto"/>
                <w:kern w:val="2"/>
                <w:sz w:val="21"/>
                <w:szCs w:val="24"/>
                <w:highlight w:val="none"/>
                <w:lang w:val="en-US" w:eastAsia="zh-CN" w:bidi="ar-SA"/>
              </w:rPr>
              <w:t>（2）配备水利专业人员：单个人员具备水利工程类高级工程师及以上职称得0.5分，同时具备注册土木工程师（水利水电工程）执业资格证书得1分，单个人员最高得1分，本项最高得4分。</w:t>
            </w:r>
          </w:p>
          <w:p>
            <w:pPr>
              <w:pStyle w:val="2"/>
              <w:numPr>
                <w:ilvl w:val="1"/>
                <w:numId w:val="0"/>
              </w:numPr>
              <w:spacing w:line="360" w:lineRule="auto"/>
              <w:ind w:leftChars="0"/>
              <w:rPr>
                <w:rFonts w:hint="eastAsia" w:ascii="Times New Roman" w:hAnsi="Times New Roman" w:eastAsia="宋体" w:cs="Times New Roman"/>
                <w:b w:val="0"/>
                <w:i w:val="0"/>
                <w:color w:val="auto"/>
                <w:kern w:val="2"/>
                <w:sz w:val="21"/>
                <w:szCs w:val="24"/>
                <w:highlight w:val="none"/>
                <w:lang w:val="en-US" w:eastAsia="zh-CN" w:bidi="ar-SA"/>
              </w:rPr>
            </w:pPr>
            <w:r>
              <w:rPr>
                <w:rFonts w:hint="eastAsia" w:ascii="Times New Roman" w:hAnsi="Times New Roman" w:eastAsia="宋体" w:cs="Times New Roman"/>
                <w:b w:val="0"/>
                <w:i w:val="0"/>
                <w:color w:val="auto"/>
                <w:kern w:val="2"/>
                <w:sz w:val="21"/>
                <w:szCs w:val="24"/>
                <w:highlight w:val="none"/>
                <w:lang w:val="en-US" w:eastAsia="zh-CN" w:bidi="ar-SA"/>
              </w:rPr>
              <w:t>（3）配备道路专业人员：具备工程类高级工程师及以上职称得0.5分，同时具备注册土木工程师（道路工程）执业资格证书得1分，本项最高得1分。</w:t>
            </w:r>
          </w:p>
          <w:p>
            <w:pPr>
              <w:pStyle w:val="2"/>
              <w:numPr>
                <w:ilvl w:val="1"/>
                <w:numId w:val="0"/>
              </w:numPr>
              <w:spacing w:line="360" w:lineRule="auto"/>
              <w:ind w:leftChars="0"/>
              <w:rPr>
                <w:rFonts w:hint="eastAsia" w:ascii="Times New Roman" w:hAnsi="Times New Roman" w:eastAsia="宋体" w:cs="Times New Roman"/>
                <w:b w:val="0"/>
                <w:i w:val="0"/>
                <w:color w:val="auto"/>
                <w:kern w:val="2"/>
                <w:sz w:val="21"/>
                <w:szCs w:val="24"/>
                <w:highlight w:val="none"/>
                <w:lang w:val="en-US" w:eastAsia="zh-CN" w:bidi="ar-SA"/>
              </w:rPr>
            </w:pPr>
            <w:r>
              <w:rPr>
                <w:rFonts w:hint="eastAsia" w:ascii="Times New Roman" w:hAnsi="Times New Roman" w:eastAsia="宋体" w:cs="Times New Roman"/>
                <w:b w:val="0"/>
                <w:i w:val="0"/>
                <w:color w:val="auto"/>
                <w:kern w:val="2"/>
                <w:sz w:val="21"/>
                <w:szCs w:val="24"/>
                <w:highlight w:val="none"/>
                <w:lang w:val="en-US" w:eastAsia="zh-CN" w:bidi="ar-SA"/>
              </w:rPr>
              <w:t>（4）配备结构专业人员：具备工程类高级工程师及以上职称得0.5分，同时具备一级注册结构工程师执业资格证书得1分，本项最高得1分。</w:t>
            </w:r>
          </w:p>
          <w:p>
            <w:pPr>
              <w:pStyle w:val="2"/>
              <w:numPr>
                <w:ilvl w:val="1"/>
                <w:numId w:val="0"/>
              </w:numPr>
              <w:spacing w:line="360" w:lineRule="auto"/>
              <w:ind w:leftChars="0"/>
              <w:rPr>
                <w:rFonts w:hint="eastAsia" w:ascii="Times New Roman" w:hAnsi="Times New Roman" w:eastAsia="宋体" w:cs="Times New Roman"/>
                <w:b w:val="0"/>
                <w:i w:val="0"/>
                <w:color w:val="auto"/>
                <w:kern w:val="2"/>
                <w:sz w:val="21"/>
                <w:szCs w:val="24"/>
                <w:highlight w:val="none"/>
                <w:lang w:val="en-US" w:eastAsia="zh-CN" w:bidi="ar-SA"/>
              </w:rPr>
            </w:pPr>
            <w:r>
              <w:rPr>
                <w:rFonts w:hint="eastAsia" w:ascii="Times New Roman" w:hAnsi="Times New Roman" w:eastAsia="宋体" w:cs="Times New Roman"/>
                <w:b w:val="0"/>
                <w:i w:val="0"/>
                <w:color w:val="auto"/>
                <w:kern w:val="2"/>
                <w:sz w:val="21"/>
                <w:szCs w:val="24"/>
                <w:highlight w:val="none"/>
                <w:lang w:val="en-US" w:eastAsia="zh-CN" w:bidi="ar-SA"/>
              </w:rPr>
              <w:t>（5）配备风景园林专业人员：具备工程类高级工程师及以上职称得0.5分，同时具备注册城乡规划师执业资格证书得1分，本项最高得1分。</w:t>
            </w:r>
          </w:p>
          <w:p>
            <w:pPr>
              <w:pStyle w:val="2"/>
              <w:numPr>
                <w:ilvl w:val="1"/>
                <w:numId w:val="0"/>
              </w:numPr>
              <w:spacing w:line="360" w:lineRule="auto"/>
              <w:ind w:leftChars="0"/>
              <w:rPr>
                <w:rFonts w:hint="eastAsia" w:ascii="Times New Roman" w:hAnsi="Times New Roman" w:eastAsia="宋体" w:cs="Times New Roman"/>
                <w:b w:val="0"/>
                <w:i w:val="0"/>
                <w:color w:val="auto"/>
                <w:kern w:val="2"/>
                <w:sz w:val="21"/>
                <w:szCs w:val="24"/>
                <w:highlight w:val="none"/>
                <w:lang w:val="en-US" w:eastAsia="zh-CN" w:bidi="ar-SA"/>
              </w:rPr>
            </w:pPr>
            <w:r>
              <w:rPr>
                <w:rFonts w:hint="eastAsia" w:ascii="Times New Roman" w:hAnsi="Times New Roman" w:eastAsia="宋体" w:cs="Times New Roman"/>
                <w:b w:val="0"/>
                <w:i w:val="0"/>
                <w:color w:val="auto"/>
                <w:kern w:val="2"/>
                <w:sz w:val="21"/>
                <w:szCs w:val="24"/>
                <w:highlight w:val="none"/>
                <w:lang w:val="en-US" w:eastAsia="zh-CN" w:bidi="ar-SA"/>
              </w:rPr>
              <w:t>（6）配备造价专业人员：单个人员具备工程类高级工程师及以上职称得0.5分，同时具备一级注册造价工程师执业资格证书得1分，本项最高得2分。</w:t>
            </w:r>
          </w:p>
          <w:p>
            <w:pPr>
              <w:pStyle w:val="2"/>
              <w:numPr>
                <w:ilvl w:val="1"/>
                <w:numId w:val="0"/>
              </w:numPr>
              <w:spacing w:line="360" w:lineRule="auto"/>
              <w:ind w:leftChars="0"/>
              <w:rPr>
                <w:color w:val="auto"/>
                <w:highlight w:val="none"/>
              </w:rPr>
            </w:pPr>
            <w:r>
              <w:rPr>
                <w:rFonts w:hint="eastAsia" w:ascii="Times New Roman" w:hAnsi="Times New Roman" w:eastAsia="宋体" w:cs="Times New Roman"/>
                <w:b w:val="0"/>
                <w:i w:val="0"/>
                <w:color w:val="auto"/>
                <w:kern w:val="2"/>
                <w:sz w:val="21"/>
                <w:szCs w:val="24"/>
                <w:highlight w:val="none"/>
                <w:lang w:val="en-US" w:eastAsia="zh-CN" w:bidi="ar-SA"/>
              </w:rPr>
              <w:t>注：本项最高得12分。上述岗位人员每个岗位人员只能任职单一岗位，不得互相兼任。（须提供相关证书、身份证及近3个月（不含开标当月）的社保缴费单的复印件）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81" w:type="dxa"/>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2（3）</w:t>
            </w:r>
          </w:p>
        </w:tc>
        <w:tc>
          <w:tcPr>
            <w:tcW w:w="1086" w:type="dxa"/>
            <w:vAlign w:val="center"/>
          </w:tcPr>
          <w:p>
            <w:pPr>
              <w:spacing w:line="336" w:lineRule="auto"/>
              <w:jc w:val="center"/>
              <w:rPr>
                <w:rFonts w:ascii="宋体" w:hAnsi="宋体"/>
                <w:color w:val="auto"/>
                <w:szCs w:val="21"/>
                <w:highlight w:val="none"/>
              </w:rPr>
            </w:pPr>
            <w:r>
              <w:rPr>
                <w:rFonts w:ascii="宋体" w:hAnsi="宋体"/>
                <w:color w:val="auto"/>
                <w:szCs w:val="21"/>
                <w:highlight w:val="none"/>
              </w:rPr>
              <w:t>投标报价评分标准</w:t>
            </w:r>
            <w:r>
              <w:rPr>
                <w:rFonts w:hint="eastAsia" w:ascii="宋体" w:hAnsi="宋体"/>
                <w:color w:val="auto"/>
                <w:szCs w:val="21"/>
                <w:highlight w:val="none"/>
              </w:rPr>
              <w:t>（10分）</w:t>
            </w:r>
          </w:p>
        </w:tc>
        <w:tc>
          <w:tcPr>
            <w:tcW w:w="1884" w:type="dxa"/>
            <w:vAlign w:val="center"/>
          </w:tcPr>
          <w:p>
            <w:pPr>
              <w:spacing w:line="336" w:lineRule="auto"/>
              <w:jc w:val="center"/>
              <w:rPr>
                <w:rFonts w:ascii="宋体" w:hAnsi="宋体"/>
                <w:color w:val="auto"/>
                <w:szCs w:val="21"/>
                <w:highlight w:val="none"/>
              </w:rPr>
            </w:pPr>
            <w:r>
              <w:rPr>
                <w:rFonts w:ascii="宋体" w:hAnsi="宋体"/>
                <w:color w:val="auto"/>
                <w:szCs w:val="21"/>
                <w:highlight w:val="none"/>
              </w:rPr>
              <w:t>投标报价</w:t>
            </w:r>
            <w:r>
              <w:rPr>
                <w:rFonts w:hint="eastAsia" w:ascii="宋体" w:hAnsi="宋体"/>
                <w:color w:val="auto"/>
                <w:szCs w:val="21"/>
                <w:highlight w:val="none"/>
              </w:rPr>
              <w:t xml:space="preserve">     （1</w:t>
            </w:r>
            <w:r>
              <w:rPr>
                <w:rFonts w:hint="eastAsia" w:ascii="宋体" w:hAnsi="宋体"/>
                <w:bCs/>
                <w:color w:val="auto"/>
                <w:szCs w:val="21"/>
                <w:highlight w:val="none"/>
              </w:rPr>
              <w:t>0分）</w:t>
            </w:r>
          </w:p>
        </w:tc>
        <w:tc>
          <w:tcPr>
            <w:tcW w:w="6779" w:type="dxa"/>
            <w:vAlign w:val="center"/>
          </w:tcPr>
          <w:p>
            <w:pPr>
              <w:pStyle w:val="26"/>
              <w:spacing w:before="120" w:beforeLines="50" w:line="312"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1、评标价平均值的计算：有效投标人大于或等于 5 家时，所有投标人的有效评标价去掉一个最高值和一个最低值后的算术平均值即为评标价平均值（有效投标人少于 5 家时，则计算评标价平均值时不去掉最高值和最低值）。</w:t>
            </w:r>
          </w:p>
          <w:p>
            <w:pPr>
              <w:pStyle w:val="26"/>
              <w:spacing w:before="120" w:beforeLines="50" w:line="312"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2、评标基准价的确定：</w:t>
            </w:r>
          </w:p>
          <w:p>
            <w:pPr>
              <w:pStyle w:val="26"/>
              <w:spacing w:before="120" w:beforeLines="50" w:line="312"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将评标价平均值直接作为评标基准价。即：评标基准价=评标价平均值（以上涉及价格的数值以元为单位，保留小数点后二位，第三位数四舍五入）</w:t>
            </w:r>
          </w:p>
          <w:p>
            <w:pPr>
              <w:pStyle w:val="26"/>
              <w:spacing w:before="120" w:beforeLines="50" w:line="312"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3、投标报价得分计算公式如下：</w:t>
            </w:r>
          </w:p>
          <w:p>
            <w:pPr>
              <w:pStyle w:val="26"/>
              <w:spacing w:before="120" w:beforeLines="50" w:line="312"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（1）当投标人的投标报价等于评标基准价时，投标报价得分=10分；</w:t>
            </w:r>
          </w:p>
          <w:p>
            <w:pPr>
              <w:pStyle w:val="26"/>
              <w:spacing w:before="120" w:beforeLines="50" w:line="312"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（2）当投标人的投标报价＞评标基准价时，投标报价得分=[10－0.2×100×（投标报价－评标基准价）/评标基准价]；</w:t>
            </w:r>
          </w:p>
          <w:p>
            <w:pPr>
              <w:autoSpaceDE w:val="0"/>
              <w:autoSpaceDN w:val="0"/>
              <w:spacing w:before="4" w:line="360" w:lineRule="auto"/>
              <w:ind w:right="128" w:rightChars="61"/>
              <w:jc w:val="left"/>
              <w:rPr>
                <w:rFonts w:ascii="宋体" w:hAnsi="宋体" w:cs="宋体"/>
                <w:bCs/>
                <w:color w:val="auto"/>
                <w:kern w:val="0"/>
                <w:szCs w:val="21"/>
                <w:highlight w:val="none"/>
              </w:rPr>
            </w:pPr>
            <w:r>
              <w:rPr>
                <w:rFonts w:hint="eastAsia" w:ascii="宋体" w:hAnsi="宋体" w:cs="宋体"/>
                <w:bCs/>
                <w:color w:val="auto"/>
                <w:kern w:val="0"/>
                <w:szCs w:val="21"/>
                <w:highlight w:val="none"/>
              </w:rPr>
              <w:t>（3）当投标人的投标报价＜评标基准价时，投标报价得分=[10-0.1×100×（评标基准价－投标报价）/评标基准价]。</w:t>
            </w:r>
          </w:p>
          <w:p>
            <w:pPr>
              <w:spacing w:line="336" w:lineRule="auto"/>
              <w:rPr>
                <w:rFonts w:ascii="宋体" w:hAnsi="宋体" w:cs="宋体"/>
                <w:color w:val="auto"/>
                <w:kern w:val="0"/>
                <w:szCs w:val="21"/>
                <w:highlight w:val="none"/>
              </w:rPr>
            </w:pPr>
            <w:r>
              <w:rPr>
                <w:rFonts w:hint="eastAsia" w:ascii="宋体" w:hAnsi="宋体" w:cs="宋体"/>
                <w:color w:val="auto"/>
                <w:szCs w:val="21"/>
                <w:highlight w:val="none"/>
              </w:rPr>
              <w:t>注：投标</w:t>
            </w:r>
            <w:r>
              <w:rPr>
                <w:rFonts w:hint="eastAsia" w:ascii="宋体" w:hAnsi="宋体" w:cs="宋体"/>
                <w:color w:val="auto"/>
                <w:kern w:val="0"/>
                <w:szCs w:val="21"/>
                <w:highlight w:val="none"/>
                <w:lang w:bidi="ar"/>
              </w:rPr>
              <w:t>报价得分计算保留小数点后两位，小数点后第三位“四舍五入”。</w:t>
            </w:r>
          </w:p>
        </w:tc>
      </w:tr>
    </w:tbl>
    <w:p>
      <w:pPr>
        <w:pStyle w:val="26"/>
        <w:spacing w:line="360" w:lineRule="auto"/>
        <w:ind w:right="105" w:rightChars="50"/>
        <w:rPr>
          <w:rFonts w:hint="eastAsia" w:ascii="宋体" w:hAnsi="宋体" w:eastAsia="宋体" w:cs="宋体"/>
          <w:bCs/>
          <w:color w:val="auto"/>
          <w:sz w:val="21"/>
          <w:szCs w:val="21"/>
          <w:highlight w:val="none"/>
          <w:lang w:val="en-US" w:eastAsia="zh-CN"/>
        </w:rPr>
      </w:pP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pPr>
        <w:numPr>
          <w:ilvl w:val="0"/>
          <w:numId w:val="0"/>
        </w:numPr>
        <w:spacing w:before="40" w:line="480" w:lineRule="auto"/>
        <w:ind w:right="0" w:rightChars="0"/>
        <w:jc w:val="left"/>
        <w:rPr>
          <w:color w:val="auto"/>
          <w:highlight w:val="none"/>
        </w:rPr>
      </w:pPr>
      <w:r>
        <w:rPr>
          <w:rFonts w:hint="eastAsia" w:ascii="宋体" w:hAnsi="宋体" w:eastAsia="宋体" w:cs="Times New Roman"/>
          <w:b/>
          <w:bCs/>
          <w:color w:val="auto"/>
          <w:kern w:val="2"/>
          <w:sz w:val="28"/>
          <w:szCs w:val="32"/>
          <w:highlight w:val="none"/>
          <w:lang w:val="en-US" w:eastAsia="zh-CN" w:bidi="ar-SA"/>
        </w:rPr>
        <w:t>1.评标方法</w:t>
      </w:r>
    </w:p>
    <w:p>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cs="宋体"/>
          <w:color w:val="auto"/>
          <w:sz w:val="21"/>
          <w:szCs w:val="21"/>
          <w:highlight w:val="none"/>
        </w:rPr>
      </w:pPr>
      <w:bookmarkStart w:id="18" w:name="_Toc468539729"/>
      <w:bookmarkStart w:id="19" w:name="_Toc152042378"/>
      <w:bookmarkStart w:id="20" w:name="_Toc247514025"/>
      <w:bookmarkStart w:id="21" w:name="_Toc152045601"/>
      <w:bookmarkStart w:id="22" w:name="_Toc144974568"/>
      <w:bookmarkStart w:id="23" w:name="_Toc247527626"/>
      <w:r>
        <w:rPr>
          <w:rFonts w:hint="eastAsia" w:ascii="宋体" w:hAnsi="宋体"/>
          <w:color w:val="auto"/>
          <w:szCs w:val="21"/>
          <w:highlight w:val="none"/>
        </w:rPr>
        <w:t>本次评标采用综合评估法。评标委员会对满足招标文件实质性要求的投标文件，按照本章第2.2款规定的评分标准进行打分。</w:t>
      </w:r>
      <w:r>
        <w:rPr>
          <w:rFonts w:hint="eastAsia" w:ascii="宋体" w:hAnsi="宋体" w:eastAsia="宋体" w:cs="宋体"/>
          <w:color w:val="auto"/>
          <w:sz w:val="21"/>
          <w:szCs w:val="21"/>
          <w:highlight w:val="none"/>
        </w:rPr>
        <w:t>评标委员会将按照</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得分由高到低的顺序推荐前三名为中标候选人，其中</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得分最高的为第一中标候选人，</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得分第二的为第二中标候选人，</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得分第三的为第三中标候选人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若</w:t>
      </w:r>
      <w:r>
        <w:rPr>
          <w:rFonts w:hint="eastAsia" w:ascii="宋体" w:hAnsi="宋体" w:cs="宋体"/>
          <w:color w:val="auto"/>
          <w:sz w:val="21"/>
          <w:szCs w:val="21"/>
          <w:highlight w:val="none"/>
          <w:lang w:val="en-US" w:eastAsia="zh-CN"/>
        </w:rPr>
        <w:t>总</w:t>
      </w:r>
      <w:r>
        <w:rPr>
          <w:rFonts w:hint="eastAsia" w:ascii="宋体" w:hAnsi="宋体" w:cs="宋体"/>
          <w:color w:val="auto"/>
          <w:sz w:val="21"/>
          <w:szCs w:val="21"/>
          <w:highlight w:val="none"/>
          <w:lang w:eastAsia="zh-CN"/>
        </w:rPr>
        <w:t>得分相同时，以技术得分高者排名在前；若技术得分仍相同时，投标报价低的优先；投标报价也相等的，由则由评标委员会予以表决确定中标候选人的排序。</w:t>
      </w:r>
    </w:p>
    <w:p>
      <w:pPr>
        <w:numPr>
          <w:ilvl w:val="0"/>
          <w:numId w:val="0"/>
        </w:numPr>
        <w:spacing w:before="40" w:line="480" w:lineRule="auto"/>
        <w:ind w:right="0" w:rightChars="0"/>
        <w:jc w:val="left"/>
        <w:rPr>
          <w:rFonts w:hint="eastAsia" w:ascii="宋体" w:hAnsi="宋体" w:eastAsia="宋体" w:cs="Times New Roman"/>
          <w:b/>
          <w:bCs/>
          <w:color w:val="auto"/>
          <w:kern w:val="2"/>
          <w:sz w:val="28"/>
          <w:szCs w:val="32"/>
          <w:highlight w:val="none"/>
          <w:lang w:val="en-US" w:eastAsia="zh-CN" w:bidi="ar-SA"/>
        </w:rPr>
      </w:pPr>
      <w:bookmarkStart w:id="24" w:name="_Toc16331"/>
      <w:bookmarkStart w:id="25" w:name="_Toc19395"/>
      <w:bookmarkStart w:id="26" w:name="_Toc510196967"/>
      <w:r>
        <w:rPr>
          <w:rFonts w:hint="eastAsia" w:ascii="宋体" w:hAnsi="宋体" w:eastAsia="宋体" w:cs="Times New Roman"/>
          <w:b/>
          <w:bCs/>
          <w:color w:val="auto"/>
          <w:kern w:val="2"/>
          <w:sz w:val="28"/>
          <w:szCs w:val="32"/>
          <w:highlight w:val="none"/>
          <w:lang w:val="en-US" w:eastAsia="zh-CN" w:bidi="ar-SA"/>
        </w:rPr>
        <w:t>2.评审标准</w:t>
      </w:r>
      <w:bookmarkEnd w:id="18"/>
      <w:bookmarkEnd w:id="19"/>
      <w:bookmarkEnd w:id="20"/>
      <w:bookmarkEnd w:id="21"/>
      <w:bookmarkEnd w:id="22"/>
      <w:bookmarkEnd w:id="23"/>
      <w:bookmarkEnd w:id="24"/>
      <w:bookmarkEnd w:id="25"/>
      <w:bookmarkEnd w:id="26"/>
    </w:p>
    <w:p>
      <w:pPr>
        <w:pStyle w:val="2"/>
        <w:pageBreakBefore w:val="0"/>
        <w:widowControl w:val="0"/>
        <w:numPr>
          <w:ilvl w:val="1"/>
          <w:numId w:val="0"/>
        </w:numPr>
        <w:kinsoku/>
        <w:wordWrap/>
        <w:overflowPunct/>
        <w:topLinePunct w:val="0"/>
        <w:autoSpaceDE/>
        <w:autoSpaceDN/>
        <w:bidi w:val="0"/>
        <w:adjustRightInd/>
        <w:snapToGrid/>
        <w:spacing w:before="0" w:after="0" w:line="480" w:lineRule="auto"/>
        <w:ind w:leftChars="0"/>
        <w:textAlignment w:val="auto"/>
        <w:rPr>
          <w:rFonts w:hint="eastAsia" w:ascii="宋体" w:hAnsi="宋体"/>
          <w:b/>
          <w:bCs/>
          <w:i w:val="0"/>
          <w:iCs/>
          <w:color w:val="auto"/>
          <w:highlight w:val="none"/>
          <w:lang w:val="en-US" w:eastAsia="zh-CN"/>
        </w:rPr>
      </w:pPr>
      <w:bookmarkStart w:id="27" w:name="_Toc3429"/>
      <w:bookmarkStart w:id="28" w:name="_Toc468539730"/>
      <w:bookmarkStart w:id="29" w:name="_Toc152042379"/>
      <w:bookmarkStart w:id="30" w:name="_Toc247514026"/>
      <w:bookmarkStart w:id="31" w:name="_Toc247527627"/>
      <w:bookmarkStart w:id="32" w:name="_Toc14159"/>
      <w:bookmarkStart w:id="33" w:name="_Toc144974569"/>
      <w:bookmarkStart w:id="34" w:name="_Toc152045602"/>
      <w:r>
        <w:rPr>
          <w:rFonts w:hint="eastAsia" w:ascii="宋体" w:hAnsi="宋体" w:eastAsia="宋体"/>
          <w:b/>
          <w:bCs/>
          <w:i w:val="0"/>
          <w:iCs/>
          <w:color w:val="auto"/>
          <w:kern w:val="2"/>
          <w:sz w:val="24"/>
          <w:szCs w:val="28"/>
          <w:highlight w:val="none"/>
          <w:lang w:val="en-US" w:eastAsia="zh-CN" w:bidi="ar-SA"/>
        </w:rPr>
        <w:t>2.1 初步评审标准</w:t>
      </w:r>
      <w:bookmarkEnd w:id="27"/>
      <w:bookmarkEnd w:id="28"/>
      <w:bookmarkEnd w:id="29"/>
      <w:bookmarkEnd w:id="30"/>
      <w:bookmarkEnd w:id="31"/>
      <w:bookmarkEnd w:id="32"/>
      <w:bookmarkEnd w:id="33"/>
      <w:bookmarkEnd w:id="34"/>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 xml:space="preserve">2.1.1 </w:t>
      </w:r>
      <w:r>
        <w:rPr>
          <w:rFonts w:hint="eastAsia" w:ascii="宋体" w:hAnsi="宋体"/>
          <w:color w:val="auto"/>
          <w:highlight w:val="none"/>
          <w:u w:val="none"/>
          <w:lang w:val="en-US" w:eastAsia="zh-CN"/>
        </w:rPr>
        <w:t>符合性审查</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color w:val="auto"/>
          <w:highlight w:val="none"/>
        </w:rPr>
      </w:pPr>
      <w:r>
        <w:rPr>
          <w:rFonts w:hint="eastAsia" w:ascii="宋体" w:hAnsi="宋体"/>
          <w:color w:val="auto"/>
          <w:highlight w:val="none"/>
          <w:u w:val="none"/>
        </w:rPr>
        <w:t>2.1.2 资</w:t>
      </w:r>
      <w:r>
        <w:rPr>
          <w:rFonts w:hint="eastAsia"/>
          <w:color w:val="auto"/>
          <w:highlight w:val="none"/>
        </w:rPr>
        <w:t>格</w:t>
      </w:r>
      <w:r>
        <w:rPr>
          <w:rFonts w:hint="eastAsia"/>
          <w:color w:val="auto"/>
          <w:highlight w:val="none"/>
          <w:lang w:val="en-US" w:eastAsia="zh-CN"/>
        </w:rPr>
        <w:t>性审查</w:t>
      </w:r>
      <w:r>
        <w:rPr>
          <w:rFonts w:hint="eastAsia"/>
          <w:color w:val="auto"/>
          <w:highlight w:val="none"/>
        </w:rPr>
        <w:t>：见评标办法前附表。</w:t>
      </w:r>
    </w:p>
    <w:p>
      <w:pPr>
        <w:pStyle w:val="4"/>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详细评审标准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2.2.1 分值构成</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（1）</w:t>
      </w:r>
      <w:r>
        <w:rPr>
          <w:rFonts w:hint="eastAsia" w:ascii="宋体" w:hAnsi="宋体" w:eastAsia="宋体" w:cs="宋体"/>
          <w:i w:val="0"/>
          <w:color w:val="auto"/>
          <w:kern w:val="0"/>
          <w:sz w:val="21"/>
          <w:szCs w:val="21"/>
          <w:highlight w:val="none"/>
          <w:u w:val="none"/>
          <w:lang w:val="en-US" w:eastAsia="zh-CN" w:bidi="ar"/>
        </w:rPr>
        <w:t>技术标评分</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w:t>
      </w:r>
      <w:r>
        <w:rPr>
          <w:rFonts w:hint="eastAsia" w:ascii="宋体" w:hAnsi="宋体"/>
          <w:color w:val="auto"/>
          <w:highlight w:val="none"/>
          <w:u w:val="none"/>
          <w:lang w:val="en-US" w:eastAsia="zh-CN"/>
        </w:rPr>
        <w:t>商务标评分</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2.2.2 评标基准价计算评标基准价计算方法：见评标办法前附表。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2.2.3 投标报价的计算投标报价的计算公式：见评标办法前附表。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2.2.4 评分标准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（1）</w:t>
      </w:r>
      <w:r>
        <w:rPr>
          <w:rFonts w:hint="eastAsia" w:ascii="宋体" w:hAnsi="宋体" w:eastAsia="宋体" w:cs="宋体"/>
          <w:i w:val="0"/>
          <w:color w:val="auto"/>
          <w:kern w:val="0"/>
          <w:sz w:val="21"/>
          <w:szCs w:val="21"/>
          <w:highlight w:val="none"/>
          <w:u w:val="none"/>
          <w:lang w:val="en-US" w:eastAsia="zh-CN" w:bidi="ar"/>
        </w:rPr>
        <w:t>技术标</w:t>
      </w:r>
      <w:r>
        <w:rPr>
          <w:rFonts w:hint="eastAsia" w:ascii="宋体" w:hAnsi="宋体"/>
          <w:color w:val="auto"/>
          <w:highlight w:val="none"/>
          <w:u w:val="none"/>
        </w:rPr>
        <w:t>评分标准：见评标办法前附表 2.2.2（1）；</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w:t>
      </w:r>
      <w:r>
        <w:rPr>
          <w:rFonts w:hint="eastAsia" w:ascii="宋体" w:hAnsi="宋体"/>
          <w:color w:val="auto"/>
          <w:highlight w:val="none"/>
          <w:u w:val="none"/>
          <w:lang w:val="en-US" w:eastAsia="zh-CN"/>
        </w:rPr>
        <w:t>商务标</w:t>
      </w:r>
      <w:r>
        <w:rPr>
          <w:rFonts w:hint="eastAsia" w:ascii="宋体" w:hAnsi="宋体"/>
          <w:color w:val="auto"/>
          <w:highlight w:val="none"/>
          <w:u w:val="none"/>
        </w:rPr>
        <w:t>评分标准：见评标办法前附表 2.2.2（</w:t>
      </w:r>
      <w:r>
        <w:rPr>
          <w:rFonts w:hint="eastAsia" w:ascii="宋体" w:hAnsi="宋体"/>
          <w:color w:val="auto"/>
          <w:highlight w:val="none"/>
          <w:u w:val="none"/>
          <w:lang w:val="en-US" w:eastAsia="zh-CN"/>
        </w:rPr>
        <w:t>2</w:t>
      </w:r>
      <w:r>
        <w:rPr>
          <w:rFonts w:hint="eastAsia" w:ascii="宋体" w:hAnsi="宋体"/>
          <w:color w:val="auto"/>
          <w:highlight w:val="none"/>
          <w:u w:val="none"/>
        </w:rPr>
        <w:t>）</w:t>
      </w:r>
      <w:r>
        <w:rPr>
          <w:rFonts w:hint="eastAsia" w:ascii="宋体" w:hAnsi="宋体"/>
          <w:color w:val="auto"/>
          <w:highlight w:val="none"/>
          <w:u w:val="none"/>
          <w:lang w:eastAsia="zh-CN"/>
        </w:rPr>
        <w:t>、</w:t>
      </w:r>
      <w:r>
        <w:rPr>
          <w:rFonts w:hint="eastAsia" w:ascii="宋体" w:hAnsi="宋体"/>
          <w:color w:val="auto"/>
          <w:highlight w:val="none"/>
          <w:u w:val="none"/>
        </w:rPr>
        <w:t>2.2.2（</w:t>
      </w:r>
      <w:r>
        <w:rPr>
          <w:rFonts w:hint="eastAsia" w:ascii="宋体" w:hAnsi="宋体"/>
          <w:color w:val="auto"/>
          <w:highlight w:val="none"/>
          <w:u w:val="none"/>
          <w:lang w:val="en-US" w:eastAsia="zh-CN"/>
        </w:rPr>
        <w:t>3</w:t>
      </w:r>
      <w:r>
        <w:rPr>
          <w:rFonts w:hint="eastAsia" w:ascii="宋体" w:hAnsi="宋体"/>
          <w:color w:val="auto"/>
          <w:highlight w:val="none"/>
          <w:u w:val="none"/>
        </w:rPr>
        <w:t>）；</w:t>
      </w:r>
    </w:p>
    <w:p>
      <w:pPr>
        <w:pStyle w:val="2"/>
        <w:pageBreakBefore w:val="0"/>
        <w:widowControl w:val="0"/>
        <w:numPr>
          <w:ilvl w:val="1"/>
          <w:numId w:val="0"/>
        </w:numPr>
        <w:kinsoku/>
        <w:wordWrap/>
        <w:overflowPunct/>
        <w:topLinePunct w:val="0"/>
        <w:autoSpaceDE/>
        <w:autoSpaceDN/>
        <w:bidi w:val="0"/>
        <w:adjustRightInd/>
        <w:snapToGrid/>
        <w:spacing w:before="0" w:after="0" w:line="500" w:lineRule="exact"/>
        <w:ind w:leftChars="0"/>
        <w:textAlignment w:val="auto"/>
        <w:rPr>
          <w:rFonts w:hint="eastAsia" w:ascii="宋体" w:hAnsi="宋体" w:eastAsia="宋体" w:cs="宋体"/>
          <w:i w:val="0"/>
          <w:iCs/>
          <w:color w:val="auto"/>
          <w:highlight w:val="none"/>
        </w:rPr>
      </w:pPr>
      <w:r>
        <w:rPr>
          <w:rFonts w:hint="eastAsia" w:ascii="宋体" w:hAnsi="宋体" w:eastAsia="宋体" w:cs="宋体"/>
          <w:i w:val="0"/>
          <w:iCs/>
          <w:color w:val="auto"/>
          <w:highlight w:val="none"/>
        </w:rPr>
        <w:t>3.评标程序</w:t>
      </w:r>
    </w:p>
    <w:p>
      <w:pPr>
        <w:pStyle w:val="4"/>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3.1 初步评审</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 评标委员会依据本章第2.1款规定的标准对投标文件进行初步评审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有一项不符合评审标准的，应当否决其投标。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投标人有以下情形之一的，评标委员会应当否决其投标：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rPr>
        <w:t>（1）串通投标或弄虚作假或有其他违法行为的；</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rPr>
        <w:t>（2）不按评标委员会要求澄清、说明或补正的。</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lang w:val="en-US" w:eastAsia="zh-CN"/>
        </w:rPr>
        <w:t>3.1.2</w:t>
      </w:r>
      <w:r>
        <w:rPr>
          <w:rFonts w:hint="eastAsia" w:ascii="宋体" w:hAnsi="宋体"/>
          <w:color w:val="auto"/>
          <w:highlight w:val="none"/>
        </w:rPr>
        <w:t xml:space="preserve"> 投标报价有算术错误的，评标委员会按以下原则对投标报价进行修正，修正的价格经投标人书面确认后具有约束力。投标人不接受修正价格的，评标委员会应当否决其投标。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rPr>
        <w:t>（1）投标文件中的大写金额与小写金额不一致的，以大写金额为准；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rPr>
      </w:pPr>
      <w:r>
        <w:rPr>
          <w:rFonts w:hint="eastAsia" w:ascii="宋体" w:hAnsi="宋体"/>
          <w:color w:val="auto"/>
          <w:highlight w:val="none"/>
        </w:rPr>
        <w:t>（2）总价金额与依据单价计算出的结果不一致的，以单价金额为准修正总价，但单价金额小数点有明显错误的除外。</w:t>
      </w:r>
    </w:p>
    <w:p>
      <w:pPr>
        <w:pStyle w:val="4"/>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bookmarkStart w:id="35" w:name="_Toc247527631"/>
      <w:bookmarkStart w:id="36" w:name="_Toc152042384"/>
      <w:bookmarkStart w:id="37" w:name="_Toc300835016"/>
      <w:bookmarkStart w:id="38" w:name="_Toc144974573"/>
      <w:bookmarkStart w:id="39" w:name="_Toc152045606"/>
      <w:bookmarkStart w:id="40" w:name="_Toc247514030"/>
      <w:r>
        <w:rPr>
          <w:rFonts w:hint="eastAsia" w:ascii="宋体" w:hAnsi="宋体" w:eastAsia="宋体"/>
          <w:color w:val="auto"/>
          <w:sz w:val="24"/>
          <w:szCs w:val="24"/>
          <w:highlight w:val="none"/>
        </w:rPr>
        <w:t>3.2 详细评审</w:t>
      </w:r>
      <w:bookmarkEnd w:id="35"/>
      <w:bookmarkEnd w:id="36"/>
      <w:bookmarkEnd w:id="37"/>
      <w:bookmarkEnd w:id="38"/>
      <w:bookmarkEnd w:id="39"/>
      <w:bookmarkEnd w:id="40"/>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3.2.1 评标委员会按本章第2.2款规定的量化因素和分值进行打分，并计算出得分。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（1）按本章第2.2.</w:t>
      </w:r>
      <w:r>
        <w:rPr>
          <w:rFonts w:hint="eastAsia" w:ascii="宋体" w:hAnsi="宋体" w:eastAsia="宋体"/>
          <w:color w:val="auto"/>
          <w:highlight w:val="none"/>
          <w:lang w:val="en-US" w:eastAsia="zh-CN"/>
        </w:rPr>
        <w:t>2</w:t>
      </w:r>
      <w:r>
        <w:rPr>
          <w:rFonts w:hint="eastAsia" w:ascii="宋体" w:hAnsi="宋体" w:eastAsia="宋体"/>
          <w:color w:val="auto"/>
          <w:highlight w:val="none"/>
        </w:rPr>
        <w:t>（1）目规定的评审因素和分值对</w:t>
      </w:r>
      <w:r>
        <w:rPr>
          <w:rFonts w:hint="eastAsia" w:ascii="宋体" w:hAnsi="宋体" w:eastAsia="宋体" w:cs="宋体"/>
          <w:i w:val="0"/>
          <w:color w:val="auto"/>
          <w:kern w:val="0"/>
          <w:sz w:val="21"/>
          <w:szCs w:val="21"/>
          <w:highlight w:val="none"/>
          <w:u w:val="none"/>
          <w:lang w:val="en-US" w:eastAsia="zh-CN" w:bidi="ar"/>
        </w:rPr>
        <w:t>技术标</w:t>
      </w:r>
      <w:r>
        <w:rPr>
          <w:rFonts w:hint="eastAsia" w:ascii="宋体" w:hAnsi="宋体" w:eastAsia="宋体"/>
          <w:color w:val="auto"/>
          <w:highlight w:val="none"/>
        </w:rPr>
        <w:t>计算出得分</w:t>
      </w:r>
      <w:r>
        <w:rPr>
          <w:rFonts w:hint="eastAsia" w:ascii="宋体" w:hAnsi="宋体" w:eastAsia="宋体" w:cs="宋体"/>
          <w:b w:val="0"/>
          <w:bCs/>
          <w:color w:val="auto"/>
          <w:sz w:val="21"/>
          <w:szCs w:val="21"/>
          <w:highlight w:val="none"/>
        </w:rPr>
        <w:t>F1</w:t>
      </w:r>
      <w:r>
        <w:rPr>
          <w:rFonts w:hint="eastAsia" w:ascii="宋体" w:hAnsi="宋体" w:eastAsia="宋体"/>
          <w:color w:val="auto"/>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（2）按本章第2.2.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color w:val="auto"/>
          <w:highlight w:val="none"/>
          <w:lang w:val="en-US" w:eastAsia="zh-CN"/>
        </w:rPr>
        <w:t>2</w:t>
      </w:r>
      <w:r>
        <w:rPr>
          <w:rFonts w:hint="eastAsia" w:ascii="宋体" w:hAnsi="宋体" w:eastAsia="宋体"/>
          <w:color w:val="auto"/>
          <w:highlight w:val="none"/>
        </w:rPr>
        <w:t>）</w:t>
      </w:r>
      <w:r>
        <w:rPr>
          <w:rFonts w:hint="eastAsia" w:ascii="宋体" w:hAnsi="宋体" w:eastAsia="宋体"/>
          <w:color w:val="auto"/>
          <w:highlight w:val="none"/>
          <w:lang w:eastAsia="zh-CN"/>
        </w:rPr>
        <w:t>、</w:t>
      </w:r>
      <w:r>
        <w:rPr>
          <w:rFonts w:hint="eastAsia" w:ascii="宋体" w:hAnsi="宋体" w:eastAsia="宋体"/>
          <w:color w:val="auto"/>
          <w:highlight w:val="none"/>
        </w:rPr>
        <w:t>2.2.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color w:val="auto"/>
          <w:highlight w:val="none"/>
          <w:lang w:val="en-US" w:eastAsia="zh-CN"/>
        </w:rPr>
        <w:t>3</w:t>
      </w:r>
      <w:r>
        <w:rPr>
          <w:rFonts w:hint="eastAsia" w:ascii="宋体" w:hAnsi="宋体" w:eastAsia="宋体"/>
          <w:color w:val="auto"/>
          <w:highlight w:val="none"/>
        </w:rPr>
        <w:t>）目规定的评审因素和分值对</w:t>
      </w:r>
      <w:r>
        <w:rPr>
          <w:rFonts w:hint="eastAsia" w:ascii="宋体" w:hAnsi="宋体" w:eastAsia="宋体" w:cs="宋体"/>
          <w:i w:val="0"/>
          <w:color w:val="auto"/>
          <w:kern w:val="0"/>
          <w:sz w:val="21"/>
          <w:szCs w:val="21"/>
          <w:highlight w:val="none"/>
          <w:u w:val="none"/>
          <w:lang w:val="en-US" w:eastAsia="zh-CN" w:bidi="ar"/>
        </w:rPr>
        <w:t>商务标</w:t>
      </w:r>
      <w:r>
        <w:rPr>
          <w:rFonts w:hint="eastAsia" w:ascii="宋体" w:hAnsi="宋体" w:eastAsia="宋体"/>
          <w:color w:val="auto"/>
          <w:highlight w:val="none"/>
        </w:rPr>
        <w:t>计算出得分</w:t>
      </w:r>
      <w:r>
        <w:rPr>
          <w:rFonts w:hint="eastAsia" w:ascii="宋体" w:hAnsi="宋体" w:eastAsia="宋体" w:cs="宋体"/>
          <w:b w:val="0"/>
          <w:bCs/>
          <w:color w:val="auto"/>
          <w:sz w:val="21"/>
          <w:szCs w:val="21"/>
          <w:highlight w:val="none"/>
        </w:rPr>
        <w:t>F</w:t>
      </w:r>
      <w:r>
        <w:rPr>
          <w:rFonts w:hint="eastAsia" w:ascii="宋体" w:hAnsi="宋体" w:eastAsia="宋体" w:cs="宋体"/>
          <w:b w:val="0"/>
          <w:bCs/>
          <w:color w:val="auto"/>
          <w:sz w:val="21"/>
          <w:szCs w:val="21"/>
          <w:highlight w:val="none"/>
          <w:lang w:val="en-US" w:eastAsia="zh-CN"/>
        </w:rPr>
        <w:t>2</w:t>
      </w:r>
      <w:r>
        <w:rPr>
          <w:rFonts w:hint="eastAsia" w:ascii="宋体" w:hAnsi="宋体" w:eastAsia="宋体"/>
          <w:color w:val="auto"/>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3</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各个投标人的最终技术</w:t>
      </w:r>
      <w:r>
        <w:rPr>
          <w:rFonts w:hint="eastAsia" w:ascii="宋体" w:hAnsi="宋体" w:eastAsia="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rPr>
        <w:t>得分为所有评委对各投标人打分后的技术</w:t>
      </w:r>
      <w:r>
        <w:rPr>
          <w:rFonts w:hint="eastAsia" w:ascii="宋体" w:hAnsi="宋体" w:eastAsia="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rPr>
        <w:t>总分进行算术平均。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4</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各个投标人的最终</w:t>
      </w:r>
      <w:r>
        <w:rPr>
          <w:rFonts w:hint="eastAsia" w:ascii="宋体" w:hAnsi="宋体" w:eastAsia="宋体" w:cs="宋体"/>
          <w:b w:val="0"/>
          <w:bCs/>
          <w:color w:val="auto"/>
          <w:sz w:val="21"/>
          <w:szCs w:val="21"/>
          <w:highlight w:val="none"/>
          <w:lang w:val="en-US" w:eastAsia="zh-CN"/>
        </w:rPr>
        <w:t>商务标商务部分</w:t>
      </w:r>
      <w:r>
        <w:rPr>
          <w:rFonts w:hint="eastAsia" w:ascii="宋体" w:hAnsi="宋体" w:eastAsia="宋体" w:cs="宋体"/>
          <w:b w:val="0"/>
          <w:bCs/>
          <w:color w:val="auto"/>
          <w:sz w:val="21"/>
          <w:szCs w:val="21"/>
          <w:highlight w:val="none"/>
        </w:rPr>
        <w:t>得分为所有评委对各投标人打分后的</w:t>
      </w:r>
      <w:r>
        <w:rPr>
          <w:rFonts w:hint="eastAsia" w:ascii="宋体" w:hAnsi="宋体" w:eastAsia="宋体" w:cs="宋体"/>
          <w:b w:val="0"/>
          <w:bCs/>
          <w:color w:val="auto"/>
          <w:sz w:val="21"/>
          <w:szCs w:val="21"/>
          <w:highlight w:val="none"/>
          <w:lang w:val="en-US" w:eastAsia="zh-CN"/>
        </w:rPr>
        <w:t>商务标商务部分</w:t>
      </w:r>
      <w:r>
        <w:rPr>
          <w:rFonts w:hint="eastAsia" w:ascii="宋体" w:hAnsi="宋体" w:eastAsia="宋体" w:cs="宋体"/>
          <w:b w:val="0"/>
          <w:bCs/>
          <w:color w:val="auto"/>
          <w:sz w:val="21"/>
          <w:szCs w:val="21"/>
          <w:highlight w:val="none"/>
        </w:rPr>
        <w:t>总分进行算术平均。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color w:val="auto"/>
          <w:highlight w:val="none"/>
          <w:lang w:val="en-US" w:eastAsia="zh-CN"/>
        </w:rPr>
      </w:pPr>
      <w:r>
        <w:rPr>
          <w:rFonts w:hint="eastAsia" w:ascii="宋体" w:hAnsi="宋体" w:eastAsia="宋体"/>
          <w:color w:val="auto"/>
          <w:highlight w:val="none"/>
        </w:rPr>
        <w:t>（</w:t>
      </w:r>
      <w:r>
        <w:rPr>
          <w:rFonts w:hint="eastAsia" w:ascii="宋体" w:hAnsi="宋体" w:eastAsia="宋体"/>
          <w:color w:val="auto"/>
          <w:highlight w:val="none"/>
          <w:lang w:val="en-US" w:eastAsia="zh-CN"/>
        </w:rPr>
        <w:t>5</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lang w:val="en-US" w:eastAsia="zh-CN"/>
        </w:rPr>
        <w:t>商务标得分为商务部分</w:t>
      </w:r>
      <w:r>
        <w:rPr>
          <w:rFonts w:hint="eastAsia" w:ascii="宋体" w:hAnsi="宋体" w:eastAsia="宋体" w:cs="宋体"/>
          <w:b w:val="0"/>
          <w:bCs/>
          <w:color w:val="auto"/>
          <w:sz w:val="21"/>
          <w:szCs w:val="21"/>
          <w:highlight w:val="none"/>
        </w:rPr>
        <w:t>得分</w:t>
      </w:r>
      <w:r>
        <w:rPr>
          <w:rFonts w:hint="eastAsia" w:ascii="宋体" w:hAnsi="宋体" w:eastAsia="宋体" w:cs="宋体"/>
          <w:b w:val="0"/>
          <w:bCs/>
          <w:color w:val="auto"/>
          <w:sz w:val="21"/>
          <w:szCs w:val="21"/>
          <w:highlight w:val="none"/>
          <w:lang w:val="en-US" w:eastAsia="zh-CN"/>
        </w:rPr>
        <w:t>与投标报价得分之和。</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lang w:eastAsia="zh-CN"/>
        </w:rPr>
      </w:pPr>
      <w:r>
        <w:rPr>
          <w:rFonts w:hint="eastAsia" w:ascii="宋体" w:hAnsi="宋体" w:eastAsia="宋体"/>
          <w:color w:val="auto"/>
          <w:highlight w:val="none"/>
        </w:rPr>
        <w:t>3.2.3 投标人</w:t>
      </w:r>
      <w:r>
        <w:rPr>
          <w:rFonts w:hint="eastAsia" w:ascii="宋体" w:hAnsi="宋体" w:eastAsia="宋体"/>
          <w:color w:val="auto"/>
          <w:highlight w:val="none"/>
          <w:lang w:val="en-US" w:eastAsia="zh-CN"/>
        </w:rPr>
        <w:t>总</w:t>
      </w:r>
      <w:r>
        <w:rPr>
          <w:rFonts w:hint="eastAsia" w:ascii="宋体" w:hAnsi="宋体" w:eastAsia="宋体"/>
          <w:color w:val="auto"/>
          <w:highlight w:val="none"/>
        </w:rPr>
        <w:t>得分=</w:t>
      </w:r>
      <w:r>
        <w:rPr>
          <w:rFonts w:hint="eastAsia" w:ascii="宋体" w:hAnsi="宋体" w:eastAsia="宋体" w:cs="宋体"/>
          <w:b w:val="0"/>
          <w:bCs/>
          <w:color w:val="auto"/>
          <w:sz w:val="21"/>
          <w:szCs w:val="21"/>
          <w:highlight w:val="none"/>
        </w:rPr>
        <w:t>F1</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F</w:t>
      </w:r>
      <w:r>
        <w:rPr>
          <w:rFonts w:hint="eastAsia" w:ascii="宋体" w:hAnsi="宋体" w:eastAsia="宋体" w:cs="宋体"/>
          <w:b w:val="0"/>
          <w:bCs/>
          <w:color w:val="auto"/>
          <w:sz w:val="21"/>
          <w:szCs w:val="21"/>
          <w:highlight w:val="none"/>
          <w:lang w:val="en-US" w:eastAsia="zh-CN"/>
        </w:rPr>
        <w:t>2</w:t>
      </w:r>
      <w:r>
        <w:rPr>
          <w:rFonts w:hint="eastAsia" w:ascii="宋体" w:hAnsi="宋体" w:eastAsia="宋体"/>
          <w:color w:val="auto"/>
          <w:highlight w:val="none"/>
          <w:lang w:eastAsia="zh-CN"/>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 xml:space="preserve">3.2.4 </w:t>
      </w:r>
      <w:r>
        <w:rPr>
          <w:rFonts w:hint="eastAsia" w:ascii="宋体" w:hAnsi="宋体" w:eastAsia="宋体"/>
          <w:color w:val="auto"/>
          <w:highlight w:val="none"/>
          <w:lang w:val="en-US" w:eastAsia="zh-CN"/>
        </w:rPr>
        <w:t>如设有标底，</w:t>
      </w:r>
      <w:r>
        <w:rPr>
          <w:rFonts w:hint="eastAsia" w:ascii="宋体" w:hAnsi="宋体" w:eastAsia="宋体"/>
          <w:color w:val="auto"/>
          <w:highlight w:val="none"/>
        </w:rPr>
        <w:t>评标委员会发现投标人的报价低于标底时，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pStyle w:val="4"/>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bookmarkStart w:id="41" w:name="_Toc144974575"/>
      <w:bookmarkStart w:id="42" w:name="_Toc152042385"/>
      <w:bookmarkStart w:id="43" w:name="_Toc152045607"/>
      <w:bookmarkStart w:id="44" w:name="_Toc300835017"/>
      <w:bookmarkStart w:id="45" w:name="_Toc247514031"/>
      <w:bookmarkStart w:id="46" w:name="_Toc247527632"/>
      <w:r>
        <w:rPr>
          <w:rFonts w:hint="eastAsia" w:ascii="宋体" w:hAnsi="宋体" w:eastAsia="宋体"/>
          <w:color w:val="auto"/>
          <w:sz w:val="24"/>
          <w:szCs w:val="24"/>
          <w:highlight w:val="none"/>
        </w:rPr>
        <w:t>3.3 投标文件的澄清</w:t>
      </w:r>
      <w:bookmarkEnd w:id="41"/>
      <w:r>
        <w:rPr>
          <w:rFonts w:hint="eastAsia" w:ascii="宋体" w:hAnsi="宋体" w:eastAsia="宋体"/>
          <w:color w:val="auto"/>
          <w:sz w:val="24"/>
          <w:szCs w:val="24"/>
          <w:highlight w:val="none"/>
        </w:rPr>
        <w:t>和补正</w:t>
      </w:r>
      <w:bookmarkEnd w:id="42"/>
      <w:bookmarkEnd w:id="43"/>
      <w:bookmarkEnd w:id="44"/>
      <w:bookmarkEnd w:id="45"/>
      <w:bookmarkEnd w:id="46"/>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3.3.2 澄清、说明和补正不得改变投标文件的实质性内容。投标人的书面澄清、说明和补正属于投标文件的组成部分。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3.3.3 评标委员会对投标人提交的澄清、说明或补正有疑问的，可以要求投标人进一步澄清、说明或补正，直至满足评标委员会的要求。</w:t>
      </w:r>
    </w:p>
    <w:p>
      <w:pPr>
        <w:pStyle w:val="4"/>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bookmarkStart w:id="47" w:name="_Toc300835018"/>
      <w:r>
        <w:rPr>
          <w:rFonts w:hint="eastAsia" w:ascii="宋体" w:hAnsi="宋体" w:eastAsia="宋体"/>
          <w:color w:val="auto"/>
          <w:sz w:val="24"/>
          <w:szCs w:val="24"/>
          <w:highlight w:val="none"/>
        </w:rPr>
        <w:t>3.4 评标结果</w:t>
      </w:r>
      <w:bookmarkEnd w:id="47"/>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eastAsia="宋体" w:cs="Times New Roman"/>
          <w:color w:val="auto"/>
          <w:highlight w:val="none"/>
        </w:rPr>
        <w:t xml:space="preserve">3.4.1 </w:t>
      </w:r>
      <w:r>
        <w:rPr>
          <w:rFonts w:hint="eastAsia" w:ascii="宋体" w:hAnsi="宋体"/>
          <w:color w:val="auto"/>
          <w:highlight w:val="none"/>
        </w:rPr>
        <w:t>评标委员会按照本章</w:t>
      </w:r>
      <w:r>
        <w:rPr>
          <w:rFonts w:hint="eastAsia" w:ascii="宋体" w:hAnsi="宋体"/>
          <w:color w:val="auto"/>
          <w:highlight w:val="none"/>
          <w:lang w:val="en-US" w:eastAsia="zh-CN"/>
        </w:rPr>
        <w:t>第1</w:t>
      </w:r>
      <w:r>
        <w:rPr>
          <w:rFonts w:hint="eastAsia" w:ascii="宋体" w:hAnsi="宋体"/>
          <w:color w:val="auto"/>
          <w:highlight w:val="none"/>
        </w:rPr>
        <w:t>条的</w:t>
      </w:r>
      <w:r>
        <w:rPr>
          <w:rFonts w:hint="eastAsia" w:ascii="宋体" w:hAnsi="宋体"/>
          <w:color w:val="auto"/>
          <w:highlight w:val="none"/>
          <w:lang w:val="en-US" w:eastAsia="zh-CN"/>
        </w:rPr>
        <w:t>方法</w:t>
      </w:r>
      <w:r>
        <w:rPr>
          <w:rFonts w:hint="eastAsia" w:ascii="宋体" w:hAnsi="宋体"/>
          <w:color w:val="auto"/>
          <w:highlight w:val="none"/>
        </w:rPr>
        <w:t>推荐</w:t>
      </w:r>
      <w:r>
        <w:rPr>
          <w:rFonts w:hint="eastAsia" w:ascii="宋体" w:hAnsi="宋体"/>
          <w:color w:val="auto"/>
          <w:highlight w:val="none"/>
          <w:lang w:val="en-US" w:eastAsia="zh-CN"/>
        </w:rPr>
        <w:t>三名</w:t>
      </w:r>
      <w:r>
        <w:rPr>
          <w:rFonts w:hint="eastAsia" w:ascii="宋体" w:hAnsi="宋体"/>
          <w:color w:val="auto"/>
          <w:highlight w:val="none"/>
        </w:rPr>
        <w:t>中标候选人</w:t>
      </w:r>
      <w:r>
        <w:rPr>
          <w:rFonts w:hint="eastAsia" w:ascii="宋体" w:hAnsi="宋体"/>
          <w:color w:val="auto"/>
          <w:highlight w:val="none"/>
          <w:lang w:eastAsia="zh-CN"/>
        </w:rPr>
        <w:t>，</w:t>
      </w:r>
      <w:r>
        <w:rPr>
          <w:color w:val="auto"/>
          <w:highlight w:val="none"/>
        </w:rPr>
        <w:t>招标人依法确定中标人</w:t>
      </w:r>
      <w:r>
        <w:rPr>
          <w:rFonts w:hint="eastAsia" w:ascii="宋体" w:hAnsi="宋体" w:cs="宋体"/>
          <w:color w:val="auto"/>
          <w:sz w:val="21"/>
          <w:szCs w:val="21"/>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color w:val="auto"/>
          <w:highlight w:val="none"/>
        </w:rPr>
      </w:pPr>
      <w:r>
        <w:rPr>
          <w:rFonts w:hint="eastAsia" w:ascii="宋体" w:hAnsi="宋体" w:eastAsia="宋体" w:cs="Times New Roman"/>
          <w:color w:val="auto"/>
          <w:highlight w:val="none"/>
        </w:rPr>
        <w:t xml:space="preserve">3.4.2 </w:t>
      </w:r>
      <w:r>
        <w:rPr>
          <w:rFonts w:hint="eastAsia"/>
          <w:color w:val="auto"/>
          <w:highlight w:val="none"/>
        </w:rPr>
        <w:t>评标委员会完成评标后，应当向招标人提交书面评标报告。</w:t>
      </w:r>
    </w:p>
    <w:p>
      <w:pPr>
        <w:keepNext/>
        <w:kinsoku w:val="0"/>
        <w:overflowPunct w:val="0"/>
        <w:spacing w:line="500" w:lineRule="exact"/>
        <w:jc w:val="center"/>
        <w:rPr>
          <w:rFonts w:hint="eastAsia"/>
          <w:b/>
          <w:bCs/>
          <w:color w:val="auto"/>
          <w:sz w:val="32"/>
          <w:szCs w:val="32"/>
          <w:highlight w:val="none"/>
        </w:rPr>
      </w:pPr>
    </w:p>
    <w:p>
      <w:pPr>
        <w:autoSpaceDE w:val="0"/>
        <w:spacing w:line="360" w:lineRule="auto"/>
        <w:ind w:firstLine="480" w:firstLineChars="200"/>
        <w:rPr>
          <w:rFonts w:hint="eastAsia" w:ascii="宋体" w:hAnsi="宋体"/>
          <w:color w:val="auto"/>
          <w:sz w:val="24"/>
          <w:highlight w:val="none"/>
        </w:rPr>
        <w:sectPr>
          <w:headerReference r:id="rId6" w:type="default"/>
          <w:footerReference r:id="rId7" w:type="default"/>
          <w:type w:val="continuous"/>
          <w:pgSz w:w="12240" w:h="15840"/>
          <w:pgMar w:top="1400" w:right="1580" w:bottom="579" w:left="1700" w:header="0" w:footer="901" w:gutter="0"/>
          <w:lnNumType w:countBy="0" w:distance="360"/>
          <w:pgNumType w:fmt="decimal"/>
          <w:cols w:space="720" w:num="1"/>
        </w:sectPr>
      </w:pPr>
    </w:p>
    <w:p>
      <w:pPr>
        <w:pStyle w:val="4"/>
        <w:numPr>
          <w:ilvl w:val="0"/>
          <w:numId w:val="0"/>
        </w:numPr>
        <w:autoSpaceDE w:val="0"/>
        <w:jc w:val="center"/>
        <w:outlineLvl w:val="0"/>
        <w:rPr>
          <w:rFonts w:hint="eastAsia" w:ascii="宋体" w:hAnsi="宋体" w:eastAsia="宋体" w:cs="宋体"/>
          <w:color w:val="auto"/>
          <w:sz w:val="36"/>
          <w:szCs w:val="36"/>
          <w:highlight w:val="none"/>
          <w:lang w:eastAsia="zh-CN"/>
        </w:rPr>
      </w:pPr>
      <w:bookmarkStart w:id="48" w:name="_Toc6951"/>
      <w:r>
        <w:rPr>
          <w:rFonts w:hint="eastAsia" w:ascii="宋体" w:hAnsi="宋体" w:eastAsia="宋体" w:cs="宋体"/>
          <w:color w:val="auto"/>
          <w:sz w:val="36"/>
          <w:szCs w:val="36"/>
          <w:highlight w:val="none"/>
        </w:rPr>
        <w:t>第</w:t>
      </w:r>
      <w:r>
        <w:rPr>
          <w:rFonts w:hint="eastAsia" w:ascii="宋体" w:hAnsi="宋体" w:eastAsia="宋体" w:cs="宋体"/>
          <w:color w:val="auto"/>
          <w:sz w:val="36"/>
          <w:szCs w:val="36"/>
          <w:highlight w:val="none"/>
          <w:lang w:val="en-US" w:eastAsia="zh-CN"/>
        </w:rPr>
        <w:t>四</w:t>
      </w:r>
      <w:r>
        <w:rPr>
          <w:rFonts w:hint="eastAsia" w:ascii="宋体" w:hAnsi="宋体" w:eastAsia="宋体" w:cs="宋体"/>
          <w:color w:val="auto"/>
          <w:sz w:val="36"/>
          <w:szCs w:val="36"/>
          <w:highlight w:val="none"/>
        </w:rPr>
        <w:t>章  合同</w:t>
      </w:r>
      <w:bookmarkEnd w:id="14"/>
      <w:bookmarkEnd w:id="15"/>
      <w:bookmarkEnd w:id="16"/>
      <w:bookmarkEnd w:id="48"/>
      <w:r>
        <w:rPr>
          <w:rFonts w:hint="eastAsia" w:ascii="宋体" w:hAnsi="宋体" w:eastAsia="宋体" w:cs="宋体"/>
          <w:color w:val="auto"/>
          <w:sz w:val="36"/>
          <w:szCs w:val="36"/>
          <w:highlight w:val="none"/>
          <w:lang w:val="en-US" w:eastAsia="zh-CN"/>
        </w:rPr>
        <w:t>条款</w:t>
      </w:r>
    </w:p>
    <w:p>
      <w:pPr>
        <w:rPr>
          <w:rFonts w:hint="eastAsia" w:ascii="宋体" w:hAnsi="宋体" w:cs="宋体"/>
          <w:b/>
          <w:color w:val="auto"/>
          <w:sz w:val="28"/>
          <w:szCs w:val="28"/>
          <w:highlight w:val="none"/>
        </w:rPr>
      </w:pPr>
      <w:bookmarkStart w:id="49" w:name="_Toc351203480"/>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jc w:val="left"/>
        <w:rPr>
          <w:rFonts w:hint="eastAsia" w:ascii="宋体" w:hAnsi="宋体" w:cs="宋体"/>
          <w:color w:val="auto"/>
          <w:highlight w:val="none"/>
        </w:rPr>
      </w:pPr>
    </w:p>
    <w:p>
      <w:pPr>
        <w:jc w:val="left"/>
        <w:rPr>
          <w:rFonts w:hint="eastAsia" w:ascii="宋体" w:hAnsi="宋体" w:cs="宋体"/>
          <w:color w:val="auto"/>
          <w:highlight w:val="none"/>
        </w:rPr>
      </w:pPr>
    </w:p>
    <w:p>
      <w:pPr>
        <w:jc w:val="left"/>
        <w:rPr>
          <w:rFonts w:hint="eastAsia" w:ascii="宋体" w:hAnsi="宋体" w:cs="宋体"/>
          <w:color w:val="auto"/>
          <w:highlight w:val="none"/>
        </w:rPr>
      </w:pPr>
    </w:p>
    <w:p>
      <w:pPr>
        <w:pStyle w:val="2"/>
        <w:numPr>
          <w:ilvl w:val="1"/>
          <w:numId w:val="0"/>
        </w:numPr>
        <w:spacing w:before="0" w:after="0" w:line="360" w:lineRule="auto"/>
        <w:ind w:leftChars="0"/>
        <w:jc w:val="center"/>
        <w:rPr>
          <w:rFonts w:ascii="宋体" w:hAnsi="宋体" w:eastAsia="宋体"/>
          <w:color w:val="auto"/>
          <w:highlight w:val="none"/>
        </w:rPr>
      </w:pPr>
      <w:r>
        <w:rPr>
          <w:rFonts w:ascii="宋体" w:hAnsi="宋体" w:cs="宋体"/>
          <w:b/>
          <w:color w:val="auto"/>
          <w:sz w:val="30"/>
          <w:szCs w:val="30"/>
          <w:highlight w:val="none"/>
        </w:rPr>
        <w:br w:type="column"/>
      </w:r>
      <w:bookmarkEnd w:id="49"/>
      <w:bookmarkStart w:id="50" w:name="_Toc4631"/>
      <w:bookmarkStart w:id="51" w:name="_Toc509765899"/>
      <w:bookmarkStart w:id="52" w:name="_Toc32581"/>
      <w:bookmarkStart w:id="53" w:name="_Toc534471632"/>
      <w:bookmarkStart w:id="54" w:name="_Toc534472071"/>
      <w:bookmarkStart w:id="55" w:name="_Toc60537389"/>
      <w:r>
        <w:rPr>
          <w:rFonts w:hint="eastAsia" w:ascii="宋体" w:hAnsi="宋体" w:eastAsia="宋体"/>
          <w:i w:val="0"/>
          <w:iCs/>
          <w:color w:val="auto"/>
          <w:sz w:val="30"/>
          <w:szCs w:val="30"/>
          <w:highlight w:val="none"/>
        </w:rPr>
        <w:t>第一节 通用合同条款</w:t>
      </w:r>
      <w:bookmarkEnd w:id="50"/>
      <w:bookmarkEnd w:id="51"/>
      <w:bookmarkEnd w:id="52"/>
    </w:p>
    <w:p>
      <w:pPr>
        <w:pStyle w:val="2"/>
        <w:numPr>
          <w:ilvl w:val="1"/>
          <w:numId w:val="0"/>
        </w:numPr>
        <w:spacing w:before="0" w:after="0" w:line="360" w:lineRule="auto"/>
        <w:ind w:left="681" w:leftChars="0"/>
        <w:rPr>
          <w:rFonts w:ascii="宋体" w:hAnsi="宋体" w:eastAsia="宋体"/>
          <w:i w:val="0"/>
          <w:iCs/>
          <w:color w:val="auto"/>
          <w:sz w:val="28"/>
          <w:szCs w:val="28"/>
          <w:highlight w:val="none"/>
        </w:rPr>
      </w:pPr>
      <w:bookmarkStart w:id="56" w:name="_Toc25249"/>
      <w:bookmarkStart w:id="57" w:name="_Toc509765900"/>
      <w:bookmarkStart w:id="58" w:name="_Toc12600"/>
      <w:bookmarkStart w:id="59" w:name="_Toc482188546"/>
      <w:r>
        <w:rPr>
          <w:rFonts w:ascii="宋体" w:hAnsi="宋体" w:eastAsia="宋体"/>
          <w:i w:val="0"/>
          <w:iCs/>
          <w:color w:val="auto"/>
          <w:sz w:val="28"/>
          <w:szCs w:val="28"/>
          <w:highlight w:val="none"/>
        </w:rPr>
        <w:t xml:space="preserve">1. </w:t>
      </w:r>
      <w:r>
        <w:rPr>
          <w:rFonts w:hint="eastAsia" w:ascii="宋体" w:hAnsi="宋体" w:eastAsia="宋体"/>
          <w:i w:val="0"/>
          <w:iCs/>
          <w:color w:val="auto"/>
          <w:sz w:val="28"/>
          <w:szCs w:val="28"/>
          <w:highlight w:val="none"/>
        </w:rPr>
        <w:t>一般约定</w:t>
      </w:r>
      <w:bookmarkEnd w:id="56"/>
      <w:bookmarkEnd w:id="57"/>
      <w:bookmarkEnd w:id="58"/>
      <w:bookmarkEnd w:id="59"/>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 w:name="_Toc482188547"/>
      <w:bookmarkStart w:id="61" w:name="_Toc509765901"/>
      <w:bookmarkStart w:id="62" w:name="_Toc14862"/>
      <w:bookmarkStart w:id="63" w:name="_Toc2135"/>
      <w:r>
        <w:rPr>
          <w:rFonts w:hint="eastAsia" w:ascii="宋体" w:hAnsi="宋体" w:eastAsia="宋体" w:cs="宋体"/>
          <w:b/>
          <w:bCs/>
          <w:color w:val="auto"/>
          <w:sz w:val="24"/>
          <w:szCs w:val="24"/>
          <w:highlight w:val="none"/>
        </w:rPr>
        <w:t>1.1 词语定义</w:t>
      </w:r>
      <w:bookmarkEnd w:id="60"/>
      <w:bookmarkEnd w:id="61"/>
      <w:bookmarkEnd w:id="62"/>
      <w:bookmarkEnd w:id="6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通用合同条款、专用合同条款中的下列词语应具有本款所赋予的含义。</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1.1.1 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合同文件（或称合同）：指合同协议书、中标通知书、投标函和投标函附录、专用合同条款、通用合同条款、发包人要求、勘察设计费用清单、勘察设计方案，以及其他构成合同组成部分的文件。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合同协议书：指发包人和勘察设计人共同签署的合同协议书。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1.1.1.3 中标通知书：指发包人通知勘察设计人中标的函件。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 投标函：指由勘察设计人填写并签署的，名为“投标函”的函件。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1.1.1.5 投标函附录：指由勘察设计人填写并签署的、附在投标函后，名为“投标函附录”的函件。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1.1.1.6 发包人要求：指合同文件中名为“发包人要求”的文件。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1.1.1.7 勘察设计方案：指勘察设计人在投标文件中的勘察设计方案。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1.1.1.8 勘察设计费用清单：指勘察设计人投标文件中的勘察设计费用清单。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1.1.1.9 其他合同文件：指经合同双方当事人确认构成合同文件的其他文件。</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1.1.2 合同当事人和人员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合同当事人：指发包人和（或）勘察设计人。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 发包人：指与勘察设计人签订合同协议书的当事人</w:t>
      </w:r>
      <w:r>
        <w:rPr>
          <w:rFonts w:hint="eastAsia" w:ascii="宋体" w:hAnsi="宋体" w:eastAsia="宋体" w:cs="宋体"/>
          <w:color w:val="auto"/>
          <w:kern w:val="0"/>
          <w:sz w:val="21"/>
          <w:szCs w:val="21"/>
          <w:highlight w:val="none"/>
        </w:rPr>
        <w:t>，及其合法继承人</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勘察设计人：指与发包人签订合同协议书的当事人</w:t>
      </w:r>
      <w:r>
        <w:rPr>
          <w:rFonts w:hint="eastAsia" w:ascii="宋体" w:hAnsi="宋体" w:eastAsia="宋体" w:cs="宋体"/>
          <w:color w:val="auto"/>
          <w:kern w:val="0"/>
          <w:sz w:val="21"/>
          <w:szCs w:val="21"/>
          <w:highlight w:val="none"/>
        </w:rPr>
        <w:t>，及其合法继承人</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 发包人代表：指由发包人任命，并在授权范围和期限内代表发包人行使权利和履行义务的全权负责人。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项目负责人：指由勘察设计人任命，代表勘察设计人行使权利和履行义务的全权负责人。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1.1.2.6 分包人：指从勘察设计人处分包合同中某一部分工作，并与其签订分包合同的分包人。</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1.1.3 工程和勘察设计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 工程：指专用合同条款中指明进行勘察设计招标的工程。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 勘察设计服务：指勘察设计人按照合同约定履行的服务，包括编制勘察设计文件和勘察设计概算、预算、提供技术交底、施工配合、参加竣工验收或发包人委托的其他服务。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1.1.3.3 勘察设计资料：是发包人按合同约定向勘察设计人提供的，用于完成勘察设计服务范围与内容所需要的资料。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1.1.3.4 勘察设计文件：指勘察设计人按合同约定向发包人提交的勘察设计说明、图纸、图板、模型、计算书、软件和其他文件等，包括阶段性文件和最终文件，且应当采用合同中双方约定的格式和载体。</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1.1.4 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1.1.4.1 开始勘察设计通知：指发包人按第6.1款通知勘察设计人开始勘察设计的函件。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1.1.4.2 开始勘察设计日期：指发包人按第6.1款发出的开始勘察设计通知中写明的开始勘察设计日期。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1.1.4.3 勘察设计服务期限：指勘察设计人在投标函中承诺的完成合同勘察设计服务所需的期限，包括按第6.2款、第6.4款和第6.6款约定所作的调整。</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1.1.4.4 完成勘察设计日期：指第1.1.4.3目约定勘察设计服务期限届满时的日期。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1.1.4.5 基准日：指投标截止时间前28天的日期。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1.1.4.6 天：除特别指明外，指日历天。合同中按天计算时间的，开始当天不计入，从次日开始计算。期限最后一天的截止时间为当天24:00。</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1.1.5 合同价格和费用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1.1.5.1 签约合同价：指签订合同时合同协议书中写明的勘察设计费用总金额。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1.1.5.2 合同价格：指勘察设计人按合同约定完成了全部勘察设计工作后，发包人应付给勘察设计人的金额，包括在履行合同过程中按合同约定进行的变更和调整。</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1.1.5.3 费用：指为履行合同所发生的或将要发生的所有合理开支，包括管理费和应分摊的其他费用，但不包括利润。</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1.1.6 其他</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1.1.6.1 书面形式：指合同文件、信件和数据电文（包括电报、电传、传真、电子数据交换和电子邮件）等可以有形地表现所载内容的形式。</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4" w:name="_Toc509765902"/>
      <w:bookmarkStart w:id="65" w:name="_Toc17038"/>
      <w:bookmarkStart w:id="66" w:name="_Toc18437"/>
      <w:bookmarkStart w:id="67" w:name="_Toc482188548"/>
      <w:r>
        <w:rPr>
          <w:rFonts w:hint="eastAsia" w:ascii="宋体" w:hAnsi="宋体" w:eastAsia="宋体" w:cs="宋体"/>
          <w:b/>
          <w:bCs/>
          <w:color w:val="auto"/>
          <w:sz w:val="24"/>
          <w:szCs w:val="24"/>
          <w:highlight w:val="none"/>
        </w:rPr>
        <w:t>1.2 语言文字</w:t>
      </w:r>
      <w:bookmarkEnd w:id="64"/>
      <w:bookmarkEnd w:id="65"/>
      <w:bookmarkEnd w:id="66"/>
      <w:bookmarkEnd w:id="6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合同使用的语言文字为中文。专用术语使用外文的，应附有中文注释。</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8" w:name="_Toc509765903"/>
      <w:bookmarkStart w:id="69" w:name="_Toc482188549"/>
      <w:bookmarkStart w:id="70" w:name="_Toc22008"/>
      <w:bookmarkStart w:id="71" w:name="_Toc32503"/>
      <w:r>
        <w:rPr>
          <w:rFonts w:hint="eastAsia" w:ascii="宋体" w:hAnsi="宋体" w:eastAsia="宋体" w:cs="宋体"/>
          <w:b/>
          <w:bCs/>
          <w:color w:val="auto"/>
          <w:sz w:val="24"/>
          <w:szCs w:val="24"/>
          <w:highlight w:val="none"/>
        </w:rPr>
        <w:t>1.3 适用法律</w:t>
      </w:r>
      <w:bookmarkEnd w:id="68"/>
      <w:bookmarkEnd w:id="69"/>
      <w:bookmarkEnd w:id="70"/>
      <w:bookmarkEnd w:id="7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适用于合同的法律包括中华人民共和国法律、行政法规、部门规章，以及工程所在地的地方法规、自治条例、单行条例和地方政府规章。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本合同适用的其他规范性文件，可在专用合同条款中约定。</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72" w:name="_Toc19254"/>
      <w:bookmarkStart w:id="73" w:name="_Toc482188550"/>
      <w:bookmarkStart w:id="74" w:name="_Toc509765904"/>
      <w:bookmarkStart w:id="75" w:name="_Toc26329"/>
      <w:r>
        <w:rPr>
          <w:rFonts w:hint="eastAsia" w:ascii="宋体" w:hAnsi="宋体" w:eastAsia="宋体" w:cs="宋体"/>
          <w:b/>
          <w:bCs/>
          <w:color w:val="auto"/>
          <w:sz w:val="24"/>
          <w:szCs w:val="24"/>
          <w:highlight w:val="none"/>
        </w:rPr>
        <w:t>1.4 合同文件的优先顺序</w:t>
      </w:r>
      <w:bookmarkEnd w:id="72"/>
      <w:bookmarkEnd w:id="73"/>
      <w:bookmarkEnd w:id="74"/>
      <w:bookmarkEnd w:id="7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组成合同的各项文件应互相解释，互为说明。除专用合同条款另有约定外，解释合同文件的优先顺序如下：</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（1）合同协议书；</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（3）投标函及投标函附录；</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（4）专用合同条款；</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（5）通用合同条款；</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（6）发包人要求；</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（7）勘察设计费用清单；</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（8）勘察设计方案；</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（9）其他合同文件。</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76" w:name="_Toc509765905"/>
      <w:bookmarkStart w:id="77" w:name="_Toc24313"/>
      <w:bookmarkStart w:id="78" w:name="_Toc482188551"/>
      <w:bookmarkStart w:id="79" w:name="_Toc6262"/>
      <w:r>
        <w:rPr>
          <w:rFonts w:hint="eastAsia" w:ascii="宋体" w:hAnsi="宋体" w:eastAsia="宋体" w:cs="宋体"/>
          <w:b/>
          <w:bCs/>
          <w:color w:val="auto"/>
          <w:sz w:val="24"/>
          <w:szCs w:val="24"/>
          <w:highlight w:val="none"/>
        </w:rPr>
        <w:t>1.5 合同协议书</w:t>
      </w:r>
      <w:bookmarkEnd w:id="76"/>
      <w:bookmarkEnd w:id="77"/>
      <w:bookmarkEnd w:id="78"/>
      <w:bookmarkEnd w:id="7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勘察设计人按中标通知书规定的时间与发包人签订合同协议书。除法律另有规定或合同另有约定外，发包人和勘察设计人的法定代表人或其委托代理人在合同协议书上签字并盖单位公章后，合同生效。</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80" w:name="_Toc9604"/>
      <w:bookmarkStart w:id="81" w:name="_Toc14184"/>
      <w:bookmarkStart w:id="82" w:name="_Toc482188552"/>
      <w:bookmarkStart w:id="83" w:name="_Toc509765906"/>
      <w:r>
        <w:rPr>
          <w:rFonts w:hint="eastAsia" w:ascii="宋体" w:hAnsi="宋体" w:eastAsia="宋体" w:cs="宋体"/>
          <w:b/>
          <w:bCs/>
          <w:color w:val="auto"/>
          <w:sz w:val="24"/>
          <w:szCs w:val="24"/>
          <w:highlight w:val="none"/>
        </w:rPr>
        <w:t>1.6 文件的提供和照管</w:t>
      </w:r>
      <w:bookmarkEnd w:id="80"/>
      <w:bookmarkEnd w:id="81"/>
      <w:bookmarkEnd w:id="82"/>
      <w:bookmarkEnd w:id="83"/>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 勘察设计文件的提供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除专用合同条款另有约定外，勘察设计人应在合理的期限内按照合同约定的数量向发包人提供勘察设计文件。合同约定勘察设计文件应经发包人批复的，发包人应当在合同约定的期限内批复或提出修改意见。</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1.6.2 发包人提供的文件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专用合同条款约定由发包人提供的文件，包括基础资料、勘察报告、勘察设计任务书等，发包人应按约定的数量和期限交给勘察设计人。由于发包人未按时提供文件造成勘察设计服务期限延误的，按第6.2款约定执行。</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1.6.3 文件错误的通知</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任何一方当事人发现文件中存在的明显错误或疏忽，均应及时通知对方当事人，并应立即采取适当的措施防止损失扩大。</w:t>
      </w:r>
    </w:p>
    <w:p>
      <w:pPr>
        <w:pStyle w:val="4"/>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84" w:name="_Toc482188553"/>
      <w:bookmarkStart w:id="85" w:name="_Toc12399"/>
      <w:bookmarkStart w:id="86" w:name="_Toc509765907"/>
      <w:bookmarkStart w:id="87" w:name="_Toc30613"/>
      <w:r>
        <w:rPr>
          <w:rFonts w:hint="eastAsia" w:ascii="宋体" w:hAnsi="宋体" w:eastAsia="宋体" w:cs="宋体"/>
          <w:color w:val="auto"/>
          <w:sz w:val="24"/>
          <w:szCs w:val="24"/>
          <w:highlight w:val="none"/>
        </w:rPr>
        <w:t>1.7 联络</w:t>
      </w:r>
      <w:bookmarkEnd w:id="84"/>
      <w:bookmarkEnd w:id="85"/>
      <w:bookmarkEnd w:id="86"/>
      <w:bookmarkEnd w:id="8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与合同有关的通知、批准、证明、证书、指示、要求、请求、同意、意见、确定和决定等，均应采用书面形式。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上述通知、批准、证明、证书、指示、要求、请求、同意、意见、确定和决定等来往函件，均应在合同约定的期限内送达指定的地点和指定的接收人，并办理签收手续。</w:t>
      </w:r>
    </w:p>
    <w:p>
      <w:pPr>
        <w:pStyle w:val="4"/>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88" w:name="_Toc14586"/>
      <w:bookmarkStart w:id="89" w:name="_Toc482188554"/>
      <w:bookmarkStart w:id="90" w:name="_Toc17913"/>
      <w:bookmarkStart w:id="91" w:name="_Toc509765908"/>
      <w:r>
        <w:rPr>
          <w:rFonts w:hint="eastAsia" w:ascii="宋体" w:hAnsi="宋体" w:eastAsia="宋体" w:cs="宋体"/>
          <w:color w:val="auto"/>
          <w:sz w:val="24"/>
          <w:szCs w:val="24"/>
          <w:highlight w:val="none"/>
        </w:rPr>
        <w:t>1.8 转让</w:t>
      </w:r>
      <w:bookmarkEnd w:id="88"/>
      <w:bookmarkEnd w:id="89"/>
      <w:bookmarkEnd w:id="90"/>
      <w:bookmarkEnd w:id="9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除专用合同条款另有约定外，未经对方当事人同意，一方当事人不得将合同权利全部或部分转让给第三人，也不得全部或部分转移合同义务。</w:t>
      </w:r>
    </w:p>
    <w:p>
      <w:pPr>
        <w:pStyle w:val="4"/>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92" w:name="_Toc482188555"/>
      <w:bookmarkStart w:id="93" w:name="_Toc5104"/>
      <w:bookmarkStart w:id="94" w:name="_Toc15595"/>
      <w:bookmarkStart w:id="95" w:name="_Toc509765909"/>
      <w:r>
        <w:rPr>
          <w:rFonts w:hint="eastAsia" w:ascii="宋体" w:hAnsi="宋体" w:eastAsia="宋体" w:cs="宋体"/>
          <w:color w:val="auto"/>
          <w:sz w:val="24"/>
          <w:szCs w:val="24"/>
          <w:highlight w:val="none"/>
        </w:rPr>
        <w:t>1.9 严禁贿赂</w:t>
      </w:r>
      <w:bookmarkEnd w:id="92"/>
      <w:bookmarkEnd w:id="93"/>
      <w:bookmarkEnd w:id="94"/>
      <w:bookmarkEnd w:id="9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合同双方当事人不得以贿赂或变相贿赂的方式，谋取不当利益或损害对方权益。因贿赂造成对方当事人损失的，行为人应当赔偿损失，并承担相应的法律责任。</w:t>
      </w:r>
    </w:p>
    <w:p>
      <w:pPr>
        <w:pStyle w:val="4"/>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96" w:name="_Toc5067"/>
      <w:bookmarkStart w:id="97" w:name="_Toc509765910"/>
      <w:bookmarkStart w:id="98" w:name="_Toc482188556"/>
      <w:bookmarkStart w:id="99" w:name="_Toc17682"/>
      <w:r>
        <w:rPr>
          <w:rFonts w:hint="eastAsia" w:ascii="宋体" w:hAnsi="宋体" w:eastAsia="宋体" w:cs="宋体"/>
          <w:color w:val="auto"/>
          <w:sz w:val="24"/>
          <w:szCs w:val="24"/>
          <w:highlight w:val="none"/>
        </w:rPr>
        <w:t>1.10 知识产权</w:t>
      </w:r>
      <w:bookmarkEnd w:id="96"/>
      <w:bookmarkEnd w:id="97"/>
      <w:bookmarkEnd w:id="98"/>
      <w:bookmarkEnd w:id="9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1.10.1除专用合同条款另有约定外，勘察设计人完成的勘察设计工作成果，除署名权以外的著作权和其他知识产权均归发包人享有。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 勘察设计人在从事勘察设计活动时，不得侵犯他人的知识产权。因侵犯专利权或其他知识产权所引起的责任，由勘察设计人自行承担。因发包人提供的勘察设计资料导致侵权的，由发包人承担责任。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 勘察设计人在投标文件中采用专利技术、专有技术的，相应的使用费视为已包含在投标报价之中。</w:t>
      </w:r>
    </w:p>
    <w:p>
      <w:pPr>
        <w:pStyle w:val="4"/>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100" w:name="_Toc509765911"/>
      <w:bookmarkStart w:id="101" w:name="_Toc27287"/>
      <w:bookmarkStart w:id="102" w:name="_Toc22383"/>
      <w:bookmarkStart w:id="103" w:name="_Toc482188557"/>
      <w:r>
        <w:rPr>
          <w:rFonts w:hint="eastAsia" w:ascii="宋体" w:hAnsi="宋体" w:eastAsia="宋体" w:cs="宋体"/>
          <w:color w:val="auto"/>
          <w:sz w:val="24"/>
          <w:szCs w:val="24"/>
          <w:highlight w:val="none"/>
        </w:rPr>
        <w:t>1.11 文件及信息的保密</w:t>
      </w:r>
      <w:bookmarkEnd w:id="100"/>
      <w:bookmarkEnd w:id="101"/>
      <w:bookmarkEnd w:id="102"/>
      <w:bookmarkEnd w:id="10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未经对方同意，任何一方当事人不得将有关文件、技术秘密、需要保密的资料和信息泄露给他人或公开发表与引用。</w:t>
      </w:r>
    </w:p>
    <w:p>
      <w:pPr>
        <w:pStyle w:val="4"/>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104" w:name="_Toc482188558"/>
      <w:bookmarkStart w:id="105" w:name="_Toc8857"/>
      <w:bookmarkStart w:id="106" w:name="_Toc29001"/>
      <w:bookmarkStart w:id="107" w:name="_Toc509765912"/>
      <w:r>
        <w:rPr>
          <w:rFonts w:hint="eastAsia" w:ascii="宋体" w:hAnsi="宋体" w:eastAsia="宋体" w:cs="宋体"/>
          <w:color w:val="auto"/>
          <w:sz w:val="24"/>
          <w:szCs w:val="24"/>
          <w:highlight w:val="none"/>
        </w:rPr>
        <w:t>1.12 发包人要求</w:t>
      </w:r>
      <w:bookmarkEnd w:id="104"/>
      <w:bookmarkEnd w:id="105"/>
      <w:bookmarkEnd w:id="106"/>
      <w:bookmarkEnd w:id="107"/>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勘察设计人应认真阅读、复核发包人要求，发现错误的，应及时书面通知发包人。无论是否存在错误，发包人均有权修改发包人要求，并在修改后3日内通知勘察设计人。除专用合同</w:t>
      </w:r>
      <w:bookmarkStart w:id="108" w:name="_Toc247527649"/>
      <w:bookmarkStart w:id="109" w:name="_Toc300835045"/>
      <w:bookmarkStart w:id="110" w:name="_Toc247514048"/>
      <w:bookmarkStart w:id="111" w:name="_Toc265955390"/>
      <w:r>
        <w:rPr>
          <w:rFonts w:hint="eastAsia" w:ascii="宋体" w:hAnsi="宋体" w:eastAsia="宋体" w:cs="宋体"/>
          <w:color w:val="auto"/>
          <w:sz w:val="21"/>
          <w:szCs w:val="21"/>
          <w:highlight w:val="none"/>
        </w:rPr>
        <w:t>条款另有约定外，由此</w:t>
      </w:r>
      <w:bookmarkEnd w:id="108"/>
      <w:bookmarkEnd w:id="109"/>
      <w:bookmarkEnd w:id="110"/>
      <w:bookmarkEnd w:id="111"/>
      <w:r>
        <w:rPr>
          <w:rFonts w:hint="eastAsia" w:ascii="宋体" w:hAnsi="宋体" w:eastAsia="宋体" w:cs="宋体"/>
          <w:color w:val="auto"/>
          <w:sz w:val="21"/>
          <w:szCs w:val="21"/>
          <w:highlight w:val="none"/>
        </w:rPr>
        <w:t>导致勘察设计人费用增加和(或)周期延误的，发包人应当相应地增加费用和(或)延长周期。</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 如果发包人要求违反法律规定，勘察设计人应在发现后及时书面通知发包人，要求其改正。发包人收到通知书后不予改正或不予答复的，勘察设计人有权拒绝履行合同义务，直至解除合同；由此引起的勘察设计人的全部损失由发包人承担。</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发包人要求采用国外规范和标准进行勘察设计时，应由发包人负责提供该规范和标准的外国文本和中文译本，提供的时间、份数和其他要求在专用合同条款中约定。</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112" w:name="_Toc482188559"/>
      <w:bookmarkStart w:id="113" w:name="_Toc8144"/>
      <w:bookmarkStart w:id="114" w:name="_Toc9186"/>
      <w:bookmarkStart w:id="115" w:name="_Toc509765913"/>
      <w:r>
        <w:rPr>
          <w:rFonts w:ascii="宋体" w:hAnsi="宋体" w:eastAsia="宋体"/>
          <w:i w:val="0"/>
          <w:iCs/>
          <w:color w:val="auto"/>
          <w:sz w:val="28"/>
          <w:szCs w:val="28"/>
          <w:highlight w:val="none"/>
        </w:rPr>
        <w:t>2. 发包人义务</w:t>
      </w:r>
      <w:bookmarkEnd w:id="112"/>
      <w:bookmarkEnd w:id="113"/>
      <w:bookmarkEnd w:id="114"/>
      <w:bookmarkEnd w:id="115"/>
    </w:p>
    <w:p>
      <w:pPr>
        <w:pStyle w:val="4"/>
        <w:numPr>
          <w:ilvl w:val="2"/>
          <w:numId w:val="0"/>
        </w:numPr>
        <w:spacing w:before="0" w:after="0" w:line="360" w:lineRule="auto"/>
        <w:ind w:left="838" w:leftChars="0"/>
        <w:rPr>
          <w:rFonts w:ascii="宋体" w:hAnsi="宋体" w:eastAsia="宋体"/>
          <w:b/>
          <w:bCs/>
          <w:color w:val="auto"/>
          <w:sz w:val="24"/>
          <w:szCs w:val="24"/>
          <w:highlight w:val="none"/>
        </w:rPr>
      </w:pPr>
      <w:bookmarkStart w:id="116" w:name="_Toc482188560"/>
      <w:bookmarkStart w:id="117" w:name="_Toc509765914"/>
      <w:bookmarkStart w:id="118" w:name="_Toc29371"/>
      <w:bookmarkStart w:id="119" w:name="_Toc26938"/>
      <w:r>
        <w:rPr>
          <w:rFonts w:ascii="宋体" w:hAnsi="宋体" w:eastAsia="宋体"/>
          <w:b/>
          <w:bCs/>
          <w:color w:val="auto"/>
          <w:sz w:val="24"/>
          <w:szCs w:val="24"/>
          <w:highlight w:val="none"/>
        </w:rPr>
        <w:t xml:space="preserve">2.1 </w:t>
      </w:r>
      <w:r>
        <w:rPr>
          <w:rFonts w:hint="eastAsia" w:ascii="宋体" w:hAnsi="宋体" w:eastAsia="宋体"/>
          <w:b/>
          <w:bCs/>
          <w:color w:val="auto"/>
          <w:sz w:val="24"/>
          <w:szCs w:val="24"/>
          <w:highlight w:val="none"/>
        </w:rPr>
        <w:t>遵守法律</w:t>
      </w:r>
      <w:bookmarkEnd w:id="116"/>
      <w:bookmarkEnd w:id="117"/>
      <w:bookmarkEnd w:id="118"/>
      <w:bookmarkEnd w:id="119"/>
    </w:p>
    <w:p>
      <w:pPr>
        <w:spacing w:line="360" w:lineRule="auto"/>
        <w:ind w:firstLine="420" w:firstLineChars="200"/>
        <w:rPr>
          <w:rFonts w:ascii="宋体" w:hAnsi="宋体"/>
          <w:color w:val="auto"/>
          <w:sz w:val="24"/>
          <w:szCs w:val="24"/>
          <w:highlight w:val="none"/>
        </w:rPr>
      </w:pPr>
      <w:r>
        <w:rPr>
          <w:rFonts w:ascii="宋体" w:hAnsi="宋体"/>
          <w:color w:val="auto"/>
          <w:sz w:val="21"/>
          <w:szCs w:val="21"/>
          <w:highlight w:val="none"/>
        </w:rPr>
        <w:t>发包人在履行合同过程中应遵守法律，并保证勘察设计人免于承担因发包人违反法律而引起的</w:t>
      </w:r>
      <w:bookmarkStart w:id="120" w:name="_Toc184635099"/>
      <w:bookmarkStart w:id="121" w:name="_Toc370281722"/>
      <w:bookmarkStart w:id="122" w:name="_Toc247527650"/>
      <w:bookmarkStart w:id="123" w:name="_Toc385942918"/>
      <w:bookmarkStart w:id="124" w:name="_Toc300835048"/>
      <w:bookmarkStart w:id="125" w:name="_Toc247514049"/>
      <w:bookmarkStart w:id="126" w:name="_Toc385592087"/>
      <w:r>
        <w:rPr>
          <w:rFonts w:ascii="宋体" w:hAnsi="宋体"/>
          <w:color w:val="auto"/>
          <w:sz w:val="21"/>
          <w:szCs w:val="21"/>
          <w:highlight w:val="none"/>
        </w:rPr>
        <w:t>任何责任。</w:t>
      </w:r>
    </w:p>
    <w:p>
      <w:pPr>
        <w:pStyle w:val="4"/>
        <w:numPr>
          <w:ilvl w:val="2"/>
          <w:numId w:val="0"/>
        </w:numPr>
        <w:spacing w:before="0" w:after="0" w:line="360" w:lineRule="auto"/>
        <w:ind w:left="838" w:leftChars="0"/>
        <w:rPr>
          <w:rFonts w:ascii="宋体" w:hAnsi="宋体" w:eastAsia="宋体"/>
          <w:b/>
          <w:bCs/>
          <w:color w:val="auto"/>
          <w:sz w:val="24"/>
          <w:szCs w:val="24"/>
          <w:highlight w:val="none"/>
        </w:rPr>
      </w:pPr>
      <w:bookmarkStart w:id="127" w:name="_Toc29244"/>
      <w:bookmarkStart w:id="128" w:name="_Toc482188561"/>
      <w:bookmarkStart w:id="129" w:name="_Toc509765915"/>
      <w:bookmarkStart w:id="130" w:name="_Toc25140"/>
      <w:r>
        <w:rPr>
          <w:rFonts w:ascii="宋体" w:hAnsi="宋体" w:eastAsia="宋体"/>
          <w:b/>
          <w:bCs/>
          <w:color w:val="auto"/>
          <w:sz w:val="24"/>
          <w:szCs w:val="24"/>
          <w:highlight w:val="none"/>
        </w:rPr>
        <w:t>2</w:t>
      </w:r>
      <w:bookmarkEnd w:id="120"/>
      <w:bookmarkEnd w:id="121"/>
      <w:bookmarkEnd w:id="122"/>
      <w:bookmarkEnd w:id="123"/>
      <w:bookmarkEnd w:id="124"/>
      <w:bookmarkEnd w:id="125"/>
      <w:bookmarkEnd w:id="126"/>
      <w:r>
        <w:rPr>
          <w:rFonts w:ascii="宋体" w:hAnsi="宋体" w:eastAsia="宋体"/>
          <w:b/>
          <w:bCs/>
          <w:color w:val="auto"/>
          <w:sz w:val="24"/>
          <w:szCs w:val="24"/>
          <w:highlight w:val="none"/>
        </w:rPr>
        <w:t>.2</w:t>
      </w:r>
      <w:bookmarkStart w:id="131" w:name="_Toc300835049"/>
      <w:bookmarkStart w:id="132" w:name="_Toc247514050"/>
      <w:bookmarkStart w:id="133" w:name="_Toc247527651"/>
      <w:bookmarkStart w:id="134" w:name="_Toc247527654"/>
      <w:bookmarkStart w:id="135" w:name="_Toc247514053"/>
      <w:bookmarkStart w:id="136" w:name="_Toc300835052"/>
      <w:bookmarkStart w:id="137" w:name="_Toc370281723"/>
      <w:bookmarkStart w:id="138" w:name="_Toc385942919"/>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rPr>
        <w:t>发出开始勘察设计通</w:t>
      </w:r>
      <w:bookmarkEnd w:id="131"/>
      <w:bookmarkEnd w:id="132"/>
      <w:bookmarkEnd w:id="133"/>
      <w:r>
        <w:rPr>
          <w:rFonts w:hint="eastAsia" w:ascii="宋体" w:hAnsi="宋体" w:eastAsia="宋体"/>
          <w:b/>
          <w:bCs/>
          <w:color w:val="auto"/>
          <w:sz w:val="24"/>
          <w:szCs w:val="24"/>
          <w:highlight w:val="none"/>
        </w:rPr>
        <w:t>知</w:t>
      </w:r>
      <w:bookmarkEnd w:id="127"/>
      <w:bookmarkEnd w:id="128"/>
      <w:bookmarkEnd w:id="129"/>
      <w:bookmarkEnd w:id="130"/>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发包人应按第</w:t>
      </w:r>
      <w:r>
        <w:rPr>
          <w:rFonts w:hint="eastAsia" w:ascii="宋体" w:hAnsi="宋体"/>
          <w:color w:val="auto"/>
          <w:sz w:val="21"/>
          <w:szCs w:val="21"/>
          <w:highlight w:val="none"/>
        </w:rPr>
        <w:t>6</w:t>
      </w:r>
      <w:r>
        <w:rPr>
          <w:rFonts w:ascii="宋体" w:hAnsi="宋体"/>
          <w:color w:val="auto"/>
          <w:sz w:val="21"/>
          <w:szCs w:val="21"/>
          <w:highlight w:val="none"/>
        </w:rPr>
        <w:t>.1款的约定向勘察设计人发出开始勘察设计通知。</w:t>
      </w:r>
    </w:p>
    <w:p>
      <w:pPr>
        <w:pStyle w:val="4"/>
        <w:numPr>
          <w:ilvl w:val="2"/>
          <w:numId w:val="0"/>
        </w:numPr>
        <w:spacing w:before="0" w:after="0" w:line="360" w:lineRule="auto"/>
        <w:ind w:left="838" w:leftChars="0"/>
        <w:rPr>
          <w:rFonts w:ascii="宋体" w:hAnsi="宋体" w:eastAsia="宋体"/>
          <w:b/>
          <w:bCs/>
          <w:color w:val="auto"/>
          <w:sz w:val="24"/>
          <w:szCs w:val="24"/>
          <w:highlight w:val="none"/>
        </w:rPr>
      </w:pPr>
      <w:bookmarkStart w:id="139" w:name="_Toc28193"/>
      <w:bookmarkStart w:id="140" w:name="_Toc509765916"/>
      <w:bookmarkStart w:id="141" w:name="_Toc482188562"/>
      <w:bookmarkStart w:id="142" w:name="_Toc4071"/>
      <w:r>
        <w:rPr>
          <w:rFonts w:ascii="宋体" w:hAnsi="宋体" w:eastAsia="宋体"/>
          <w:b/>
          <w:bCs/>
          <w:color w:val="auto"/>
          <w:sz w:val="24"/>
          <w:szCs w:val="24"/>
          <w:highlight w:val="none"/>
        </w:rPr>
        <w:t>2.</w:t>
      </w:r>
      <w:bookmarkStart w:id="143" w:name="_Toc300835051"/>
      <w:bookmarkStart w:id="144" w:name="_Toc247527653"/>
      <w:bookmarkStart w:id="145" w:name="_Toc247514052"/>
      <w:r>
        <w:rPr>
          <w:rFonts w:ascii="宋体" w:hAnsi="宋体" w:eastAsia="宋体"/>
          <w:b/>
          <w:bCs/>
          <w:color w:val="auto"/>
          <w:sz w:val="24"/>
          <w:szCs w:val="24"/>
          <w:highlight w:val="none"/>
        </w:rPr>
        <w:t xml:space="preserve">3 </w:t>
      </w:r>
      <w:r>
        <w:rPr>
          <w:rFonts w:hint="eastAsia" w:ascii="宋体" w:hAnsi="宋体" w:eastAsia="宋体"/>
          <w:b/>
          <w:bCs/>
          <w:color w:val="auto"/>
          <w:sz w:val="24"/>
          <w:szCs w:val="24"/>
          <w:highlight w:val="none"/>
        </w:rPr>
        <w:t>办理证件</w:t>
      </w:r>
      <w:bookmarkEnd w:id="143"/>
      <w:bookmarkEnd w:id="144"/>
      <w:bookmarkEnd w:id="145"/>
      <w:r>
        <w:rPr>
          <w:rFonts w:hint="eastAsia" w:ascii="宋体" w:hAnsi="宋体" w:eastAsia="宋体"/>
          <w:b/>
          <w:bCs/>
          <w:color w:val="auto"/>
          <w:sz w:val="24"/>
          <w:szCs w:val="24"/>
          <w:highlight w:val="none"/>
        </w:rPr>
        <w:t>和批件</w:t>
      </w:r>
      <w:bookmarkEnd w:id="139"/>
      <w:bookmarkEnd w:id="140"/>
      <w:bookmarkEnd w:id="141"/>
      <w:bookmarkEnd w:id="14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法律规定和（或）合同约定由发包人负责办理的工程建设项目必须履行的各类审批、核准或备案手续，发包人应当按时办理，勘察设计人应给予必要的协助。</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法律规定和（或）合同约定由勘察设计人负责办理的勘察设计所需的证件和批件，发包人应给予必要的协助。</w:t>
      </w:r>
    </w:p>
    <w:p>
      <w:pPr>
        <w:pStyle w:val="4"/>
        <w:numPr>
          <w:ilvl w:val="2"/>
          <w:numId w:val="0"/>
        </w:numPr>
        <w:spacing w:before="0" w:after="0" w:line="360" w:lineRule="auto"/>
        <w:ind w:left="838" w:leftChars="0"/>
        <w:rPr>
          <w:rFonts w:ascii="宋体" w:hAnsi="宋体" w:eastAsia="宋体"/>
          <w:b/>
          <w:bCs/>
          <w:color w:val="auto"/>
          <w:sz w:val="24"/>
          <w:szCs w:val="24"/>
          <w:highlight w:val="none"/>
        </w:rPr>
      </w:pPr>
      <w:bookmarkStart w:id="146" w:name="_Toc509765917"/>
      <w:bookmarkStart w:id="147" w:name="_Toc8612"/>
      <w:bookmarkStart w:id="148" w:name="_Toc8679"/>
      <w:bookmarkStart w:id="149" w:name="_Toc482188563"/>
      <w:r>
        <w:rPr>
          <w:rFonts w:ascii="宋体" w:hAnsi="宋体" w:eastAsia="宋体"/>
          <w:b/>
          <w:bCs/>
          <w:color w:val="auto"/>
          <w:sz w:val="24"/>
          <w:szCs w:val="24"/>
          <w:highlight w:val="none"/>
        </w:rPr>
        <w:t xml:space="preserve">2.4 </w:t>
      </w:r>
      <w:r>
        <w:rPr>
          <w:rFonts w:hint="eastAsia" w:ascii="宋体" w:hAnsi="宋体" w:eastAsia="宋体"/>
          <w:b/>
          <w:bCs/>
          <w:color w:val="auto"/>
          <w:sz w:val="24"/>
          <w:szCs w:val="24"/>
          <w:highlight w:val="none"/>
        </w:rPr>
        <w:t>支付合同价款</w:t>
      </w:r>
      <w:bookmarkEnd w:id="146"/>
      <w:bookmarkEnd w:id="147"/>
      <w:bookmarkEnd w:id="148"/>
      <w:bookmarkEnd w:id="14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发包人应按合同约定向勘察设计人及时支付合同价款。</w:t>
      </w:r>
    </w:p>
    <w:p>
      <w:pPr>
        <w:pStyle w:val="4"/>
        <w:numPr>
          <w:ilvl w:val="2"/>
          <w:numId w:val="0"/>
        </w:numPr>
        <w:spacing w:before="0" w:after="0" w:line="360" w:lineRule="auto"/>
        <w:ind w:left="838" w:leftChars="0"/>
        <w:rPr>
          <w:rFonts w:ascii="宋体" w:hAnsi="宋体" w:eastAsia="宋体"/>
          <w:b/>
          <w:bCs/>
          <w:color w:val="auto"/>
          <w:sz w:val="24"/>
          <w:szCs w:val="24"/>
          <w:highlight w:val="none"/>
        </w:rPr>
      </w:pPr>
      <w:bookmarkStart w:id="150" w:name="_Toc3510"/>
      <w:bookmarkStart w:id="151" w:name="_Toc482188564"/>
      <w:bookmarkStart w:id="152" w:name="_Toc509765918"/>
      <w:bookmarkStart w:id="153" w:name="_Toc474833987"/>
      <w:bookmarkStart w:id="154" w:name="_Toc11340"/>
      <w:r>
        <w:rPr>
          <w:rFonts w:ascii="宋体" w:hAnsi="宋体" w:eastAsia="宋体"/>
          <w:b/>
          <w:bCs/>
          <w:color w:val="auto"/>
          <w:sz w:val="24"/>
          <w:szCs w:val="24"/>
          <w:highlight w:val="none"/>
        </w:rPr>
        <w:t xml:space="preserve">2.5 </w:t>
      </w:r>
      <w:r>
        <w:rPr>
          <w:rFonts w:hint="eastAsia" w:ascii="宋体" w:hAnsi="宋体" w:eastAsia="宋体"/>
          <w:b/>
          <w:bCs/>
          <w:color w:val="auto"/>
          <w:sz w:val="24"/>
          <w:szCs w:val="24"/>
          <w:highlight w:val="none"/>
        </w:rPr>
        <w:t>提供勘察设计资料</w:t>
      </w:r>
      <w:bookmarkEnd w:id="150"/>
      <w:bookmarkEnd w:id="151"/>
      <w:bookmarkEnd w:id="152"/>
      <w:bookmarkEnd w:id="153"/>
      <w:bookmarkEnd w:id="15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发包人应按第1.6.2项的约定向勘察设计人提供勘察设计资料。</w:t>
      </w:r>
    </w:p>
    <w:bookmarkEnd w:id="134"/>
    <w:bookmarkEnd w:id="135"/>
    <w:bookmarkEnd w:id="136"/>
    <w:bookmarkEnd w:id="137"/>
    <w:bookmarkEnd w:id="138"/>
    <w:p>
      <w:pPr>
        <w:pStyle w:val="4"/>
        <w:numPr>
          <w:ilvl w:val="2"/>
          <w:numId w:val="0"/>
        </w:numPr>
        <w:spacing w:before="0" w:after="0" w:line="360" w:lineRule="auto"/>
        <w:ind w:left="838" w:leftChars="0"/>
        <w:rPr>
          <w:rFonts w:ascii="宋体" w:hAnsi="宋体" w:eastAsia="宋体"/>
          <w:b/>
          <w:bCs/>
          <w:color w:val="auto"/>
          <w:sz w:val="24"/>
          <w:szCs w:val="24"/>
          <w:highlight w:val="none"/>
        </w:rPr>
      </w:pPr>
      <w:bookmarkStart w:id="155" w:name="_Toc482188565"/>
      <w:bookmarkStart w:id="156" w:name="_Toc284"/>
      <w:bookmarkStart w:id="157" w:name="_Toc509765919"/>
      <w:bookmarkStart w:id="158" w:name="_Toc22237"/>
      <w:r>
        <w:rPr>
          <w:rFonts w:ascii="宋体" w:hAnsi="宋体" w:eastAsia="宋体"/>
          <w:b/>
          <w:bCs/>
          <w:color w:val="auto"/>
          <w:sz w:val="24"/>
          <w:szCs w:val="24"/>
          <w:highlight w:val="none"/>
        </w:rPr>
        <w:t xml:space="preserve">2.6 </w:t>
      </w:r>
      <w:r>
        <w:rPr>
          <w:rFonts w:hint="eastAsia" w:ascii="宋体" w:hAnsi="宋体" w:eastAsia="宋体"/>
          <w:b/>
          <w:bCs/>
          <w:color w:val="auto"/>
          <w:sz w:val="24"/>
          <w:szCs w:val="24"/>
          <w:highlight w:val="none"/>
        </w:rPr>
        <w:t>其他义务</w:t>
      </w:r>
      <w:bookmarkEnd w:id="155"/>
      <w:bookmarkEnd w:id="156"/>
      <w:bookmarkEnd w:id="157"/>
      <w:bookmarkEnd w:id="15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发包人应履行合同约定的其他义务</w:t>
      </w:r>
      <w:bookmarkStart w:id="159" w:name="_Toc370281728"/>
      <w:bookmarkStart w:id="160" w:name="_Toc385942924"/>
      <w:r>
        <w:rPr>
          <w:rFonts w:ascii="宋体" w:hAnsi="宋体"/>
          <w:color w:val="auto"/>
          <w:sz w:val="21"/>
          <w:szCs w:val="21"/>
          <w:highlight w:val="none"/>
        </w:rPr>
        <w:t>。</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161" w:name="_Toc24008"/>
      <w:bookmarkStart w:id="162" w:name="_Toc482188566"/>
      <w:bookmarkStart w:id="163" w:name="_Toc6432"/>
      <w:bookmarkStart w:id="164" w:name="_Toc509765920"/>
      <w:r>
        <w:rPr>
          <w:rFonts w:ascii="宋体" w:hAnsi="宋体" w:eastAsia="宋体"/>
          <w:i w:val="0"/>
          <w:iCs/>
          <w:color w:val="auto"/>
          <w:sz w:val="28"/>
          <w:szCs w:val="28"/>
          <w:highlight w:val="none"/>
        </w:rPr>
        <w:t>3. 发包人管</w:t>
      </w:r>
      <w:bookmarkEnd w:id="159"/>
      <w:bookmarkEnd w:id="160"/>
      <w:r>
        <w:rPr>
          <w:rFonts w:ascii="宋体" w:hAnsi="宋体" w:eastAsia="宋体"/>
          <w:i w:val="0"/>
          <w:iCs/>
          <w:color w:val="auto"/>
          <w:sz w:val="28"/>
          <w:szCs w:val="28"/>
          <w:highlight w:val="none"/>
        </w:rPr>
        <w:t>理</w:t>
      </w:r>
      <w:bookmarkEnd w:id="161"/>
      <w:bookmarkEnd w:id="162"/>
      <w:bookmarkEnd w:id="163"/>
      <w:bookmarkEnd w:id="164"/>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65" w:name="_Toc482188567"/>
      <w:bookmarkStart w:id="166" w:name="_Toc509765921"/>
      <w:bookmarkStart w:id="167" w:name="_Toc28389"/>
      <w:bookmarkStart w:id="168" w:name="_Toc18973"/>
      <w:r>
        <w:rPr>
          <w:rFonts w:hint="eastAsia" w:ascii="宋体" w:hAnsi="宋体" w:eastAsia="宋体" w:cs="宋体"/>
          <w:b/>
          <w:bCs/>
          <w:color w:val="auto"/>
          <w:sz w:val="24"/>
          <w:szCs w:val="24"/>
          <w:highlight w:val="none"/>
        </w:rPr>
        <w:t>3.1 发包人代表</w:t>
      </w:r>
      <w:bookmarkEnd w:id="165"/>
      <w:bookmarkEnd w:id="166"/>
      <w:bookmarkEnd w:id="167"/>
      <w:bookmarkEnd w:id="16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3.1.1除专用合同条款</w:t>
      </w:r>
      <w:bookmarkStart w:id="169" w:name="_Toc247527658"/>
      <w:bookmarkStart w:id="170" w:name="_Toc247514057"/>
      <w:bookmarkStart w:id="171" w:name="_Toc300835055"/>
      <w:bookmarkStart w:id="172" w:name="_Toc385942925"/>
      <w:bookmarkStart w:id="173" w:name="_Toc370281729"/>
      <w:r>
        <w:rPr>
          <w:rFonts w:hint="eastAsia" w:ascii="宋体" w:hAnsi="宋体" w:eastAsia="宋体" w:cs="宋体"/>
          <w:color w:val="auto"/>
          <w:sz w:val="21"/>
          <w:szCs w:val="21"/>
          <w:highlight w:val="none"/>
        </w:rPr>
        <w:t>另有约定外，发包</w:t>
      </w:r>
      <w:bookmarkEnd w:id="169"/>
      <w:bookmarkEnd w:id="170"/>
      <w:bookmarkEnd w:id="171"/>
      <w:bookmarkEnd w:id="172"/>
      <w:bookmarkEnd w:id="173"/>
      <w:r>
        <w:rPr>
          <w:rFonts w:hint="eastAsia" w:ascii="宋体" w:hAnsi="宋体" w:eastAsia="宋体" w:cs="宋体"/>
          <w:color w:val="auto"/>
          <w:sz w:val="21"/>
          <w:szCs w:val="21"/>
          <w:highlight w:val="none"/>
        </w:rPr>
        <w:t>人应在合同签订后14天内，将发包人代</w:t>
      </w:r>
      <w:bookmarkStart w:id="174" w:name="_Toc184635100"/>
      <w:bookmarkStart w:id="175" w:name="_Toc247514058"/>
      <w:bookmarkStart w:id="176" w:name="_Toc247527659"/>
      <w:bookmarkStart w:id="177" w:name="_Toc300835056"/>
      <w:r>
        <w:rPr>
          <w:rFonts w:hint="eastAsia" w:ascii="宋体" w:hAnsi="宋体" w:eastAsia="宋体" w:cs="宋体"/>
          <w:color w:val="auto"/>
          <w:sz w:val="21"/>
          <w:szCs w:val="21"/>
          <w:highlight w:val="none"/>
        </w:rPr>
        <w:t>表的姓名、职</w:t>
      </w:r>
      <w:bookmarkEnd w:id="174"/>
      <w:bookmarkEnd w:id="175"/>
      <w:bookmarkEnd w:id="176"/>
      <w:bookmarkEnd w:id="177"/>
      <w:r>
        <w:rPr>
          <w:rFonts w:hint="eastAsia" w:ascii="宋体" w:hAnsi="宋体" w:eastAsia="宋体" w:cs="宋体"/>
          <w:color w:val="auto"/>
          <w:sz w:val="21"/>
          <w:szCs w:val="21"/>
          <w:highlight w:val="none"/>
        </w:rPr>
        <w:t>务、联</w:t>
      </w:r>
      <w:bookmarkStart w:id="178" w:name="_Toc351203511"/>
      <w:r>
        <w:rPr>
          <w:rFonts w:hint="eastAsia" w:ascii="宋体" w:hAnsi="宋体" w:eastAsia="宋体" w:cs="宋体"/>
          <w:color w:val="auto"/>
          <w:sz w:val="21"/>
          <w:szCs w:val="21"/>
          <w:highlight w:val="none"/>
        </w:rPr>
        <w:t>系方式、授权范围和</w:t>
      </w:r>
      <w:bookmarkEnd w:id="178"/>
      <w:r>
        <w:rPr>
          <w:rFonts w:hint="eastAsia" w:ascii="宋体" w:hAnsi="宋体" w:eastAsia="宋体" w:cs="宋体"/>
          <w:color w:val="auto"/>
          <w:sz w:val="21"/>
          <w:szCs w:val="21"/>
          <w:highlight w:val="none"/>
        </w:rPr>
        <w:t>授权期限书面通知勘察设计人，由发包人代表在其授权范围和授权期限内，代表发包人行使权利、履行义务和处理合同履行中的具体事宜。发包人代表在授权范围内的行为由发包人承担法律责任。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发包人代表违反法律法规、违背职业道德守则或者不按合同约定履行职责及义务，导致合同无法继续正常履行的，勘察设计人有权通知发包人更换发包人代表。发包人收到通知后7天内，应当核实完毕并将处理结果通知勘察设计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 发包人更换发包人代表的，应提前14天将更换人员的姓名、职务、联系方式、授权范围和授权期限书面通知勘察设计人。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 发包人代表可以授权发包人的其他人员负责执行其指派的一项或多项工作。发包人代表应</w:t>
      </w:r>
      <w:bookmarkStart w:id="179" w:name="_Toc247514061"/>
      <w:bookmarkStart w:id="180" w:name="_Toc247527662"/>
      <w:bookmarkStart w:id="181" w:name="_Toc300835059"/>
      <w:r>
        <w:rPr>
          <w:rFonts w:hint="eastAsia" w:ascii="宋体" w:hAnsi="宋体" w:eastAsia="宋体" w:cs="宋体"/>
          <w:color w:val="auto"/>
          <w:sz w:val="21"/>
          <w:szCs w:val="21"/>
          <w:highlight w:val="none"/>
        </w:rPr>
        <w:t>将被授权人员的姓名及其</w:t>
      </w:r>
      <w:bookmarkEnd w:id="179"/>
      <w:bookmarkEnd w:id="180"/>
      <w:bookmarkEnd w:id="181"/>
      <w:r>
        <w:rPr>
          <w:rFonts w:hint="eastAsia" w:ascii="宋体" w:hAnsi="宋体" w:eastAsia="宋体" w:cs="宋体"/>
          <w:color w:val="auto"/>
          <w:sz w:val="21"/>
          <w:szCs w:val="21"/>
          <w:highlight w:val="none"/>
        </w:rPr>
        <w:t>授权范围通知勘察设计人。被授权人员在授权范围内发出的指示视为已得到发包人代表的同意，与发包人代表发出的指示具有同等效力。</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82" w:name="_Toc12442"/>
      <w:bookmarkStart w:id="183" w:name="_Toc482188568"/>
      <w:bookmarkStart w:id="184" w:name="_Toc509765922"/>
      <w:bookmarkStart w:id="185" w:name="_Toc18753"/>
      <w:r>
        <w:rPr>
          <w:rFonts w:hint="eastAsia" w:ascii="宋体" w:hAnsi="宋体" w:eastAsia="宋体" w:cs="宋体"/>
          <w:b/>
          <w:bCs/>
          <w:color w:val="auto"/>
          <w:sz w:val="24"/>
          <w:szCs w:val="24"/>
          <w:highlight w:val="none"/>
        </w:rPr>
        <w:t>3.2 监理人</w:t>
      </w:r>
      <w:bookmarkEnd w:id="182"/>
      <w:bookmarkEnd w:id="183"/>
      <w:bookmarkEnd w:id="184"/>
      <w:bookmarkEnd w:id="18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发包人可以根据工程建设需要确定是否委托监理人进行勘察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合同约定应由勘察设计人承担的义务和责任，不因监理人对勘察设计文件的审查或批准，以及为实施监理作出的指示等职务行为而减轻或解除。</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86" w:name="_Toc6236"/>
      <w:bookmarkStart w:id="187" w:name="_Toc482188569"/>
      <w:bookmarkStart w:id="188" w:name="_Toc509765923"/>
      <w:bookmarkStart w:id="189" w:name="_Toc24023"/>
      <w:r>
        <w:rPr>
          <w:rFonts w:hint="eastAsia" w:ascii="宋体" w:hAnsi="宋体" w:eastAsia="宋体" w:cs="宋体"/>
          <w:b/>
          <w:bCs/>
          <w:color w:val="auto"/>
          <w:sz w:val="24"/>
          <w:szCs w:val="24"/>
          <w:highlight w:val="none"/>
        </w:rPr>
        <w:t>3.3 发包人的指示</w:t>
      </w:r>
      <w:bookmarkEnd w:id="186"/>
      <w:bookmarkEnd w:id="187"/>
      <w:bookmarkEnd w:id="188"/>
      <w:bookmarkEnd w:id="18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发包人应按合同约定向勘察设计人发出指示，发包人的指示应盖有发包人单位公章</w:t>
      </w:r>
      <w:bookmarkStart w:id="190" w:name="_Toc247527663"/>
      <w:bookmarkStart w:id="191" w:name="_Toc300835060"/>
      <w:bookmarkStart w:id="192" w:name="_Toc247514062"/>
      <w:r>
        <w:rPr>
          <w:rFonts w:hint="eastAsia" w:ascii="宋体" w:hAnsi="宋体" w:eastAsia="宋体" w:cs="宋体"/>
          <w:color w:val="auto"/>
          <w:sz w:val="21"/>
          <w:szCs w:val="21"/>
          <w:highlight w:val="none"/>
        </w:rPr>
        <w:t>，并由发</w:t>
      </w:r>
      <w:bookmarkEnd w:id="190"/>
      <w:bookmarkEnd w:id="191"/>
      <w:bookmarkEnd w:id="192"/>
      <w:r>
        <w:rPr>
          <w:rFonts w:hint="eastAsia" w:ascii="宋体" w:hAnsi="宋体" w:eastAsia="宋体" w:cs="宋体"/>
          <w:color w:val="auto"/>
          <w:sz w:val="21"/>
          <w:szCs w:val="21"/>
          <w:highlight w:val="none"/>
        </w:rPr>
        <w:t>包人代表签字确认。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勘察设计人收到发包人作出的指示后应遵照执行。指示构成变更的，应按第11条执行。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在紧急情况下，发包人代表或其授权人员可以当场签发临时书面指示，勘察设计人应遵照执行。发包人代表应在临时书面指示发出后24小时内发出书面确认函，逾期未发出书面确认函的，该临时书面指示应被视为发包人的正式指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 除专用合同条款另有约定外，勘察设计人只从发包人代表或按第3.1.4项约定的被授权人员处取得指示。</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由于发包人未能按合同约定发出指示、指示延误或指示错误而导致勘察设计人费用增加和（或）周期延误的，发包人应承担由此增加的费用和（或）周期延误。</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93" w:name="_Toc14497"/>
      <w:bookmarkStart w:id="194" w:name="_Toc3777"/>
      <w:bookmarkStart w:id="195" w:name="_Toc482188570"/>
      <w:bookmarkStart w:id="196" w:name="_Toc509765924"/>
      <w:r>
        <w:rPr>
          <w:rFonts w:hint="eastAsia" w:ascii="宋体" w:hAnsi="宋体" w:eastAsia="宋体" w:cs="宋体"/>
          <w:b/>
          <w:bCs/>
          <w:color w:val="auto"/>
          <w:sz w:val="24"/>
          <w:szCs w:val="24"/>
          <w:highlight w:val="none"/>
        </w:rPr>
        <w:t>3.4 决定或答复</w:t>
      </w:r>
      <w:bookmarkEnd w:id="193"/>
      <w:bookmarkEnd w:id="194"/>
      <w:bookmarkEnd w:id="195"/>
      <w:bookmarkEnd w:id="19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发包人在法律允许的范围内有权对勘察设计人的勘察设计工作和/或勘察设计文件作出处理决定</w:t>
      </w:r>
      <w:bookmarkStart w:id="197" w:name="_Toc184635101"/>
      <w:bookmarkStart w:id="198" w:name="_Toc247514064"/>
      <w:bookmarkStart w:id="199" w:name="_Toc385942926"/>
      <w:bookmarkStart w:id="200" w:name="_Toc370281730"/>
      <w:bookmarkStart w:id="201" w:name="_Toc300835062"/>
      <w:bookmarkStart w:id="202" w:name="_Toc385592088"/>
      <w:bookmarkStart w:id="203" w:name="_Toc247527665"/>
      <w:r>
        <w:rPr>
          <w:rFonts w:hint="eastAsia" w:ascii="宋体" w:hAnsi="宋体" w:eastAsia="宋体" w:cs="宋体"/>
          <w:color w:val="auto"/>
          <w:sz w:val="21"/>
          <w:szCs w:val="21"/>
          <w:highlight w:val="none"/>
        </w:rPr>
        <w:t>，勘察设计人应按照发包人的决定执行，涉及勘察设计服务期限或勘察设计费用等问题按第11条的约定处理。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发包人应在专用合同条款约定的时间之内，对勘察设计人书面提出的事项作出书面答复；逾期没有做出答复的，视为已获得发包人的批准。</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204" w:name="_Toc509765925"/>
      <w:bookmarkStart w:id="205" w:name="_Toc482188571"/>
      <w:bookmarkStart w:id="206" w:name="_Toc30370"/>
      <w:bookmarkStart w:id="207" w:name="_Toc496"/>
      <w:r>
        <w:rPr>
          <w:rFonts w:ascii="宋体" w:hAnsi="宋体" w:eastAsia="宋体"/>
          <w:i w:val="0"/>
          <w:iCs/>
          <w:color w:val="auto"/>
          <w:sz w:val="28"/>
          <w:szCs w:val="28"/>
          <w:highlight w:val="none"/>
        </w:rPr>
        <w:t>4. 勘察设计人义务</w:t>
      </w:r>
      <w:bookmarkEnd w:id="204"/>
      <w:bookmarkEnd w:id="205"/>
      <w:bookmarkEnd w:id="206"/>
      <w:bookmarkEnd w:id="207"/>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08" w:name="_Toc509765926"/>
      <w:bookmarkStart w:id="209" w:name="_Toc24782"/>
      <w:bookmarkStart w:id="210" w:name="_Toc482188572"/>
      <w:bookmarkStart w:id="211" w:name="_Toc12256"/>
      <w:r>
        <w:rPr>
          <w:rFonts w:hint="eastAsia" w:ascii="宋体" w:hAnsi="宋体" w:eastAsia="宋体" w:cs="宋体"/>
          <w:b/>
          <w:bCs/>
          <w:color w:val="auto"/>
          <w:sz w:val="24"/>
          <w:szCs w:val="24"/>
          <w:highlight w:val="none"/>
        </w:rPr>
        <w:t>4.1 勘察设计人的一般义务</w:t>
      </w:r>
      <w:bookmarkEnd w:id="208"/>
      <w:bookmarkEnd w:id="209"/>
      <w:bookmarkEnd w:id="210"/>
      <w:bookmarkEnd w:id="211"/>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4.1.1 遵守法律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勘察设计人在履行合同过程中应遵守法律，并保证发包人免于承担因</w:t>
      </w:r>
      <w:bookmarkEnd w:id="197"/>
      <w:bookmarkEnd w:id="198"/>
      <w:bookmarkEnd w:id="199"/>
      <w:bookmarkEnd w:id="200"/>
      <w:bookmarkEnd w:id="201"/>
      <w:bookmarkEnd w:id="202"/>
      <w:bookmarkEnd w:id="203"/>
      <w:r>
        <w:rPr>
          <w:rFonts w:hint="eastAsia" w:ascii="宋体" w:hAnsi="宋体" w:eastAsia="宋体" w:cs="宋体"/>
          <w:color w:val="auto"/>
          <w:sz w:val="21"/>
          <w:szCs w:val="21"/>
          <w:highlight w:val="none"/>
        </w:rPr>
        <w:t>勘察设计人</w:t>
      </w:r>
      <w:bookmarkStart w:id="212" w:name="_Toc370281731"/>
      <w:bookmarkStart w:id="213" w:name="_Toc300835063"/>
      <w:bookmarkStart w:id="214" w:name="_Toc247514065"/>
      <w:bookmarkStart w:id="215" w:name="_Toc385942927"/>
      <w:bookmarkStart w:id="216" w:name="_Toc247527666"/>
      <w:r>
        <w:rPr>
          <w:rFonts w:hint="eastAsia" w:ascii="宋体" w:hAnsi="宋体" w:eastAsia="宋体" w:cs="宋体"/>
          <w:color w:val="auto"/>
          <w:sz w:val="21"/>
          <w:szCs w:val="21"/>
          <w:highlight w:val="none"/>
        </w:rPr>
        <w:t>违反法律而引起的任何责任。</w:t>
      </w:r>
    </w:p>
    <w:bookmarkEnd w:id="212"/>
    <w:bookmarkEnd w:id="213"/>
    <w:bookmarkEnd w:id="214"/>
    <w:bookmarkEnd w:id="215"/>
    <w:bookmarkEnd w:id="216"/>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4.1.2 依法纳税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勘察设计人应按有关法律规定纳税，应缴纳的税金（含增值税）包括在合同价格之中。</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4.1.3 完成全部勘察设计工作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勘察设计人应按合同约定以及发包人要求，完成合同约定的全部工作，并对工作中的任何缺陷进行整改、完善和修补，使其满足合同约定的目的。勘察设计人应按合同约定提供勘察设计文件及相关服务等。</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4.1.4 其他义务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勘察设计人应履行合同约定的其他义务。</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17" w:name="_Toc509765927"/>
      <w:bookmarkStart w:id="218" w:name="_Toc13239"/>
      <w:bookmarkStart w:id="219" w:name="_Toc31575"/>
      <w:bookmarkStart w:id="220" w:name="_Toc382920065"/>
      <w:bookmarkStart w:id="221" w:name="_Toc485303383"/>
      <w:bookmarkStart w:id="222" w:name="_Toc31846"/>
      <w:bookmarkStart w:id="223" w:name="_Toc482188573"/>
      <w:bookmarkStart w:id="224" w:name="_Toc300835075"/>
      <w:bookmarkStart w:id="225" w:name="_Toc247527677"/>
      <w:bookmarkStart w:id="226" w:name="_Toc247514076"/>
      <w:bookmarkStart w:id="227" w:name="_Toc300835076"/>
      <w:r>
        <w:rPr>
          <w:rFonts w:hint="eastAsia" w:ascii="宋体" w:hAnsi="宋体" w:eastAsia="宋体" w:cs="宋体"/>
          <w:b/>
          <w:bCs/>
          <w:color w:val="auto"/>
          <w:sz w:val="24"/>
          <w:szCs w:val="24"/>
          <w:highlight w:val="none"/>
        </w:rPr>
        <w:t>4.2 履约保证金</w:t>
      </w:r>
      <w:bookmarkEnd w:id="217"/>
      <w:bookmarkEnd w:id="218"/>
      <w:bookmarkEnd w:id="219"/>
      <w:bookmarkEnd w:id="220"/>
      <w:bookmarkEnd w:id="221"/>
      <w:bookmarkEnd w:id="22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履约保证金自合同生效之日起生效，在发包人签收最后一批勘察设计成果文件之日起28日后失效。如果勘察设计人不履行合同约定的义务或其履行不符合合同的约定，发包人有权扣划相应金额的履约保证金。</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28" w:name="_Toc7347"/>
      <w:bookmarkStart w:id="229" w:name="_Toc509765928"/>
      <w:bookmarkStart w:id="230" w:name="_Toc141"/>
      <w:r>
        <w:rPr>
          <w:rFonts w:hint="eastAsia" w:ascii="宋体" w:hAnsi="宋体" w:eastAsia="宋体" w:cs="宋体"/>
          <w:b/>
          <w:bCs/>
          <w:color w:val="auto"/>
          <w:sz w:val="24"/>
          <w:szCs w:val="24"/>
          <w:highlight w:val="none"/>
        </w:rPr>
        <w:t>4.3 分包和不得转包</w:t>
      </w:r>
      <w:bookmarkEnd w:id="223"/>
      <w:bookmarkEnd w:id="228"/>
      <w:bookmarkEnd w:id="229"/>
      <w:bookmarkEnd w:id="23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勘察设计人不得将其勘察设计的全部工作转包给第三人。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勘察设计人不得将勘察设计的主体、关键性工作分包给第三人。除专用合同条款另有约定外，未经发包人同意，勘察设计人也不得将非主体、非关键性工作分包给第三人。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发包人同意勘察设计人分包工作的，勘察设计人应向发包人提交1份分包合同副本，并对分包勘察设计工作质量承担连带责任。除专用合同条款另有约定外，分包人的勘察设计费用由勘察设计人与分包人自行支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 分包人的资格能力应与其分包工作的标准和规模相适应，包括必要的企业资质、人员、设备和类似业绩等。</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31" w:name="_Toc4745"/>
      <w:bookmarkStart w:id="232" w:name="_Toc20345"/>
      <w:bookmarkStart w:id="233" w:name="_Toc509765929"/>
      <w:bookmarkStart w:id="234" w:name="_Toc482188574"/>
      <w:r>
        <w:rPr>
          <w:rFonts w:hint="eastAsia" w:ascii="宋体" w:hAnsi="宋体" w:eastAsia="宋体" w:cs="宋体"/>
          <w:b/>
          <w:bCs/>
          <w:color w:val="auto"/>
          <w:sz w:val="24"/>
          <w:szCs w:val="24"/>
          <w:highlight w:val="none"/>
        </w:rPr>
        <w:t>4.4 联合体</w:t>
      </w:r>
      <w:bookmarkEnd w:id="231"/>
      <w:bookmarkEnd w:id="232"/>
      <w:bookmarkEnd w:id="233"/>
      <w:bookmarkEnd w:id="23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 联合体各方应共同与发包人签订合同。联合体各方应为履行合同承担连带责任。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4.4.2 联合体协议经发包人确认后作为合同附件。在履行合同过程中，未经发包人同意，不得修改联合体协议。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 联合体牵头人或联合体授权的代表负责与发包人联系，并接受指示，负责组织联合体各成员全面履行合同。</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35" w:name="_Toc482188575"/>
      <w:bookmarkStart w:id="236" w:name="_Toc11884"/>
      <w:bookmarkStart w:id="237" w:name="_Toc30035"/>
      <w:bookmarkStart w:id="238" w:name="_Toc509765930"/>
      <w:r>
        <w:rPr>
          <w:rFonts w:hint="eastAsia" w:ascii="宋体" w:hAnsi="宋体" w:eastAsia="宋体" w:cs="宋体"/>
          <w:b/>
          <w:bCs/>
          <w:color w:val="auto"/>
          <w:sz w:val="24"/>
          <w:szCs w:val="24"/>
          <w:highlight w:val="none"/>
        </w:rPr>
        <w:t>4.5 项目负责人</w:t>
      </w:r>
      <w:bookmarkEnd w:id="235"/>
      <w:bookmarkEnd w:id="236"/>
      <w:bookmarkEnd w:id="237"/>
      <w:bookmarkEnd w:id="23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 勘察设计人应按合同协议书的约定指派项目负责人，并在约定的期限内到职。勘察设计人更换项目负责</w:t>
      </w:r>
      <w:bookmarkStart w:id="239" w:name="_Toc300835067"/>
      <w:bookmarkStart w:id="240" w:name="_Toc247527670"/>
      <w:bookmarkStart w:id="241" w:name="_Toc247514069"/>
      <w:r>
        <w:rPr>
          <w:rFonts w:hint="eastAsia" w:ascii="宋体" w:hAnsi="宋体" w:eastAsia="宋体" w:cs="宋体"/>
          <w:color w:val="auto"/>
          <w:sz w:val="21"/>
          <w:szCs w:val="21"/>
          <w:highlight w:val="none"/>
        </w:rPr>
        <w:t>人应事先征得</w:t>
      </w:r>
      <w:bookmarkEnd w:id="239"/>
      <w:bookmarkEnd w:id="240"/>
      <w:bookmarkEnd w:id="241"/>
      <w:r>
        <w:rPr>
          <w:rFonts w:hint="eastAsia" w:ascii="宋体" w:hAnsi="宋体" w:eastAsia="宋体" w:cs="宋体"/>
          <w:color w:val="auto"/>
          <w:sz w:val="21"/>
          <w:szCs w:val="21"/>
          <w:highlight w:val="none"/>
        </w:rPr>
        <w:t>发包人同意，并应在更换14天前将拟更换的项目负责人的姓名和详细资料提交发包人。项目负责人2天内不能履行职责的，应事先征得发包人同意，并委派代表代行其职责。</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4.5.2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4.5.3 勘察设计人为履行合同发出的一切函件均应盖有勘察设计人单位公章，并由勘察设计人的项目负责人签字确认。</w:t>
      </w:r>
    </w:p>
    <w:p>
      <w:pPr>
        <w:spacing w:line="360" w:lineRule="auto"/>
        <w:ind w:firstLine="420" w:firstLineChars="200"/>
        <w:rPr>
          <w:rFonts w:hint="eastAsia" w:ascii="宋体" w:hAnsi="宋体" w:eastAsia="宋体" w:cs="宋体"/>
          <w:color w:val="auto"/>
          <w:sz w:val="21"/>
          <w:szCs w:val="21"/>
          <w:highlight w:val="none"/>
        </w:rPr>
      </w:pPr>
      <w:bookmarkStart w:id="242" w:name="_Toc482188576"/>
      <w:r>
        <w:rPr>
          <w:rFonts w:hint="eastAsia" w:ascii="宋体" w:hAnsi="宋体" w:eastAsia="宋体" w:cs="宋体"/>
          <w:color w:val="auto"/>
          <w:sz w:val="21"/>
          <w:szCs w:val="21"/>
          <w:highlight w:val="none"/>
        </w:rPr>
        <w:t>4.5.4 按照专用合同条款约定，项目负责人可以授权其下属人员履行其某项职责，但事先应将这些人员的姓名和授权范围书面通知发包人。</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43" w:name="_Toc7606"/>
      <w:bookmarkStart w:id="244" w:name="_Toc304"/>
      <w:bookmarkStart w:id="245" w:name="_Toc509765931"/>
      <w:r>
        <w:rPr>
          <w:rFonts w:hint="eastAsia" w:ascii="宋体" w:hAnsi="宋体" w:eastAsia="宋体" w:cs="宋体"/>
          <w:b/>
          <w:bCs/>
          <w:color w:val="auto"/>
          <w:sz w:val="24"/>
          <w:szCs w:val="24"/>
          <w:highlight w:val="none"/>
        </w:rPr>
        <w:t>4.6 勘察设计人员的管理</w:t>
      </w:r>
      <w:bookmarkEnd w:id="242"/>
      <w:bookmarkEnd w:id="243"/>
      <w:bookmarkEnd w:id="244"/>
      <w:bookmarkEnd w:id="24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4.6.1 勘察设计人应在接到开始勘察设计通知之日起7天内，向发包人提交勘察设计项目机构以及</w:t>
      </w:r>
      <w:bookmarkStart w:id="246" w:name="_Toc247527671"/>
      <w:bookmarkStart w:id="247" w:name="_Toc300835068"/>
      <w:bookmarkStart w:id="248" w:name="_Toc247514070"/>
      <w:r>
        <w:rPr>
          <w:rFonts w:hint="eastAsia" w:ascii="宋体" w:hAnsi="宋体" w:eastAsia="宋体" w:cs="宋体"/>
          <w:color w:val="auto"/>
          <w:sz w:val="21"/>
          <w:szCs w:val="21"/>
          <w:highlight w:val="none"/>
        </w:rPr>
        <w:t>人员安排的报告，其内容应</w:t>
      </w:r>
      <w:bookmarkEnd w:id="246"/>
      <w:bookmarkEnd w:id="247"/>
      <w:bookmarkEnd w:id="248"/>
      <w:r>
        <w:rPr>
          <w:rFonts w:hint="eastAsia" w:ascii="宋体" w:hAnsi="宋体" w:eastAsia="宋体" w:cs="宋体"/>
          <w:color w:val="auto"/>
          <w:sz w:val="21"/>
          <w:szCs w:val="21"/>
          <w:highlight w:val="none"/>
        </w:rPr>
        <w:t>包括项目机构设置、主要勘察设计人员和作业人员的名单及资格条件。主要勘察设计人员应相对稳定，更换主要勘察设计人员的，应取得发包人的同意，并向发包人提交继任人员的资格、管理经验等资料。项目负责人的更换，应按照本章第4.5.1项规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 除专用合同条款另有约定外，主要勘察设计人员包括项目负责人、专业负责人、审核人、审定人等；其他人员包括各专业的勘察设计人员、管理人员等。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4.6.3勘察设计人应保证其主要勘察设计人员（含分包人）在合同期限内的任何时候，都能按时参加发包人组织的工作会议。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4.6.4 国家规定应当持证上岗的工作人员均应持有相应的资格证明，发包人有权随时检查。发包人认为有必要时，可以进行现场考核。</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49" w:name="_Toc6507"/>
      <w:bookmarkStart w:id="250" w:name="_Toc482188577"/>
      <w:bookmarkStart w:id="251" w:name="_Toc461"/>
      <w:bookmarkStart w:id="252" w:name="_Toc509765932"/>
      <w:r>
        <w:rPr>
          <w:rFonts w:hint="eastAsia" w:ascii="宋体" w:hAnsi="宋体" w:eastAsia="宋体" w:cs="宋体"/>
          <w:b/>
          <w:bCs/>
          <w:color w:val="auto"/>
          <w:sz w:val="24"/>
          <w:szCs w:val="24"/>
          <w:highlight w:val="none"/>
        </w:rPr>
        <w:t>4.7 撤换项目负责人和其他人员</w:t>
      </w:r>
      <w:bookmarkEnd w:id="249"/>
      <w:bookmarkEnd w:id="250"/>
      <w:bookmarkEnd w:id="251"/>
      <w:bookmarkEnd w:id="25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勘察设计人应对其项目负责人和其他人员进行有效管理。发包人要求撤换不能胜任本职工作、行</w:t>
      </w:r>
      <w:bookmarkStart w:id="253" w:name="_Toc300835069"/>
      <w:bookmarkStart w:id="254" w:name="_Toc247527672"/>
      <w:bookmarkStart w:id="255" w:name="_Toc247514071"/>
      <w:r>
        <w:rPr>
          <w:rFonts w:hint="eastAsia" w:ascii="宋体" w:hAnsi="宋体" w:eastAsia="宋体" w:cs="宋体"/>
          <w:color w:val="auto"/>
          <w:sz w:val="21"/>
          <w:szCs w:val="21"/>
          <w:highlight w:val="none"/>
        </w:rPr>
        <w:t>为不端或玩忽职守的项目负责人和其</w:t>
      </w:r>
      <w:bookmarkEnd w:id="253"/>
      <w:bookmarkEnd w:id="254"/>
      <w:bookmarkEnd w:id="255"/>
      <w:r>
        <w:rPr>
          <w:rFonts w:hint="eastAsia" w:ascii="宋体" w:hAnsi="宋体" w:eastAsia="宋体" w:cs="宋体"/>
          <w:color w:val="auto"/>
          <w:sz w:val="21"/>
          <w:szCs w:val="21"/>
          <w:highlight w:val="none"/>
        </w:rPr>
        <w:t>他人员的，勘察设计人应予以撤换。</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56" w:name="_Toc509765933"/>
      <w:bookmarkStart w:id="257" w:name="_Toc482188578"/>
      <w:bookmarkStart w:id="258" w:name="_Toc16292"/>
      <w:bookmarkStart w:id="259" w:name="_Toc4268"/>
      <w:r>
        <w:rPr>
          <w:rFonts w:hint="eastAsia" w:ascii="宋体" w:hAnsi="宋体" w:eastAsia="宋体" w:cs="宋体"/>
          <w:b/>
          <w:bCs/>
          <w:color w:val="auto"/>
          <w:sz w:val="24"/>
          <w:szCs w:val="24"/>
          <w:highlight w:val="none"/>
        </w:rPr>
        <w:t>4.8 保障人员的合法权益</w:t>
      </w:r>
      <w:bookmarkEnd w:id="256"/>
      <w:bookmarkEnd w:id="257"/>
      <w:bookmarkEnd w:id="258"/>
      <w:bookmarkEnd w:id="25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4.8.1 勘察设计人应与其雇佣的人员签订劳动合同，并按时发放工资。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4.8.2 勘察设计人应</w:t>
      </w:r>
      <w:bookmarkStart w:id="260" w:name="_Toc247527673"/>
      <w:bookmarkStart w:id="261" w:name="_Toc247514072"/>
      <w:bookmarkStart w:id="262" w:name="_Toc300835070"/>
      <w:r>
        <w:rPr>
          <w:rFonts w:hint="eastAsia" w:ascii="宋体" w:hAnsi="宋体" w:eastAsia="宋体" w:cs="宋体"/>
          <w:color w:val="auto"/>
          <w:sz w:val="21"/>
          <w:szCs w:val="21"/>
          <w:highlight w:val="none"/>
        </w:rPr>
        <w:t>按劳动法的规定安排工作时间</w:t>
      </w:r>
      <w:bookmarkEnd w:id="260"/>
      <w:bookmarkEnd w:id="261"/>
      <w:bookmarkEnd w:id="262"/>
      <w:r>
        <w:rPr>
          <w:rFonts w:hint="eastAsia" w:ascii="宋体" w:hAnsi="宋体" w:eastAsia="宋体" w:cs="宋体"/>
          <w:color w:val="auto"/>
          <w:sz w:val="21"/>
          <w:szCs w:val="21"/>
          <w:highlight w:val="none"/>
        </w:rPr>
        <w:t>，保证其雇佣人员享有休息和休假的权利。因勘察设计需要占用休假日或延长工作时间的，应不超过法律规定的限度，并按法律规定给予补休或付酬。</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4.8.3 勘察设计人应按有关法律规定和合同约定，为其雇佣人员办理保险。</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63" w:name="_Toc509765934"/>
      <w:bookmarkStart w:id="264" w:name="_Toc32664"/>
      <w:bookmarkStart w:id="265" w:name="_Toc482188579"/>
      <w:bookmarkStart w:id="266" w:name="_Toc22815"/>
      <w:r>
        <w:rPr>
          <w:rFonts w:hint="eastAsia" w:ascii="宋体" w:hAnsi="宋体" w:eastAsia="宋体" w:cs="宋体"/>
          <w:b/>
          <w:bCs/>
          <w:color w:val="auto"/>
          <w:sz w:val="24"/>
          <w:szCs w:val="24"/>
          <w:highlight w:val="none"/>
        </w:rPr>
        <w:t>4.9 合同价款应专款专用</w:t>
      </w:r>
      <w:bookmarkEnd w:id="263"/>
      <w:bookmarkEnd w:id="264"/>
      <w:bookmarkEnd w:id="265"/>
      <w:bookmarkEnd w:id="26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发包人按合同约定支付给勘察设计人的各项价款，应专用于合同勘察设计工作。</w:t>
      </w:r>
    </w:p>
    <w:bookmarkEnd w:id="224"/>
    <w:bookmarkEnd w:id="225"/>
    <w:bookmarkEnd w:id="226"/>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267" w:name="_Toc482188580"/>
      <w:bookmarkStart w:id="268" w:name="_Toc509765935"/>
      <w:bookmarkStart w:id="269" w:name="_Toc14121"/>
      <w:bookmarkStart w:id="270" w:name="_Toc8104"/>
      <w:r>
        <w:rPr>
          <w:rFonts w:ascii="宋体" w:hAnsi="宋体" w:eastAsia="宋体"/>
          <w:i w:val="0"/>
          <w:iCs/>
          <w:color w:val="auto"/>
          <w:sz w:val="28"/>
          <w:szCs w:val="28"/>
          <w:highlight w:val="none"/>
        </w:rPr>
        <w:t>5. 勘察设计要求</w:t>
      </w:r>
      <w:bookmarkEnd w:id="267"/>
      <w:bookmarkEnd w:id="268"/>
      <w:bookmarkEnd w:id="269"/>
      <w:bookmarkEnd w:id="270"/>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71" w:name="_Toc11470"/>
      <w:bookmarkStart w:id="272" w:name="_Toc482188581"/>
      <w:bookmarkStart w:id="273" w:name="_Toc509765936"/>
      <w:bookmarkStart w:id="274" w:name="_Toc16040"/>
      <w:r>
        <w:rPr>
          <w:rFonts w:hint="eastAsia" w:ascii="宋体" w:hAnsi="宋体" w:eastAsia="宋体" w:cs="宋体"/>
          <w:b/>
          <w:bCs/>
          <w:color w:val="auto"/>
          <w:sz w:val="24"/>
          <w:szCs w:val="24"/>
          <w:highlight w:val="none"/>
        </w:rPr>
        <w:t>5.1 一般要求</w:t>
      </w:r>
      <w:bookmarkEnd w:id="271"/>
      <w:bookmarkEnd w:id="272"/>
      <w:bookmarkEnd w:id="273"/>
      <w:bookmarkEnd w:id="27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 发包人应当遵守法律和规范标准，不得以任何理由要求勘察设计人违反法律和工程质量、安全标准进行勘察设计服务，降低工程质量。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 勘察设计人应按照法律规定，以及国家、行业和地方的规范和标准完成勘察设计工作，并应符合发包人要求。各项规范、标准和发包人要求之间如对同一内容的描述不一致时，应以描述更为严格的内容为准。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 除专用合同条款另有约定外，勘察设计人完成勘察设计工作所应遵守的法律规定，以及国家、行业和地方的规范和标准，均应视为在基准日适用的版本。基准日之后，前述版本发生重大变化，或者有新的法律，以及国家、行业和地方的规范和标准实施的，勘察设计人应向发包人提出遵守新规定的建议。发包人应在收到建议后7天内发出是否遵守新规定的指示。发包人指示遵守新规定的，按照第11条约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 勘察设计人在勘察设计服务中选用的材料、设备，应当注明其规格、型号、性能等技术指标及适应性，满足质量、安全、节能、环保等要求。</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75" w:name="_Toc509765937"/>
      <w:bookmarkStart w:id="276" w:name="_Toc22029"/>
      <w:bookmarkStart w:id="277" w:name="_Toc482188582"/>
      <w:bookmarkStart w:id="278" w:name="_Toc11273"/>
      <w:r>
        <w:rPr>
          <w:rFonts w:hint="eastAsia" w:ascii="宋体" w:hAnsi="宋体" w:eastAsia="宋体" w:cs="宋体"/>
          <w:b/>
          <w:bCs/>
          <w:color w:val="auto"/>
          <w:sz w:val="24"/>
          <w:szCs w:val="24"/>
          <w:highlight w:val="none"/>
        </w:rPr>
        <w:t>5.2 勘察设计依据</w:t>
      </w:r>
      <w:bookmarkEnd w:id="275"/>
      <w:bookmarkEnd w:id="276"/>
      <w:bookmarkEnd w:id="277"/>
      <w:bookmarkEnd w:id="27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除专用合同条款另有约定外，本工程的勘察设计依据如下：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（1）适用的法律、行政法规及部门规章；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（2）与工程有关的规范、标准、规程；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（3）工程基础资料及其他文件；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（4）本勘察设计服务合同及补充合同；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（5）本工程勘察文件和施工需求；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（6）合同履行中与勘察设计服务有关的来往函件；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（7）其他勘察设计依据。</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79" w:name="_Toc509765938"/>
      <w:bookmarkStart w:id="280" w:name="_Toc27900"/>
      <w:bookmarkStart w:id="281" w:name="_Toc20334"/>
      <w:bookmarkStart w:id="282" w:name="_Toc482188583"/>
      <w:r>
        <w:rPr>
          <w:rFonts w:hint="eastAsia" w:ascii="宋体" w:hAnsi="宋体" w:eastAsia="宋体" w:cs="宋体"/>
          <w:b/>
          <w:bCs/>
          <w:color w:val="auto"/>
          <w:sz w:val="24"/>
          <w:szCs w:val="24"/>
          <w:highlight w:val="none"/>
        </w:rPr>
        <w:t>5.3 勘察设计范围</w:t>
      </w:r>
      <w:bookmarkEnd w:id="279"/>
      <w:bookmarkEnd w:id="280"/>
      <w:bookmarkEnd w:id="281"/>
      <w:bookmarkEnd w:id="28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5.3.1 本合同的勘察设计范围包括工程范围、阶段范围和工作范围，具体勘察设计范围应当根据三者之间的关联内容进行确定。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 工程范围指所勘察设计工程的建设内容，具体范围</w:t>
      </w:r>
      <w:r>
        <w:rPr>
          <w:rFonts w:hint="eastAsia" w:ascii="宋体" w:hAnsi="宋体" w:eastAsia="宋体" w:cs="宋体"/>
          <w:color w:val="auto"/>
          <w:kern w:val="0"/>
          <w:sz w:val="21"/>
          <w:szCs w:val="21"/>
          <w:highlight w:val="none"/>
        </w:rPr>
        <w:t>在专用合同条款中约定</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5.3.3阶段范围指工程建设程序中的方案勘察设计、初步设计、扩大初步（招标）勘察设计、施工图设计等阶段中的一个或者多个阶段，具体范围在专用合同条款中约定。</w:t>
      </w:r>
    </w:p>
    <w:p>
      <w:pPr>
        <w:spacing w:line="360" w:lineRule="auto"/>
        <w:ind w:firstLine="420" w:firstLineChars="200"/>
        <w:rPr>
          <w:rFonts w:hint="eastAsia" w:ascii="宋体" w:hAnsi="宋体" w:eastAsia="宋体" w:cs="宋体"/>
          <w:color w:val="auto"/>
          <w:sz w:val="21"/>
          <w:szCs w:val="21"/>
          <w:highlight w:val="none"/>
        </w:rPr>
      </w:pPr>
      <w:bookmarkStart w:id="283" w:name="_Toc482188584"/>
      <w:r>
        <w:rPr>
          <w:rFonts w:hint="eastAsia" w:ascii="宋体" w:hAnsi="宋体" w:eastAsia="宋体" w:cs="宋体"/>
          <w:color w:val="auto"/>
          <w:sz w:val="21"/>
          <w:szCs w:val="21"/>
          <w:highlight w:val="none"/>
        </w:rPr>
        <w:t>5.3.4 工作范围指编制勘察设计文件、编制勘察设计概算、预算、提供技术交底、施工配合、参加试车（试运行）、编制竣工图、竣工验收和发包人委托的其他服务中的一项或者多项工作，具体范围在专用合同条款中约定。</w:t>
      </w:r>
    </w:p>
    <w:bookmarkEnd w:id="227"/>
    <w:bookmarkEnd w:id="283"/>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84" w:name="_Toc4300"/>
      <w:bookmarkStart w:id="285" w:name="_Toc509765939"/>
      <w:bookmarkStart w:id="286" w:name="_Toc3676"/>
      <w:bookmarkStart w:id="287" w:name="_Toc482188591"/>
      <w:r>
        <w:rPr>
          <w:rFonts w:hint="eastAsia" w:ascii="宋体" w:hAnsi="宋体" w:eastAsia="宋体" w:cs="宋体"/>
          <w:b/>
          <w:bCs/>
          <w:color w:val="auto"/>
          <w:sz w:val="24"/>
          <w:szCs w:val="24"/>
          <w:highlight w:val="none"/>
        </w:rPr>
        <w:t>5.4 勘察设计文件要求</w:t>
      </w:r>
      <w:bookmarkEnd w:id="284"/>
      <w:bookmarkEnd w:id="285"/>
      <w:bookmarkEnd w:id="28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5.4.1 勘察设计文件的编制应符合法律法规、规范标准的强制性规定和发包人要求，相关勘察设计依据应完整、准确、可靠，勘察设计方案论证充分，计算成果规范可靠，并能够实施。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5.4.2勘察设计服务应当根据法律、规范标准和发包人要求，保证工程的合理使用寿命年限，并在勘察设计文件中予以注明。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5.4.3 勘察设计文件的深度应满足本合同相应勘察设计阶段的规定要求，满足发包人的下步工作需要，并应符合国家和行业现行规定。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5.4.4 勘察设计文件必须保证工程质量和施工安全等方面的要求，按照有关法律法规规定在勘察设计文件中提出保障施工作业人员安全和预防生产安全事故的措施建议。</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288" w:name="_Toc28945"/>
      <w:bookmarkStart w:id="289" w:name="_Toc11155"/>
      <w:bookmarkStart w:id="290" w:name="_Toc509765940"/>
      <w:r>
        <w:rPr>
          <w:rFonts w:ascii="宋体" w:hAnsi="宋体" w:eastAsia="宋体"/>
          <w:i w:val="0"/>
          <w:iCs/>
          <w:color w:val="auto"/>
          <w:sz w:val="28"/>
          <w:szCs w:val="28"/>
          <w:highlight w:val="none"/>
        </w:rPr>
        <w:t>6. 开始勘察设计和完成</w:t>
      </w:r>
      <w:bookmarkEnd w:id="287"/>
      <w:r>
        <w:rPr>
          <w:rFonts w:ascii="宋体" w:hAnsi="宋体" w:eastAsia="宋体"/>
          <w:i w:val="0"/>
          <w:iCs/>
          <w:color w:val="auto"/>
          <w:sz w:val="28"/>
          <w:szCs w:val="28"/>
          <w:highlight w:val="none"/>
        </w:rPr>
        <w:t>勘察设计</w:t>
      </w:r>
      <w:bookmarkEnd w:id="288"/>
      <w:bookmarkEnd w:id="289"/>
      <w:bookmarkEnd w:id="290"/>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91" w:name="_Toc482188592"/>
      <w:bookmarkStart w:id="292" w:name="_Toc18534"/>
      <w:bookmarkStart w:id="293" w:name="_Toc509765941"/>
      <w:bookmarkStart w:id="294" w:name="_Toc23052"/>
      <w:r>
        <w:rPr>
          <w:rFonts w:hint="eastAsia" w:ascii="宋体" w:hAnsi="宋体" w:eastAsia="宋体" w:cs="宋体"/>
          <w:b/>
          <w:bCs/>
          <w:color w:val="auto"/>
          <w:sz w:val="24"/>
          <w:szCs w:val="24"/>
          <w:highlight w:val="none"/>
        </w:rPr>
        <w:t>6.1 开始</w:t>
      </w:r>
      <w:bookmarkEnd w:id="291"/>
      <w:r>
        <w:rPr>
          <w:rFonts w:hint="eastAsia" w:ascii="宋体" w:hAnsi="宋体" w:eastAsia="宋体" w:cs="宋体"/>
          <w:b/>
          <w:bCs/>
          <w:color w:val="auto"/>
          <w:sz w:val="24"/>
          <w:szCs w:val="24"/>
          <w:highlight w:val="none"/>
        </w:rPr>
        <w:t>勘察设计</w:t>
      </w:r>
      <w:bookmarkEnd w:id="292"/>
      <w:bookmarkEnd w:id="293"/>
      <w:bookmarkEnd w:id="29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6.1.1符合专用合同条款约定的开始勘察设计条件的，发包人应提前7</w:t>
      </w:r>
      <w:bookmarkStart w:id="295" w:name="_Toc247514114"/>
      <w:bookmarkStart w:id="296" w:name="_Toc247527715"/>
      <w:bookmarkStart w:id="297" w:name="_Toc184635108"/>
      <w:bookmarkStart w:id="298" w:name="_Toc300835117"/>
      <w:r>
        <w:rPr>
          <w:rFonts w:ascii="宋体" w:hAnsi="宋体"/>
          <w:color w:val="auto"/>
          <w:sz w:val="21"/>
          <w:szCs w:val="21"/>
          <w:highlight w:val="none"/>
        </w:rPr>
        <w:t>天向勘察设计人发出开始</w:t>
      </w:r>
      <w:bookmarkEnd w:id="295"/>
      <w:bookmarkEnd w:id="296"/>
      <w:bookmarkEnd w:id="297"/>
      <w:bookmarkEnd w:id="298"/>
      <w:r>
        <w:rPr>
          <w:rFonts w:ascii="宋体" w:hAnsi="宋体"/>
          <w:color w:val="auto"/>
          <w:sz w:val="21"/>
          <w:szCs w:val="21"/>
          <w:highlight w:val="none"/>
        </w:rPr>
        <w:t>勘察设计通知。</w:t>
      </w:r>
      <w:bookmarkStart w:id="299" w:name="_Toc247527716"/>
      <w:bookmarkStart w:id="300" w:name="_Toc247514115"/>
      <w:bookmarkStart w:id="301" w:name="_Toc300835118"/>
      <w:bookmarkStart w:id="302" w:name="_Toc300835120"/>
      <w:bookmarkStart w:id="303" w:name="_Toc247514117"/>
      <w:bookmarkStart w:id="304" w:name="_Toc247527718"/>
      <w:r>
        <w:rPr>
          <w:rFonts w:ascii="宋体" w:hAnsi="宋体"/>
          <w:color w:val="auto"/>
          <w:sz w:val="21"/>
          <w:szCs w:val="21"/>
          <w:highlight w:val="none"/>
        </w:rPr>
        <w:t>勘察设计服务期限自开始</w:t>
      </w:r>
      <w:bookmarkEnd w:id="299"/>
      <w:bookmarkEnd w:id="300"/>
      <w:bookmarkEnd w:id="301"/>
      <w:r>
        <w:rPr>
          <w:rFonts w:ascii="宋体" w:hAnsi="宋体"/>
          <w:color w:val="auto"/>
          <w:sz w:val="21"/>
          <w:szCs w:val="21"/>
          <w:highlight w:val="none"/>
        </w:rPr>
        <w:t>勘察设计通知中载明的开始勘察设计日期起计算。</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6.1.2除专用合同条款另有约定外，因发包人原因造成合同签订之日起90天内未能发出开始勘察设计通知的，勘察设计人有权提出价格调整要求，或者解除合同。发包人应当承担由此增加的费用和（或）周期延误。</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05" w:name="_Toc27195"/>
      <w:bookmarkStart w:id="306" w:name="_Toc24034"/>
      <w:bookmarkStart w:id="307" w:name="_Toc509765942"/>
      <w:bookmarkStart w:id="308" w:name="_Toc482188593"/>
      <w:r>
        <w:rPr>
          <w:rFonts w:hint="eastAsia" w:ascii="宋体" w:hAnsi="宋体" w:eastAsia="宋体" w:cs="宋体"/>
          <w:b/>
          <w:bCs/>
          <w:color w:val="auto"/>
          <w:sz w:val="24"/>
          <w:szCs w:val="24"/>
          <w:highlight w:val="none"/>
        </w:rPr>
        <w:t>6.2 发包人引起的周期延误</w:t>
      </w:r>
      <w:bookmarkEnd w:id="305"/>
      <w:bookmarkEnd w:id="306"/>
      <w:bookmarkEnd w:id="307"/>
      <w:bookmarkEnd w:id="30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在履行合同过程中，由于发包人的下列原因造成勘察设计服务期限延误的，发包人应当延长勘察设计服务期限并增加勘察设计费用，具体方法</w:t>
      </w:r>
      <w:r>
        <w:rPr>
          <w:rFonts w:ascii="宋体" w:hAnsi="宋体"/>
          <w:color w:val="auto"/>
          <w:kern w:val="0"/>
          <w:sz w:val="21"/>
          <w:szCs w:val="21"/>
          <w:highlight w:val="none"/>
        </w:rPr>
        <w:t>在专用合同条款中约定</w:t>
      </w:r>
      <w:r>
        <w:rPr>
          <w:rFonts w:ascii="宋体" w:hAnsi="宋体"/>
          <w:color w:val="auto"/>
          <w:sz w:val="21"/>
          <w:szCs w:val="21"/>
          <w:highlight w:val="none"/>
        </w:rPr>
        <w:t>。</w:t>
      </w:r>
      <w:bookmarkEnd w:id="302"/>
      <w:bookmarkEnd w:id="303"/>
      <w:bookmarkEnd w:id="30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（1）合同变更；</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（2）未按合同约定期限及时答复勘察设计事项；</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（3）因发包人原因导致的暂停勘察设计；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（4）未按合同约定及时支付勘察设计费用；</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（5）发包人提供的基准资料错误；</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（6）未及时按照履行合同约定的相关义务；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（7）未能按照合同约定期限对勘察设计文件进行审查；</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（8）发包人造成周期延误的其他原因。</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09" w:name="_Toc482188595"/>
      <w:bookmarkStart w:id="310" w:name="_Toc23215"/>
      <w:bookmarkStart w:id="311" w:name="_Toc509765943"/>
      <w:bookmarkStart w:id="312" w:name="_Toc16778"/>
      <w:r>
        <w:rPr>
          <w:rFonts w:hint="eastAsia" w:ascii="宋体" w:hAnsi="宋体" w:eastAsia="宋体" w:cs="宋体"/>
          <w:b/>
          <w:bCs/>
          <w:color w:val="auto"/>
          <w:sz w:val="24"/>
          <w:szCs w:val="24"/>
          <w:highlight w:val="none"/>
        </w:rPr>
        <w:t>6.3 勘察设计人引起的周期延误</w:t>
      </w:r>
      <w:bookmarkEnd w:id="309"/>
      <w:bookmarkEnd w:id="310"/>
      <w:bookmarkEnd w:id="311"/>
      <w:bookmarkEnd w:id="31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由于勘察设计人原因造成周期延误，勘察设计人应支付逾期违约金。逾期违约金的计算方法和最高限额在专用合同条款中约定。</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13" w:name="_Toc482188596"/>
      <w:bookmarkStart w:id="314" w:name="_Toc509765944"/>
      <w:bookmarkStart w:id="315" w:name="_Toc24364"/>
      <w:bookmarkStart w:id="316" w:name="_Toc474834020"/>
      <w:bookmarkStart w:id="317" w:name="_Toc12874"/>
      <w:r>
        <w:rPr>
          <w:rFonts w:hint="eastAsia" w:ascii="宋体" w:hAnsi="宋体" w:eastAsia="宋体" w:cs="宋体"/>
          <w:b/>
          <w:bCs/>
          <w:color w:val="auto"/>
          <w:sz w:val="24"/>
          <w:szCs w:val="24"/>
          <w:highlight w:val="none"/>
        </w:rPr>
        <w:t>6.4 第三人引起的周期延误</w:t>
      </w:r>
      <w:bookmarkEnd w:id="313"/>
      <w:bookmarkEnd w:id="314"/>
      <w:bookmarkEnd w:id="315"/>
      <w:bookmarkEnd w:id="316"/>
      <w:bookmarkEnd w:id="31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由于行政管理部门审查或其他第三人原因造成费用增加和（或）周期延误的，由发包人承担。</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18" w:name="_Toc482188597"/>
      <w:bookmarkStart w:id="319" w:name="_Toc509765945"/>
      <w:bookmarkStart w:id="320" w:name="_Toc4438"/>
      <w:bookmarkStart w:id="321" w:name="_Toc2330"/>
      <w:r>
        <w:rPr>
          <w:rFonts w:hint="eastAsia" w:ascii="宋体" w:hAnsi="宋体" w:eastAsia="宋体" w:cs="宋体"/>
          <w:b/>
          <w:bCs/>
          <w:color w:val="auto"/>
          <w:sz w:val="24"/>
          <w:szCs w:val="24"/>
          <w:highlight w:val="none"/>
        </w:rPr>
        <w:t>6.5 完成</w:t>
      </w:r>
      <w:bookmarkEnd w:id="318"/>
      <w:r>
        <w:rPr>
          <w:rFonts w:hint="eastAsia" w:ascii="宋体" w:hAnsi="宋体" w:eastAsia="宋体" w:cs="宋体"/>
          <w:b/>
          <w:bCs/>
          <w:color w:val="auto"/>
          <w:sz w:val="24"/>
          <w:szCs w:val="24"/>
          <w:highlight w:val="none"/>
        </w:rPr>
        <w:t>勘察设计</w:t>
      </w:r>
      <w:bookmarkEnd w:id="319"/>
      <w:bookmarkEnd w:id="320"/>
      <w:bookmarkEnd w:id="321"/>
      <w:r>
        <w:rPr>
          <w:rFonts w:hint="eastAsia" w:ascii="宋体" w:hAnsi="宋体" w:eastAsia="宋体" w:cs="宋体"/>
          <w:b/>
          <w:bCs/>
          <w:color w:val="auto"/>
          <w:sz w:val="24"/>
          <w:szCs w:val="24"/>
          <w:highlight w:val="none"/>
        </w:rPr>
        <w:t xml:space="preserve">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6.6.1 勘察设计人完成勘察设计服务之后，应当根据法律、规范标准、合同约定和发包人要</w:t>
      </w:r>
      <w:bookmarkStart w:id="322" w:name="_Toc184635115"/>
      <w:bookmarkStart w:id="323" w:name="_Toc247514153"/>
      <w:bookmarkStart w:id="324" w:name="_Toc247527754"/>
      <w:bookmarkStart w:id="325" w:name="_Toc300835157"/>
      <w:r>
        <w:rPr>
          <w:rFonts w:ascii="宋体" w:hAnsi="宋体"/>
          <w:color w:val="auto"/>
          <w:sz w:val="21"/>
          <w:szCs w:val="21"/>
          <w:highlight w:val="none"/>
        </w:rPr>
        <w:t>求编制勘察设计文件。</w:t>
      </w:r>
      <w:bookmarkEnd w:id="322"/>
      <w:bookmarkEnd w:id="323"/>
      <w:bookmarkEnd w:id="324"/>
      <w:bookmarkEnd w:id="325"/>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6.6</w:t>
      </w:r>
      <w:bookmarkStart w:id="326" w:name="_Toc300835158"/>
      <w:bookmarkStart w:id="327" w:name="_Toc247527755"/>
      <w:bookmarkStart w:id="328" w:name="_Toc247514154"/>
      <w:r>
        <w:rPr>
          <w:rFonts w:ascii="宋体" w:hAnsi="宋体"/>
          <w:color w:val="auto"/>
          <w:sz w:val="21"/>
          <w:szCs w:val="21"/>
          <w:highlight w:val="none"/>
        </w:rPr>
        <w:t xml:space="preserve">.2 </w:t>
      </w:r>
      <w:bookmarkEnd w:id="326"/>
      <w:r>
        <w:rPr>
          <w:rFonts w:ascii="宋体" w:hAnsi="宋体"/>
          <w:color w:val="auto"/>
          <w:sz w:val="21"/>
          <w:szCs w:val="21"/>
          <w:highlight w:val="none"/>
        </w:rPr>
        <w:t>勘察设计文件是工程勘察设计的最终成果和施工的重要依据，应当根据本工程的勘察设计内容和不同阶段的勘察设计任务、目的和要求等进行编制。勘察设计文件的内容和深度应当满足对应阶段的</w:t>
      </w:r>
      <w:r>
        <w:rPr>
          <w:rFonts w:hint="eastAsia" w:ascii="宋体" w:hAnsi="宋体"/>
          <w:color w:val="auto"/>
          <w:sz w:val="21"/>
          <w:szCs w:val="21"/>
          <w:highlight w:val="none"/>
        </w:rPr>
        <w:t>规范要求</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6.6.3 除专用合同条款另有约定外，勘察设计文件包括纸质文件和电子文件两种形式，两者若有不一致时，应以纸质文件为准。纸质文件一式八份，应当加盖</w:t>
      </w:r>
      <w:bookmarkEnd w:id="327"/>
      <w:bookmarkEnd w:id="328"/>
      <w:r>
        <w:rPr>
          <w:rFonts w:ascii="宋体" w:hAnsi="宋体"/>
          <w:color w:val="auto"/>
          <w:sz w:val="21"/>
          <w:szCs w:val="21"/>
          <w:highlight w:val="none"/>
        </w:rPr>
        <w:t>单位公章和项目负责人注册执业印章；电子文件中的文字为WORD格式、图形为CAD格式，并应使用</w:t>
      </w:r>
      <w:r>
        <w:rPr>
          <w:rFonts w:hint="eastAsia" w:ascii="宋体" w:hAnsi="宋体"/>
          <w:color w:val="auto"/>
          <w:sz w:val="21"/>
          <w:szCs w:val="21"/>
          <w:highlight w:val="none"/>
          <w:lang w:eastAsia="zh-CN"/>
        </w:rPr>
        <w:t>U盘</w:t>
      </w:r>
      <w:r>
        <w:rPr>
          <w:rFonts w:ascii="宋体" w:hAnsi="宋体"/>
          <w:color w:val="auto"/>
          <w:sz w:val="21"/>
          <w:szCs w:val="21"/>
          <w:highlight w:val="none"/>
        </w:rPr>
        <w:t>贮存。</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29" w:name="_Toc482188598"/>
      <w:bookmarkStart w:id="330" w:name="_Toc4858"/>
      <w:bookmarkStart w:id="331" w:name="_Toc31317"/>
      <w:bookmarkStart w:id="332" w:name="_Toc509765946"/>
      <w:r>
        <w:rPr>
          <w:rFonts w:hint="eastAsia" w:ascii="宋体" w:hAnsi="宋体" w:eastAsia="宋体" w:cs="宋体"/>
          <w:b/>
          <w:bCs/>
          <w:color w:val="auto"/>
          <w:sz w:val="24"/>
          <w:szCs w:val="24"/>
          <w:highlight w:val="none"/>
        </w:rPr>
        <w:t>6.6 提前完成</w:t>
      </w:r>
      <w:bookmarkEnd w:id="329"/>
      <w:r>
        <w:rPr>
          <w:rFonts w:hint="eastAsia" w:ascii="宋体" w:hAnsi="宋体" w:eastAsia="宋体" w:cs="宋体"/>
          <w:b/>
          <w:bCs/>
          <w:color w:val="auto"/>
          <w:sz w:val="24"/>
          <w:szCs w:val="24"/>
          <w:highlight w:val="none"/>
        </w:rPr>
        <w:t>勘察设计</w:t>
      </w:r>
      <w:bookmarkEnd w:id="330"/>
      <w:bookmarkEnd w:id="331"/>
      <w:bookmarkEnd w:id="33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6.7.1 根据发包人要求或者基于专业能力判断，勘察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用的，所增费用由发包人承担。</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6.7.2 发包人要求提前完成勘察设计但勘察设计人认为无法实施的，应在收到发包人书面指示后7天内提出异议，说明不能提前完成的理由。发包人应在收到异议后7天内予以答复。任何情况下，发包人不得压缩合理的勘察设计服务期限。</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6.7.3 由于勘察设计人提前完成勘察设计而给发包人带来经济效益的，发包人可以在专用合同条款中约定勘察设计人因此获得的奖励内容。</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333" w:name="_Toc482188599"/>
      <w:bookmarkStart w:id="334" w:name="_Toc23042"/>
      <w:bookmarkStart w:id="335" w:name="_Toc22946"/>
      <w:bookmarkStart w:id="336" w:name="_Toc509765947"/>
      <w:r>
        <w:rPr>
          <w:rFonts w:ascii="宋体" w:hAnsi="宋体" w:eastAsia="宋体"/>
          <w:i w:val="0"/>
          <w:iCs/>
          <w:color w:val="auto"/>
          <w:sz w:val="28"/>
          <w:szCs w:val="28"/>
          <w:highlight w:val="none"/>
        </w:rPr>
        <w:t>7. 暂停</w:t>
      </w:r>
      <w:bookmarkEnd w:id="333"/>
      <w:r>
        <w:rPr>
          <w:rFonts w:ascii="宋体" w:hAnsi="宋体" w:eastAsia="宋体"/>
          <w:i w:val="0"/>
          <w:iCs/>
          <w:color w:val="auto"/>
          <w:sz w:val="28"/>
          <w:szCs w:val="28"/>
          <w:highlight w:val="none"/>
        </w:rPr>
        <w:t>勘察设计</w:t>
      </w:r>
      <w:bookmarkEnd w:id="334"/>
      <w:bookmarkEnd w:id="335"/>
      <w:bookmarkEnd w:id="336"/>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37" w:name="_Toc467651003"/>
      <w:bookmarkStart w:id="338" w:name="_Toc482188600"/>
      <w:bookmarkStart w:id="339" w:name="_Toc27423"/>
      <w:bookmarkStart w:id="340" w:name="_Toc509765948"/>
      <w:bookmarkStart w:id="341" w:name="_Toc24459"/>
      <w:r>
        <w:rPr>
          <w:rFonts w:hint="eastAsia" w:ascii="宋体" w:hAnsi="宋体" w:eastAsia="宋体" w:cs="宋体"/>
          <w:b/>
          <w:bCs/>
          <w:color w:val="auto"/>
          <w:sz w:val="24"/>
          <w:szCs w:val="24"/>
          <w:highlight w:val="none"/>
        </w:rPr>
        <w:t xml:space="preserve">7.1 </w:t>
      </w:r>
      <w:bookmarkEnd w:id="337"/>
      <w:r>
        <w:rPr>
          <w:rFonts w:hint="eastAsia" w:ascii="宋体" w:hAnsi="宋体" w:eastAsia="宋体" w:cs="宋体"/>
          <w:b/>
          <w:bCs/>
          <w:color w:val="auto"/>
          <w:sz w:val="24"/>
          <w:szCs w:val="24"/>
          <w:highlight w:val="none"/>
        </w:rPr>
        <w:t>发包人原因暂停</w:t>
      </w:r>
      <w:bookmarkEnd w:id="338"/>
      <w:r>
        <w:rPr>
          <w:rFonts w:hint="eastAsia" w:ascii="宋体" w:hAnsi="宋体" w:eastAsia="宋体" w:cs="宋体"/>
          <w:b/>
          <w:bCs/>
          <w:color w:val="auto"/>
          <w:sz w:val="24"/>
          <w:szCs w:val="24"/>
          <w:highlight w:val="none"/>
        </w:rPr>
        <w:t>勘察设计</w:t>
      </w:r>
      <w:bookmarkEnd w:id="339"/>
      <w:bookmarkEnd w:id="340"/>
      <w:bookmarkEnd w:id="341"/>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行中发生下列情形之一的，勘察设计人可向发包人发出通知，要求发包人采取有效措施予以纠正。发包人收到勘察设计人通知后的28天内仍不履行合同义务时，勘察设计人有权暂停勘察设计并通知发包人；发包人应承担由此导致的费用增加和（或）周期延误。</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（1）发包人违约；</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（2）发包人确定暂停勘察设计；</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（3）合同约定由发包人承担责任的其他情形。</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42" w:name="_Toc467651004"/>
      <w:bookmarkStart w:id="343" w:name="_Toc482188601"/>
      <w:bookmarkStart w:id="344" w:name="_Toc25903"/>
      <w:bookmarkStart w:id="345" w:name="_Toc28093"/>
      <w:bookmarkStart w:id="346" w:name="_Toc509765949"/>
      <w:r>
        <w:rPr>
          <w:rFonts w:hint="eastAsia" w:ascii="宋体" w:hAnsi="宋体" w:eastAsia="宋体" w:cs="宋体"/>
          <w:b/>
          <w:bCs/>
          <w:color w:val="auto"/>
          <w:sz w:val="24"/>
          <w:szCs w:val="24"/>
          <w:highlight w:val="none"/>
        </w:rPr>
        <w:t>7.2 勘察设计人原因暂停</w:t>
      </w:r>
      <w:bookmarkEnd w:id="342"/>
      <w:bookmarkEnd w:id="343"/>
      <w:r>
        <w:rPr>
          <w:rFonts w:hint="eastAsia" w:ascii="宋体" w:hAnsi="宋体" w:eastAsia="宋体" w:cs="宋体"/>
          <w:b/>
          <w:bCs/>
          <w:color w:val="auto"/>
          <w:sz w:val="24"/>
          <w:szCs w:val="24"/>
          <w:highlight w:val="none"/>
        </w:rPr>
        <w:t>勘察设计</w:t>
      </w:r>
      <w:bookmarkEnd w:id="344"/>
      <w:bookmarkEnd w:id="345"/>
      <w:bookmarkEnd w:id="346"/>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合同履行中发生下列情形之一的，发包人可向勘察设计人发出通知暂停勘察设计，由此造成费用的增加和（或）周期延误由勘察设计人承担：</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勘察设计人违约；</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勘察设计人擅自暂停勘察设计；</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合同约定由勘察设计人承担责任的其他情形。</w:t>
      </w:r>
      <w:bookmarkStart w:id="347" w:name="_Toc184635110"/>
      <w:bookmarkStart w:id="348" w:name="_Toc247514127"/>
      <w:bookmarkStart w:id="349" w:name="_Toc247527728"/>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50" w:name="_Toc482188602"/>
      <w:bookmarkStart w:id="351" w:name="_Toc17845"/>
      <w:bookmarkStart w:id="352" w:name="_Toc19024"/>
      <w:bookmarkStart w:id="353" w:name="_Toc509765950"/>
      <w:r>
        <w:rPr>
          <w:rFonts w:hint="eastAsia" w:ascii="宋体" w:hAnsi="宋体" w:eastAsia="宋体" w:cs="宋体"/>
          <w:b/>
          <w:bCs/>
          <w:color w:val="auto"/>
          <w:sz w:val="24"/>
          <w:szCs w:val="24"/>
          <w:highlight w:val="none"/>
        </w:rPr>
        <w:t>7.3 暂停期间的文件照管</w:t>
      </w:r>
      <w:bookmarkEnd w:id="350"/>
      <w:bookmarkEnd w:id="351"/>
      <w:bookmarkEnd w:id="352"/>
      <w:bookmarkEnd w:id="353"/>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不论由于何种原因引起暂停勘察设计的，暂停期间勘察设计人应负责妥善保护已完部分的勘察设计文件，由此</w:t>
      </w:r>
      <w:bookmarkStart w:id="354" w:name="_Toc300835128"/>
      <w:r>
        <w:rPr>
          <w:rFonts w:hint="eastAsia" w:asciiTheme="minorEastAsia" w:hAnsiTheme="minorEastAsia" w:eastAsiaTheme="minorEastAsia" w:cstheme="minorEastAsia"/>
          <w:color w:val="auto"/>
          <w:sz w:val="21"/>
          <w:szCs w:val="21"/>
          <w:highlight w:val="none"/>
        </w:rPr>
        <w:t>增加的费用由责任方承担。</w:t>
      </w:r>
    </w:p>
    <w:bookmarkEnd w:id="354"/>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355" w:name="_Toc10820"/>
      <w:bookmarkStart w:id="356" w:name="_Toc29502"/>
      <w:bookmarkStart w:id="357" w:name="_Toc482188603"/>
      <w:bookmarkStart w:id="358" w:name="_Toc509765951"/>
      <w:r>
        <w:rPr>
          <w:rFonts w:ascii="宋体" w:hAnsi="宋体" w:eastAsia="宋体"/>
          <w:i w:val="0"/>
          <w:iCs/>
          <w:color w:val="auto"/>
          <w:sz w:val="28"/>
          <w:szCs w:val="28"/>
          <w:highlight w:val="none"/>
        </w:rPr>
        <w:t>8. 勘察设计文件</w:t>
      </w:r>
      <w:bookmarkEnd w:id="355"/>
      <w:bookmarkEnd w:id="356"/>
      <w:bookmarkEnd w:id="357"/>
      <w:bookmarkEnd w:id="358"/>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59" w:name="_Toc509765952"/>
      <w:bookmarkStart w:id="360" w:name="_Toc482188604"/>
      <w:bookmarkStart w:id="361" w:name="_Toc146"/>
      <w:bookmarkStart w:id="362" w:name="_Toc21255"/>
      <w:r>
        <w:rPr>
          <w:rFonts w:hint="eastAsia" w:ascii="宋体" w:hAnsi="宋体" w:eastAsia="宋体" w:cs="宋体"/>
          <w:b/>
          <w:bCs/>
          <w:color w:val="auto"/>
          <w:sz w:val="24"/>
          <w:szCs w:val="24"/>
          <w:highlight w:val="none"/>
        </w:rPr>
        <w:t>8.1 勘察设计文件接收</w:t>
      </w:r>
      <w:bookmarkEnd w:id="359"/>
      <w:bookmarkEnd w:id="360"/>
      <w:bookmarkEnd w:id="361"/>
      <w:bookmarkEnd w:id="36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8.1.1 发包人应当及时接收勘察设计人提交的勘察设计文件。如无正当理由拒收的，视为发包人已经接收勘察设计文件。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8.1.2 发包人接收勘察设计文件时，应向勘察设计人出具文件签收凭证，凭证内容包括</w:t>
      </w:r>
      <w:r>
        <w:rPr>
          <w:rFonts w:hint="eastAsia" w:ascii="宋体" w:hAnsi="宋体"/>
          <w:color w:val="auto"/>
          <w:sz w:val="21"/>
          <w:szCs w:val="21"/>
          <w:highlight w:val="none"/>
        </w:rPr>
        <w:t>图纸</w:t>
      </w:r>
      <w:r>
        <w:rPr>
          <w:rFonts w:ascii="宋体" w:hAnsi="宋体"/>
          <w:color w:val="auto"/>
          <w:sz w:val="21"/>
          <w:szCs w:val="21"/>
          <w:highlight w:val="none"/>
        </w:rPr>
        <w:t>名称、</w:t>
      </w:r>
      <w:r>
        <w:rPr>
          <w:rFonts w:hint="eastAsia" w:ascii="宋体" w:hAnsi="宋体"/>
          <w:color w:val="auto"/>
          <w:sz w:val="21"/>
          <w:szCs w:val="21"/>
          <w:highlight w:val="none"/>
        </w:rPr>
        <w:t>图纸</w:t>
      </w:r>
      <w:r>
        <w:rPr>
          <w:rFonts w:ascii="宋体" w:hAnsi="宋体"/>
          <w:color w:val="auto"/>
          <w:sz w:val="21"/>
          <w:szCs w:val="21"/>
          <w:highlight w:val="none"/>
        </w:rPr>
        <w:t>内容、</w:t>
      </w:r>
      <w:r>
        <w:rPr>
          <w:rFonts w:hint="eastAsia" w:ascii="宋体" w:hAnsi="宋体"/>
          <w:color w:val="auto"/>
          <w:sz w:val="21"/>
          <w:szCs w:val="21"/>
          <w:highlight w:val="none"/>
        </w:rPr>
        <w:t>图纸</w:t>
      </w:r>
      <w:r>
        <w:rPr>
          <w:rFonts w:ascii="宋体" w:hAnsi="宋体"/>
          <w:color w:val="auto"/>
          <w:sz w:val="21"/>
          <w:szCs w:val="21"/>
          <w:highlight w:val="none"/>
        </w:rPr>
        <w:t>形式、份数、提交和接收日期、提交人与接收人的亲笔签名等。</w:t>
      </w:r>
    </w:p>
    <w:p>
      <w:pPr>
        <w:spacing w:line="360" w:lineRule="auto"/>
        <w:ind w:firstLine="420" w:firstLineChars="200"/>
        <w:rPr>
          <w:rFonts w:ascii="宋体" w:hAnsi="宋体"/>
          <w:color w:val="auto"/>
          <w:sz w:val="21"/>
          <w:szCs w:val="21"/>
          <w:highlight w:val="none"/>
        </w:rPr>
      </w:pPr>
      <w:bookmarkStart w:id="363" w:name="_Toc482188605"/>
      <w:r>
        <w:rPr>
          <w:rFonts w:ascii="宋体" w:hAnsi="宋体"/>
          <w:color w:val="auto"/>
          <w:sz w:val="21"/>
          <w:szCs w:val="21"/>
          <w:highlight w:val="none"/>
        </w:rPr>
        <w:t xml:space="preserve">8.1.3 </w:t>
      </w:r>
      <w:r>
        <w:rPr>
          <w:rFonts w:hint="eastAsia" w:ascii="宋体" w:hAnsi="宋体"/>
          <w:color w:val="auto"/>
          <w:sz w:val="21"/>
          <w:szCs w:val="21"/>
          <w:highlight w:val="none"/>
        </w:rPr>
        <w:t>勘察设计文件提交的份数、内容、纸幅、装订格式、电子文件、展板、模型、沙盘、动画等要求，在专用合同条款中约定。</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64" w:name="_Toc14705"/>
      <w:bookmarkStart w:id="365" w:name="_Toc21908"/>
      <w:bookmarkStart w:id="366" w:name="_Toc509765953"/>
      <w:r>
        <w:rPr>
          <w:rFonts w:hint="eastAsia" w:ascii="宋体" w:hAnsi="宋体" w:eastAsia="宋体" w:cs="宋体"/>
          <w:b/>
          <w:bCs/>
          <w:color w:val="auto"/>
          <w:sz w:val="24"/>
          <w:szCs w:val="24"/>
          <w:highlight w:val="none"/>
        </w:rPr>
        <w:t>8.2 发包人审查勘察设计文件</w:t>
      </w:r>
      <w:bookmarkEnd w:id="363"/>
      <w:bookmarkEnd w:id="364"/>
      <w:bookmarkEnd w:id="365"/>
      <w:bookmarkEnd w:id="366"/>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8.2.1 发包人接收勘察设计文件之后，可以自行或者组织专家会进行审查，勘察设计人应当给予配合。审查标准应当符合法律、规范标准、合同约定和发包人要求等；审查的具体范围、明细内容和费用分担，</w:t>
      </w:r>
      <w:r>
        <w:rPr>
          <w:rFonts w:ascii="宋体" w:hAnsi="宋体"/>
          <w:color w:val="auto"/>
          <w:kern w:val="0"/>
          <w:sz w:val="21"/>
          <w:szCs w:val="21"/>
          <w:highlight w:val="none"/>
        </w:rPr>
        <w:t>在专用合同条款中约定</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8.2.2 除专用合同条款另有约定外，发包人对于勘察设计文件的审查期限，自文件接收之日起不应超过14天。发包人逾期未做出审查结论且未提出异议的，视为勘察设计人的勘察设计文件已经通过发包人审查。</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8.2.3 发包人审查后不同意勘察设计文件的，应以书面形式通知勘察设计人，说明审查不通过的理由及其具体内容。勘察设计人应根据发包人的审查意见修改完善勘察设计文件，并重新报送发包人审查，审查期限重新起算。</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67" w:name="_Toc24442"/>
      <w:bookmarkStart w:id="368" w:name="_Toc30735"/>
      <w:bookmarkStart w:id="369" w:name="_Toc509765954"/>
      <w:bookmarkStart w:id="370" w:name="_Toc482188606"/>
      <w:r>
        <w:rPr>
          <w:rFonts w:hint="eastAsia" w:ascii="宋体" w:hAnsi="宋体" w:eastAsia="宋体" w:cs="宋体"/>
          <w:b/>
          <w:bCs/>
          <w:color w:val="auto"/>
          <w:sz w:val="24"/>
          <w:szCs w:val="24"/>
          <w:highlight w:val="none"/>
        </w:rPr>
        <w:t>8.3 审查机构审查勘察设计文件</w:t>
      </w:r>
      <w:bookmarkEnd w:id="367"/>
      <w:bookmarkEnd w:id="368"/>
      <w:bookmarkEnd w:id="369"/>
      <w:bookmarkEnd w:id="370"/>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8.3.1 勘察设计文件需经政府有关部门审查或批准的，发包人应在审查同意后，按照</w:t>
      </w:r>
      <w:r>
        <w:rPr>
          <w:rFonts w:hint="eastAsia" w:ascii="宋体" w:hAnsi="宋体"/>
          <w:color w:val="auto"/>
          <w:sz w:val="21"/>
          <w:szCs w:val="21"/>
          <w:highlight w:val="none"/>
        </w:rPr>
        <w:t>有关</w:t>
      </w:r>
      <w:r>
        <w:rPr>
          <w:rFonts w:ascii="宋体" w:hAnsi="宋体"/>
          <w:color w:val="auto"/>
          <w:sz w:val="21"/>
          <w:szCs w:val="21"/>
          <w:highlight w:val="none"/>
        </w:rPr>
        <w:t>主管部门要求，将勘察设计文件和相关资料报送施工图审查机构进行审查。发包人的审查和施工图审查机构的审查不减免勘察设计人因为质量问题而应承担的勘察设计责任。</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8.3.2 对于施工图审查机构的审查意见，如不需要修改发包人要求的，应由勘察设计人按照审查意见修改完善勘察设计文件；如需修改发包人要求的，则由发包人重新修改和提出发包人要求，再由勘察设计人根据新的发包人要求修改完善勘察设计文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8.3.3 由于自身原因造成勘察设计文件未通过审查机构审查的，勘察设计人应当承担违约责任，采取补救措施直至达到合同约定的质量标准，并自行承担由此导致的费用增加和（或）周期延误。</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371" w:name="_Toc482188607"/>
      <w:bookmarkStart w:id="372" w:name="_Toc13558"/>
      <w:bookmarkStart w:id="373" w:name="_Toc509765955"/>
      <w:bookmarkStart w:id="374" w:name="_Toc7444"/>
      <w:r>
        <w:rPr>
          <w:rFonts w:ascii="宋体" w:hAnsi="宋体" w:eastAsia="宋体"/>
          <w:i w:val="0"/>
          <w:iCs/>
          <w:color w:val="auto"/>
          <w:sz w:val="28"/>
          <w:szCs w:val="28"/>
          <w:highlight w:val="none"/>
        </w:rPr>
        <w:t>9. 勘察设计责任与保险</w:t>
      </w:r>
      <w:bookmarkEnd w:id="371"/>
      <w:bookmarkEnd w:id="372"/>
      <w:bookmarkEnd w:id="373"/>
      <w:bookmarkEnd w:id="374"/>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75" w:name="_Toc28963"/>
      <w:bookmarkStart w:id="376" w:name="_Toc482188608"/>
      <w:bookmarkStart w:id="377" w:name="_Toc10262"/>
      <w:bookmarkStart w:id="378" w:name="_Toc509765956"/>
      <w:r>
        <w:rPr>
          <w:rFonts w:hint="eastAsia" w:ascii="宋体" w:hAnsi="宋体" w:eastAsia="宋体" w:cs="宋体"/>
          <w:b/>
          <w:bCs/>
          <w:color w:val="auto"/>
          <w:sz w:val="24"/>
          <w:szCs w:val="24"/>
          <w:highlight w:val="none"/>
        </w:rPr>
        <w:t>9.1 工作质量责任</w:t>
      </w:r>
      <w:bookmarkEnd w:id="375"/>
      <w:bookmarkEnd w:id="376"/>
      <w:bookmarkEnd w:id="377"/>
      <w:bookmarkEnd w:id="37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9.1.1 勘察设计工作质量应满足法律规定、规范标准、合同约定和发包人要求等。</w:t>
      </w:r>
      <w:bookmarkEnd w:id="347"/>
      <w:bookmarkEnd w:id="348"/>
      <w:bookmarkEnd w:id="34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9.1.2 勘察设计人应做好勘察设计服务的质量与技术管理工作，建立健全内部质量</w:t>
      </w:r>
      <w:bookmarkStart w:id="379" w:name="_Toc300835131"/>
      <w:r>
        <w:rPr>
          <w:rFonts w:ascii="宋体" w:hAnsi="宋体"/>
          <w:color w:val="auto"/>
          <w:sz w:val="21"/>
          <w:szCs w:val="21"/>
          <w:highlight w:val="none"/>
        </w:rPr>
        <w:t>管理体系和质量责</w:t>
      </w:r>
      <w:bookmarkEnd w:id="379"/>
      <w:r>
        <w:rPr>
          <w:rFonts w:ascii="宋体" w:hAnsi="宋体"/>
          <w:color w:val="auto"/>
          <w:sz w:val="21"/>
          <w:szCs w:val="21"/>
          <w:highlight w:val="none"/>
        </w:rPr>
        <w:t>任</w:t>
      </w:r>
      <w:bookmarkStart w:id="380" w:name="_Toc247514128"/>
      <w:bookmarkStart w:id="381" w:name="_Toc247527729"/>
      <w:bookmarkStart w:id="382" w:name="_Toc300835132"/>
      <w:r>
        <w:rPr>
          <w:rFonts w:ascii="宋体" w:hAnsi="宋体"/>
          <w:color w:val="auto"/>
          <w:sz w:val="21"/>
          <w:szCs w:val="21"/>
          <w:highlight w:val="none"/>
        </w:rPr>
        <w:t>制度，加强勘察设计服务全过程的质量控制，建立完整的勘察设计文件的勘察设计、复核、审核、会签和批准制度，明确各阶段的责任人。</w:t>
      </w:r>
      <w:bookmarkEnd w:id="380"/>
      <w:bookmarkEnd w:id="381"/>
      <w:bookmarkEnd w:id="38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w:t>
      </w:r>
      <w:r>
        <w:rPr>
          <w:rFonts w:hint="eastAsia" w:ascii="宋体" w:hAnsi="宋体"/>
          <w:color w:val="auto"/>
          <w:sz w:val="21"/>
          <w:szCs w:val="21"/>
          <w:highlight w:val="none"/>
        </w:rPr>
        <w:t>3</w:t>
      </w:r>
      <w:r>
        <w:rPr>
          <w:rFonts w:ascii="宋体" w:hAnsi="宋体"/>
          <w:color w:val="auto"/>
          <w:sz w:val="21"/>
          <w:szCs w:val="21"/>
          <w:highlight w:val="none"/>
        </w:rPr>
        <w:t xml:space="preserve"> 勘察设计人应按合同约定对勘察设计服务进行全过程的质量检查和检验，并作详细记录，编制勘察设计工作质量报表</w:t>
      </w:r>
      <w:bookmarkStart w:id="383" w:name="_Toc300835133"/>
      <w:bookmarkStart w:id="384" w:name="_Toc247527731"/>
      <w:bookmarkStart w:id="385" w:name="_Toc247514130"/>
      <w:r>
        <w:rPr>
          <w:rFonts w:ascii="宋体" w:hAnsi="宋体"/>
          <w:color w:val="auto"/>
          <w:sz w:val="21"/>
          <w:szCs w:val="21"/>
          <w:highlight w:val="none"/>
        </w:rPr>
        <w:t>，报送发包人审查。</w:t>
      </w:r>
    </w:p>
    <w:bookmarkEnd w:id="383"/>
    <w:bookmarkEnd w:id="384"/>
    <w:bookmarkEnd w:id="385"/>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w:t>
      </w:r>
      <w:r>
        <w:rPr>
          <w:rFonts w:hint="eastAsia" w:ascii="宋体" w:hAnsi="宋体"/>
          <w:color w:val="auto"/>
          <w:sz w:val="21"/>
          <w:szCs w:val="21"/>
          <w:highlight w:val="none"/>
        </w:rPr>
        <w:t>4</w:t>
      </w:r>
      <w:r>
        <w:rPr>
          <w:rFonts w:ascii="宋体" w:hAnsi="宋体"/>
          <w:color w:val="auto"/>
          <w:sz w:val="21"/>
          <w:szCs w:val="21"/>
          <w:highlight w:val="none"/>
        </w:rPr>
        <w:t xml:space="preserve"> 发包人有权对勘察设计工作质量进行检查和审核。勘察设计人应为发包人的检查和检验提供方便，包括发包人到</w:t>
      </w:r>
      <w:bookmarkStart w:id="386" w:name="_Toc247514131"/>
      <w:bookmarkStart w:id="387" w:name="_Toc247527732"/>
      <w:bookmarkStart w:id="388" w:name="_Toc300835134"/>
      <w:r>
        <w:rPr>
          <w:rFonts w:ascii="宋体" w:hAnsi="宋体"/>
          <w:color w:val="auto"/>
          <w:sz w:val="21"/>
          <w:szCs w:val="21"/>
          <w:highlight w:val="none"/>
        </w:rPr>
        <w:t>勘察设计场地或合同约定</w:t>
      </w:r>
      <w:bookmarkEnd w:id="386"/>
      <w:bookmarkEnd w:id="387"/>
      <w:bookmarkEnd w:id="388"/>
      <w:r>
        <w:rPr>
          <w:rFonts w:ascii="宋体" w:hAnsi="宋体"/>
          <w:color w:val="auto"/>
          <w:sz w:val="21"/>
          <w:szCs w:val="21"/>
          <w:highlight w:val="none"/>
        </w:rPr>
        <w:t>的其他地方进行察看，查阅、审核勘察设计的原始记录和其他文件。发包人的检查和审核，不免除勘察设计人按合同约定应负的责任。</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89" w:name="_Toc482188609"/>
      <w:bookmarkStart w:id="390" w:name="_Toc1068"/>
      <w:bookmarkStart w:id="391" w:name="_Toc509765957"/>
      <w:bookmarkStart w:id="392" w:name="_Toc717"/>
      <w:r>
        <w:rPr>
          <w:rFonts w:hint="eastAsia" w:ascii="宋体" w:hAnsi="宋体" w:eastAsia="宋体" w:cs="宋体"/>
          <w:b/>
          <w:bCs/>
          <w:color w:val="auto"/>
          <w:sz w:val="24"/>
          <w:szCs w:val="24"/>
          <w:highlight w:val="none"/>
        </w:rPr>
        <w:t>9.2 勘察设计文件错误责任</w:t>
      </w:r>
      <w:bookmarkEnd w:id="389"/>
      <w:bookmarkEnd w:id="390"/>
      <w:bookmarkEnd w:id="391"/>
      <w:bookmarkEnd w:id="39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9.2.1 勘察设计文件存在错误、遗漏、含混、矛盾、不充分之处或其他缺陷，无论勘察设计人是否通过了发包人审查或</w:t>
      </w:r>
      <w:bookmarkStart w:id="393" w:name="_Toc247514085"/>
      <w:bookmarkStart w:id="394" w:name="_Toc247527686"/>
      <w:bookmarkStart w:id="395" w:name="_Toc300835084"/>
      <w:r>
        <w:rPr>
          <w:rFonts w:ascii="宋体" w:hAnsi="宋体"/>
          <w:color w:val="auto"/>
          <w:sz w:val="21"/>
          <w:szCs w:val="21"/>
          <w:highlight w:val="none"/>
        </w:rPr>
        <w:t>审查机构审查，勘察设计人均</w:t>
      </w:r>
      <w:bookmarkEnd w:id="393"/>
      <w:bookmarkEnd w:id="394"/>
      <w:bookmarkEnd w:id="395"/>
      <w:r>
        <w:rPr>
          <w:rFonts w:ascii="宋体" w:hAnsi="宋体"/>
          <w:color w:val="auto"/>
          <w:sz w:val="21"/>
          <w:szCs w:val="21"/>
          <w:highlight w:val="none"/>
        </w:rPr>
        <w:t>应自费对前述问题带来的缺陷和工程问题进行改正，但因第1.6.2项</w:t>
      </w:r>
      <w:r>
        <w:rPr>
          <w:rFonts w:hint="eastAsia" w:ascii="宋体" w:hAnsi="宋体"/>
          <w:color w:val="auto"/>
          <w:sz w:val="21"/>
          <w:szCs w:val="21"/>
          <w:highlight w:val="none"/>
        </w:rPr>
        <w:t>约定由</w:t>
      </w:r>
      <w:r>
        <w:rPr>
          <w:rFonts w:ascii="宋体" w:hAnsi="宋体"/>
          <w:color w:val="auto"/>
          <w:sz w:val="21"/>
          <w:szCs w:val="21"/>
          <w:highlight w:val="none"/>
        </w:rPr>
        <w:t>发包人提供的文件错误导致的除外。</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9.2.2 因勘察设计人原因造成勘察设计文件不合格的，发包人有权要求勘察设计人采取补救措施，直至达到合同要求的质量标准，并按第14.1款的约定承担责任。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9.2.3 因发包人原因造成勘察设计文件不合格的，勘察设计人应当采取补救措施，直至达到合同要求的质量标准，由此造成的勘察设计费用增加和（或）勘察设计服务期限延误由发包人承担。</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96" w:name="_Toc509765958"/>
      <w:bookmarkStart w:id="397" w:name="_Toc482188610"/>
      <w:bookmarkStart w:id="398" w:name="_Toc15382"/>
      <w:bookmarkStart w:id="399" w:name="_Toc423"/>
      <w:r>
        <w:rPr>
          <w:rFonts w:hint="eastAsia" w:ascii="宋体" w:hAnsi="宋体" w:eastAsia="宋体" w:cs="宋体"/>
          <w:b/>
          <w:bCs/>
          <w:color w:val="auto"/>
          <w:sz w:val="24"/>
          <w:szCs w:val="24"/>
          <w:highlight w:val="none"/>
        </w:rPr>
        <w:t>9.3 勘察设计责任主体</w:t>
      </w:r>
      <w:bookmarkEnd w:id="396"/>
      <w:bookmarkEnd w:id="397"/>
      <w:bookmarkEnd w:id="398"/>
      <w:bookmarkEnd w:id="39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9.3.1 勘察设计人应运用一切合理的专业技术、知识技能和项目经验，按照职业道德准则和行业公认标准尽其全部职责，勤勉、谨慎、公正地履行其在本合同项下的责任和义务。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9.3.2 勘察设计责任为勘察设计单位项目负责人终身责任制。项目负责人应当保证勘察设计文件符合法律法规和工程建设强制性标准的要求，对因勘察设计导致的工程质量事故或质量问题承担责任。</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9.3.3 项目负责人应当在办理工程质量监督手续前签署工程质量终身责任承诺书，连同法定代表人出具的授权书，报工程质量监督机构备案。</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00" w:name="_Toc10808"/>
      <w:bookmarkStart w:id="401" w:name="_Toc482188611"/>
      <w:bookmarkStart w:id="402" w:name="_Toc509765959"/>
      <w:bookmarkStart w:id="403" w:name="_Toc4490"/>
      <w:r>
        <w:rPr>
          <w:rFonts w:hint="eastAsia" w:ascii="宋体" w:hAnsi="宋体" w:eastAsia="宋体" w:cs="宋体"/>
          <w:b/>
          <w:bCs/>
          <w:color w:val="auto"/>
          <w:sz w:val="24"/>
          <w:szCs w:val="24"/>
          <w:highlight w:val="none"/>
        </w:rPr>
        <w:t>9.4 勘察设计责任保险</w:t>
      </w:r>
      <w:bookmarkEnd w:id="400"/>
      <w:bookmarkEnd w:id="401"/>
      <w:bookmarkEnd w:id="402"/>
      <w:bookmarkEnd w:id="403"/>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9.4.1 除专用合同条款另有约定外，勘察设计人应具有发包人认可的、履行本合同所需要的工程勘察设计责任险，于合同签订后28天内向发包人提交工程勘察设计责任险的保险单副本或者其他有效证明，并在合同履行期间保持足额、有效。</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9.4.2 工程勘察设计责任险的保险范围，应当包括由于勘察设计人的疏忽或过失而造成的工程质量事故损失，以及由于事故引发的第三者人身伤亡、财产损失或费用赔偿等。</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9.4.3 发生工程勘察设计保险事故后，勘察设计人应按保险人要求进行报告，并负责办理保险理赔业务；保险金不足以补偿损失的，由勘察设计人自行补偿。</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404" w:name="_Toc482188612"/>
      <w:bookmarkStart w:id="405" w:name="_Toc20542"/>
      <w:bookmarkStart w:id="406" w:name="_Toc9060"/>
      <w:bookmarkStart w:id="407" w:name="_Toc509765960"/>
      <w:r>
        <w:rPr>
          <w:rFonts w:ascii="宋体" w:hAnsi="宋体" w:eastAsia="宋体"/>
          <w:i w:val="0"/>
          <w:iCs/>
          <w:color w:val="auto"/>
          <w:sz w:val="28"/>
          <w:szCs w:val="28"/>
          <w:highlight w:val="none"/>
        </w:rPr>
        <w:t>10.</w:t>
      </w:r>
      <w:r>
        <w:rPr>
          <w:rFonts w:hint="eastAsia" w:ascii="宋体" w:hAnsi="宋体" w:eastAsia="宋体"/>
          <w:i w:val="0"/>
          <w:iCs/>
          <w:color w:val="auto"/>
          <w:sz w:val="28"/>
          <w:szCs w:val="28"/>
          <w:highlight w:val="none"/>
        </w:rPr>
        <w:t xml:space="preserve"> </w:t>
      </w:r>
      <w:r>
        <w:rPr>
          <w:rFonts w:ascii="宋体" w:hAnsi="宋体" w:eastAsia="宋体"/>
          <w:i w:val="0"/>
          <w:iCs/>
          <w:color w:val="auto"/>
          <w:sz w:val="28"/>
          <w:szCs w:val="28"/>
          <w:highlight w:val="none"/>
        </w:rPr>
        <w:t>施工期间配合</w:t>
      </w:r>
      <w:bookmarkEnd w:id="404"/>
      <w:bookmarkEnd w:id="405"/>
      <w:bookmarkEnd w:id="406"/>
      <w:bookmarkEnd w:id="40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w:t>
      </w:r>
      <w:r>
        <w:rPr>
          <w:rFonts w:hint="eastAsia" w:ascii="宋体" w:hAnsi="宋体"/>
          <w:color w:val="auto"/>
          <w:sz w:val="21"/>
          <w:szCs w:val="21"/>
          <w:highlight w:val="none"/>
        </w:rPr>
        <w:t>1</w:t>
      </w:r>
      <w:r>
        <w:rPr>
          <w:rFonts w:ascii="宋体" w:hAnsi="宋体"/>
          <w:color w:val="auto"/>
          <w:sz w:val="21"/>
          <w:szCs w:val="21"/>
          <w:highlight w:val="none"/>
        </w:rPr>
        <w:t xml:space="preserve"> 施工配合指勘察设计人配合施工承包人，在施工期间</w:t>
      </w:r>
      <w:r>
        <w:rPr>
          <w:rFonts w:hint="eastAsia" w:ascii="宋体" w:hAnsi="宋体"/>
          <w:color w:val="auto"/>
          <w:sz w:val="21"/>
          <w:szCs w:val="21"/>
          <w:highlight w:val="none"/>
        </w:rPr>
        <w:t>提供的勘察设计服务</w:t>
      </w:r>
      <w:r>
        <w:rPr>
          <w:rFonts w:ascii="宋体" w:hAnsi="宋体"/>
          <w:color w:val="auto"/>
          <w:sz w:val="21"/>
          <w:szCs w:val="21"/>
          <w:highlight w:val="none"/>
        </w:rPr>
        <w:t>或其他配合工作，直至</w:t>
      </w:r>
      <w:bookmarkStart w:id="408" w:name="_Toc55705121"/>
      <w:bookmarkStart w:id="409" w:name="_Toc53290167"/>
      <w:bookmarkStart w:id="410" w:name="_Toc54329116"/>
      <w:bookmarkStart w:id="411" w:name="_Toc26108575"/>
      <w:bookmarkStart w:id="412" w:name="_Toc55654493"/>
      <w:bookmarkStart w:id="413" w:name="_Toc402386799"/>
      <w:bookmarkStart w:id="414" w:name="_Toc54372620"/>
      <w:bookmarkStart w:id="415" w:name="_Toc56139035"/>
      <w:bookmarkStart w:id="416" w:name="_Toc56141845"/>
      <w:bookmarkStart w:id="417" w:name="_Toc25930149"/>
      <w:bookmarkStart w:id="418" w:name="_Toc56153807"/>
      <w:bookmarkStart w:id="419" w:name="_Toc14102103"/>
      <w:bookmarkStart w:id="420" w:name="_Toc59896653"/>
      <w:bookmarkStart w:id="421" w:name="_Toc54372202"/>
      <w:bookmarkStart w:id="422" w:name="_Toc54372036"/>
      <w:bookmarkStart w:id="423" w:name="_Toc54368851"/>
      <w:bookmarkStart w:id="424" w:name="_Toc59900921"/>
      <w:bookmarkStart w:id="425" w:name="_Toc55639358"/>
      <w:bookmarkStart w:id="426" w:name="_Toc55707626"/>
      <w:bookmarkStart w:id="427" w:name="_Toc56409060"/>
      <w:bookmarkStart w:id="428" w:name="_Toc54330945"/>
      <w:r>
        <w:rPr>
          <w:rFonts w:ascii="宋体" w:hAnsi="宋体"/>
          <w:color w:val="auto"/>
          <w:sz w:val="21"/>
          <w:szCs w:val="21"/>
          <w:highlight w:val="none"/>
        </w:rPr>
        <w:t>工程通过</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宋体" w:hAnsi="宋体"/>
          <w:color w:val="auto"/>
          <w:sz w:val="21"/>
          <w:szCs w:val="21"/>
          <w:highlight w:val="none"/>
        </w:rPr>
        <w:t>竣工验收为止。</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w:t>
      </w:r>
      <w:r>
        <w:rPr>
          <w:rFonts w:hint="eastAsia" w:ascii="宋体" w:hAnsi="宋体"/>
          <w:color w:val="auto"/>
          <w:sz w:val="21"/>
          <w:szCs w:val="21"/>
          <w:highlight w:val="none"/>
        </w:rPr>
        <w:t>2</w:t>
      </w:r>
      <w:r>
        <w:rPr>
          <w:rFonts w:ascii="宋体" w:hAnsi="宋体"/>
          <w:color w:val="auto"/>
          <w:sz w:val="21"/>
          <w:szCs w:val="21"/>
          <w:highlight w:val="none"/>
        </w:rPr>
        <w:t xml:space="preserve"> 除专用合同条款另有约定外，发包人应为勘察设计人派赴施工现场的工作人员，在施工期间提供办公房间、办公桌椅、互联网接口、冷暖设施、生活设施、进出现场交通服务和其他便利条件。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10.3</w:t>
      </w:r>
      <w:r>
        <w:rPr>
          <w:rFonts w:hint="eastAsia" w:ascii="宋体" w:hAnsi="宋体"/>
          <w:color w:val="auto"/>
          <w:sz w:val="21"/>
          <w:szCs w:val="21"/>
          <w:highlight w:val="none"/>
        </w:rPr>
        <w:t>勘察设计人应在本工程的施工期间，积极提供勘察设计配合服务，包括并不限于勘察设计技术交底、施工现场服务、参与施工过程验收、参与投产试</w:t>
      </w:r>
      <w:r>
        <w:rPr>
          <w:rFonts w:ascii="宋体" w:hAnsi="宋体"/>
          <w:color w:val="auto"/>
          <w:sz w:val="21"/>
          <w:szCs w:val="21"/>
          <w:highlight w:val="none"/>
        </w:rPr>
        <w:t>车(试运行)</w:t>
      </w:r>
      <w:r>
        <w:rPr>
          <w:rFonts w:hint="eastAsia" w:ascii="宋体" w:hAnsi="宋体"/>
          <w:color w:val="auto"/>
          <w:sz w:val="21"/>
          <w:szCs w:val="21"/>
          <w:highlight w:val="none"/>
        </w:rPr>
        <w:t>、参与工程竣工验收等工作。</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10.4 发包人应当组织勘察设计技术交底会，由勘察设计人向发包人、监理人和施工承包人等进行勘察设计交底，对本工程的勘察设计意图、勘察设计文件和施工要求等进行系统地说明和解释。</w:t>
      </w:r>
    </w:p>
    <w:p>
      <w:pPr>
        <w:spacing w:line="360" w:lineRule="auto"/>
        <w:ind w:firstLine="420" w:firstLineChars="200"/>
        <w:rPr>
          <w:rFonts w:ascii="宋体" w:hAnsi="宋体"/>
          <w:color w:val="auto"/>
          <w:sz w:val="24"/>
          <w:szCs w:val="24"/>
          <w:highlight w:val="none"/>
        </w:rPr>
      </w:pPr>
      <w:r>
        <w:rPr>
          <w:rFonts w:ascii="宋体" w:hAnsi="宋体"/>
          <w:color w:val="auto"/>
          <w:sz w:val="21"/>
          <w:szCs w:val="21"/>
          <w:highlight w:val="none"/>
        </w:rPr>
        <w:t>10.5 工程施工完毕后，发包人应当组织投产试车（试运行）和工程竣工验收，勘察设计人参加验收并出具本单位的验收结论。</w:t>
      </w:r>
      <w:r>
        <w:rPr>
          <w:rFonts w:hint="eastAsia" w:ascii="宋体" w:hAnsi="宋体"/>
          <w:color w:val="auto"/>
          <w:sz w:val="21"/>
          <w:szCs w:val="21"/>
          <w:highlight w:val="none"/>
        </w:rPr>
        <w:t>如因勘察设计原因致使工程不合格的，勘察设计人应当承担违约责任，免费修改勘察设计文件和赔偿发包人由此产生的经济损失。</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429" w:name="_Toc482188615"/>
      <w:bookmarkStart w:id="430" w:name="_Toc509765961"/>
      <w:bookmarkStart w:id="431" w:name="_Toc7578"/>
      <w:bookmarkStart w:id="432" w:name="_Toc19963"/>
      <w:r>
        <w:rPr>
          <w:rFonts w:ascii="宋体" w:hAnsi="宋体" w:eastAsia="宋体"/>
          <w:i w:val="0"/>
          <w:iCs/>
          <w:color w:val="auto"/>
          <w:sz w:val="28"/>
          <w:szCs w:val="28"/>
          <w:highlight w:val="none"/>
        </w:rPr>
        <w:t>11. 合同变更</w:t>
      </w:r>
      <w:bookmarkEnd w:id="429"/>
      <w:bookmarkEnd w:id="430"/>
      <w:bookmarkEnd w:id="431"/>
      <w:bookmarkEnd w:id="432"/>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33" w:name="_Toc11380"/>
      <w:bookmarkStart w:id="434" w:name="_Toc467651025"/>
      <w:bookmarkStart w:id="435" w:name="_Toc482188616"/>
      <w:bookmarkStart w:id="436" w:name="_Toc22630"/>
      <w:bookmarkStart w:id="437" w:name="_Toc509765962"/>
      <w:r>
        <w:rPr>
          <w:rFonts w:hint="eastAsia" w:ascii="宋体" w:hAnsi="宋体" w:eastAsia="宋体" w:cs="宋体"/>
          <w:b/>
          <w:bCs/>
          <w:color w:val="auto"/>
          <w:sz w:val="24"/>
          <w:szCs w:val="24"/>
          <w:highlight w:val="none"/>
        </w:rPr>
        <w:t>11.1 变更情形</w:t>
      </w:r>
      <w:bookmarkEnd w:id="433"/>
      <w:bookmarkEnd w:id="434"/>
      <w:bookmarkEnd w:id="435"/>
      <w:bookmarkEnd w:id="436"/>
      <w:bookmarkEnd w:id="43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11.1.1 合同履行中发生下述情形时，合同一方均可向对方提出变更请求，经双方协商一致后进行变更，勘察设计服务期限和勘察设计费用的调整方法</w:t>
      </w:r>
      <w:r>
        <w:rPr>
          <w:rFonts w:ascii="宋体" w:hAnsi="宋体"/>
          <w:color w:val="auto"/>
          <w:kern w:val="0"/>
          <w:sz w:val="21"/>
          <w:szCs w:val="21"/>
          <w:highlight w:val="none"/>
        </w:rPr>
        <w:t>在专用合同条款中约定</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（1）勘察设计范围发生变化；</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（2）除不可抗力外，非勘察设计人的原因引起的周期延误；</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（3）非勘察设计人的原因，对工程同一部分重复进行勘察设计；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（4）非勘察设计人的原因，对工程暂停勘察设计及恢复勘察设计。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11.1.2 基准日后，因颁布新的或修订原有法律、法规、规范和标准等引发合同变更情形的，按照上述约定进行调整。</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38" w:name="_Toc23219"/>
      <w:bookmarkStart w:id="439" w:name="_Toc509765963"/>
      <w:bookmarkStart w:id="440" w:name="_Toc15203"/>
      <w:bookmarkStart w:id="441" w:name="_Toc467651026"/>
      <w:bookmarkStart w:id="442" w:name="_Toc482188617"/>
      <w:r>
        <w:rPr>
          <w:rFonts w:hint="eastAsia" w:ascii="宋体" w:hAnsi="宋体" w:eastAsia="宋体" w:cs="宋体"/>
          <w:b/>
          <w:bCs/>
          <w:color w:val="auto"/>
          <w:sz w:val="24"/>
          <w:szCs w:val="24"/>
          <w:highlight w:val="none"/>
        </w:rPr>
        <w:t>11.2 合理化建议</w:t>
      </w:r>
      <w:bookmarkEnd w:id="438"/>
      <w:bookmarkEnd w:id="439"/>
      <w:bookmarkEnd w:id="440"/>
      <w:bookmarkEnd w:id="441"/>
      <w:bookmarkEnd w:id="44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11.2.1 合同履行中，勘察设计人可对发包人要求提出合理化建议。合理化建议应以书面形式提交发包人，被发包人采纳并构成变更的，执行第11.1款约定。</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11.2.2 勘察设计人提出的合理化建议降低了工程投资、缩短了施工期限或者提高了工程经济效益的，发包人应按专用合同条款中的约定给予奖励。</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443" w:name="_Toc509765964"/>
      <w:bookmarkStart w:id="444" w:name="_Toc482188618"/>
      <w:bookmarkStart w:id="445" w:name="_Toc82"/>
      <w:bookmarkStart w:id="446" w:name="_Toc10704"/>
      <w:r>
        <w:rPr>
          <w:rFonts w:ascii="宋体" w:hAnsi="宋体" w:eastAsia="宋体"/>
          <w:i w:val="0"/>
          <w:iCs/>
          <w:color w:val="auto"/>
          <w:sz w:val="28"/>
          <w:szCs w:val="28"/>
          <w:highlight w:val="none"/>
        </w:rPr>
        <w:t>12. 合同价格与支付</w:t>
      </w:r>
      <w:bookmarkEnd w:id="443"/>
      <w:bookmarkEnd w:id="444"/>
      <w:bookmarkEnd w:id="445"/>
      <w:bookmarkEnd w:id="446"/>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47" w:name="_Toc482188619"/>
      <w:bookmarkStart w:id="448" w:name="_Toc12219"/>
      <w:bookmarkStart w:id="449" w:name="_Toc19040"/>
      <w:bookmarkStart w:id="450" w:name="_Toc509765965"/>
      <w:r>
        <w:rPr>
          <w:rFonts w:hint="eastAsia" w:ascii="宋体" w:hAnsi="宋体" w:eastAsia="宋体" w:cs="宋体"/>
          <w:b/>
          <w:bCs/>
          <w:color w:val="auto"/>
          <w:sz w:val="24"/>
          <w:szCs w:val="24"/>
          <w:highlight w:val="none"/>
        </w:rPr>
        <w:t>12.1 合同价格</w:t>
      </w:r>
      <w:bookmarkEnd w:id="447"/>
      <w:bookmarkEnd w:id="448"/>
      <w:bookmarkEnd w:id="449"/>
      <w:bookmarkEnd w:id="450"/>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12.1.1 </w:t>
      </w:r>
      <w:r>
        <w:rPr>
          <w:rFonts w:hint="eastAsia" w:ascii="宋体" w:hAnsi="宋体"/>
          <w:color w:val="auto"/>
          <w:sz w:val="21"/>
          <w:szCs w:val="21"/>
          <w:highlight w:val="none"/>
        </w:rPr>
        <w:t>本合同的价款确定方式、调整方式和风险范围划分，</w:t>
      </w:r>
      <w:r>
        <w:rPr>
          <w:rFonts w:hint="eastAsia" w:ascii="宋体" w:hAnsi="宋体"/>
          <w:color w:val="auto"/>
          <w:kern w:val="0"/>
          <w:sz w:val="21"/>
          <w:szCs w:val="21"/>
          <w:highlight w:val="none"/>
        </w:rPr>
        <w:t>在专用合同条款中约定</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12.1.2 勘察设计费用实行发包人签证制度，即勘察设计人完成勘察设计项目后通知发包人进行验收，通过验收后由发包人代表对实施的勘察设计项目、数量、质量和实施时间签字确认，以此作为计算勘察设计费用的依据之一。</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12.1.3</w:t>
      </w:r>
      <w:r>
        <w:rPr>
          <w:rFonts w:hint="eastAsia" w:ascii="宋体" w:hAnsi="宋体"/>
          <w:color w:val="auto"/>
          <w:sz w:val="21"/>
          <w:szCs w:val="21"/>
          <w:highlight w:val="none"/>
        </w:rPr>
        <w:t>除专用合同条款另有约定外，合同价格应当包括收集资料，踏勘现场，进行勘察设计、评估、审查等，编制勘察设计文件，施工配合等全部费用和国家规定的增值税税金。</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12.1.4 发包人要求勘察设计人进行外出考察、试验检测、专项咨询或专家评审时，相应费用不含在合同价格之中，由发包人另行支付。</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51" w:name="_Toc482188620"/>
      <w:bookmarkStart w:id="452" w:name="_Toc27791"/>
      <w:bookmarkStart w:id="453" w:name="_Toc509765966"/>
      <w:bookmarkStart w:id="454" w:name="_Toc20269"/>
      <w:r>
        <w:rPr>
          <w:rFonts w:hint="eastAsia" w:ascii="宋体" w:hAnsi="宋体" w:eastAsia="宋体" w:cs="宋体"/>
          <w:b/>
          <w:bCs/>
          <w:color w:val="auto"/>
          <w:sz w:val="24"/>
          <w:szCs w:val="24"/>
          <w:highlight w:val="none"/>
        </w:rPr>
        <w:t>12.2 定金</w:t>
      </w:r>
      <w:bookmarkEnd w:id="451"/>
      <w:r>
        <w:rPr>
          <w:rFonts w:hint="eastAsia" w:ascii="宋体" w:hAnsi="宋体" w:eastAsia="宋体" w:cs="宋体"/>
          <w:b/>
          <w:bCs/>
          <w:color w:val="auto"/>
          <w:sz w:val="24"/>
          <w:szCs w:val="24"/>
          <w:highlight w:val="none"/>
        </w:rPr>
        <w:t>或预付款</w:t>
      </w:r>
      <w:bookmarkEnd w:id="452"/>
      <w:bookmarkEnd w:id="453"/>
      <w:bookmarkEnd w:id="45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12.2.1</w:t>
      </w:r>
      <w:r>
        <w:rPr>
          <w:rFonts w:hint="eastAsia" w:ascii="宋体" w:hAnsi="宋体"/>
          <w:color w:val="auto"/>
          <w:sz w:val="21"/>
          <w:szCs w:val="21"/>
          <w:highlight w:val="none"/>
        </w:rPr>
        <w:t>定金或预付款应专用于本工程的勘察设计。定金或预付款的额度、支付方式及抵扣方式</w:t>
      </w:r>
      <w:r>
        <w:rPr>
          <w:rFonts w:hint="eastAsia" w:ascii="宋体" w:hAnsi="宋体"/>
          <w:color w:val="auto"/>
          <w:kern w:val="0"/>
          <w:sz w:val="21"/>
          <w:szCs w:val="21"/>
          <w:highlight w:val="none"/>
        </w:rPr>
        <w:t>在专用合同条款中约定</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12.2.2 发包人应在收到定金</w:t>
      </w:r>
      <w:r>
        <w:rPr>
          <w:rFonts w:hint="eastAsia" w:ascii="宋体" w:hAnsi="宋体"/>
          <w:color w:val="auto"/>
          <w:sz w:val="21"/>
          <w:szCs w:val="21"/>
          <w:highlight w:val="none"/>
        </w:rPr>
        <w:t>或预付款</w:t>
      </w:r>
      <w:r>
        <w:rPr>
          <w:rFonts w:ascii="宋体" w:hAnsi="宋体"/>
          <w:color w:val="auto"/>
          <w:sz w:val="21"/>
          <w:szCs w:val="21"/>
          <w:highlight w:val="none"/>
        </w:rPr>
        <w:t>支付申请后28天内，将定金</w:t>
      </w:r>
      <w:r>
        <w:rPr>
          <w:rFonts w:hint="eastAsia" w:ascii="宋体" w:hAnsi="宋体"/>
          <w:color w:val="auto"/>
          <w:sz w:val="21"/>
          <w:szCs w:val="21"/>
          <w:highlight w:val="none"/>
        </w:rPr>
        <w:t>或预付款</w:t>
      </w:r>
      <w:r>
        <w:rPr>
          <w:rFonts w:ascii="宋体" w:hAnsi="宋体"/>
          <w:color w:val="auto"/>
          <w:sz w:val="21"/>
          <w:szCs w:val="21"/>
          <w:highlight w:val="none"/>
        </w:rPr>
        <w:t>支付给勘察设计人；勘察设计人应当提供等额的增值税发票。</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12.2.3 勘察设计服务完成之前，由于不可抗力或其他非勘察设计人的原因解除合同时，定金不予退还。</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55" w:name="_Toc467651035"/>
      <w:bookmarkStart w:id="456" w:name="_Toc509765967"/>
      <w:bookmarkStart w:id="457" w:name="_Toc482188621"/>
      <w:bookmarkStart w:id="458" w:name="_Toc17367"/>
      <w:bookmarkStart w:id="459" w:name="_Toc7357"/>
      <w:r>
        <w:rPr>
          <w:rFonts w:hint="eastAsia" w:ascii="宋体" w:hAnsi="宋体" w:eastAsia="宋体" w:cs="宋体"/>
          <w:b/>
          <w:bCs/>
          <w:color w:val="auto"/>
          <w:sz w:val="24"/>
          <w:szCs w:val="24"/>
          <w:highlight w:val="none"/>
        </w:rPr>
        <w:t>12.3 中期支付</w:t>
      </w:r>
      <w:bookmarkEnd w:id="455"/>
      <w:bookmarkEnd w:id="456"/>
      <w:bookmarkEnd w:id="457"/>
      <w:bookmarkEnd w:id="458"/>
      <w:bookmarkEnd w:id="45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12.3.1 勘察设计人应按发包人批准或专用合同条款约定的格式及份数，向发包人提交中期支付申请，并附相应的支持性证明文件。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12.3.2 发包人应在收到中期支付申请后的28天内，将应付款项支付给勘察设计人；勘察设计人应当提供等额的增值税发票。发包人未能在前述时间内完成审批或不予答复的，视为发包人同意中期支付申请。发包人不按期支付的，按专用合同条款的约定支付逾期付款违约金。</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12.3.3 </w:t>
      </w:r>
      <w:r>
        <w:rPr>
          <w:rFonts w:ascii="宋体" w:hAnsi="宋体"/>
          <w:color w:val="auto"/>
          <w:spacing w:val="-10"/>
          <w:sz w:val="21"/>
          <w:szCs w:val="21"/>
          <w:highlight w:val="none"/>
        </w:rPr>
        <w:t>中期支付涉及政府投资资金的，按照国库集中支付等国家相关规定和专用合同条款的约定执行。</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60" w:name="_Toc467651036"/>
      <w:bookmarkStart w:id="461" w:name="_Toc2021"/>
      <w:bookmarkStart w:id="462" w:name="_Toc12754"/>
      <w:bookmarkStart w:id="463" w:name="_Toc482188622"/>
      <w:bookmarkStart w:id="464" w:name="_Toc509765968"/>
      <w:r>
        <w:rPr>
          <w:rFonts w:hint="eastAsia" w:ascii="宋体" w:hAnsi="宋体" w:eastAsia="宋体" w:cs="宋体"/>
          <w:b/>
          <w:bCs/>
          <w:color w:val="auto"/>
          <w:sz w:val="24"/>
          <w:szCs w:val="24"/>
          <w:highlight w:val="none"/>
        </w:rPr>
        <w:t>12.4 费用结算</w:t>
      </w:r>
      <w:bookmarkEnd w:id="460"/>
      <w:bookmarkEnd w:id="461"/>
      <w:bookmarkEnd w:id="462"/>
      <w:bookmarkEnd w:id="463"/>
      <w:bookmarkEnd w:id="46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12.4.1 合同工作完成后，勘察设计人可按专用合同条款约定的份数和期限，向发包人提交勘察设计费用结算申请，并提供相关证明材料。</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12.4.2 发包人应在收到费用结算申请后的28天内，将应付款项支付给勘察设计人；勘察设计人应当提供等额的增值税发票。发包人未能在前述时间内完成审批或不予答复的，视为发包人同意费用结算申请。发包人不按期支付的，按专用合同条款的约定支付逾期付款违约金。</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12.4.3 发包人对费用结算申请内容有异议的，有权要求勘察设计人进行修正和提供补充资料，由勘察设计人重新提交。勘察设计人对此有异议的，按第15条的约定执行。</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12.4.4 最终结清付款涉及政府投资资金的，按第12.3.3项的约定执行。</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465" w:name="_Toc482188623"/>
      <w:bookmarkStart w:id="466" w:name="_Toc509765969"/>
      <w:bookmarkStart w:id="467" w:name="_Toc17526"/>
      <w:r>
        <w:rPr>
          <w:rFonts w:ascii="宋体" w:hAnsi="宋体" w:eastAsia="宋体"/>
          <w:i w:val="0"/>
          <w:iCs/>
          <w:color w:val="auto"/>
          <w:sz w:val="28"/>
          <w:szCs w:val="28"/>
          <w:highlight w:val="none"/>
        </w:rPr>
        <w:t>13. 不可抗力</w:t>
      </w:r>
      <w:bookmarkEnd w:id="465"/>
      <w:bookmarkEnd w:id="466"/>
      <w:bookmarkEnd w:id="467"/>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68" w:name="_Toc30569"/>
      <w:bookmarkStart w:id="469" w:name="_Toc322"/>
      <w:bookmarkStart w:id="470" w:name="_Toc482188624"/>
      <w:bookmarkStart w:id="471" w:name="_Toc509765970"/>
      <w:r>
        <w:rPr>
          <w:rFonts w:hint="eastAsia" w:ascii="宋体" w:hAnsi="宋体" w:eastAsia="宋体" w:cs="宋体"/>
          <w:b/>
          <w:bCs/>
          <w:color w:val="auto"/>
          <w:sz w:val="24"/>
          <w:szCs w:val="24"/>
          <w:highlight w:val="none"/>
        </w:rPr>
        <w:t>13.1 不可抗力的确认</w:t>
      </w:r>
      <w:bookmarkEnd w:id="468"/>
      <w:bookmarkEnd w:id="469"/>
      <w:bookmarkEnd w:id="470"/>
      <w:bookmarkEnd w:id="471"/>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13.1.1 不可抗力是指勘察设计人和发包人在订立合同时不可预见，在履行合</w:t>
      </w:r>
      <w:bookmarkStart w:id="472" w:name="_Toc247514180"/>
      <w:bookmarkStart w:id="473" w:name="_Toc247527781"/>
      <w:bookmarkStart w:id="474" w:name="_Toc184635118"/>
      <w:bookmarkStart w:id="475" w:name="_Toc300835182"/>
      <w:r>
        <w:rPr>
          <w:rFonts w:ascii="宋体" w:hAnsi="宋体"/>
          <w:color w:val="auto"/>
          <w:sz w:val="21"/>
          <w:szCs w:val="21"/>
          <w:highlight w:val="none"/>
        </w:rPr>
        <w:t>同过程中不可避免</w:t>
      </w:r>
      <w:bookmarkEnd w:id="472"/>
      <w:bookmarkEnd w:id="473"/>
      <w:bookmarkEnd w:id="474"/>
      <w:bookmarkEnd w:id="475"/>
      <w:r>
        <w:rPr>
          <w:rFonts w:ascii="宋体" w:hAnsi="宋体"/>
          <w:color w:val="auto"/>
          <w:sz w:val="21"/>
          <w:szCs w:val="21"/>
          <w:highlight w:val="none"/>
        </w:rPr>
        <w:t>发</w:t>
      </w:r>
      <w:bookmarkStart w:id="476" w:name="_Toc247514181"/>
      <w:bookmarkStart w:id="477" w:name="_Toc300835183"/>
      <w:bookmarkStart w:id="478" w:name="_Toc247527782"/>
      <w:r>
        <w:rPr>
          <w:rFonts w:ascii="宋体" w:hAnsi="宋体"/>
          <w:color w:val="auto"/>
          <w:sz w:val="21"/>
          <w:szCs w:val="21"/>
          <w:highlight w:val="none"/>
        </w:rPr>
        <w:t>生并不能克服的自然灾害和</w:t>
      </w:r>
      <w:bookmarkEnd w:id="476"/>
      <w:bookmarkEnd w:id="477"/>
      <w:bookmarkEnd w:id="478"/>
      <w:r>
        <w:rPr>
          <w:rFonts w:ascii="宋体" w:hAnsi="宋体"/>
          <w:color w:val="auto"/>
          <w:sz w:val="21"/>
          <w:szCs w:val="21"/>
          <w:highlight w:val="none"/>
        </w:rPr>
        <w:t>社会性突发事件，如地震、海啸、瘟疫、水灾、骚乱、暴动、战争和专用合同条款约定的其他情形。</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13.1.2 不可抗力发生后，发包人和勘察设计人应及时认真统计所造成的损失，收集不可抗力造成损失的证据。合同双方对是否属于不可抗力或其损失的意见不一致的，由合同双方协商确定。</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79" w:name="_Toc16690"/>
      <w:bookmarkStart w:id="480" w:name="_Toc482188625"/>
      <w:bookmarkStart w:id="481" w:name="_Toc3413"/>
      <w:bookmarkStart w:id="482" w:name="_Toc509765971"/>
      <w:r>
        <w:rPr>
          <w:rFonts w:hint="eastAsia" w:ascii="宋体" w:hAnsi="宋体" w:eastAsia="宋体" w:cs="宋体"/>
          <w:b/>
          <w:bCs/>
          <w:color w:val="auto"/>
          <w:sz w:val="24"/>
          <w:szCs w:val="24"/>
          <w:highlight w:val="none"/>
        </w:rPr>
        <w:t>13.2 不可抗力的通知</w:t>
      </w:r>
      <w:bookmarkEnd w:id="479"/>
      <w:bookmarkEnd w:id="480"/>
      <w:bookmarkEnd w:id="481"/>
      <w:bookmarkEnd w:id="48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13.2.1 合同一方当事人遇到不可抗力事件，使其履行合同义务受到阻碍时，应立即通知合同</w:t>
      </w:r>
      <w:bookmarkStart w:id="483" w:name="_Toc300835184"/>
      <w:bookmarkStart w:id="484" w:name="_Toc247527783"/>
      <w:bookmarkStart w:id="485" w:name="_Toc247514182"/>
      <w:r>
        <w:rPr>
          <w:rFonts w:ascii="宋体" w:hAnsi="宋体"/>
          <w:color w:val="auto"/>
          <w:sz w:val="21"/>
          <w:szCs w:val="21"/>
          <w:highlight w:val="none"/>
        </w:rPr>
        <w:t>另一方当事人，书面说明不</w:t>
      </w:r>
      <w:bookmarkEnd w:id="483"/>
      <w:bookmarkEnd w:id="484"/>
      <w:bookmarkEnd w:id="485"/>
      <w:r>
        <w:rPr>
          <w:rFonts w:ascii="宋体" w:hAnsi="宋体"/>
          <w:color w:val="auto"/>
          <w:sz w:val="21"/>
          <w:szCs w:val="21"/>
          <w:highlight w:val="none"/>
        </w:rPr>
        <w:t>可抗力和受阻碍的详细情况，并提供必要的证明。</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13.2.2 如不可抗力持续发生，合同一方当事人应及时向合同另一方当事人提交中间报告，说明不可抗力和履行合同受阻的情况，并于不可抗力事件结束后28天内提交最终报告及有关资料。</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86" w:name="_Toc509765972"/>
      <w:bookmarkStart w:id="487" w:name="_Toc4669"/>
      <w:bookmarkStart w:id="488" w:name="_Toc482188626"/>
      <w:bookmarkStart w:id="489" w:name="_Toc5094"/>
      <w:r>
        <w:rPr>
          <w:rFonts w:hint="eastAsia" w:ascii="宋体" w:hAnsi="宋体" w:eastAsia="宋体" w:cs="宋体"/>
          <w:b/>
          <w:bCs/>
          <w:color w:val="auto"/>
          <w:sz w:val="24"/>
          <w:szCs w:val="24"/>
          <w:highlight w:val="none"/>
        </w:rPr>
        <w:t>13.3 不可抗力后果及其处理</w:t>
      </w:r>
      <w:bookmarkEnd w:id="486"/>
      <w:bookmarkEnd w:id="487"/>
      <w:bookmarkEnd w:id="488"/>
      <w:bookmarkEnd w:id="48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13.3.1 不可抗力引起的后果及其损失，应由合同当事人依据法律规定各自承担。不可抗力发生前已完成的勘察设计工作，应当按照合同约定进行支付。</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13.3.2 不可抗力发生后，合同当事人应当采取有效措施避免损失进一步扩大，如未采取有效措施致使损失扩大的，应当自行承担扩大部分的损失。</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13.3.3 因一方当事人迟延履行合同义务，致使迟延履行期间遭遇不可抗力的，应由该当事人承担全部损失。</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490" w:name="_Toc482188627"/>
      <w:bookmarkStart w:id="491" w:name="_Toc509765973"/>
      <w:bookmarkStart w:id="492" w:name="_Toc2525"/>
      <w:bookmarkStart w:id="493" w:name="_Toc26945"/>
      <w:r>
        <w:rPr>
          <w:rFonts w:ascii="宋体" w:hAnsi="宋体" w:eastAsia="宋体"/>
          <w:i w:val="0"/>
          <w:iCs/>
          <w:color w:val="auto"/>
          <w:sz w:val="28"/>
          <w:szCs w:val="28"/>
          <w:highlight w:val="none"/>
        </w:rPr>
        <w:t>14. 违约</w:t>
      </w:r>
      <w:bookmarkEnd w:id="490"/>
      <w:bookmarkEnd w:id="491"/>
      <w:bookmarkEnd w:id="492"/>
      <w:bookmarkEnd w:id="493"/>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94" w:name="_Toc16616"/>
      <w:bookmarkStart w:id="495" w:name="_Toc482188628"/>
      <w:bookmarkStart w:id="496" w:name="_Toc12728"/>
      <w:bookmarkStart w:id="497" w:name="_Toc509765974"/>
      <w:r>
        <w:rPr>
          <w:rFonts w:hint="eastAsia" w:ascii="宋体" w:hAnsi="宋体" w:eastAsia="宋体" w:cs="宋体"/>
          <w:b/>
          <w:bCs/>
          <w:color w:val="auto"/>
          <w:sz w:val="24"/>
          <w:szCs w:val="24"/>
          <w:highlight w:val="none"/>
        </w:rPr>
        <w:t>14.1 勘察设计人违约</w:t>
      </w:r>
      <w:bookmarkEnd w:id="494"/>
      <w:bookmarkEnd w:id="495"/>
      <w:bookmarkEnd w:id="496"/>
      <w:bookmarkEnd w:id="49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14.1.1合同履行中发生下列情况之一的，属勘察设计人违约：</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（1）勘察设计文件不符合法律以及合同约定；</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（2）勘察设计人转包、违法分包或者未经发包人同意擅自分包；</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（3）勘察设计人未按合同计划完成勘察设计，从而造成工程损失；</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（4）勘察设计人无法履行或停止履行合同；</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（5）勘察设计人不履行合同约定的其他义务。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14.1.2 勘察设计人发生违约情况时，发包人可向勘察设计人发出整改通知，要求其在限定期限内纠正；逾期仍不纠正的，发包人有权解除合同并向勘察设计人发出解除合同通知。勘察设计人应当承担由于违约所造成的费用增加、周期延误和发包人损失等。</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98" w:name="_Toc13226"/>
      <w:bookmarkStart w:id="499" w:name="_Toc482188629"/>
      <w:bookmarkStart w:id="500" w:name="_Toc509765975"/>
      <w:bookmarkStart w:id="501" w:name="_Toc26487"/>
      <w:r>
        <w:rPr>
          <w:rFonts w:hint="eastAsia" w:ascii="宋体" w:hAnsi="宋体" w:eastAsia="宋体" w:cs="宋体"/>
          <w:b/>
          <w:bCs/>
          <w:color w:val="auto"/>
          <w:sz w:val="24"/>
          <w:szCs w:val="24"/>
          <w:highlight w:val="none"/>
        </w:rPr>
        <w:t>14.2 发包人违约</w:t>
      </w:r>
      <w:bookmarkEnd w:id="498"/>
      <w:bookmarkEnd w:id="499"/>
      <w:bookmarkEnd w:id="500"/>
      <w:bookmarkEnd w:id="501"/>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14.2.1合同履行中发生下列情况之一的，属发包人违约：</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（1）发</w:t>
      </w:r>
      <w:bookmarkStart w:id="502" w:name="_Toc247514186"/>
      <w:bookmarkStart w:id="503" w:name="_Toc247527787"/>
      <w:bookmarkStart w:id="504" w:name="_Toc300835188"/>
      <w:r>
        <w:rPr>
          <w:rFonts w:ascii="宋体" w:hAnsi="宋体"/>
          <w:color w:val="auto"/>
          <w:sz w:val="21"/>
          <w:szCs w:val="21"/>
          <w:highlight w:val="none"/>
        </w:rPr>
        <w:t>包人未按合同约定支</w:t>
      </w:r>
      <w:bookmarkEnd w:id="502"/>
      <w:bookmarkEnd w:id="503"/>
      <w:bookmarkEnd w:id="504"/>
      <w:r>
        <w:rPr>
          <w:rFonts w:ascii="宋体" w:hAnsi="宋体"/>
          <w:color w:val="auto"/>
          <w:sz w:val="21"/>
          <w:szCs w:val="21"/>
          <w:highlight w:val="none"/>
        </w:rPr>
        <w:t>付勘察设计费用；</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（2）发包人原因造成勘察设计停止；</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（3）发包人无法履行或停止履行合同；</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（4）发包人不履行合同约定的其他义务。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14.2.2发包人发生违约情况时，勘察设计人可向发包人发出暂停勘察设计通知，要求其在限定期限内纠正；逾期仍不纠正的，勘察设计人有权解除合同并向发包人发出解除合同通知。发包人应当承担由于违约所造成的费用增加、周期延误和勘察设计人损失等。</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05" w:name="_Toc482188630"/>
      <w:bookmarkStart w:id="506" w:name="_Toc15617"/>
      <w:bookmarkStart w:id="507" w:name="_Toc24681"/>
      <w:bookmarkStart w:id="508" w:name="_Toc509765976"/>
      <w:r>
        <w:rPr>
          <w:rFonts w:hint="eastAsia" w:ascii="宋体" w:hAnsi="宋体" w:eastAsia="宋体" w:cs="宋体"/>
          <w:b/>
          <w:bCs/>
          <w:color w:val="auto"/>
          <w:sz w:val="24"/>
          <w:szCs w:val="24"/>
          <w:highlight w:val="none"/>
        </w:rPr>
        <w:t>14.3 第三人造成的违约</w:t>
      </w:r>
      <w:bookmarkEnd w:id="505"/>
      <w:bookmarkEnd w:id="506"/>
      <w:bookmarkEnd w:id="507"/>
      <w:bookmarkEnd w:id="50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在履行合同过程中，一方当事人因第三人的原因造成违约的，应当向对方当事人承担违约责任。一</w:t>
      </w:r>
      <w:bookmarkStart w:id="509" w:name="_Toc300835189"/>
      <w:bookmarkStart w:id="510" w:name="_Toc247514187"/>
      <w:bookmarkStart w:id="511" w:name="_Toc247527788"/>
      <w:r>
        <w:rPr>
          <w:rFonts w:ascii="宋体" w:hAnsi="宋体"/>
          <w:color w:val="auto"/>
          <w:sz w:val="21"/>
          <w:szCs w:val="21"/>
          <w:highlight w:val="none"/>
        </w:rPr>
        <w:t>方当事人和第三人之间的纠纷</w:t>
      </w:r>
      <w:bookmarkEnd w:id="509"/>
      <w:bookmarkEnd w:id="510"/>
      <w:bookmarkEnd w:id="511"/>
      <w:r>
        <w:rPr>
          <w:rFonts w:ascii="宋体" w:hAnsi="宋体"/>
          <w:color w:val="auto"/>
          <w:sz w:val="21"/>
          <w:szCs w:val="21"/>
          <w:highlight w:val="none"/>
        </w:rPr>
        <w:t>，依照法律规定或者按照约定解决。</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512" w:name="_Toc165"/>
      <w:bookmarkStart w:id="513" w:name="_Toc482188631"/>
      <w:bookmarkStart w:id="514" w:name="_Toc509765977"/>
      <w:bookmarkStart w:id="515" w:name="_Toc20455"/>
      <w:r>
        <w:rPr>
          <w:rFonts w:ascii="宋体" w:hAnsi="宋体" w:eastAsia="宋体"/>
          <w:i w:val="0"/>
          <w:iCs/>
          <w:color w:val="auto"/>
          <w:sz w:val="28"/>
          <w:szCs w:val="28"/>
          <w:highlight w:val="none"/>
        </w:rPr>
        <w:t>15. 争议的解决</w:t>
      </w:r>
      <w:bookmarkEnd w:id="512"/>
      <w:bookmarkEnd w:id="513"/>
      <w:bookmarkEnd w:id="514"/>
      <w:bookmarkEnd w:id="515"/>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发包人和勘察设计人在履行合同中发生争议的，可以友好协商解决</w:t>
      </w:r>
      <w:bookmarkStart w:id="516" w:name="_Toc247514193"/>
      <w:bookmarkStart w:id="517" w:name="_Toc247527794"/>
      <w:bookmarkStart w:id="518" w:name="_Toc184635121"/>
      <w:bookmarkStart w:id="519" w:name="_Toc300835195"/>
      <w:r>
        <w:rPr>
          <w:rFonts w:ascii="宋体" w:hAnsi="宋体"/>
          <w:color w:val="auto"/>
          <w:sz w:val="21"/>
          <w:szCs w:val="21"/>
          <w:highlight w:val="none"/>
        </w:rPr>
        <w:t>。合同当事</w:t>
      </w:r>
      <w:bookmarkEnd w:id="516"/>
      <w:bookmarkEnd w:id="517"/>
      <w:bookmarkEnd w:id="518"/>
      <w:bookmarkEnd w:id="519"/>
      <w:r>
        <w:rPr>
          <w:rFonts w:ascii="宋体" w:hAnsi="宋体"/>
          <w:color w:val="auto"/>
          <w:sz w:val="21"/>
          <w:szCs w:val="21"/>
          <w:highlight w:val="none"/>
        </w:rPr>
        <w:t>人</w:t>
      </w:r>
      <w:bookmarkStart w:id="520" w:name="_Toc247514194"/>
      <w:bookmarkStart w:id="521" w:name="_Toc300835196"/>
      <w:bookmarkStart w:id="522" w:name="_Toc247527795"/>
      <w:r>
        <w:rPr>
          <w:rFonts w:ascii="宋体" w:hAnsi="宋体"/>
          <w:color w:val="auto"/>
          <w:sz w:val="21"/>
          <w:szCs w:val="21"/>
          <w:highlight w:val="none"/>
        </w:rPr>
        <w:t>友好协商解决不成</w:t>
      </w:r>
      <w:bookmarkEnd w:id="520"/>
      <w:bookmarkEnd w:id="521"/>
      <w:bookmarkEnd w:id="522"/>
      <w:r>
        <w:rPr>
          <w:rFonts w:ascii="宋体" w:hAnsi="宋体"/>
          <w:color w:val="auto"/>
          <w:sz w:val="21"/>
          <w:szCs w:val="21"/>
          <w:highlight w:val="none"/>
        </w:rPr>
        <w:t>的，可在专用合同条款中约定下列一种方式解决：</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（1）向约定的仲裁委员会申请仲裁；</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（2）向有管辖权的人民法院提起诉讼。</w:t>
      </w:r>
    </w:p>
    <w:p>
      <w:pPr>
        <w:rPr>
          <w:rFonts w:ascii="宋体" w:hAnsi="宋体"/>
          <w:color w:val="auto"/>
          <w:sz w:val="21"/>
          <w:szCs w:val="21"/>
          <w:highlight w:val="none"/>
        </w:rPr>
      </w:pPr>
      <w:r>
        <w:rPr>
          <w:rFonts w:ascii="宋体" w:hAnsi="宋体"/>
          <w:color w:val="auto"/>
          <w:sz w:val="21"/>
          <w:szCs w:val="21"/>
          <w:highlight w:val="none"/>
        </w:rPr>
        <w:br w:type="page"/>
      </w:r>
    </w:p>
    <w:p>
      <w:pPr>
        <w:pStyle w:val="7"/>
        <w:ind w:left="0" w:leftChars="0" w:firstLine="0" w:firstLineChars="0"/>
        <w:rPr>
          <w:color w:val="auto"/>
          <w:highlight w:val="none"/>
        </w:rPr>
      </w:pPr>
    </w:p>
    <w:p>
      <w:pPr>
        <w:widowControl/>
        <w:numPr>
          <w:ilvl w:val="0"/>
          <w:numId w:val="4"/>
        </w:numPr>
        <w:ind w:right="46" w:rightChars="22"/>
        <w:jc w:val="center"/>
        <w:outlineLvl w:val="0"/>
        <w:rPr>
          <w:rFonts w:ascii="Times New Roman" w:hAnsi="Times New Roman"/>
          <w:b/>
          <w:bCs/>
          <w:color w:val="auto"/>
          <w:sz w:val="28"/>
          <w:szCs w:val="32"/>
          <w:highlight w:val="none"/>
        </w:rPr>
      </w:pPr>
      <w:bookmarkStart w:id="523" w:name="_Toc509765978"/>
      <w:bookmarkStart w:id="524" w:name="_Toc32226"/>
      <w:bookmarkStart w:id="525" w:name="_Toc19435"/>
      <w:bookmarkStart w:id="526" w:name="_Toc14772"/>
      <w:bookmarkStart w:id="527" w:name="_Toc13605"/>
      <w:r>
        <w:rPr>
          <w:rFonts w:ascii="Times New Roman" w:hAnsi="Times New Roman"/>
          <w:b/>
          <w:bCs/>
          <w:color w:val="auto"/>
          <w:sz w:val="28"/>
          <w:szCs w:val="32"/>
          <w:highlight w:val="none"/>
        </w:rPr>
        <w:t>专用合同条款</w:t>
      </w:r>
      <w:bookmarkEnd w:id="523"/>
      <w:bookmarkEnd w:id="524"/>
      <w:bookmarkEnd w:id="525"/>
      <w:bookmarkEnd w:id="526"/>
      <w:bookmarkEnd w:id="527"/>
    </w:p>
    <w:p>
      <w:pPr>
        <w:pStyle w:val="4"/>
        <w:numPr>
          <w:ilvl w:val="2"/>
          <w:numId w:val="0"/>
        </w:numPr>
        <w:spacing w:before="0" w:after="0" w:line="360" w:lineRule="auto"/>
        <w:ind w:left="856" w:leftChars="0"/>
        <w:rPr>
          <w:rFonts w:ascii="宋体" w:hAnsi="宋体" w:eastAsia="宋体"/>
          <w:b/>
          <w:bCs/>
          <w:color w:val="auto"/>
          <w:sz w:val="28"/>
          <w:szCs w:val="28"/>
          <w:highlight w:val="none"/>
        </w:rPr>
      </w:pPr>
      <w:bookmarkStart w:id="528" w:name="_Toc27534"/>
      <w:bookmarkStart w:id="529" w:name="_Toc16025"/>
      <w:bookmarkStart w:id="530" w:name="_Toc509765979"/>
    </w:p>
    <w:p>
      <w:pPr>
        <w:pStyle w:val="4"/>
        <w:numPr>
          <w:ilvl w:val="2"/>
          <w:numId w:val="0"/>
        </w:numPr>
        <w:spacing w:before="0" w:after="0" w:line="360" w:lineRule="auto"/>
        <w:ind w:left="856" w:leftChars="0"/>
        <w:rPr>
          <w:rFonts w:ascii="宋体" w:hAnsi="宋体" w:eastAsia="宋体"/>
          <w:b/>
          <w:bCs/>
          <w:color w:val="auto"/>
          <w:sz w:val="24"/>
          <w:szCs w:val="24"/>
          <w:highlight w:val="none"/>
        </w:rPr>
      </w:pPr>
      <w:r>
        <w:rPr>
          <w:rFonts w:ascii="宋体" w:hAnsi="宋体" w:eastAsia="宋体"/>
          <w:b/>
          <w:bCs/>
          <w:color w:val="auto"/>
          <w:sz w:val="24"/>
          <w:szCs w:val="24"/>
          <w:highlight w:val="none"/>
        </w:rPr>
        <w:t>1.1 词语定义</w:t>
      </w:r>
      <w:bookmarkEnd w:id="528"/>
      <w:bookmarkEnd w:id="529"/>
      <w:bookmarkEnd w:id="530"/>
    </w:p>
    <w:p>
      <w:pPr>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1.1.3 工程和设计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 工程：指</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工程。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 勘察设计服务：指勘察设计人按照合同约定履行的服务，包括制订勘察纲要、进行测绘、勘探、取样和试验等，查明、分析和评估地质特征和工程条件，编制勘察报告；编制设计文件和设计概算、预算、提供技术交底、施工配合、参加竣工验收或发包人委托的其他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1.1.3.4 勘察设计文件：指勘察设计人按合同约定向发包人提交的工程勘察报告、服务大纲、勘察方案、外业指导书、进度计划、图纸、计算书、软件和其他文件等，包括阶段性文件和最终文件；设计说明、图纸、图板、模型、计算书、软件和其他文件等，包括阶段性文件和最终文件，且应当采用合同中双方约定的格式和载体。</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31" w:name="_Toc509765980"/>
      <w:bookmarkStart w:id="532" w:name="_Toc5659"/>
      <w:bookmarkStart w:id="533" w:name="_Toc8133"/>
      <w:r>
        <w:rPr>
          <w:rFonts w:hint="eastAsia" w:ascii="宋体" w:hAnsi="宋体" w:eastAsia="宋体" w:cs="宋体"/>
          <w:b/>
          <w:bCs/>
          <w:color w:val="auto"/>
          <w:sz w:val="24"/>
          <w:szCs w:val="24"/>
          <w:highlight w:val="none"/>
        </w:rPr>
        <w:t>1.3 适用法律</w:t>
      </w:r>
      <w:bookmarkEnd w:id="531"/>
      <w:bookmarkEnd w:id="532"/>
      <w:bookmarkEnd w:id="53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本合同适用的其他规范性文件：</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34" w:name="_Toc27784"/>
      <w:bookmarkStart w:id="535" w:name="_Toc27789"/>
      <w:bookmarkStart w:id="536" w:name="_Toc509765981"/>
      <w:r>
        <w:rPr>
          <w:rFonts w:hint="eastAsia" w:ascii="宋体" w:hAnsi="宋体" w:eastAsia="宋体" w:cs="宋体"/>
          <w:b/>
          <w:bCs/>
          <w:color w:val="auto"/>
          <w:sz w:val="24"/>
          <w:szCs w:val="24"/>
          <w:highlight w:val="none"/>
        </w:rPr>
        <w:t>1.6 文件的提供和照管</w:t>
      </w:r>
      <w:bookmarkEnd w:id="534"/>
      <w:bookmarkEnd w:id="535"/>
      <w:bookmarkEnd w:id="536"/>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 设计文件的提供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设计人应向发包人提供设计文件的资料、份数、内容要求及提交时间：</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580"/>
        <w:gridCol w:w="2957"/>
        <w:gridCol w:w="720"/>
        <w:gridCol w:w="258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96" w:hRule="atLeast"/>
          <w:tblHeader/>
          <w:jc w:val="center"/>
        </w:trPr>
        <w:tc>
          <w:tcPr>
            <w:tcW w:w="58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2957"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资料及文件名称</w:t>
            </w:r>
          </w:p>
        </w:tc>
        <w:tc>
          <w:tcPr>
            <w:tcW w:w="72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份数</w:t>
            </w:r>
          </w:p>
        </w:tc>
        <w:tc>
          <w:tcPr>
            <w:tcW w:w="2588"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内容要求</w:t>
            </w:r>
          </w:p>
        </w:tc>
        <w:tc>
          <w:tcPr>
            <w:tcW w:w="2160"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81"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一</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初步设计报告、地质勘察报告及图纸、工程概算书</w:t>
            </w:r>
          </w:p>
        </w:tc>
        <w:tc>
          <w:tcPr>
            <w:tcW w:w="720" w:type="dxa"/>
            <w:noWrap w:val="0"/>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w:t>
            </w:r>
            <w:r>
              <w:rPr>
                <w:rFonts w:hint="eastAsia" w:ascii="宋体" w:hAnsi="宋体" w:cs="宋体"/>
                <w:bCs/>
                <w:color w:val="auto"/>
                <w:sz w:val="21"/>
                <w:szCs w:val="21"/>
                <w:highlight w:val="none"/>
                <w:lang w:eastAsia="zh-CN"/>
              </w:rPr>
              <w:t>SL/T619-2021</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《水利水电工程初步设计报告编制规程》及国家和行业的规定。</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签订合同之日起</w:t>
            </w: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0日历天内提交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735"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二</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招标设计、</w:t>
            </w:r>
            <w:r>
              <w:rPr>
                <w:rFonts w:hint="eastAsia" w:ascii="宋体" w:hAnsi="宋体" w:eastAsia="宋体" w:cs="宋体"/>
                <w:bCs/>
                <w:color w:val="auto"/>
                <w:sz w:val="21"/>
                <w:szCs w:val="21"/>
                <w:highlight w:val="none"/>
              </w:rPr>
              <w:t>施工图设计（含施工图预算，）及相应的技术规范和技术条款</w:t>
            </w:r>
          </w:p>
        </w:tc>
        <w:tc>
          <w:tcPr>
            <w:tcW w:w="720" w:type="dxa"/>
            <w:noWrap w:val="0"/>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符合国家和行业的规定</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color w:val="auto"/>
                <w:szCs w:val="21"/>
                <w:highlight w:val="none"/>
              </w:rPr>
              <w:t>审批部门完成初步设计审批</w:t>
            </w:r>
            <w:r>
              <w:rPr>
                <w:rFonts w:hint="eastAsia" w:ascii="宋体" w:hAnsi="宋体" w:eastAsia="宋体" w:cs="宋体"/>
                <w:bCs/>
                <w:color w:val="auto"/>
                <w:sz w:val="21"/>
                <w:szCs w:val="21"/>
                <w:highlight w:val="none"/>
              </w:rPr>
              <w:t>之日起</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日历天内提交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35"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三</w:t>
            </w:r>
          </w:p>
        </w:tc>
        <w:tc>
          <w:tcPr>
            <w:tcW w:w="2957" w:type="dxa"/>
            <w:noWrap w:val="0"/>
            <w:vAlign w:val="center"/>
          </w:tcPr>
          <w:p>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以上设计文件及图纸</w:t>
            </w:r>
            <w:r>
              <w:rPr>
                <w:rFonts w:hint="eastAsia" w:ascii="宋体" w:hAnsi="宋体" w:cs="宋体"/>
                <w:bCs/>
                <w:color w:val="auto"/>
                <w:sz w:val="21"/>
                <w:szCs w:val="21"/>
                <w:highlight w:val="none"/>
                <w:lang w:val="en-US" w:eastAsia="zh-CN"/>
              </w:rPr>
              <w:t>光</w:t>
            </w:r>
            <w:r>
              <w:rPr>
                <w:rFonts w:hint="eastAsia" w:ascii="宋体" w:hAnsi="宋体" w:cs="宋体"/>
                <w:bCs/>
                <w:color w:val="auto"/>
                <w:sz w:val="21"/>
                <w:szCs w:val="21"/>
                <w:highlight w:val="none"/>
                <w:lang w:eastAsia="zh-CN"/>
              </w:rPr>
              <w:t>盘</w:t>
            </w:r>
          </w:p>
        </w:tc>
        <w:tc>
          <w:tcPr>
            <w:tcW w:w="720" w:type="dxa"/>
            <w:noWrap w:val="0"/>
            <w:vAlign w:val="center"/>
          </w:tcPr>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数字</w:t>
            </w:r>
            <w:r>
              <w:rPr>
                <w:rFonts w:hint="eastAsia" w:ascii="宋体" w:hAnsi="宋体" w:cs="宋体"/>
                <w:bCs/>
                <w:color w:val="auto"/>
                <w:sz w:val="21"/>
                <w:szCs w:val="21"/>
                <w:highlight w:val="none"/>
                <w:lang w:val="en-US" w:eastAsia="zh-CN"/>
              </w:rPr>
              <w:t>光</w:t>
            </w:r>
            <w:r>
              <w:rPr>
                <w:rFonts w:hint="eastAsia" w:ascii="宋体" w:hAnsi="宋体" w:cs="宋体"/>
                <w:bCs/>
                <w:color w:val="auto"/>
                <w:sz w:val="21"/>
                <w:szCs w:val="21"/>
                <w:highlight w:val="none"/>
                <w:lang w:eastAsia="zh-CN"/>
              </w:rPr>
              <w:t>盘</w:t>
            </w:r>
            <w:r>
              <w:rPr>
                <w:rFonts w:hint="eastAsia" w:ascii="宋体" w:hAnsi="宋体" w:eastAsia="宋体" w:cs="宋体"/>
                <w:bCs/>
                <w:color w:val="auto"/>
                <w:sz w:val="21"/>
                <w:szCs w:val="21"/>
                <w:highlight w:val="none"/>
              </w:rPr>
              <w:t>格式要求：文字采用doc格式，表格采用xls格式，图纸采用dwg格式，宣传画图PPT</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与上述设计文件及图纸同时提交</w:t>
            </w:r>
          </w:p>
        </w:tc>
      </w:tr>
    </w:tbl>
    <w:p>
      <w:pPr>
        <w:spacing w:line="360" w:lineRule="auto"/>
        <w:rPr>
          <w:rFonts w:hint="eastAsia" w:ascii="宋体" w:hAnsi="宋体" w:eastAsia="宋体" w:cs="宋体"/>
          <w:bCs/>
          <w:color w:val="auto"/>
          <w:sz w:val="21"/>
          <w:szCs w:val="21"/>
          <w:highlight w:val="none"/>
        </w:rPr>
      </w:pPr>
    </w:p>
    <w:p>
      <w:pPr>
        <w:spacing w:line="360" w:lineRule="auto"/>
        <w:ind w:firstLine="420" w:firstLineChars="200"/>
        <w:rPr>
          <w:rFonts w:hint="eastAsia" w:ascii="宋体" w:hAnsi="宋体" w:eastAsia="宋体" w:cs="宋体"/>
          <w:bCs/>
          <w:color w:val="auto"/>
          <w:sz w:val="21"/>
          <w:szCs w:val="21"/>
          <w:highlight w:val="none"/>
        </w:rPr>
      </w:pPr>
    </w:p>
    <w:p>
      <w:pPr>
        <w:spacing w:line="360" w:lineRule="auto"/>
        <w:ind w:firstLine="420" w:firstLineChars="200"/>
        <w:rPr>
          <w:rFonts w:hint="eastAsia" w:ascii="宋体" w:hAnsi="宋体" w:eastAsia="宋体" w:cs="宋体"/>
          <w:bCs/>
          <w:color w:val="auto"/>
          <w:sz w:val="21"/>
          <w:szCs w:val="21"/>
          <w:highlight w:val="none"/>
        </w:rPr>
      </w:pPr>
    </w:p>
    <w:p>
      <w:pPr>
        <w:spacing w:line="360" w:lineRule="auto"/>
        <w:ind w:firstLine="420" w:firstLineChars="200"/>
        <w:rPr>
          <w:rFonts w:hint="eastAsia" w:ascii="宋体" w:hAnsi="宋体" w:eastAsia="宋体" w:cs="宋体"/>
          <w:bCs/>
          <w:color w:val="auto"/>
          <w:sz w:val="21"/>
          <w:szCs w:val="21"/>
          <w:highlight w:val="none"/>
        </w:rPr>
      </w:pPr>
    </w:p>
    <w:p>
      <w:pPr>
        <w:spacing w:line="360" w:lineRule="auto"/>
        <w:ind w:firstLine="420" w:firstLineChars="200"/>
        <w:rPr>
          <w:rFonts w:hint="eastAsia" w:ascii="宋体" w:hAnsi="宋体" w:eastAsia="宋体" w:cs="宋体"/>
          <w:bCs/>
          <w:color w:val="auto"/>
          <w:sz w:val="21"/>
          <w:szCs w:val="21"/>
          <w:highlight w:val="none"/>
        </w:rPr>
      </w:pP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1.6.2 发包人提供的文件</w:t>
      </w:r>
    </w:p>
    <w:tbl>
      <w:tblPr>
        <w:tblStyle w:val="19"/>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630"/>
        <w:gridCol w:w="5099"/>
        <w:gridCol w:w="691"/>
        <w:gridCol w:w="2208"/>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tblHeader/>
          <w:jc w:val="center"/>
        </w:trPr>
        <w:tc>
          <w:tcPr>
            <w:tcW w:w="630"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5099"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资料及文件名称</w:t>
            </w:r>
          </w:p>
        </w:tc>
        <w:tc>
          <w:tcPr>
            <w:tcW w:w="691"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份数</w:t>
            </w:r>
          </w:p>
        </w:tc>
        <w:tc>
          <w:tcPr>
            <w:tcW w:w="2208"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提交时间</w:t>
            </w:r>
          </w:p>
        </w:tc>
        <w:tc>
          <w:tcPr>
            <w:tcW w:w="879"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5099" w:type="dxa"/>
            <w:noWrap w:val="0"/>
            <w:vAlign w:val="center"/>
          </w:tcPr>
          <w:p>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水文、气象及涉及工程范围的当地社经资料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若有）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已有的建筑物地质、地形资料(若有)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63"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沿线建筑物原设计资料、竣工验收资料、运行观测资料(若有)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沿线的通信、供电、防汛、交通系统等资料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若有）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配合投资估算工作、经济评价基础资料等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若有）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bl>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37" w:name="_Toc509765982"/>
      <w:bookmarkStart w:id="538" w:name="_Toc26803"/>
      <w:bookmarkStart w:id="539" w:name="_Toc8572"/>
      <w:r>
        <w:rPr>
          <w:rFonts w:hint="eastAsia" w:ascii="宋体" w:hAnsi="宋体" w:eastAsia="宋体" w:cs="宋体"/>
          <w:b/>
          <w:bCs/>
          <w:color w:val="auto"/>
          <w:sz w:val="24"/>
          <w:szCs w:val="24"/>
          <w:highlight w:val="none"/>
        </w:rPr>
        <w:t>1.12 发包人要求</w:t>
      </w:r>
      <w:bookmarkEnd w:id="537"/>
      <w:bookmarkEnd w:id="538"/>
      <w:bookmarkEnd w:id="539"/>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勘察设计人应认真阅读、复核发包人要求，发现错误的，应及时书面通知发包人。无论是否存在错误，发包人均有权修改发包人要求，并在修改后3日内通知勘察设计人。由此导致勘察设计人费用增加和(或)周期延误的，勘察设计人有权要求发包人延长周期但不得要求增加费用。</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发包人不要求采用国外规范和标准进行设计。</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40" w:name="_Toc12491"/>
      <w:bookmarkStart w:id="541" w:name="_Toc509765983"/>
      <w:bookmarkStart w:id="542" w:name="_Toc11336"/>
      <w:r>
        <w:rPr>
          <w:rFonts w:hint="eastAsia" w:ascii="宋体" w:hAnsi="宋体" w:eastAsia="宋体" w:cs="宋体"/>
          <w:b/>
          <w:bCs/>
          <w:color w:val="auto"/>
          <w:sz w:val="24"/>
          <w:szCs w:val="24"/>
          <w:highlight w:val="none"/>
        </w:rPr>
        <w:t>3.2 监理人</w:t>
      </w:r>
      <w:bookmarkEnd w:id="540"/>
      <w:bookmarkEnd w:id="541"/>
      <w:bookmarkEnd w:id="54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发包人不委托监理人进行设计监理。</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43" w:name="_Toc23755"/>
      <w:bookmarkStart w:id="544" w:name="_Toc509765984"/>
      <w:bookmarkStart w:id="545" w:name="_Toc12774"/>
      <w:r>
        <w:rPr>
          <w:rFonts w:hint="eastAsia" w:ascii="宋体" w:hAnsi="宋体" w:eastAsia="宋体" w:cs="宋体"/>
          <w:b/>
          <w:bCs/>
          <w:color w:val="auto"/>
          <w:sz w:val="24"/>
          <w:szCs w:val="24"/>
          <w:highlight w:val="none"/>
        </w:rPr>
        <w:t>3.4 决定或答复</w:t>
      </w:r>
      <w:bookmarkEnd w:id="543"/>
      <w:bookmarkEnd w:id="544"/>
      <w:bookmarkEnd w:id="54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发包人应在收到勘察设计人书面提出的事项后的</w:t>
      </w:r>
      <w:r>
        <w:rPr>
          <w:rFonts w:hint="eastAsia" w:ascii="宋体" w:hAnsi="宋体" w:eastAsia="宋体" w:cs="宋体"/>
          <w:color w:val="auto"/>
          <w:sz w:val="21"/>
          <w:szCs w:val="21"/>
          <w:highlight w:val="none"/>
          <w:u w:val="single"/>
        </w:rPr>
        <w:t xml:space="preserve"> 28日</w:t>
      </w:r>
      <w:r>
        <w:rPr>
          <w:rFonts w:hint="eastAsia" w:ascii="宋体" w:hAnsi="宋体" w:eastAsia="宋体" w:cs="宋体"/>
          <w:color w:val="auto"/>
          <w:sz w:val="21"/>
          <w:szCs w:val="21"/>
          <w:highlight w:val="none"/>
        </w:rPr>
        <w:t>之内，对勘察设计人书面提出的事项作出书面答复；逾期没有做出答复的，视为已获得发包人的批准。</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46" w:name="_Toc13537"/>
      <w:bookmarkStart w:id="547" w:name="_Toc509765985"/>
      <w:bookmarkStart w:id="548" w:name="_Toc493082649"/>
      <w:bookmarkStart w:id="549" w:name="_Toc12152"/>
      <w:r>
        <w:rPr>
          <w:rFonts w:hint="eastAsia" w:ascii="宋体" w:hAnsi="宋体" w:eastAsia="宋体" w:cs="宋体"/>
          <w:b/>
          <w:bCs/>
          <w:color w:val="auto"/>
          <w:sz w:val="24"/>
          <w:szCs w:val="24"/>
          <w:highlight w:val="none"/>
        </w:rPr>
        <w:t xml:space="preserve">4.1 </w:t>
      </w:r>
      <w:r>
        <w:rPr>
          <w:rFonts w:hint="eastAsia" w:ascii="宋体" w:hAnsi="宋体" w:eastAsia="宋体" w:cs="宋体"/>
          <w:b/>
          <w:bCs/>
          <w:color w:val="auto"/>
          <w:sz w:val="24"/>
          <w:szCs w:val="24"/>
          <w:highlight w:val="none"/>
          <w:lang w:val="en-US" w:eastAsia="zh-CN"/>
        </w:rPr>
        <w:t>勘察</w:t>
      </w:r>
      <w:r>
        <w:rPr>
          <w:rFonts w:hint="eastAsia" w:ascii="宋体" w:hAnsi="宋体" w:eastAsia="宋体" w:cs="宋体"/>
          <w:b/>
          <w:bCs/>
          <w:color w:val="auto"/>
          <w:sz w:val="24"/>
          <w:szCs w:val="24"/>
          <w:highlight w:val="none"/>
        </w:rPr>
        <w:t>设计人的一般义务</w:t>
      </w:r>
      <w:bookmarkEnd w:id="546"/>
      <w:bookmarkEnd w:id="547"/>
      <w:bookmarkEnd w:id="548"/>
      <w:bookmarkEnd w:id="549"/>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 xml:space="preserve"> 完成全部勘察</w:t>
      </w:r>
      <w:r>
        <w:rPr>
          <w:rFonts w:hint="eastAsia" w:ascii="宋体" w:hAnsi="宋体" w:cs="宋体"/>
          <w:bCs/>
          <w:color w:val="auto"/>
          <w:sz w:val="21"/>
          <w:szCs w:val="21"/>
          <w:highlight w:val="none"/>
          <w:lang w:val="en-US" w:eastAsia="zh-CN"/>
        </w:rPr>
        <w:t>设计</w:t>
      </w:r>
      <w:r>
        <w:rPr>
          <w:rFonts w:hint="eastAsia" w:ascii="宋体" w:hAnsi="宋体" w:eastAsia="宋体" w:cs="宋体"/>
          <w:bCs/>
          <w:color w:val="auto"/>
          <w:sz w:val="21"/>
          <w:szCs w:val="21"/>
          <w:highlight w:val="none"/>
        </w:rPr>
        <w:t>工作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合同约定以及发包人要求，完成合同约定的全部工作，并对工作中的任何缺陷进行整改、完善和修补，使其满足合同约定的目的。勘察设计人应按合同约定提供勘察文件，以及为完成勘察服务所需的劳务、材料、勘察设备、实验设施等，并应自行承担勘探场地临时设施的搭设、维护、管理和拆除。</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4.1.5 保证勘察作业规范、安全和环保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法律、规范标准和发包人要求，采取各项有效措施，确保勘察作业操作规范、安全、文明和环保，在风险性较大的环境中作业时应当编制安全防护方案并制定应急预案，防止因勘察作业造成的人身伤害和财产损失。</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4.1.6 避免勘探对公众与他人的利益造成损害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在进行合同约定的各项工作时，不得侵害发包人与他人使用公用道路、水源、市政管网等公共设施的权利，避免对邻近的公共设施产生干扰，保证勘探场地的周边设施、建构筑物、地下管线、架空线和其他物体的安全运行。勘察设计人占用或使用他人的施工场地，影响他人作业或生活的，应承担相应责任。</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0" w:name="_Toc8640"/>
      <w:bookmarkStart w:id="551" w:name="_Toc17921"/>
      <w:bookmarkStart w:id="552" w:name="_Toc509765986"/>
      <w:r>
        <w:rPr>
          <w:rFonts w:hint="eastAsia" w:ascii="宋体" w:hAnsi="宋体" w:eastAsia="宋体" w:cs="宋体"/>
          <w:b/>
          <w:bCs/>
          <w:color w:val="auto"/>
          <w:sz w:val="24"/>
          <w:szCs w:val="24"/>
          <w:highlight w:val="none"/>
        </w:rPr>
        <w:t>4.5 项目负责人</w:t>
      </w:r>
      <w:bookmarkEnd w:id="550"/>
      <w:bookmarkEnd w:id="551"/>
      <w:bookmarkEnd w:id="55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4.5.4项目负责人授权其下属人员履行的职责：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3" w:name="_Toc509765987"/>
      <w:bookmarkStart w:id="554" w:name="_Toc25892"/>
      <w:bookmarkStart w:id="555" w:name="_Toc8098"/>
      <w:r>
        <w:rPr>
          <w:rFonts w:hint="eastAsia" w:ascii="宋体" w:hAnsi="宋体" w:eastAsia="宋体" w:cs="宋体"/>
          <w:b/>
          <w:bCs/>
          <w:color w:val="auto"/>
          <w:sz w:val="24"/>
          <w:szCs w:val="24"/>
          <w:highlight w:val="none"/>
        </w:rPr>
        <w:t>4.6 勘察设计人员的管理</w:t>
      </w:r>
      <w:bookmarkEnd w:id="553"/>
      <w:bookmarkEnd w:id="554"/>
      <w:bookmarkEnd w:id="55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4.6.2主要勘察设计人员包括项目负责人、</w:t>
      </w:r>
      <w:r>
        <w:rPr>
          <w:rFonts w:hint="eastAsia" w:ascii="宋体" w:hAnsi="宋体" w:cs="宋体"/>
          <w:color w:val="auto"/>
          <w:sz w:val="21"/>
          <w:szCs w:val="21"/>
          <w:highlight w:val="none"/>
          <w:lang w:val="en-US" w:eastAsia="zh-CN"/>
        </w:rPr>
        <w:t>设计专业负责人、</w:t>
      </w:r>
      <w:r>
        <w:rPr>
          <w:rFonts w:hint="eastAsia" w:ascii="宋体" w:hAnsi="宋体" w:eastAsia="宋体" w:cs="宋体"/>
          <w:color w:val="auto"/>
          <w:sz w:val="21"/>
          <w:szCs w:val="21"/>
          <w:highlight w:val="none"/>
        </w:rPr>
        <w:t>审核人、审定人等，其他设计人员包括各专业的设计人员、管理人员等；勘</w:t>
      </w:r>
      <w:r>
        <w:rPr>
          <w:rFonts w:hint="eastAsia" w:ascii="宋体" w:hAnsi="宋体" w:cs="宋体"/>
          <w:color w:val="auto"/>
          <w:sz w:val="21"/>
          <w:szCs w:val="21"/>
          <w:highlight w:val="none"/>
          <w:lang w:val="en-US" w:eastAsia="zh-CN"/>
        </w:rPr>
        <w:t>察（</w:t>
      </w:r>
      <w:r>
        <w:rPr>
          <w:rFonts w:hint="eastAsia" w:ascii="宋体" w:hAnsi="宋体" w:eastAsia="宋体" w:cs="宋体"/>
          <w:color w:val="auto"/>
          <w:sz w:val="21"/>
          <w:szCs w:val="21"/>
          <w:highlight w:val="none"/>
        </w:rPr>
        <w:t>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负责人、试验负责人等，勘察作业人员包括勘探描述（记录）员、机长、观测员、试验员等。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r>
        <w:rPr>
          <w:rFonts w:hint="eastAsia" w:ascii="宋体" w:hAnsi="宋体" w:cs="宋体"/>
          <w:color w:val="auto"/>
          <w:sz w:val="21"/>
          <w:szCs w:val="21"/>
          <w:highlight w:val="none"/>
          <w:lang w:val="en-US" w:eastAsia="zh-CN"/>
        </w:rPr>
        <w:t>5勘察设计人</w:t>
      </w:r>
      <w:r>
        <w:rPr>
          <w:rFonts w:hint="eastAsia" w:ascii="宋体" w:hAnsi="宋体" w:eastAsia="宋体" w:cs="宋体"/>
          <w:color w:val="auto"/>
          <w:sz w:val="21"/>
          <w:szCs w:val="21"/>
          <w:highlight w:val="none"/>
        </w:rPr>
        <w:t>应按</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派出设计代表(水工专业及地质专业各1人，工程师或以上职称)常驻工地，负责解决施工过程中的设计问题，并参加隐蔽工程及重要工序的验收工作。设计代表应熟悉本工程的设计，并具有独立处理问题的能力。若</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在工程开工后未派现场代表或在工程未完工之前撤回现场代表的，将对其进行酌情罚款。</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应自行解决派驻现场的工作人员的工作、生活用房并承担一切费用。</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6" w:name="_Toc509765988"/>
      <w:bookmarkStart w:id="557" w:name="_Toc9906"/>
      <w:bookmarkStart w:id="558" w:name="_Toc29747"/>
      <w:r>
        <w:rPr>
          <w:rFonts w:hint="eastAsia" w:ascii="宋体" w:hAnsi="宋体" w:eastAsia="宋体" w:cs="宋体"/>
          <w:b/>
          <w:bCs/>
          <w:color w:val="auto"/>
          <w:sz w:val="24"/>
          <w:szCs w:val="24"/>
          <w:highlight w:val="none"/>
        </w:rPr>
        <w:t>4.8 保障人员的合法权益</w:t>
      </w:r>
      <w:bookmarkEnd w:id="556"/>
      <w:bookmarkEnd w:id="557"/>
      <w:bookmarkEnd w:id="55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4.8.4 勘察设计人应为其现场人员提供必要的食宿条件，以及符合环境保护和卫生要求的生活环境，在远离城镇的勘探场地，还应配备必要的伤病防治和急救设施。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4.8.5 勘察设计人应按国家有关劳动保护的规定，采取有效的防止粉尘、降低噪声、控制有害气体和保障高温、高寒、高空作业安全等劳动保护措施。其雇佣人员在勘探作业中受到伤害的，勘察设计人应立即采取有效措施进行抢救和治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一切责任由勘察设计人自负</w:t>
      </w:r>
      <w:r>
        <w:rPr>
          <w:rFonts w:hint="eastAsia" w:ascii="宋体" w:hAnsi="宋体" w:eastAsia="宋体" w:cs="宋体"/>
          <w:color w:val="auto"/>
          <w:sz w:val="21"/>
          <w:szCs w:val="21"/>
          <w:highlight w:val="none"/>
        </w:rPr>
        <w:t>。</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9" w:name="_Toc25805"/>
      <w:bookmarkStart w:id="560" w:name="_Toc911"/>
      <w:bookmarkStart w:id="561" w:name="_Toc509765989"/>
      <w:r>
        <w:rPr>
          <w:rFonts w:hint="eastAsia" w:ascii="宋体" w:hAnsi="宋体" w:eastAsia="宋体" w:cs="宋体"/>
          <w:b/>
          <w:bCs/>
          <w:color w:val="auto"/>
          <w:sz w:val="24"/>
          <w:szCs w:val="24"/>
          <w:highlight w:val="none"/>
        </w:rPr>
        <w:t>5.3 设计范围</w:t>
      </w:r>
      <w:bookmarkEnd w:id="559"/>
      <w:bookmarkEnd w:id="560"/>
      <w:bookmarkEnd w:id="56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 工程范围指所设计工程的建设内容，具体为：</w:t>
      </w:r>
      <w:r>
        <w:rPr>
          <w:rFonts w:hint="eastAsia" w:ascii="宋体" w:hAnsi="宋体" w:eastAsia="宋体" w:cs="宋体"/>
          <w:color w:val="auto"/>
          <w:sz w:val="21"/>
          <w:szCs w:val="21"/>
          <w:highlight w:val="none"/>
          <w:u w:val="single"/>
        </w:rPr>
        <w:t xml:space="preserve">  </w:t>
      </w:r>
      <w:r>
        <w:rPr>
          <w:rFonts w:hint="eastAsia" w:ascii="宋体" w:hAnsi="宋体"/>
          <w:color w:val="auto"/>
          <w:sz w:val="21"/>
          <w:szCs w:val="21"/>
          <w:highlight w:val="none"/>
          <w:u w:val="single"/>
          <w:lang w:val="en-US" w:eastAsia="zh-CN"/>
        </w:rPr>
        <w:t>堤防工程、疏浚工程、穿堤涵闸、配套绿化及景观工程、生态水环境检测等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5.3.3 阶段范围指：</w:t>
      </w:r>
      <w:r>
        <w:rPr>
          <w:rFonts w:hint="eastAsia" w:ascii="宋体" w:hAnsi="宋体" w:eastAsia="宋体" w:cs="宋体"/>
          <w:color w:val="auto"/>
          <w:sz w:val="21"/>
          <w:szCs w:val="21"/>
          <w:highlight w:val="none"/>
          <w:u w:val="single"/>
          <w:lang w:bidi="ar"/>
        </w:rPr>
        <w:t>初步设计及相关专题</w:t>
      </w:r>
      <w:r>
        <w:rPr>
          <w:rFonts w:hint="eastAsia" w:ascii="宋体" w:hAnsi="宋体" w:eastAsia="宋体" w:cs="宋体"/>
          <w:color w:val="auto"/>
          <w:sz w:val="21"/>
          <w:szCs w:val="21"/>
          <w:highlight w:val="none"/>
          <w:u w:val="single"/>
        </w:rPr>
        <w:t>、</w:t>
      </w:r>
      <w:r>
        <w:rPr>
          <w:rFonts w:hint="eastAsia" w:ascii="宋体" w:hAnsi="宋体" w:cs="宋体"/>
          <w:color w:val="auto"/>
          <w:szCs w:val="21"/>
          <w:highlight w:val="none"/>
          <w:u w:val="single"/>
        </w:rPr>
        <w:t>招标设计、</w:t>
      </w:r>
      <w:r>
        <w:rPr>
          <w:rFonts w:hint="eastAsia" w:ascii="宋体" w:hAnsi="宋体" w:eastAsia="宋体" w:cs="宋体"/>
          <w:color w:val="auto"/>
          <w:sz w:val="21"/>
          <w:szCs w:val="21"/>
          <w:highlight w:val="none"/>
          <w:u w:val="single"/>
        </w:rPr>
        <w:t>施工图设计阶段及施工过程中的设计服务和验收工作。</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5.3.4 工作范围指：</w:t>
      </w:r>
      <w:r>
        <w:rPr>
          <w:rFonts w:hint="eastAsia" w:ascii="宋体" w:hAnsi="宋体" w:eastAsia="宋体" w:cs="宋体"/>
          <w:color w:val="auto"/>
          <w:sz w:val="21"/>
          <w:szCs w:val="21"/>
          <w:highlight w:val="none"/>
          <w:u w:val="single"/>
        </w:rPr>
        <w:t>编制</w:t>
      </w:r>
      <w:r>
        <w:rPr>
          <w:rFonts w:hint="eastAsia" w:ascii="宋体" w:hAnsi="宋体" w:eastAsia="宋体" w:cs="宋体"/>
          <w:color w:val="auto"/>
          <w:sz w:val="21"/>
          <w:szCs w:val="21"/>
          <w:highlight w:val="none"/>
          <w:u w:val="single"/>
          <w:lang w:bidi="ar"/>
        </w:rPr>
        <w:t>初步设计及相关专题</w:t>
      </w:r>
      <w:r>
        <w:rPr>
          <w:rFonts w:hint="eastAsia" w:ascii="宋体" w:hAnsi="宋体" w:eastAsia="宋体" w:cs="宋体"/>
          <w:color w:val="auto"/>
          <w:sz w:val="21"/>
          <w:szCs w:val="21"/>
          <w:highlight w:val="none"/>
          <w:u w:val="single"/>
        </w:rPr>
        <w:t>、地质勘察报告、工程测量成果及图纸、工程概算书、</w:t>
      </w:r>
      <w:r>
        <w:rPr>
          <w:rFonts w:hint="eastAsia" w:ascii="宋体" w:hAnsi="宋体" w:cs="宋体"/>
          <w:color w:val="auto"/>
          <w:szCs w:val="21"/>
          <w:highlight w:val="none"/>
          <w:u w:val="single"/>
        </w:rPr>
        <w:t>招标设计图纸、招标工程量清单及相应的技术规范和技术条款、</w:t>
      </w:r>
      <w:r>
        <w:rPr>
          <w:rFonts w:hint="eastAsia" w:ascii="宋体" w:hAnsi="宋体" w:eastAsia="宋体" w:cs="宋体"/>
          <w:color w:val="auto"/>
          <w:sz w:val="21"/>
          <w:szCs w:val="21"/>
          <w:highlight w:val="none"/>
          <w:u w:val="single"/>
        </w:rPr>
        <w:t>施工图设计阶段施工图纸、施工图预算、提供技术交底、施工配合、参加试车（试运行）、竣工验收和发包人委托的其他服务。</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62" w:name="_Toc28742"/>
      <w:bookmarkStart w:id="563" w:name="_Toc23058"/>
      <w:bookmarkStart w:id="564" w:name="_Toc509765990"/>
      <w:r>
        <w:rPr>
          <w:rFonts w:hint="eastAsia" w:ascii="宋体" w:hAnsi="宋体" w:eastAsia="宋体" w:cs="宋体"/>
          <w:b/>
          <w:bCs/>
          <w:color w:val="auto"/>
          <w:sz w:val="24"/>
          <w:szCs w:val="24"/>
          <w:highlight w:val="none"/>
        </w:rPr>
        <w:t>5.4 勘察设计文件要求</w:t>
      </w:r>
      <w:bookmarkEnd w:id="562"/>
      <w:bookmarkEnd w:id="563"/>
      <w:bookmarkEnd w:id="56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5.4.5 测绘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发包人应在开始勘察前7日内，向勘察设计人提供测量基准点、水准点和书面资料等；勘察设计人应根据国家测绘基准、测绘系统和工程测量技术规范，按发包人要求的基准点以及合同工程精度要求，进行测绘。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勘察设计人测绘之前，应当认真核对测绘数据，保证引用数据和原始数据准确无误。测绘工作应由测量人员如实记录，不得补记、涂改或者损坏。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工程勘探之前，勘察设计人应当严格按照勘察方案的孔位坐标，进行测量放线并在实地位置定位，埋设带有编号且不易移动的标志桩进行定位控制。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5.4.6 勘探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勘察设计人应当根据勘察目的和岩土特性，合理选择钻探、井探、槽探、洞探和地球物理勘探等勘探方法，为完成合同约定的勘察任务创造条件。勘察设计人对于勘察方法的正确性、适用性和可靠性完全负责。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布置勘探工作时，应当充分考虑勘探方法对于自然环境、周边设施、建构筑物、地下管线、架空线和其他物体的影响，采用切实有效的措施进行防范控制，不得造成损坏或中断运行，否则由此导致的费用增加和（或）周期延误由勘察设计人自行承担。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勘察设计人应在标定的孔位处进行勘探，不得随意改动位置。勘探方法、勘探机具、勘探记录、取样编录与描述，孔位标记、孔位封闭等事项，应当严格执行规范标准，按实填写勘探报表和勘探日志。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勘探工作完成后，勘察设计人应当按照规范要求及时封孔，并将封孔记录整理存档，勘探场地应当地面平整、清洁卫生，并通知发包人、行政主管部门及使用维护单位进行现场验收。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验收通过之后如果发生沉陷，勘察设计人应当及时进行二次封孔和现场验收。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取样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勘察设计人应当针对不同的岩土地质，按照勘探取样规范规程中的相关规定，根据地层特征、取样深度、设备条件和试验项目的不同，合理选用取样方法和取样工具进行取样，包括并不限于土样、水样、岩芯等。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取样后的样品应当根据其类别、性质和特点等进行封装、贮存和运输。样品搬运之前，宜用数码相机进行现场拍照；运输途中应当采用柔软材料充填、尽量避免震动和阳光曝晒；装卸之时尽量轻拿轻放，以免样品损坏。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取样后的样品应当填写和粘贴标签，标签内容包括并不限于工程名称、孔号、样品编号、取样深度、样品名称、取样日期、取样人姓名、施工机组等。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试验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勘察设计人应当根据岩土条件、设计要求、勘察经验和测试方法特点，选用合适的原位测试方法和勘察设备进行原位测试。原位测试成果应与室内试验数据进行对比分析，检验其可靠性。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勘察设计人的试验室应当通过行业管理部门认可的CMA 计量认证，具有相应的资格证书、试验人员和试验条件，否则应当委托第三方试验室进行室内试验。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勘察设计人应在试验之前按照要求清点样品数目，认定取样质量及数量是否满足试验需要；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备应当检定合格，性能参数满足试验要求，严格按照规范标准的相应规定进行试验操作；试验之后应在有效期内保留备样，以备复核试验成果之用，并按规范标准规定处理余土和废液，符合环境保护、健康卫生等要求。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试验报告的格式应当符合 CMA 计量认证体系要求，加盖 CMA 章并由试验负责人签字确认；试验负责人应当通过计量认证考核，并由项目负责人授权许可。</w:t>
      </w:r>
    </w:p>
    <w:p>
      <w:pPr>
        <w:pStyle w:val="4"/>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65" w:name="_Toc32106"/>
      <w:bookmarkStart w:id="566" w:name="_Toc23096"/>
      <w:bookmarkStart w:id="567" w:name="_Toc509765991"/>
      <w:r>
        <w:rPr>
          <w:rFonts w:hint="eastAsia" w:ascii="宋体" w:hAnsi="宋体" w:eastAsia="宋体" w:cs="宋体"/>
          <w:b/>
          <w:bCs/>
          <w:color w:val="auto"/>
          <w:sz w:val="24"/>
          <w:szCs w:val="24"/>
          <w:highlight w:val="none"/>
        </w:rPr>
        <w:t>5.5 勘察设备要求</w:t>
      </w:r>
      <w:bookmarkEnd w:id="565"/>
      <w:bookmarkEnd w:id="566"/>
      <w:bookmarkEnd w:id="567"/>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5.5.1 勘察设计人应按合同进度计划的要求，及时配置勘察设备进行作业。勘察设计人更换合同约定的勘察设备的，应报发包人批准。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5.5.2 勘察设计人应当按照规范要求，及时维修、保养或更换勘察设备，包括并不限于钻机、触探仪、全站仪、水准仪、探测仪、测井平台、天平、固结仪、振筛机、干燥箱、直剪仪、收缩仪、膨胀仪、渗透仪等，保证勘察设备能够随时进场使用。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5.5.3 勘察设计人使用的勘察设备不能满足合同进度计划和（或）质量要求时，发包人有权要求勘察设计人增加或更换勘察设备，勘察设计人应及时增加或更换，由此增加的费用和（或）周期延误由勘察设计人自行承担。 </w:t>
      </w:r>
    </w:p>
    <w:p>
      <w:pPr>
        <w:pStyle w:val="4"/>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68" w:name="_Toc509765992"/>
      <w:bookmarkStart w:id="569" w:name="_Toc1158"/>
      <w:bookmarkStart w:id="570" w:name="_Toc23143"/>
      <w:r>
        <w:rPr>
          <w:rFonts w:hint="eastAsia" w:ascii="宋体" w:hAnsi="宋体" w:eastAsia="宋体" w:cs="宋体"/>
          <w:b/>
          <w:bCs/>
          <w:color w:val="auto"/>
          <w:sz w:val="24"/>
          <w:szCs w:val="24"/>
          <w:highlight w:val="none"/>
        </w:rPr>
        <w:t>5.6 临时占地和设施要求</w:t>
      </w:r>
      <w:bookmarkEnd w:id="568"/>
      <w:bookmarkEnd w:id="569"/>
      <w:bookmarkEnd w:id="570"/>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5.6.1 勘察设计人应当根据勘察服务方案制订临时占地计划，报请发包人批准。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5.6.2 位于本工程区域内的临时占地，由发包人协调提供。位于道路、绿化或者其他市政设施内的临时占地，由勘察设计人向行政管理部门报建申请，按照要求制定占地施工方案，并据此实施。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5.6.3 临时占地使用完毕后，勘察设计人应当按照发包人要求或行政管理部门规定恢复临时占地。</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如果恢复或清理标准不能满足要求的，发包人有权委托他人代为恢复或清理，由此发生的费用从拟支付给勘察设计人的勘察费用中扣除。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5.6.4 勘察设计人应当配备或搭设足够的临时设施，保证勘探工作能够正常开展。临时设施包括并不限于施工围挡、交通疏导设施、安全防范设施、钻机防护设施、安全文明施工设施、办公生活用房、取样存放场所等。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5.6.5 临时设施应当满足规范标准、发包人要求和行政管理部门的规定等。临时设施的修建、拆除和恢复费用由勘察设计人自行承担。 </w:t>
      </w:r>
    </w:p>
    <w:p>
      <w:pPr>
        <w:pStyle w:val="4"/>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71" w:name="_Toc27660"/>
      <w:bookmarkStart w:id="572" w:name="_Toc29922"/>
      <w:bookmarkStart w:id="573" w:name="_Toc509765993"/>
      <w:r>
        <w:rPr>
          <w:rFonts w:hint="eastAsia" w:ascii="宋体" w:hAnsi="宋体" w:eastAsia="宋体" w:cs="宋体"/>
          <w:b/>
          <w:bCs/>
          <w:color w:val="auto"/>
          <w:sz w:val="24"/>
          <w:szCs w:val="24"/>
          <w:highlight w:val="none"/>
        </w:rPr>
        <w:t>5.7 安全作业要求</w:t>
      </w:r>
      <w:bookmarkEnd w:id="571"/>
      <w:bookmarkEnd w:id="572"/>
      <w:bookmarkEnd w:id="573"/>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5.7.1 勘察设计人应按合同约定履行安全职责，执行发包人有关安全工作的指示，并按合同约定的安全工作内容，编制安全措施计划报送发包人批准。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5.7.2 勘察设计人应当严格执行操作规程，采取有效措施保证道路、桥梁、交通安全设施、建构筑物、地下管线、架空线和其他周边设施等安全正常地运行。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5.7.3 勘察设计人应当按照法律、法规和工程建设强制性标准进行勘察，加强勘察作业安全管理，特别加强易燃、易爆材料、火工器材、有毒与腐蚀性材料和其他危险品的管理。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5.7.4 勘察设计人应严格按照国家安全标准制定施工安全操作规程，配备必要的安全生产和劳动保护设施，加强对勘察设计人人员的安全教育，并且发放安全工作手册和劳动保护用具。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5.7.5 勘察设计人应按发包人的指示制定应对灾害的紧急预案，报送发包人批准。勘察设计人还应按预案做好安全检查，配置必要的救助物资和器材，切实保护好有关人员的人身和财产安全。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5.7.6 勘察设计人应对其履行合同所雇佣的全部人员，包括分包人人员的工伤事故承担责任，但由于发包人原因造成勘察设计人人员工伤事故的，应由发包人承担责任。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5.7.7 由于勘察设计人原因在施工场地内及其毗邻地带造成的第三者人员伤亡和财产损失，由勘察设计人负责赔偿。 </w:t>
      </w:r>
    </w:p>
    <w:p>
      <w:pPr>
        <w:pStyle w:val="4"/>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74" w:name="_Toc15752"/>
      <w:bookmarkStart w:id="575" w:name="_Toc509765994"/>
      <w:bookmarkStart w:id="576" w:name="_Toc26010"/>
      <w:r>
        <w:rPr>
          <w:rFonts w:hint="eastAsia" w:ascii="宋体" w:hAnsi="宋体" w:eastAsia="宋体" w:cs="宋体"/>
          <w:b/>
          <w:bCs/>
          <w:color w:val="auto"/>
          <w:sz w:val="24"/>
          <w:szCs w:val="24"/>
          <w:highlight w:val="none"/>
        </w:rPr>
        <w:t>5.8 环境保护要求</w:t>
      </w:r>
      <w:bookmarkEnd w:id="574"/>
      <w:bookmarkEnd w:id="575"/>
      <w:bookmarkEnd w:id="576"/>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5.8.1 勘察设计人在履行合同过程中，应遵守有关环境保护的法律，履行合同约定的环境保护义务，并对违反法律和合同约定义务所造成的环境破坏、人身伤害和财产损失负责。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5.8.2 勘察设计人应按合同约定的环保工作内容，编制环保措施计划，报送发包人批准。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5.8.3 勘察设计人应确保勘探过程中产生的气体排放物、粉尘、噪声、地面排水及排污等，符合法律规定和发包人要求。 </w:t>
      </w:r>
    </w:p>
    <w:p>
      <w:pPr>
        <w:pStyle w:val="4"/>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77" w:name="_Toc13434"/>
      <w:bookmarkStart w:id="578" w:name="_Toc509765995"/>
      <w:bookmarkStart w:id="579" w:name="_Toc8132"/>
      <w:r>
        <w:rPr>
          <w:rFonts w:hint="eastAsia" w:ascii="宋体" w:hAnsi="宋体" w:eastAsia="宋体" w:cs="宋体"/>
          <w:b/>
          <w:bCs/>
          <w:color w:val="auto"/>
          <w:sz w:val="24"/>
          <w:szCs w:val="24"/>
          <w:highlight w:val="none"/>
        </w:rPr>
        <w:t>5.9 事故处理要求</w:t>
      </w:r>
      <w:bookmarkEnd w:id="577"/>
      <w:bookmarkEnd w:id="578"/>
      <w:bookmarkEnd w:id="579"/>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5.9.1 合同履行过程中发生事故的，勘察设计人应立即通知发包人。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5.9.2 发包人和勘察设计人应立即组织人员和设备进行紧急抢救和抢修，减少人员伤亡和财产损失，防止事故扩大，并保护事故现场。需要移动现场物品时，应作出标记和书面记录，妥善保管有关证据。发包人和勘察设计人应按国家有关规定，及时如实地向有关部门报告事故发生的情况，以及正在采取的紧急措施等。</w:t>
      </w:r>
    </w:p>
    <w:p>
      <w:pPr>
        <w:pStyle w:val="4"/>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80" w:name="_Toc509765996"/>
      <w:bookmarkStart w:id="581" w:name="_Toc30520"/>
      <w:bookmarkStart w:id="582" w:name="_Toc29039"/>
      <w:r>
        <w:rPr>
          <w:rFonts w:hint="eastAsia" w:ascii="宋体" w:hAnsi="宋体" w:eastAsia="宋体" w:cs="宋体"/>
          <w:b/>
          <w:bCs/>
          <w:color w:val="auto"/>
          <w:sz w:val="24"/>
          <w:szCs w:val="24"/>
          <w:highlight w:val="none"/>
        </w:rPr>
        <w:t xml:space="preserve">6.2 </w:t>
      </w:r>
      <w:bookmarkEnd w:id="580"/>
      <w:r>
        <w:rPr>
          <w:rFonts w:hint="eastAsia" w:ascii="宋体" w:hAnsi="宋体" w:eastAsia="宋体" w:cs="宋体"/>
          <w:b/>
          <w:bCs/>
          <w:color w:val="auto"/>
          <w:sz w:val="24"/>
          <w:szCs w:val="24"/>
          <w:highlight w:val="none"/>
        </w:rPr>
        <w:t>发包人人引起的周期延误</w:t>
      </w:r>
      <w:bookmarkEnd w:id="581"/>
      <w:bookmarkEnd w:id="582"/>
    </w:p>
    <w:p>
      <w:pPr>
        <w:pStyle w:val="14"/>
        <w:ind w:firstLine="420" w:firstLineChars="200"/>
        <w:rPr>
          <w:rFonts w:hint="eastAsia"/>
          <w:color w:val="auto"/>
          <w:sz w:val="21"/>
          <w:szCs w:val="21"/>
          <w:highlight w:val="none"/>
        </w:rPr>
      </w:pPr>
      <w:r>
        <w:rPr>
          <w:rFonts w:hint="eastAsia"/>
          <w:color w:val="auto"/>
          <w:sz w:val="21"/>
          <w:szCs w:val="21"/>
          <w:highlight w:val="none"/>
        </w:rPr>
        <w:t>具体方法： 经发包人同意，可允许延长勘察设计服务期限但不增加勘测设计费用 。</w:t>
      </w:r>
    </w:p>
    <w:p>
      <w:pPr>
        <w:pStyle w:val="14"/>
        <w:rPr>
          <w:rFonts w:hint="eastAsia"/>
          <w:color w:val="auto"/>
          <w:highlight w:val="none"/>
        </w:rPr>
      </w:pPr>
    </w:p>
    <w:p>
      <w:pPr>
        <w:pStyle w:val="4"/>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83" w:name="_Toc26948"/>
      <w:bookmarkStart w:id="584" w:name="_Toc7762"/>
      <w:bookmarkStart w:id="585" w:name="_Toc509765997"/>
      <w:r>
        <w:rPr>
          <w:rFonts w:hint="eastAsia" w:ascii="宋体" w:hAnsi="宋体" w:eastAsia="宋体" w:cs="宋体"/>
          <w:b/>
          <w:bCs/>
          <w:color w:val="auto"/>
          <w:sz w:val="24"/>
          <w:szCs w:val="24"/>
          <w:highlight w:val="none"/>
        </w:rPr>
        <w:t>6.3 勘察设计人引起的周期延误</w:t>
      </w:r>
      <w:bookmarkEnd w:id="583"/>
      <w:bookmarkEnd w:id="584"/>
      <w:bookmarkEnd w:id="585"/>
    </w:p>
    <w:p>
      <w:pPr>
        <w:pStyle w:val="14"/>
        <w:spacing w:line="360" w:lineRule="auto"/>
        <w:ind w:firstLine="420" w:firstLineChars="200"/>
        <w:rPr>
          <w:rFonts w:hint="eastAsia"/>
          <w:color w:val="auto"/>
          <w:sz w:val="21"/>
          <w:szCs w:val="21"/>
          <w:highlight w:val="none"/>
        </w:rPr>
      </w:pPr>
      <w:r>
        <w:rPr>
          <w:rFonts w:hint="eastAsia"/>
          <w:color w:val="auto"/>
          <w:sz w:val="21"/>
          <w:szCs w:val="21"/>
          <w:highlight w:val="none"/>
        </w:rPr>
        <w:t>由于勘察设计人原因造成周期延误，</w:t>
      </w:r>
      <w:r>
        <w:rPr>
          <w:rFonts w:ascii="宋体" w:hAnsi="宋体"/>
          <w:color w:val="auto"/>
          <w:sz w:val="21"/>
          <w:szCs w:val="21"/>
          <w:highlight w:val="none"/>
        </w:rPr>
        <w:t>勘察设计人应支付逾期违约金</w:t>
      </w:r>
      <w:r>
        <w:rPr>
          <w:rFonts w:hint="eastAsia" w:ascii="宋体" w:hAnsi="宋体"/>
          <w:color w:val="auto"/>
          <w:sz w:val="21"/>
          <w:szCs w:val="21"/>
          <w:highlight w:val="none"/>
          <w:lang w:eastAsia="zh-CN"/>
        </w:rPr>
        <w:t>，</w:t>
      </w:r>
      <w:r>
        <w:rPr>
          <w:rFonts w:hint="eastAsia" w:ascii="宋体" w:hAnsi="宋体"/>
          <w:color w:val="auto"/>
          <w:sz w:val="21"/>
          <w:szCs w:val="21"/>
          <w:highlight w:val="none"/>
          <w:u w:val="single"/>
          <w:lang w:val="en-US" w:eastAsia="zh-CN"/>
        </w:rPr>
        <w:t>违约金2000元/天</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u w:val="single"/>
          <w:lang w:val="en-US" w:eastAsia="zh-CN"/>
        </w:rPr>
        <w:t>最高限额为勘察设计费的50%</w:t>
      </w:r>
      <w:r>
        <w:rPr>
          <w:rFonts w:hint="eastAsia"/>
          <w:color w:val="auto"/>
          <w:sz w:val="21"/>
          <w:szCs w:val="21"/>
          <w:highlight w:val="none"/>
        </w:rPr>
        <w:t>。</w:t>
      </w:r>
    </w:p>
    <w:p>
      <w:pPr>
        <w:pStyle w:val="14"/>
        <w:spacing w:line="360" w:lineRule="auto"/>
        <w:ind w:firstLine="420" w:firstLineChars="200"/>
        <w:rPr>
          <w:rFonts w:hint="eastAsia"/>
          <w:color w:val="auto"/>
          <w:highlight w:val="none"/>
        </w:rPr>
      </w:pPr>
      <w:r>
        <w:rPr>
          <w:rFonts w:hint="eastAsia"/>
          <w:color w:val="auto"/>
          <w:sz w:val="21"/>
          <w:szCs w:val="21"/>
          <w:highlight w:val="none"/>
        </w:rPr>
        <w:t>因勘察设计人勘察设计质量低劣或勘察设计错误造成工程质量事故损失的，勘察设计人除负责采取补救措施外，还应免收受损失部分的勘测设计费和根据损失程度向发包人</w:t>
      </w:r>
      <w:r>
        <w:rPr>
          <w:rFonts w:hint="eastAsia"/>
          <w:color w:val="auto"/>
          <w:sz w:val="21"/>
          <w:szCs w:val="21"/>
          <w:highlight w:val="none"/>
          <w:lang w:eastAsia="zh-CN"/>
        </w:rPr>
        <w:t>、</w:t>
      </w:r>
      <w:r>
        <w:rPr>
          <w:rFonts w:hint="eastAsia"/>
          <w:color w:val="auto"/>
          <w:sz w:val="21"/>
          <w:szCs w:val="21"/>
          <w:highlight w:val="none"/>
          <w:lang w:val="en-US" w:eastAsia="zh-CN"/>
        </w:rPr>
        <w:t>施工承包人承担工程损失</w:t>
      </w:r>
      <w:r>
        <w:rPr>
          <w:rFonts w:hint="eastAsia"/>
          <w:color w:val="auto"/>
          <w:sz w:val="21"/>
          <w:szCs w:val="21"/>
          <w:highlight w:val="none"/>
        </w:rPr>
        <w:t>。</w:t>
      </w:r>
    </w:p>
    <w:p>
      <w:pPr>
        <w:pStyle w:val="14"/>
        <w:rPr>
          <w:rFonts w:hint="eastAsia"/>
          <w:color w:val="auto"/>
          <w:highlight w:val="none"/>
        </w:rPr>
      </w:pP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86" w:name="_Toc13146"/>
      <w:bookmarkStart w:id="587" w:name="_Toc509765998"/>
      <w:bookmarkStart w:id="588" w:name="_Toc26838"/>
      <w:r>
        <w:rPr>
          <w:rFonts w:hint="eastAsia" w:ascii="宋体" w:hAnsi="宋体" w:eastAsia="宋体" w:cs="宋体"/>
          <w:b/>
          <w:bCs/>
          <w:color w:val="auto"/>
          <w:sz w:val="24"/>
          <w:szCs w:val="24"/>
          <w:highlight w:val="none"/>
        </w:rPr>
        <w:t>6.4 第三人、非人为因素引起的周期延误</w:t>
      </w:r>
      <w:bookmarkEnd w:id="586"/>
      <w:bookmarkEnd w:id="587"/>
      <w:bookmarkEnd w:id="58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由于行政管理部门审查或其他第三人原因造成费用增加和（或）周期延误的，勘察设计人有权要求发包人延长周期但不得要求增加费用。</w:t>
      </w:r>
    </w:p>
    <w:p>
      <w:pPr>
        <w:spacing w:line="360" w:lineRule="auto"/>
        <w:ind w:firstLine="420" w:firstLineChars="200"/>
        <w:rPr>
          <w:rFonts w:hint="eastAsia" w:ascii="宋体" w:hAnsi="宋体" w:eastAsia="宋体" w:cs="宋体"/>
          <w:color w:val="auto"/>
          <w:sz w:val="21"/>
          <w:szCs w:val="21"/>
          <w:highlight w:val="none"/>
        </w:rPr>
      </w:pPr>
      <w:bookmarkStart w:id="589" w:name="_Toc493082672"/>
      <w:r>
        <w:rPr>
          <w:rFonts w:hint="eastAsia" w:ascii="宋体" w:hAnsi="宋体" w:eastAsia="宋体" w:cs="宋体"/>
          <w:color w:val="auto"/>
          <w:sz w:val="21"/>
          <w:szCs w:val="21"/>
          <w:highlight w:val="none"/>
        </w:rPr>
        <w:t>6.4.1 非人为因素引起的周期延误</w:t>
      </w:r>
      <w:bookmarkEnd w:id="589"/>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6.4.1.1 由于出现异常恶劣气候条件、不利物质条件等因素导致周期延误的，勘察设计人有权要求发包人延长周期但不得要求增加费用。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6.4.1.2 勘察设计人发现地下文物或化石时，应按规定及时报告发包人和文物部门，并采取有效措施进行保护；勘察设计人有权要求发包人延长周期但不得要求增加费用。 </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0" w:name="_Toc12608"/>
      <w:bookmarkStart w:id="591" w:name="_Toc18249"/>
      <w:bookmarkStart w:id="592" w:name="_Toc509765999"/>
      <w:r>
        <w:rPr>
          <w:rFonts w:hint="eastAsia" w:ascii="宋体" w:hAnsi="宋体" w:eastAsia="宋体" w:cs="宋体"/>
          <w:b/>
          <w:bCs/>
          <w:color w:val="auto"/>
          <w:sz w:val="24"/>
          <w:szCs w:val="24"/>
          <w:highlight w:val="none"/>
        </w:rPr>
        <w:t>6.5 完成勘察设计</w:t>
      </w:r>
      <w:bookmarkEnd w:id="590"/>
      <w:bookmarkEnd w:id="59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6.5.3 勘察设计文件提交的要求见专用合同条款1.6.1。</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3" w:name="_Toc27087"/>
      <w:bookmarkStart w:id="594" w:name="_Toc24600"/>
      <w:r>
        <w:rPr>
          <w:rFonts w:hint="eastAsia" w:ascii="宋体" w:hAnsi="宋体" w:eastAsia="宋体" w:cs="宋体"/>
          <w:b/>
          <w:bCs/>
          <w:color w:val="auto"/>
          <w:sz w:val="24"/>
          <w:szCs w:val="24"/>
          <w:highlight w:val="none"/>
        </w:rPr>
        <w:t>6.6 提前完成设计</w:t>
      </w:r>
      <w:bookmarkEnd w:id="592"/>
      <w:bookmarkEnd w:id="593"/>
      <w:bookmarkEnd w:id="59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6.6.3 勘察设计人提前完成设计可获得的奖励：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5" w:name="_Toc509766000"/>
      <w:bookmarkStart w:id="596" w:name="_Toc11694"/>
      <w:bookmarkStart w:id="597" w:name="_Toc22085"/>
      <w:r>
        <w:rPr>
          <w:rFonts w:hint="eastAsia" w:ascii="宋体" w:hAnsi="宋体" w:eastAsia="宋体" w:cs="宋体"/>
          <w:b/>
          <w:bCs/>
          <w:color w:val="auto"/>
          <w:sz w:val="24"/>
          <w:szCs w:val="24"/>
          <w:highlight w:val="none"/>
        </w:rPr>
        <w:t>8.1 勘察设计文件接收</w:t>
      </w:r>
      <w:bookmarkEnd w:id="595"/>
      <w:bookmarkEnd w:id="596"/>
      <w:bookmarkEnd w:id="59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8.1.3 勘察设计文件提交的要求见专用合同条款1.6.1。</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8" w:name="_Toc509766001"/>
      <w:bookmarkStart w:id="599" w:name="_Toc28829"/>
      <w:bookmarkStart w:id="600" w:name="_Toc13984"/>
      <w:r>
        <w:rPr>
          <w:rFonts w:hint="eastAsia" w:ascii="宋体" w:hAnsi="宋体" w:eastAsia="宋体" w:cs="宋体"/>
          <w:b/>
          <w:bCs/>
          <w:color w:val="auto"/>
          <w:sz w:val="24"/>
          <w:szCs w:val="24"/>
          <w:highlight w:val="none"/>
        </w:rPr>
        <w:t>8.2 发包人审查设计文件</w:t>
      </w:r>
      <w:bookmarkEnd w:id="598"/>
      <w:bookmarkEnd w:id="599"/>
      <w:bookmarkEnd w:id="60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8.2.1 发包人接收设计文件之后，可以自行或者组织专家会进行审查，勘察设计人应当给予配合。审查标准应当符合法律、规范标准、合同约定和发包人要求等；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审查的具体范围为：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初步设计报告及图纸、概算；施工图及预算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1" w:name="_Toc509766002"/>
      <w:bookmarkStart w:id="602" w:name="_Toc32468"/>
      <w:bookmarkStart w:id="603" w:name="_Toc13981"/>
      <w:r>
        <w:rPr>
          <w:rFonts w:hint="eastAsia" w:ascii="宋体" w:hAnsi="宋体" w:eastAsia="宋体" w:cs="宋体"/>
          <w:b/>
          <w:bCs/>
          <w:color w:val="auto"/>
          <w:sz w:val="24"/>
          <w:szCs w:val="24"/>
          <w:highlight w:val="none"/>
        </w:rPr>
        <w:t>9.1 工作质量责任</w:t>
      </w:r>
      <w:bookmarkEnd w:id="601"/>
      <w:bookmarkEnd w:id="602"/>
      <w:bookmarkEnd w:id="60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9.1.3 勘察设计人应按合同约定对勘察设计服务进行全过程的质量检查和检验，并作详细记录，编制勘察设计工作质量报表，报送发包人审查。勘察设计人应当强化勘察现场作业质量和试验工作管理，保证原始记录和试验数据的可靠性、真实性和完整性，严禁离开现场进行追记、补记和修改记录。</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4" w:name="_Toc5275"/>
      <w:bookmarkStart w:id="605" w:name="_Toc18662"/>
      <w:r>
        <w:rPr>
          <w:rFonts w:hint="eastAsia" w:ascii="宋体" w:hAnsi="宋体" w:eastAsia="宋体" w:cs="宋体"/>
          <w:b/>
          <w:bCs/>
          <w:color w:val="auto"/>
          <w:sz w:val="24"/>
          <w:szCs w:val="24"/>
          <w:highlight w:val="none"/>
        </w:rPr>
        <w:t>10 施工期间配合</w:t>
      </w:r>
      <w:bookmarkEnd w:id="604"/>
      <w:bookmarkEnd w:id="60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10.2 </w:t>
      </w:r>
      <w:r>
        <w:rPr>
          <w:rFonts w:hint="eastAsia" w:ascii="宋体" w:hAnsi="宋体" w:eastAsia="宋体" w:cs="宋体"/>
          <w:color w:val="auto"/>
          <w:sz w:val="21"/>
          <w:szCs w:val="21"/>
          <w:highlight w:val="none"/>
        </w:rPr>
        <w:t xml:space="preserve">勘察设计人应为勘察设计人派赴施工现场的工作人员，在施工期间提供办公房间、办公桌椅、互联网接口、冷暖设施、生活设施、进出现场交通服务和其他便利条件。 </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6" w:name="_Toc18833"/>
      <w:bookmarkStart w:id="607" w:name="_Toc509766003"/>
      <w:bookmarkStart w:id="608" w:name="_Toc29468"/>
      <w:r>
        <w:rPr>
          <w:rFonts w:hint="eastAsia" w:ascii="宋体" w:hAnsi="宋体" w:eastAsia="宋体" w:cs="宋体"/>
          <w:b/>
          <w:bCs/>
          <w:color w:val="auto"/>
          <w:sz w:val="24"/>
          <w:szCs w:val="24"/>
          <w:highlight w:val="none"/>
        </w:rPr>
        <w:t>11.1 变更情形</w:t>
      </w:r>
      <w:bookmarkEnd w:id="606"/>
      <w:bookmarkEnd w:id="607"/>
      <w:bookmarkEnd w:id="60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合同履行中发生通用条款所述下列情形时，合同一方均可向对方提出变更请求，经双方协商一致后进行变更，设计服务期限和设计费用的调整由双方协商解决。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（1）勘察设计范围发生变化；</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9" w:name="_Toc509766004"/>
      <w:bookmarkStart w:id="610" w:name="_Toc26490"/>
      <w:bookmarkStart w:id="611" w:name="_Toc17276"/>
      <w:r>
        <w:rPr>
          <w:rFonts w:hint="eastAsia" w:ascii="宋体" w:hAnsi="宋体" w:eastAsia="宋体" w:cs="宋体"/>
          <w:b/>
          <w:bCs/>
          <w:color w:val="auto"/>
          <w:sz w:val="24"/>
          <w:szCs w:val="24"/>
          <w:highlight w:val="none"/>
        </w:rPr>
        <w:t>11.2 合理化建议</w:t>
      </w:r>
      <w:bookmarkEnd w:id="609"/>
      <w:bookmarkEnd w:id="610"/>
      <w:bookmarkEnd w:id="61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 勘察设计人提出的合理化建议降低了工程投资、缩短了施工期限或者提高了工程经济效益的，发包人给予的奖励为：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2" w:name="_Toc509766005"/>
      <w:bookmarkStart w:id="613" w:name="_Toc11982"/>
      <w:bookmarkStart w:id="614" w:name="_Toc22592"/>
      <w:r>
        <w:rPr>
          <w:rFonts w:hint="eastAsia" w:ascii="宋体" w:hAnsi="宋体" w:eastAsia="宋体" w:cs="宋体"/>
          <w:b/>
          <w:bCs/>
          <w:color w:val="auto"/>
          <w:sz w:val="24"/>
          <w:szCs w:val="24"/>
          <w:highlight w:val="none"/>
        </w:rPr>
        <w:t>12.1 合同价格</w:t>
      </w:r>
      <w:bookmarkEnd w:id="612"/>
      <w:bookmarkEnd w:id="613"/>
      <w:bookmarkEnd w:id="614"/>
    </w:p>
    <w:p>
      <w:pPr>
        <w:spacing w:line="360" w:lineRule="auto"/>
        <w:ind w:firstLine="420" w:firstLineChars="200"/>
        <w:rPr>
          <w:rFonts w:hint="eastAsia" w:ascii="宋体" w:hAnsi="宋体"/>
          <w:color w:val="auto"/>
          <w:highlight w:val="none"/>
        </w:rPr>
      </w:pPr>
      <w:r>
        <w:rPr>
          <w:rFonts w:hint="eastAsia" w:ascii="宋体" w:hAnsi="宋体" w:cs="宋体"/>
          <w:color w:val="auto"/>
          <w:szCs w:val="21"/>
          <w:highlight w:val="none"/>
        </w:rPr>
        <w:t xml:space="preserve">12.1.1 </w:t>
      </w:r>
      <w:r>
        <w:rPr>
          <w:rFonts w:hint="eastAsia" w:ascii="宋体" w:hAnsi="宋体"/>
          <w:color w:val="auto"/>
          <w:highlight w:val="none"/>
        </w:rPr>
        <w:t>本合同的价款确定方式：在合同签订阶段，签约合同价=最高投标限价×(1-中标下浮率)，其中勘察费签约合同价=勘察费最高投标限价×(1-中标下浮率)，设计费签约合同价=设计费最高投标限价×(1-中标下浮率)。</w:t>
      </w:r>
    </w:p>
    <w:p>
      <w:pPr>
        <w:spacing w:line="360" w:lineRule="auto"/>
        <w:ind w:firstLine="420" w:firstLineChars="200"/>
        <w:rPr>
          <w:rFonts w:hint="eastAsia"/>
          <w:b w:val="0"/>
          <w:bCs w:val="0"/>
          <w:color w:val="auto"/>
          <w:szCs w:val="21"/>
          <w:highlight w:val="none"/>
        </w:rPr>
      </w:pPr>
      <w:r>
        <w:rPr>
          <w:b w:val="0"/>
          <w:bCs w:val="0"/>
          <w:color w:val="auto"/>
          <w:szCs w:val="21"/>
          <w:highlight w:val="none"/>
        </w:rPr>
        <w:t>勘察费：</w:t>
      </w:r>
      <w:r>
        <w:rPr>
          <w:rFonts w:hint="eastAsia"/>
          <w:b w:val="0"/>
          <w:bCs w:val="0"/>
          <w:color w:val="auto"/>
          <w:szCs w:val="21"/>
          <w:highlight w:val="none"/>
        </w:rPr>
        <w:t>初步设计阶段的勘察费占比</w:t>
      </w:r>
      <w:r>
        <w:rPr>
          <w:rFonts w:hint="eastAsia"/>
          <w:b w:val="0"/>
          <w:bCs w:val="0"/>
          <w:color w:val="auto"/>
          <w:szCs w:val="21"/>
          <w:highlight w:val="none"/>
          <w:lang w:val="en-US" w:eastAsia="zh-CN"/>
        </w:rPr>
        <w:t>68</w:t>
      </w:r>
      <w:r>
        <w:rPr>
          <w:rFonts w:hint="eastAsia"/>
          <w:b w:val="0"/>
          <w:bCs w:val="0"/>
          <w:color w:val="auto"/>
          <w:szCs w:val="21"/>
          <w:highlight w:val="none"/>
        </w:rPr>
        <w:t>%，</w:t>
      </w:r>
      <w:r>
        <w:rPr>
          <w:rFonts w:hint="eastAsia"/>
          <w:b w:val="0"/>
          <w:bCs w:val="0"/>
          <w:color w:val="auto"/>
          <w:szCs w:val="21"/>
          <w:highlight w:val="none"/>
          <w:lang w:val="en-US" w:eastAsia="zh-CN"/>
        </w:rPr>
        <w:t>招标设计阶段</w:t>
      </w:r>
      <w:r>
        <w:rPr>
          <w:rFonts w:hint="eastAsia"/>
          <w:b w:val="0"/>
          <w:bCs w:val="0"/>
          <w:color w:val="auto"/>
          <w:szCs w:val="21"/>
          <w:highlight w:val="none"/>
        </w:rPr>
        <w:t>的勘察费占比</w:t>
      </w:r>
      <w:r>
        <w:rPr>
          <w:rFonts w:hint="eastAsia"/>
          <w:b w:val="0"/>
          <w:bCs w:val="0"/>
          <w:color w:val="auto"/>
          <w:szCs w:val="21"/>
          <w:highlight w:val="none"/>
          <w:lang w:val="en-US" w:eastAsia="zh-CN"/>
        </w:rPr>
        <w:t>4</w:t>
      </w:r>
      <w:r>
        <w:rPr>
          <w:rFonts w:hint="eastAsia"/>
          <w:b w:val="0"/>
          <w:bCs w:val="0"/>
          <w:color w:val="auto"/>
          <w:szCs w:val="21"/>
          <w:highlight w:val="none"/>
        </w:rPr>
        <w:t>%，施工图阶段的勘察费占比28%；设计费：初步设计阶段的设计费占比</w:t>
      </w:r>
      <w:r>
        <w:rPr>
          <w:rFonts w:hint="eastAsia"/>
          <w:b w:val="0"/>
          <w:bCs w:val="0"/>
          <w:color w:val="auto"/>
          <w:szCs w:val="21"/>
          <w:highlight w:val="none"/>
          <w:lang w:val="en-US" w:eastAsia="zh-CN"/>
        </w:rPr>
        <w:t>5</w:t>
      </w:r>
      <w:r>
        <w:rPr>
          <w:rFonts w:hint="eastAsia"/>
          <w:b w:val="0"/>
          <w:bCs w:val="0"/>
          <w:color w:val="auto"/>
          <w:szCs w:val="21"/>
          <w:highlight w:val="none"/>
        </w:rPr>
        <w:t>5%，</w:t>
      </w:r>
      <w:r>
        <w:rPr>
          <w:rFonts w:hint="eastAsia"/>
          <w:b w:val="0"/>
          <w:bCs w:val="0"/>
          <w:color w:val="auto"/>
          <w:szCs w:val="21"/>
          <w:highlight w:val="none"/>
          <w:lang w:val="en-US" w:eastAsia="zh-CN"/>
        </w:rPr>
        <w:t>招标设计阶段设计费占比10%，</w:t>
      </w:r>
      <w:r>
        <w:rPr>
          <w:rFonts w:hint="eastAsia"/>
          <w:b w:val="0"/>
          <w:bCs w:val="0"/>
          <w:color w:val="auto"/>
          <w:szCs w:val="21"/>
          <w:highlight w:val="none"/>
        </w:rPr>
        <w:t>施工图阶段设计费占比35%。</w:t>
      </w:r>
    </w:p>
    <w:p>
      <w:pPr>
        <w:spacing w:line="360" w:lineRule="auto"/>
        <w:ind w:firstLine="420" w:firstLineChars="200"/>
        <w:rPr>
          <w:rFonts w:ascii="宋体" w:hAnsi="宋体"/>
          <w:b w:val="0"/>
          <w:bCs w:val="0"/>
          <w:color w:val="auto"/>
          <w:highlight w:val="none"/>
        </w:rPr>
      </w:pPr>
      <w:r>
        <w:rPr>
          <w:rFonts w:hint="eastAsia"/>
          <w:b w:val="0"/>
          <w:bCs w:val="0"/>
          <w:color w:val="auto"/>
          <w:szCs w:val="21"/>
          <w:highlight w:val="none"/>
        </w:rPr>
        <w:t>各阶段的勘察设计费按勘察费、设计费签约合同价*各阶段占比。</w:t>
      </w:r>
      <w:r>
        <w:rPr>
          <w:rFonts w:hint="eastAsia" w:ascii="宋体" w:hAnsi="宋体"/>
          <w:b w:val="0"/>
          <w:bCs w:val="0"/>
          <w:color w:val="auto"/>
          <w:highlight w:val="none"/>
        </w:rPr>
        <w:t>施工图设计及施工图预算编制费</w:t>
      </w:r>
      <w:r>
        <w:rPr>
          <w:rFonts w:ascii="宋体" w:hAnsi="宋体"/>
          <w:b w:val="0"/>
          <w:bCs w:val="0"/>
          <w:color w:val="auto"/>
          <w:highlight w:val="none"/>
        </w:rPr>
        <w:t>按各标段</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如分标段实施）</w:t>
      </w:r>
      <w:r>
        <w:rPr>
          <w:rFonts w:ascii="宋体" w:hAnsi="宋体"/>
          <w:b w:val="0"/>
          <w:bCs w:val="0"/>
          <w:color w:val="auto"/>
          <w:highlight w:val="none"/>
        </w:rPr>
        <w:t>的</w:t>
      </w:r>
      <w:r>
        <w:rPr>
          <w:rFonts w:hint="eastAsia" w:ascii="宋体" w:hAnsi="宋体"/>
          <w:b w:val="0"/>
          <w:bCs w:val="0"/>
          <w:color w:val="auto"/>
          <w:highlight w:val="none"/>
          <w:lang w:val="en-US" w:eastAsia="zh-CN"/>
        </w:rPr>
        <w:t>概算</w:t>
      </w:r>
      <w:r>
        <w:rPr>
          <w:rFonts w:ascii="宋体" w:hAnsi="宋体"/>
          <w:b w:val="0"/>
          <w:bCs w:val="0"/>
          <w:color w:val="auto"/>
          <w:highlight w:val="none"/>
        </w:rPr>
        <w:t>投资额占比</w:t>
      </w:r>
      <w:r>
        <w:rPr>
          <w:rFonts w:hint="eastAsia" w:ascii="宋体" w:hAnsi="宋体"/>
          <w:b w:val="0"/>
          <w:bCs w:val="0"/>
          <w:color w:val="auto"/>
          <w:highlight w:val="none"/>
          <w:lang w:val="en-US" w:eastAsia="zh-CN"/>
        </w:rPr>
        <w:t>控制</w:t>
      </w:r>
      <w:r>
        <w:rPr>
          <w:rFonts w:ascii="宋体" w:hAnsi="宋体"/>
          <w:b w:val="0"/>
          <w:bCs w:val="0"/>
          <w:color w:val="auto"/>
          <w:highlight w:val="none"/>
        </w:rPr>
        <w:t>支付。</w:t>
      </w:r>
    </w:p>
    <w:p>
      <w:pPr>
        <w:pStyle w:val="24"/>
        <w:spacing w:line="380" w:lineRule="exact"/>
        <w:ind w:firstLine="420" w:firstLineChars="200"/>
        <w:rPr>
          <w:rFonts w:hint="default"/>
          <w:color w:val="auto"/>
          <w:highlight w:val="none"/>
          <w:lang w:val="en-US" w:eastAsia="zh-CN"/>
        </w:rPr>
      </w:pPr>
      <w:r>
        <w:rPr>
          <w:rFonts w:hint="eastAsia" w:hAnsi="宋体" w:cs="Times New Roman"/>
          <w:b w:val="0"/>
          <w:bCs w:val="0"/>
          <w:color w:val="auto"/>
          <w:kern w:val="2"/>
          <w:sz w:val="21"/>
          <w:highlight w:val="none"/>
          <w:lang w:val="en-US" w:eastAsia="zh-CN"/>
        </w:rPr>
        <w:t>勘察设计费最高投标限价（预算财审价-200万）是根据工程估算的建安工程费为基数进行计算，工程初步设计概算批复的建安工程投资与估算的建安工程投资比较，减少超过15%的，相应对合同价按财审的勘察设计费标准对减少15%以上的部分进行调整</w:t>
      </w:r>
      <w:r>
        <w:rPr>
          <w:rFonts w:hint="eastAsia" w:hAnsi="宋体" w:cs="Times New Roman"/>
          <w:b w:val="0"/>
          <w:bCs w:val="0"/>
          <w:color w:val="auto"/>
          <w:kern w:val="2"/>
          <w:sz w:val="21"/>
          <w:highlight w:val="none"/>
        </w:rPr>
        <w:t>。</w:t>
      </w:r>
    </w:p>
    <w:p>
      <w:pPr>
        <w:pStyle w:val="14"/>
        <w:rPr>
          <w:rFonts w:hint="default" w:eastAsia="宋体"/>
          <w:color w:val="auto"/>
          <w:highlight w:val="none"/>
          <w:lang w:val="en-US" w:eastAsia="zh-CN"/>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 合同价格包括：勘察设计人为完成合同规定的责任、义务、风险等一切费用，以及成果文件评审所产生的一切费用；包括但不限于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收集资料，踏勘现场，制订纲要，进行测绘、勘探、取样、试验、测试、分析、评估、专家评审、配合审查等，编制勘察文件，设计施工配合；编制设计文件，施工配合，竣工验收服务所发生的工作、生活设施费用、人员费用、设备设施的购置及使用费、管理费(含各类保险费)，以及应承担的风险、合理利润、国家规定的增值税税金等。</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5" w:name="_Toc13112"/>
      <w:bookmarkStart w:id="616" w:name="_Toc509766006"/>
      <w:bookmarkStart w:id="617" w:name="_Toc27543"/>
      <w:r>
        <w:rPr>
          <w:rFonts w:hint="eastAsia" w:ascii="宋体" w:hAnsi="宋体" w:eastAsia="宋体" w:cs="宋体"/>
          <w:b/>
          <w:bCs/>
          <w:color w:val="auto"/>
          <w:sz w:val="24"/>
          <w:szCs w:val="24"/>
          <w:highlight w:val="none"/>
        </w:rPr>
        <w:t>12.2 定金或预付款</w:t>
      </w:r>
      <w:bookmarkEnd w:id="615"/>
      <w:bookmarkEnd w:id="616"/>
      <w:bookmarkEnd w:id="61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12.2.1定金或预付款应专用于本工程的设计。</w:t>
      </w:r>
    </w:p>
    <w:p>
      <w:pPr>
        <w:pStyle w:val="14"/>
        <w:spacing w:line="360" w:lineRule="exact"/>
        <w:ind w:firstLine="420" w:firstLineChars="200"/>
        <w:rPr>
          <w:rFonts w:hint="eastAsia" w:ascii="宋体" w:hAnsi="宋体" w:cs="宋体"/>
          <w:color w:val="auto"/>
          <w:kern w:val="2"/>
          <w:sz w:val="21"/>
          <w:szCs w:val="21"/>
          <w:highlight w:val="none"/>
        </w:rPr>
      </w:pPr>
      <w:bookmarkStart w:id="618" w:name="_Hlk35983848"/>
      <w:r>
        <w:rPr>
          <w:rFonts w:hint="eastAsia" w:ascii="宋体" w:hAnsi="宋体" w:cs="宋体"/>
          <w:color w:val="auto"/>
          <w:kern w:val="2"/>
          <w:sz w:val="21"/>
          <w:szCs w:val="21"/>
          <w:highlight w:val="none"/>
        </w:rPr>
        <w:t>自签订合同后</w:t>
      </w:r>
      <w:r>
        <w:rPr>
          <w:rFonts w:hint="eastAsia" w:ascii="宋体" w:hAnsi="宋体" w:cs="宋体"/>
          <w:color w:val="auto"/>
          <w:kern w:val="2"/>
          <w:sz w:val="21"/>
          <w:szCs w:val="21"/>
          <w:highlight w:val="none"/>
          <w:lang w:val="en-US" w:eastAsia="zh-CN"/>
        </w:rPr>
        <w:t>15</w:t>
      </w:r>
      <w:r>
        <w:rPr>
          <w:rFonts w:hint="eastAsia" w:ascii="宋体" w:hAnsi="宋体" w:cs="宋体"/>
          <w:color w:val="auto"/>
          <w:kern w:val="2"/>
          <w:sz w:val="21"/>
          <w:szCs w:val="21"/>
          <w:highlight w:val="none"/>
        </w:rPr>
        <w:t>日历天内，勘察设计人</w:t>
      </w:r>
      <w:r>
        <w:rPr>
          <w:rFonts w:hint="eastAsia" w:ascii="宋体" w:hAnsi="宋体" w:cs="宋体"/>
          <w:color w:val="auto"/>
          <w:kern w:val="2"/>
          <w:sz w:val="21"/>
          <w:szCs w:val="21"/>
          <w:highlight w:val="none"/>
          <w:lang w:val="en-US" w:eastAsia="zh-CN"/>
        </w:rPr>
        <w:t>勘察、测量设备已进场，并向发包人提供勘察、测量工作进度计划的，勘察设计人</w:t>
      </w:r>
      <w:r>
        <w:rPr>
          <w:rFonts w:hint="eastAsia" w:ascii="宋体" w:hAnsi="宋体" w:cs="宋体"/>
          <w:color w:val="auto"/>
          <w:kern w:val="2"/>
          <w:sz w:val="21"/>
          <w:szCs w:val="21"/>
          <w:highlight w:val="none"/>
        </w:rPr>
        <w:t>提供同等金额的增值税发票向发包人申请预付款，发包人按勘测设计费合同签约价的</w:t>
      </w:r>
      <w:r>
        <w:rPr>
          <w:rFonts w:hint="eastAsia" w:ascii="宋体" w:hAnsi="宋体" w:cs="宋体"/>
          <w:color w:val="auto"/>
          <w:kern w:val="2"/>
          <w:sz w:val="21"/>
          <w:szCs w:val="21"/>
          <w:highlight w:val="none"/>
          <w:lang w:val="en-US" w:eastAsia="zh-CN"/>
        </w:rPr>
        <w:t>2</w:t>
      </w:r>
      <w:r>
        <w:rPr>
          <w:rFonts w:hint="eastAsia" w:ascii="宋体" w:hAnsi="宋体" w:cs="宋体"/>
          <w:color w:val="auto"/>
          <w:kern w:val="2"/>
          <w:sz w:val="21"/>
          <w:szCs w:val="21"/>
          <w:highlight w:val="none"/>
        </w:rPr>
        <w:t>0%作为预付款支付给勘察设计人。</w:t>
      </w:r>
      <w:bookmarkEnd w:id="618"/>
    </w:p>
    <w:p>
      <w:pPr>
        <w:pStyle w:val="14"/>
        <w:rPr>
          <w:rFonts w:hint="eastAsia"/>
          <w:color w:val="auto"/>
          <w:highlight w:val="none"/>
        </w:rPr>
      </w:pP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9" w:name="_Toc28956"/>
      <w:bookmarkStart w:id="620" w:name="_Toc509766007"/>
      <w:bookmarkStart w:id="621" w:name="_Toc32699"/>
      <w:r>
        <w:rPr>
          <w:rFonts w:hint="eastAsia" w:ascii="宋体" w:hAnsi="宋体" w:eastAsia="宋体" w:cs="宋体"/>
          <w:b/>
          <w:bCs/>
          <w:color w:val="auto"/>
          <w:sz w:val="24"/>
          <w:szCs w:val="24"/>
          <w:highlight w:val="none"/>
        </w:rPr>
        <w:t>12.3 中期支付</w:t>
      </w:r>
      <w:bookmarkEnd w:id="619"/>
      <w:bookmarkEnd w:id="620"/>
      <w:bookmarkEnd w:id="621"/>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12.3.1勘察设计人应按发包人批准的格式及份数，向发包人提交中期支付申请，并附相应的支持性证明文件。</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12.3.3 中期支付涉及政府投资资金的，按照</w:t>
      </w:r>
      <w:r>
        <w:rPr>
          <w:rFonts w:hint="eastAsia" w:ascii="宋体" w:hAnsi="宋体" w:cs="宋体"/>
          <w:color w:val="auto"/>
          <w:kern w:val="2"/>
          <w:sz w:val="21"/>
          <w:szCs w:val="21"/>
          <w:highlight w:val="none"/>
          <w:lang w:val="en-US" w:eastAsia="zh-CN"/>
        </w:rPr>
        <w:t>财政资金</w:t>
      </w:r>
      <w:r>
        <w:rPr>
          <w:rFonts w:hint="eastAsia" w:ascii="宋体" w:hAnsi="宋体" w:cs="宋体"/>
          <w:color w:val="auto"/>
          <w:kern w:val="2"/>
          <w:sz w:val="21"/>
          <w:szCs w:val="21"/>
          <w:highlight w:val="none"/>
        </w:rPr>
        <w:t>支付</w:t>
      </w:r>
      <w:r>
        <w:rPr>
          <w:rFonts w:hint="eastAsia" w:ascii="宋体" w:hAnsi="宋体" w:cs="宋体"/>
          <w:color w:val="auto"/>
          <w:kern w:val="2"/>
          <w:sz w:val="21"/>
          <w:szCs w:val="21"/>
          <w:highlight w:val="none"/>
          <w:lang w:val="en-US" w:eastAsia="zh-CN"/>
        </w:rPr>
        <w:t>要求</w:t>
      </w:r>
      <w:r>
        <w:rPr>
          <w:rFonts w:hint="eastAsia" w:ascii="宋体" w:hAnsi="宋体" w:cs="宋体"/>
          <w:color w:val="auto"/>
          <w:kern w:val="2"/>
          <w:sz w:val="21"/>
          <w:szCs w:val="21"/>
          <w:highlight w:val="none"/>
        </w:rPr>
        <w:t>和以下约定执行：</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(1)本合同规定的支付时间为发包人向财政部门提出办理财政支付申请手续的时间(不含政府财政部门审核的时间)，发包人在规定时间内提出办理财政支付申请手续后即视为发包人已经按期支付。</w:t>
      </w:r>
    </w:p>
    <w:p>
      <w:pPr>
        <w:pStyle w:val="14"/>
        <w:spacing w:line="360" w:lineRule="auto"/>
        <w:ind w:firstLine="420" w:firstLineChars="200"/>
        <w:rPr>
          <w:rFonts w:ascii="宋体" w:hAnsi="宋体" w:cs="宋体"/>
          <w:color w:val="auto"/>
          <w:kern w:val="2"/>
          <w:sz w:val="21"/>
          <w:szCs w:val="21"/>
          <w:highlight w:val="none"/>
        </w:rPr>
      </w:pPr>
      <w:bookmarkStart w:id="622" w:name="_Hlk35983886"/>
      <w:r>
        <w:rPr>
          <w:rFonts w:hint="eastAsia" w:ascii="宋体" w:hAnsi="宋体" w:cs="宋体"/>
          <w:color w:val="auto"/>
          <w:kern w:val="2"/>
          <w:sz w:val="21"/>
          <w:szCs w:val="21"/>
          <w:highlight w:val="none"/>
        </w:rPr>
        <w:t>(2)初步设计报告经审批后15日历天内，发包人向勘察设计人付清初步设计阶段的勘察设计费（扣回初步设计阶段的预付款）。</w:t>
      </w:r>
    </w:p>
    <w:bookmarkEnd w:id="622"/>
    <w:p>
      <w:pPr>
        <w:pStyle w:val="14"/>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(3)勘察设计人提交施工图和施工图预算审批后15日历天内，发包人向勘察设计人支付本阶段的勘察设计费的</w:t>
      </w:r>
      <w:r>
        <w:rPr>
          <w:rFonts w:hint="eastAsia" w:ascii="宋体" w:hAnsi="宋体" w:cs="宋体"/>
          <w:color w:val="auto"/>
          <w:kern w:val="2"/>
          <w:sz w:val="21"/>
          <w:szCs w:val="21"/>
          <w:highlight w:val="none"/>
          <w:lang w:val="en-US" w:eastAsia="zh-CN"/>
        </w:rPr>
        <w:t>7</w:t>
      </w:r>
      <w:r>
        <w:rPr>
          <w:rFonts w:hint="eastAsia" w:ascii="宋体" w:hAnsi="宋体" w:cs="宋体"/>
          <w:color w:val="auto"/>
          <w:kern w:val="2"/>
          <w:sz w:val="21"/>
          <w:szCs w:val="21"/>
          <w:highlight w:val="none"/>
        </w:rPr>
        <w:t>0%（扣回该阶段已付的预付款）。</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(4)工程完工验收合格后30日历天内，发包人向勘察设计人</w:t>
      </w:r>
      <w:r>
        <w:rPr>
          <w:rFonts w:hint="eastAsia" w:ascii="宋体" w:hAnsi="宋体" w:cs="宋体"/>
          <w:color w:val="auto"/>
          <w:kern w:val="2"/>
          <w:sz w:val="21"/>
          <w:szCs w:val="21"/>
          <w:highlight w:val="none"/>
          <w:lang w:val="en-US" w:eastAsia="zh-CN"/>
        </w:rPr>
        <w:t>付清</w:t>
      </w:r>
      <w:r>
        <w:rPr>
          <w:rFonts w:hint="eastAsia" w:ascii="宋体" w:hAnsi="宋体" w:cs="宋体"/>
          <w:color w:val="auto"/>
          <w:kern w:val="2"/>
          <w:sz w:val="21"/>
          <w:szCs w:val="21"/>
          <w:highlight w:val="none"/>
        </w:rPr>
        <w:t>勘测设计费。</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注：本项目施工图设计阶段若因资金到位原因进行分标段设计、施工，施工图设计阶段各标段的建安费之和与总预算(若无总预算按概算批复)中建安费比例进行控制支付。</w:t>
      </w:r>
    </w:p>
    <w:p>
      <w:pPr>
        <w:pStyle w:val="14"/>
        <w:spacing w:line="360" w:lineRule="exact"/>
        <w:rPr>
          <w:rFonts w:ascii="宋体" w:hAnsi="宋体" w:cs="宋体"/>
          <w:color w:val="auto"/>
          <w:kern w:val="2"/>
          <w:sz w:val="21"/>
          <w:szCs w:val="21"/>
          <w:highlight w:val="none"/>
        </w:rPr>
      </w:pPr>
    </w:p>
    <w:p>
      <w:pPr>
        <w:pStyle w:val="14"/>
        <w:rPr>
          <w:rFonts w:hint="eastAsia"/>
          <w:color w:val="auto"/>
          <w:highlight w:val="none"/>
        </w:rPr>
      </w:pP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3" w:name="_Toc4643"/>
      <w:bookmarkStart w:id="624" w:name="_Toc17570"/>
      <w:bookmarkStart w:id="625" w:name="_Toc509766008"/>
      <w:r>
        <w:rPr>
          <w:rFonts w:hint="eastAsia" w:ascii="宋体" w:hAnsi="宋体" w:eastAsia="宋体" w:cs="宋体"/>
          <w:b/>
          <w:bCs/>
          <w:color w:val="auto"/>
          <w:sz w:val="24"/>
          <w:szCs w:val="24"/>
          <w:highlight w:val="none"/>
        </w:rPr>
        <w:t>13.1 不可抗力的确认</w:t>
      </w:r>
      <w:bookmarkEnd w:id="623"/>
      <w:bookmarkEnd w:id="624"/>
      <w:bookmarkEnd w:id="62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 不可抗力的其他情形：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6" w:name="_Toc30145"/>
      <w:bookmarkStart w:id="627" w:name="_Toc9095"/>
      <w:r>
        <w:rPr>
          <w:rFonts w:hint="eastAsia" w:ascii="宋体" w:hAnsi="宋体" w:eastAsia="宋体" w:cs="宋体"/>
          <w:b/>
          <w:bCs/>
          <w:color w:val="auto"/>
          <w:sz w:val="24"/>
          <w:szCs w:val="24"/>
          <w:highlight w:val="none"/>
        </w:rPr>
        <w:t>14. 违约</w:t>
      </w:r>
      <w:bookmarkEnd w:id="626"/>
      <w:bookmarkEnd w:id="627"/>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8" w:name="_Toc6019"/>
      <w:bookmarkStart w:id="629" w:name="_Toc17461"/>
      <w:r>
        <w:rPr>
          <w:rFonts w:hint="eastAsia" w:ascii="宋体" w:hAnsi="宋体" w:eastAsia="宋体" w:cs="宋体"/>
          <w:b/>
          <w:bCs/>
          <w:color w:val="auto"/>
          <w:sz w:val="24"/>
          <w:szCs w:val="24"/>
          <w:highlight w:val="none"/>
        </w:rPr>
        <w:t>14.1 勘察设计人违约</w:t>
      </w:r>
      <w:bookmarkEnd w:id="628"/>
      <w:bookmarkEnd w:id="62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14.1.3如因</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原因，不能按时提交合格的设计文件或因质量原因而不能及时进行修改，达不到审批要求而影响</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上报时间，</w:t>
      </w:r>
      <w:r>
        <w:rPr>
          <w:rFonts w:ascii="宋体" w:hAnsi="宋体"/>
          <w:color w:val="auto"/>
          <w:sz w:val="21"/>
          <w:szCs w:val="21"/>
          <w:highlight w:val="none"/>
        </w:rPr>
        <w:t>勘察设计人应支付</w:t>
      </w:r>
      <w:r>
        <w:rPr>
          <w:rFonts w:hint="eastAsia" w:ascii="宋体" w:hAnsi="宋体"/>
          <w:color w:val="auto"/>
          <w:sz w:val="21"/>
          <w:szCs w:val="21"/>
          <w:highlight w:val="none"/>
          <w:u w:val="single"/>
          <w:lang w:val="en-US" w:eastAsia="zh-CN"/>
        </w:rPr>
        <w:t>2000元/天</w:t>
      </w:r>
      <w:r>
        <w:rPr>
          <w:rFonts w:ascii="宋体" w:hAnsi="宋体"/>
          <w:color w:val="auto"/>
          <w:sz w:val="21"/>
          <w:szCs w:val="21"/>
          <w:highlight w:val="none"/>
        </w:rPr>
        <w:t>逾期违约金</w:t>
      </w:r>
      <w:r>
        <w:rPr>
          <w:rFonts w:hint="eastAsia" w:ascii="宋体" w:hAnsi="宋体"/>
          <w:color w:val="auto"/>
          <w:sz w:val="21"/>
          <w:szCs w:val="21"/>
          <w:highlight w:val="none"/>
          <w:u w:val="single"/>
          <w:lang w:val="en-US" w:eastAsia="zh-CN"/>
        </w:rPr>
        <w:t>，最高限额为勘察设计费的50%</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14.1.4 勘察设计人在工程施工期间，必须安排专业设计代表驻地服务（每月不少于20天），发现未驻地服务或驻地服务达不到要求的，勘察设计人应支付300元/天违约金，最高限额达到勘测设计费的10%；上级检查发现设计代表不在驻地，每次给予3000元处罚，情况严重的提请上级给予信用扣分处罚</w:t>
      </w:r>
      <w:r>
        <w:rPr>
          <w:rFonts w:hint="eastAsia" w:ascii="宋体" w:hAnsi="宋体" w:eastAsia="宋体" w:cs="宋体"/>
          <w:color w:val="auto"/>
          <w:sz w:val="21"/>
          <w:szCs w:val="21"/>
          <w:highlight w:val="none"/>
        </w:rPr>
        <w:t>。</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30" w:name="_Toc10832"/>
      <w:bookmarkStart w:id="631" w:name="_Toc6022"/>
      <w:r>
        <w:rPr>
          <w:rFonts w:hint="eastAsia" w:ascii="宋体" w:hAnsi="宋体" w:eastAsia="宋体" w:cs="宋体"/>
          <w:b/>
          <w:bCs/>
          <w:color w:val="auto"/>
          <w:sz w:val="24"/>
          <w:szCs w:val="24"/>
          <w:highlight w:val="none"/>
        </w:rPr>
        <w:t>14.2 发包人违约</w:t>
      </w:r>
      <w:bookmarkEnd w:id="630"/>
      <w:bookmarkEnd w:id="63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14.2.3 本合同工程资金来源为政府财政资金，如因政府财政资金未能及时到位，发包人可以延长付款时间，承包人不能据此向发包人要求费用补偿及延长工期。</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32" w:name="_Toc509766009"/>
      <w:bookmarkStart w:id="633" w:name="_Toc863"/>
      <w:bookmarkStart w:id="634" w:name="_Toc8626"/>
      <w:r>
        <w:rPr>
          <w:rFonts w:hint="eastAsia" w:ascii="宋体" w:hAnsi="宋体" w:eastAsia="宋体" w:cs="宋体"/>
          <w:b/>
          <w:bCs/>
          <w:color w:val="auto"/>
          <w:sz w:val="24"/>
          <w:szCs w:val="24"/>
          <w:highlight w:val="none"/>
        </w:rPr>
        <w:t>15. 争议的解决</w:t>
      </w:r>
      <w:bookmarkEnd w:id="632"/>
      <w:bookmarkEnd w:id="633"/>
      <w:bookmarkEnd w:id="63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发包人和勘察设计人在履行合同中发生争议的，可以友好协商解决。协商不成时，由</w:t>
      </w:r>
      <w:r>
        <w:rPr>
          <w:rFonts w:hint="eastAsia" w:ascii="宋体" w:hAnsi="宋体" w:cs="宋体"/>
          <w:color w:val="auto"/>
          <w:sz w:val="21"/>
          <w:szCs w:val="21"/>
          <w:highlight w:val="none"/>
          <w:lang w:val="en-US" w:eastAsia="zh-CN"/>
        </w:rPr>
        <w:t>陆丰市水务局</w:t>
      </w:r>
      <w:r>
        <w:rPr>
          <w:rFonts w:hint="eastAsia" w:ascii="宋体" w:hAnsi="宋体" w:eastAsia="宋体" w:cs="宋体"/>
          <w:color w:val="auto"/>
          <w:sz w:val="21"/>
          <w:szCs w:val="21"/>
          <w:highlight w:val="none"/>
        </w:rPr>
        <w:t>进行调解。调解不成时，双方可向工程所在地有管辖权的人民法院起诉。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在争议的协商、调解、诉讼过程中，双方仍应继续承担合同约定的各自的责任和义务，保证设计工作和工程建设的正常进行。</w:t>
      </w:r>
    </w:p>
    <w:p>
      <w:pPr>
        <w:pStyle w:val="4"/>
        <w:numPr>
          <w:ilvl w:val="2"/>
          <w:numId w:val="0"/>
        </w:numPr>
        <w:spacing w:before="0" w:after="0" w:line="360" w:lineRule="auto"/>
        <w:ind w:left="838" w:leftChars="0"/>
        <w:rPr>
          <w:rFonts w:hint="eastAsia" w:ascii="宋体" w:hAnsi="宋体" w:eastAsia="宋体" w:cs="宋体"/>
          <w:b/>
          <w:bCs/>
          <w:color w:val="auto"/>
          <w:sz w:val="21"/>
          <w:szCs w:val="21"/>
          <w:highlight w:val="none"/>
        </w:rPr>
      </w:pPr>
      <w:bookmarkStart w:id="635" w:name="_Toc5818"/>
      <w:bookmarkStart w:id="636" w:name="_Toc19013"/>
      <w:r>
        <w:rPr>
          <w:rFonts w:hint="eastAsia" w:ascii="宋体" w:hAnsi="宋体" w:eastAsia="宋体" w:cs="宋体"/>
          <w:b/>
          <w:bCs/>
          <w:color w:val="auto"/>
          <w:sz w:val="21"/>
          <w:szCs w:val="21"/>
          <w:highlight w:val="none"/>
        </w:rPr>
        <w:t>16. 合同生效及其他</w:t>
      </w:r>
      <w:bookmarkEnd w:id="635"/>
      <w:bookmarkEnd w:id="63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16.1 </w:t>
      </w:r>
      <w:r>
        <w:rPr>
          <w:rFonts w:hint="eastAsia" w:ascii="宋体" w:hAnsi="宋体"/>
          <w:color w:val="auto"/>
          <w:szCs w:val="21"/>
          <w:highlight w:val="none"/>
        </w:rPr>
        <w:t xml:space="preserve"> 本合同自双方法定代表人或其委托代理人签字并加盖单位章之日起生效。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在合同履行过程中，对勘测设计有影响的指示、要求，要以书面形式传递并签收；双方认可的来往传真、会议纪要等，均作为合同的组成部分，与本合同具有同等法律效力。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要求设计文件份数超过合同规定的份数，须在设计文件出版之前正式通知，</w:t>
      </w:r>
      <w:r>
        <w:rPr>
          <w:rFonts w:hint="eastAsia" w:ascii="宋体" w:hAnsi="宋体" w:eastAsia="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不得另收工本费。</w:t>
      </w:r>
    </w:p>
    <w:p>
      <w:pPr>
        <w:spacing w:line="360" w:lineRule="auto"/>
        <w:ind w:firstLine="420" w:firstLineChars="200"/>
        <w:rPr>
          <w:rFonts w:hint="eastAsia" w:ascii="宋体" w:hAnsi="宋体" w:eastAsia="宋体" w:cs="宋体"/>
          <w:strike/>
          <w:dstrike w:val="0"/>
          <w:color w:val="auto"/>
          <w:sz w:val="21"/>
          <w:szCs w:val="21"/>
          <w:highlight w:val="none"/>
        </w:rPr>
      </w:pPr>
      <w:r>
        <w:rPr>
          <w:rFonts w:hint="eastAsia" w:ascii="宋体" w:hAnsi="宋体" w:eastAsia="宋体" w:cs="宋体"/>
          <w:color w:val="auto"/>
          <w:sz w:val="21"/>
          <w:szCs w:val="21"/>
          <w:highlight w:val="none"/>
        </w:rPr>
        <w:t>16.3 本工程项目中，</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不得指定建筑材料、设备的生产厂或供货商。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16.4 </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委托</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承担本合同内容以外的工作服务，另行签订协议并支付费用。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遇不可抗力因素，如战争、地震、洪水等灾害，致使合同无法履行时，由双方协商解决。</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在工程竣工验收、</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支付完毕，本合同即告终止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但工程因勘察设计质量的问题引起的工程损失的责任按国家有关规定执行。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本合同未尽事宜，双方可签订补充协议，补充协议与本合同具有同等效力。</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2"/>
        <w:numPr>
          <w:ilvl w:val="1"/>
          <w:numId w:val="0"/>
        </w:numPr>
        <w:spacing w:before="0" w:after="0" w:line="360" w:lineRule="auto"/>
        <w:ind w:left="681" w:leftChars="0" w:right="46" w:rightChars="22"/>
        <w:jc w:val="center"/>
        <w:rPr>
          <w:rFonts w:ascii="宋体" w:hAnsi="宋体" w:eastAsia="宋体"/>
          <w:i w:val="0"/>
          <w:iCs/>
          <w:color w:val="auto"/>
          <w:highlight w:val="none"/>
        </w:rPr>
      </w:pPr>
      <w:bookmarkStart w:id="637" w:name="_Toc16635"/>
      <w:bookmarkStart w:id="638" w:name="_Toc509766010"/>
      <w:bookmarkStart w:id="639" w:name="_Toc18497"/>
      <w:r>
        <w:rPr>
          <w:rFonts w:ascii="宋体" w:hAnsi="宋体" w:eastAsia="宋体"/>
          <w:i w:val="0"/>
          <w:iCs/>
          <w:color w:val="auto"/>
          <w:highlight w:val="none"/>
        </w:rPr>
        <w:t>第三节</w:t>
      </w:r>
      <w:r>
        <w:rPr>
          <w:rFonts w:hint="eastAsia" w:ascii="宋体" w:hAnsi="宋体" w:eastAsia="宋体"/>
          <w:i w:val="0"/>
          <w:iCs/>
          <w:color w:val="auto"/>
          <w:highlight w:val="none"/>
        </w:rPr>
        <w:t xml:space="preserve"> </w:t>
      </w:r>
      <w:r>
        <w:rPr>
          <w:rFonts w:ascii="宋体" w:hAnsi="宋体" w:eastAsia="宋体"/>
          <w:i w:val="0"/>
          <w:iCs/>
          <w:color w:val="auto"/>
          <w:highlight w:val="none"/>
        </w:rPr>
        <w:t>合同附件格式</w:t>
      </w:r>
      <w:bookmarkEnd w:id="637"/>
      <w:bookmarkEnd w:id="638"/>
      <w:bookmarkEnd w:id="639"/>
    </w:p>
    <w:p>
      <w:pPr>
        <w:pStyle w:val="4"/>
        <w:numPr>
          <w:ilvl w:val="2"/>
          <w:numId w:val="0"/>
        </w:numPr>
        <w:spacing w:before="0" w:after="0" w:line="360" w:lineRule="auto"/>
        <w:ind w:left="838" w:leftChars="0" w:right="46" w:rightChars="22"/>
        <w:jc w:val="left"/>
        <w:rPr>
          <w:rFonts w:ascii="宋体" w:hAnsi="宋体" w:eastAsia="宋体"/>
          <w:b/>
          <w:bCs/>
          <w:i w:val="0"/>
          <w:iCs/>
          <w:color w:val="auto"/>
          <w:sz w:val="24"/>
          <w:szCs w:val="24"/>
          <w:highlight w:val="none"/>
        </w:rPr>
      </w:pPr>
      <w:bookmarkStart w:id="640" w:name="_Toc23380"/>
      <w:bookmarkStart w:id="641" w:name="_Toc31356"/>
      <w:bookmarkStart w:id="642" w:name="_Toc509766011"/>
      <w:r>
        <w:rPr>
          <w:rFonts w:hint="eastAsia" w:ascii="宋体" w:hAnsi="宋体" w:eastAsia="宋体"/>
          <w:b/>
          <w:bCs/>
          <w:i w:val="0"/>
          <w:iCs/>
          <w:color w:val="auto"/>
          <w:sz w:val="24"/>
          <w:szCs w:val="24"/>
          <w:highlight w:val="none"/>
        </w:rPr>
        <w:t>附件一：合同协议书</w:t>
      </w:r>
      <w:bookmarkEnd w:id="640"/>
      <w:bookmarkEnd w:id="641"/>
      <w:bookmarkEnd w:id="642"/>
    </w:p>
    <w:p>
      <w:pPr>
        <w:spacing w:line="360" w:lineRule="auto"/>
        <w:ind w:right="46" w:rightChars="22"/>
        <w:jc w:val="center"/>
        <w:rPr>
          <w:rFonts w:ascii="宋体" w:hAnsi="宋体"/>
          <w:b/>
          <w:bCs/>
          <w:i w:val="0"/>
          <w:iCs/>
          <w:color w:val="auto"/>
          <w:sz w:val="28"/>
          <w:highlight w:val="none"/>
        </w:rPr>
      </w:pPr>
      <w:r>
        <w:rPr>
          <w:rFonts w:ascii="宋体" w:hAnsi="宋体"/>
          <w:b/>
          <w:bCs/>
          <w:i w:val="0"/>
          <w:iCs/>
          <w:color w:val="auto"/>
          <w:sz w:val="28"/>
          <w:highlight w:val="none"/>
        </w:rPr>
        <w:t>合同协议书</w:t>
      </w:r>
    </w:p>
    <w:p>
      <w:pPr>
        <w:spacing w:line="380" w:lineRule="exact"/>
        <w:ind w:right="46" w:rightChars="22" w:firstLine="359" w:firstLineChars="171"/>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（发包人名称，以下简称“发包人”）为实施</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（项目名称），已接受</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（勘察设计人名称，以下简称“勘察设计人”）对该项目投标。发包人和勘察设计人共同达成如下协议。</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 本协议书与下列文件一起构成合同文件：</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（1）中标通知书；</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（2）投标函及投标函附录；</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（3）专用合同条款；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（4）通用合同条款；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（5）发包人要求；</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w:t>
      </w:r>
      <w:r>
        <w:rPr>
          <w:rFonts w:hint="eastAsia" w:ascii="宋体" w:hAnsi="宋体"/>
          <w:i w:val="0"/>
          <w:iCs/>
          <w:color w:val="auto"/>
          <w:sz w:val="21"/>
          <w:szCs w:val="21"/>
          <w:highlight w:val="none"/>
        </w:rPr>
        <w:t>6</w:t>
      </w:r>
      <w:r>
        <w:rPr>
          <w:rFonts w:ascii="宋体" w:hAnsi="宋体"/>
          <w:i w:val="0"/>
          <w:iCs/>
          <w:color w:val="auto"/>
          <w:sz w:val="21"/>
          <w:szCs w:val="21"/>
          <w:highlight w:val="none"/>
        </w:rPr>
        <w:t>）勘察设计费用清单；</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w:t>
      </w:r>
      <w:r>
        <w:rPr>
          <w:rFonts w:hint="eastAsia" w:ascii="宋体" w:hAnsi="宋体"/>
          <w:i w:val="0"/>
          <w:iCs/>
          <w:color w:val="auto"/>
          <w:sz w:val="21"/>
          <w:szCs w:val="21"/>
          <w:highlight w:val="none"/>
        </w:rPr>
        <w:t>7</w:t>
      </w:r>
      <w:r>
        <w:rPr>
          <w:rFonts w:ascii="宋体" w:hAnsi="宋体"/>
          <w:i w:val="0"/>
          <w:iCs/>
          <w:color w:val="auto"/>
          <w:sz w:val="21"/>
          <w:szCs w:val="21"/>
          <w:highlight w:val="none"/>
        </w:rPr>
        <w:t>）勘察设计方案；</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（8）其他合同文件。</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2. 上述合同文件互相补充和解释。如果合同文件之间存在矛盾或不一致之处，以上述文件的排列顺序在先者为准。</w:t>
      </w:r>
    </w:p>
    <w:p>
      <w:pPr>
        <w:spacing w:line="440" w:lineRule="exact"/>
        <w:ind w:right="46" w:rightChars="22" w:firstLine="420" w:firstLineChars="200"/>
        <w:rPr>
          <w:rFonts w:ascii="宋体" w:hAnsi="宋体"/>
          <w:color w:val="auto"/>
          <w:szCs w:val="21"/>
          <w:highlight w:val="none"/>
        </w:rPr>
      </w:pPr>
      <w:r>
        <w:rPr>
          <w:rFonts w:ascii="宋体" w:hAnsi="宋体"/>
          <w:color w:val="auto"/>
          <w:szCs w:val="21"/>
          <w:highlight w:val="none"/>
        </w:rPr>
        <w:t>3. 签约合同价：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w:t>
      </w:r>
      <w:r>
        <w:rPr>
          <w:rFonts w:hint="eastAsia" w:ascii="宋体" w:hAnsi="宋体"/>
          <w:color w:val="auto"/>
          <w:szCs w:val="21"/>
          <w:highlight w:val="none"/>
        </w:rPr>
        <w:t>中标下浮率</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其中勘察费签约合同价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，设计费签约合同价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4. 项目负责人：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5. 勘察设计工作质量符合的标准和要求：</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6. 勘察设计人承诺按合同约定承担工程的勘察设计工作。</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7. 发包人承诺按合同约定的条件、时间和方式向勘察设计人支付合同价款。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8. 勘察设计人计划开始勘察设计日期：</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，实际日期按照发包人在开始勘察设计通知中载明的开始勘察设计日期为准。</w:t>
      </w:r>
      <w:r>
        <w:rPr>
          <w:rFonts w:ascii="宋体" w:hAnsi="宋体"/>
          <w:iCs/>
          <w:color w:val="auto"/>
          <w:szCs w:val="21"/>
          <w:highlight w:val="none"/>
        </w:rPr>
        <w:t>勘察设计服务期限从</w:t>
      </w:r>
      <w:r>
        <w:rPr>
          <w:rFonts w:ascii="宋体" w:hAnsi="宋体"/>
          <w:iCs/>
          <w:color w:val="auto"/>
          <w:szCs w:val="21"/>
          <w:highlight w:val="none"/>
          <w:u w:val="single"/>
        </w:rPr>
        <w:t>签订合同之日起至项目竣工验收止</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bookmarkStart w:id="643" w:name="_Toc152042550"/>
      <w:bookmarkStart w:id="644" w:name="_Toc144974830"/>
      <w:r>
        <w:rPr>
          <w:rFonts w:ascii="宋体" w:hAnsi="宋体"/>
          <w:i w:val="0"/>
          <w:iCs/>
          <w:color w:val="auto"/>
          <w:sz w:val="21"/>
          <w:szCs w:val="21"/>
          <w:highlight w:val="none"/>
        </w:rPr>
        <w:t>9. 本合同协议书一式</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份，合同双方各执</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份。</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10. 合同未尽事宜，双方另行签订补充协议。补充协议是合同的组成部分。</w:t>
      </w:r>
      <w:bookmarkEnd w:id="643"/>
      <w:bookmarkEnd w:id="644"/>
    </w:p>
    <w:p>
      <w:pPr>
        <w:spacing w:line="380" w:lineRule="exact"/>
        <w:ind w:right="46" w:rightChars="22" w:firstLine="420" w:firstLineChars="200"/>
        <w:rPr>
          <w:rFonts w:ascii="宋体" w:hAnsi="宋体"/>
          <w:i w:val="0"/>
          <w:iCs/>
          <w:color w:val="auto"/>
          <w:sz w:val="21"/>
          <w:szCs w:val="21"/>
          <w:highlight w:val="none"/>
        </w:rPr>
      </w:pPr>
    </w:p>
    <w:p>
      <w:pPr>
        <w:spacing w:line="380" w:lineRule="exact"/>
        <w:ind w:right="46" w:rightChars="22"/>
        <w:rPr>
          <w:rFonts w:ascii="宋体" w:hAnsi="宋体"/>
          <w:i w:val="0"/>
          <w:iCs/>
          <w:color w:val="auto"/>
          <w:sz w:val="21"/>
          <w:szCs w:val="21"/>
          <w:highlight w:val="none"/>
        </w:rPr>
      </w:pPr>
      <w:r>
        <w:rPr>
          <w:rFonts w:ascii="宋体" w:hAnsi="宋体"/>
          <w:i w:val="0"/>
          <w:iCs/>
          <w:color w:val="auto"/>
          <w:sz w:val="21"/>
          <w:szCs w:val="21"/>
          <w:highlight w:val="none"/>
        </w:rPr>
        <w:t>发包人：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（盖单位公章）      勘察设计人：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（盖单位公章）</w:t>
      </w:r>
    </w:p>
    <w:p>
      <w:pPr>
        <w:spacing w:line="380" w:lineRule="exact"/>
        <w:ind w:right="46" w:rightChars="22"/>
        <w:rPr>
          <w:rFonts w:hint="eastAsia" w:ascii="宋体" w:hAnsi="宋体"/>
          <w:i w:val="0"/>
          <w:iCs/>
          <w:color w:val="auto"/>
          <w:sz w:val="21"/>
          <w:szCs w:val="21"/>
          <w:highlight w:val="none"/>
        </w:rPr>
      </w:pPr>
      <w:r>
        <w:rPr>
          <w:rFonts w:ascii="宋体" w:hAnsi="宋体"/>
          <w:i w:val="0"/>
          <w:iCs/>
          <w:color w:val="auto"/>
          <w:sz w:val="21"/>
          <w:szCs w:val="21"/>
          <w:highlight w:val="none"/>
        </w:rPr>
        <w:t xml:space="preserve">法定代表人或其委托代理人：   </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rPr>
        <w:t>法定代表人或其委托代理人</w:t>
      </w:r>
      <w:r>
        <w:rPr>
          <w:rFonts w:hint="eastAsia" w:ascii="宋体" w:hAnsi="宋体"/>
          <w:i w:val="0"/>
          <w:iCs/>
          <w:color w:val="auto"/>
          <w:sz w:val="21"/>
          <w:szCs w:val="21"/>
          <w:highlight w:val="none"/>
        </w:rPr>
        <w:t>：</w:t>
      </w:r>
    </w:p>
    <w:p>
      <w:pPr>
        <w:spacing w:line="380" w:lineRule="exact"/>
        <w:ind w:right="46" w:rightChars="22"/>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hint="eastAsia" w:ascii="宋体" w:hAnsi="宋体"/>
          <w:i w:val="0"/>
          <w:iCs/>
          <w:color w:val="auto"/>
          <w:sz w:val="21"/>
          <w:szCs w:val="21"/>
          <w:highlight w:val="none"/>
          <w:u w:val="singl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（签字）</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u w:val="single"/>
        </w:rPr>
        <w:t xml:space="preserve">    </w:t>
      </w:r>
      <w:r>
        <w:rPr>
          <w:rFonts w:hint="eastAsia" w:ascii="宋体" w:hAnsi="宋体"/>
          <w:i w:val="0"/>
          <w:iCs/>
          <w:color w:val="auto"/>
          <w:sz w:val="21"/>
          <w:szCs w:val="21"/>
          <w:highlight w:val="none"/>
          <w:u w:val="singl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（签字）</w:t>
      </w:r>
    </w:p>
    <w:p>
      <w:pPr>
        <w:spacing w:line="380" w:lineRule="exact"/>
        <w:ind w:right="46" w:rightChars="22"/>
        <w:rPr>
          <w:rFonts w:ascii="宋体" w:hAnsi="宋体"/>
          <w:i w:val="0"/>
          <w:iCs/>
          <w:color w:val="auto"/>
          <w:sz w:val="21"/>
          <w:szCs w:val="21"/>
          <w:highlight w:val="none"/>
        </w:rPr>
      </w:pPr>
    </w:p>
    <w:p>
      <w:pPr>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年</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月</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 xml:space="preserve">日   </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年</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月</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日</w:t>
      </w:r>
      <w:bookmarkStart w:id="645" w:name="_Toc144974831"/>
      <w:bookmarkEnd w:id="645"/>
    </w:p>
    <w:p>
      <w:pPr>
        <w:rPr>
          <w:rFonts w:ascii="宋体" w:hAnsi="宋体"/>
          <w:i w:val="0"/>
          <w:iCs/>
          <w:color w:val="auto"/>
          <w:sz w:val="21"/>
          <w:szCs w:val="21"/>
          <w:highlight w:val="none"/>
        </w:rPr>
      </w:pPr>
    </w:p>
    <w:p>
      <w:pPr>
        <w:rPr>
          <w:rFonts w:ascii="宋体" w:hAnsi="宋体"/>
          <w:b/>
          <w:bCs/>
          <w:color w:val="auto"/>
          <w:highlight w:val="none"/>
        </w:rPr>
      </w:pPr>
      <w:r>
        <w:rPr>
          <w:rFonts w:ascii="Times New Roman" w:hAnsi="Times New Roman"/>
          <w:i w:val="0"/>
          <w:iCs/>
          <w:color w:val="auto"/>
          <w:sz w:val="21"/>
          <w:szCs w:val="21"/>
          <w:highlight w:val="none"/>
        </w:rPr>
        <w:br w:type="page"/>
      </w:r>
      <w:bookmarkStart w:id="646" w:name="_Toc509766012"/>
      <w:bookmarkStart w:id="647" w:name="_Toc26688"/>
      <w:bookmarkStart w:id="648" w:name="_Toc491798523"/>
      <w:r>
        <w:rPr>
          <w:rFonts w:hint="eastAsia" w:ascii="宋体" w:hAnsi="宋体"/>
          <w:b/>
          <w:bCs/>
          <w:color w:val="auto"/>
          <w:sz w:val="24"/>
          <w:szCs w:val="24"/>
          <w:highlight w:val="none"/>
        </w:rPr>
        <w:t>附件二：履约保证金格式</w:t>
      </w:r>
      <w:bookmarkEnd w:id="646"/>
      <w:bookmarkEnd w:id="647"/>
      <w:bookmarkEnd w:id="648"/>
    </w:p>
    <w:p>
      <w:pPr>
        <w:spacing w:line="440" w:lineRule="exact"/>
        <w:ind w:right="46" w:rightChars="22"/>
        <w:rPr>
          <w:rFonts w:ascii="宋体" w:hAnsi="宋体"/>
          <w:color w:val="auto"/>
          <w:sz w:val="24"/>
          <w:szCs w:val="24"/>
          <w:highlight w:val="none"/>
        </w:rPr>
      </w:pPr>
      <w:r>
        <w:rPr>
          <w:rFonts w:ascii="宋体" w:hAnsi="宋体"/>
          <w:color w:val="auto"/>
          <w:sz w:val="24"/>
          <w:szCs w:val="24"/>
          <w:highlight w:val="none"/>
        </w:rPr>
        <w:t>如采用银行保函，</w:t>
      </w:r>
      <w:r>
        <w:rPr>
          <w:rFonts w:hint="eastAsia" w:ascii="宋体" w:hAnsi="宋体"/>
          <w:color w:val="auto"/>
          <w:sz w:val="24"/>
          <w:szCs w:val="24"/>
          <w:highlight w:val="none"/>
        </w:rPr>
        <w:t>参考</w:t>
      </w:r>
      <w:r>
        <w:rPr>
          <w:rFonts w:ascii="宋体" w:hAnsi="宋体"/>
          <w:color w:val="auto"/>
          <w:sz w:val="24"/>
          <w:szCs w:val="24"/>
          <w:highlight w:val="none"/>
        </w:rPr>
        <w:t>格式如下。</w:t>
      </w:r>
    </w:p>
    <w:p>
      <w:pPr>
        <w:pStyle w:val="34"/>
        <w:rPr>
          <w:color w:val="auto"/>
          <w:highlight w:val="none"/>
        </w:rPr>
      </w:pPr>
    </w:p>
    <w:p>
      <w:pPr>
        <w:spacing w:line="360" w:lineRule="auto"/>
        <w:ind w:right="46" w:rightChars="22"/>
        <w:jc w:val="center"/>
        <w:rPr>
          <w:rFonts w:hint="eastAsia" w:ascii="宋体" w:hAnsi="宋体" w:eastAsia="宋体"/>
          <w:b/>
          <w:bCs/>
          <w:color w:val="auto"/>
          <w:sz w:val="28"/>
          <w:highlight w:val="none"/>
          <w:lang w:val="en-US" w:eastAsia="zh-CN"/>
        </w:rPr>
      </w:pPr>
      <w:r>
        <w:rPr>
          <w:rFonts w:ascii="宋体" w:hAnsi="宋体"/>
          <w:b/>
          <w:bCs/>
          <w:color w:val="auto"/>
          <w:sz w:val="28"/>
          <w:highlight w:val="none"/>
        </w:rPr>
        <w:t>履约</w:t>
      </w:r>
      <w:r>
        <w:rPr>
          <w:rFonts w:hint="eastAsia" w:ascii="宋体" w:hAnsi="宋体"/>
          <w:b/>
          <w:bCs/>
          <w:color w:val="auto"/>
          <w:sz w:val="28"/>
          <w:highlight w:val="none"/>
          <w:lang w:val="en-US" w:eastAsia="zh-CN"/>
        </w:rPr>
        <w:t>保函</w:t>
      </w:r>
    </w:p>
    <w:p>
      <w:pPr>
        <w:spacing w:line="440" w:lineRule="exact"/>
        <w:ind w:right="46" w:rightChars="22"/>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（发包人名称）：</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鉴于</w:t>
      </w:r>
      <w:r>
        <w:rPr>
          <w:rFonts w:hint="eastAsia" w:ascii="宋体" w:hAnsi="宋体"/>
          <w:color w:val="auto"/>
          <w:sz w:val="21"/>
          <w:szCs w:val="21"/>
          <w:highlight w:val="none"/>
          <w:u w:val="single"/>
        </w:rPr>
        <w:t xml:space="preserve">         </w:t>
      </w:r>
      <w:r>
        <w:rPr>
          <w:rFonts w:ascii="宋体" w:hAnsi="宋体"/>
          <w:color w:val="auto"/>
          <w:sz w:val="21"/>
          <w:szCs w:val="21"/>
          <w:highlight w:val="none"/>
        </w:rPr>
        <w:t>（发包人名称，以下简称“发包人”）接受</w:t>
      </w:r>
      <w:r>
        <w:rPr>
          <w:rFonts w:hint="eastAsia" w:ascii="宋体" w:hAnsi="宋体"/>
          <w:color w:val="auto"/>
          <w:sz w:val="21"/>
          <w:szCs w:val="21"/>
          <w:highlight w:val="none"/>
          <w:u w:val="single"/>
        </w:rPr>
        <w:t xml:space="preserve">       </w:t>
      </w:r>
      <w:r>
        <w:rPr>
          <w:rFonts w:ascii="宋体" w:hAnsi="宋体"/>
          <w:color w:val="auto"/>
          <w:sz w:val="21"/>
          <w:szCs w:val="21"/>
          <w:highlight w:val="none"/>
        </w:rPr>
        <w:t>（勘察设计人名称，以下称“勘察设计人”）于</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日参加</w:t>
      </w:r>
      <w:r>
        <w:rPr>
          <w:rFonts w:ascii="宋体" w:hAnsi="宋体"/>
          <w:color w:val="auto"/>
          <w:sz w:val="21"/>
          <w:szCs w:val="21"/>
          <w:highlight w:val="none"/>
          <w:u w:val="single"/>
        </w:rPr>
        <w:t xml:space="preserve">            </w:t>
      </w:r>
      <w:r>
        <w:rPr>
          <w:rFonts w:ascii="宋体" w:hAnsi="宋体"/>
          <w:color w:val="auto"/>
          <w:sz w:val="21"/>
          <w:szCs w:val="21"/>
          <w:highlight w:val="none"/>
        </w:rPr>
        <w:t>（项目名称）项目的投标。我方愿意无条件地、不可撤销地就勘察设计人履行与你方订立的合同，向你方提供担保。</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 xml:space="preserve">1. </w:t>
      </w:r>
      <w:r>
        <w:rPr>
          <w:rFonts w:hint="eastAsia" w:ascii="宋体" w:hAnsi="宋体"/>
          <w:color w:val="auto"/>
          <w:sz w:val="21"/>
          <w:szCs w:val="21"/>
          <w:highlight w:val="none"/>
          <w:lang w:val="en-US" w:eastAsia="zh-CN"/>
        </w:rPr>
        <w:t>本保函</w:t>
      </w:r>
      <w:r>
        <w:rPr>
          <w:rFonts w:ascii="宋体" w:hAnsi="宋体"/>
          <w:color w:val="auto"/>
          <w:sz w:val="21"/>
          <w:szCs w:val="21"/>
          <w:highlight w:val="none"/>
        </w:rPr>
        <w:t>担保金额人民币（大写）</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ascii="宋体" w:hAnsi="宋体"/>
          <w:color w:val="auto"/>
          <w:sz w:val="21"/>
          <w:szCs w:val="21"/>
          <w:highlight w:val="none"/>
        </w:rPr>
        <w:t>。</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担保有效期自发包人与勘察设计人签订的合同生效之日起至发包人签收最后一批勘察设计成果文件之日起</w:t>
      </w:r>
      <w:r>
        <w:rPr>
          <w:rFonts w:ascii="宋体" w:hAnsi="宋体"/>
          <w:color w:val="auto"/>
          <w:sz w:val="21"/>
          <w:szCs w:val="21"/>
          <w:highlight w:val="none"/>
        </w:rPr>
        <w:t>28</w:t>
      </w:r>
      <w:r>
        <w:rPr>
          <w:rFonts w:hint="eastAsia" w:ascii="宋体" w:hAnsi="宋体"/>
          <w:color w:val="auto"/>
          <w:sz w:val="21"/>
          <w:szCs w:val="21"/>
          <w:highlight w:val="none"/>
        </w:rPr>
        <w:t>日后失效。</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3. 在本担保有效期内，如果勘察设计人不履行合同约定的义务或其履行不符合合同的约定，我方在收到你方以书面形式提出的在担保金额内的赔偿要求后，在7日内无条件支付。</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4. 发包人和勘察设计人变更合同时</w:t>
      </w:r>
      <w:bookmarkStart w:id="649" w:name="_Toc246996336"/>
      <w:bookmarkStart w:id="650" w:name="_Toc184635123"/>
      <w:bookmarkStart w:id="651" w:name="_Toc247085851"/>
      <w:bookmarkStart w:id="652" w:name="_Toc296602586"/>
      <w:bookmarkStart w:id="653" w:name="_Toc247514198"/>
      <w:bookmarkStart w:id="654" w:name="_Toc384308366"/>
      <w:bookmarkStart w:id="655" w:name="_Toc15620"/>
      <w:bookmarkStart w:id="656" w:name="_Toc246997079"/>
      <w:bookmarkStart w:id="657" w:name="_Toc300835200"/>
      <w:bookmarkStart w:id="658" w:name="_Toc247527799"/>
      <w:bookmarkStart w:id="659" w:name="_Toc361508743"/>
      <w:bookmarkStart w:id="660" w:name="_Toc361231267"/>
      <w:bookmarkStart w:id="661" w:name="_Toc369531685"/>
      <w:r>
        <w:rPr>
          <w:rFonts w:ascii="宋体" w:hAnsi="宋体"/>
          <w:color w:val="auto"/>
          <w:sz w:val="21"/>
          <w:szCs w:val="21"/>
          <w:highlight w:val="none"/>
        </w:rPr>
        <w:t>，无论我方是否收到该</w:t>
      </w:r>
      <w:bookmarkEnd w:id="649"/>
      <w:bookmarkEnd w:id="650"/>
      <w:bookmarkEnd w:id="651"/>
      <w:bookmarkEnd w:id="652"/>
      <w:bookmarkEnd w:id="653"/>
      <w:bookmarkEnd w:id="654"/>
      <w:bookmarkEnd w:id="655"/>
      <w:bookmarkEnd w:id="656"/>
      <w:bookmarkEnd w:id="657"/>
      <w:bookmarkEnd w:id="658"/>
      <w:bookmarkEnd w:id="659"/>
      <w:bookmarkEnd w:id="660"/>
      <w:bookmarkEnd w:id="661"/>
      <w:r>
        <w:rPr>
          <w:rFonts w:ascii="宋体" w:hAnsi="宋体"/>
          <w:color w:val="auto"/>
          <w:sz w:val="21"/>
          <w:szCs w:val="21"/>
          <w:highlight w:val="none"/>
        </w:rPr>
        <w:t>变</w:t>
      </w:r>
      <w:bookmarkStart w:id="662" w:name="_Toc247085852"/>
      <w:bookmarkStart w:id="663" w:name="_Toc247527800"/>
      <w:bookmarkStart w:id="664" w:name="_Toc246996337"/>
      <w:bookmarkStart w:id="665" w:name="_Toc152042547"/>
      <w:bookmarkStart w:id="666" w:name="_Toc5746"/>
      <w:bookmarkStart w:id="667" w:name="_Toc152045768"/>
      <w:bookmarkStart w:id="668" w:name="_Toc361231268"/>
      <w:bookmarkStart w:id="669" w:name="_Toc247514199"/>
      <w:bookmarkStart w:id="670" w:name="_Toc246997080"/>
      <w:bookmarkStart w:id="671" w:name="_Toc361508744"/>
      <w:bookmarkStart w:id="672" w:name="_Toc369531686"/>
      <w:bookmarkStart w:id="673" w:name="_Toc300835201"/>
      <w:bookmarkStart w:id="674" w:name="_Toc179632786"/>
      <w:bookmarkStart w:id="675" w:name="_Toc144974827"/>
      <w:bookmarkStart w:id="676" w:name="_Toc384308367"/>
      <w:r>
        <w:rPr>
          <w:rFonts w:ascii="宋体" w:hAnsi="宋体"/>
          <w:color w:val="auto"/>
          <w:sz w:val="21"/>
          <w:szCs w:val="21"/>
          <w:highlight w:val="none"/>
        </w:rPr>
        <w:t>更，我方承担本</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rFonts w:ascii="宋体" w:hAnsi="宋体"/>
          <w:color w:val="auto"/>
          <w:sz w:val="21"/>
          <w:szCs w:val="21"/>
          <w:highlight w:val="none"/>
        </w:rPr>
        <w:t>担保规定的义务不变。</w:t>
      </w:r>
    </w:p>
    <w:p>
      <w:pPr>
        <w:spacing w:line="440" w:lineRule="exact"/>
        <w:ind w:right="46" w:rightChars="22"/>
        <w:rPr>
          <w:rFonts w:ascii="宋体" w:hAnsi="宋体"/>
          <w:color w:val="auto"/>
          <w:sz w:val="21"/>
          <w:szCs w:val="21"/>
          <w:highlight w:val="none"/>
        </w:rPr>
      </w:pPr>
    </w:p>
    <w:p>
      <w:pPr>
        <w:spacing w:line="600" w:lineRule="exact"/>
        <w:ind w:right="46" w:rightChars="22"/>
        <w:jc w:val="center"/>
        <w:rPr>
          <w:rFonts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担保人名称</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（盖单位公章）</w:t>
      </w:r>
    </w:p>
    <w:p>
      <w:pPr>
        <w:spacing w:line="600" w:lineRule="exact"/>
        <w:ind w:right="46" w:rightChars="22"/>
        <w:jc w:val="right"/>
        <w:rPr>
          <w:rFonts w:ascii="宋体" w:hAnsi="宋体"/>
          <w:color w:val="auto"/>
          <w:sz w:val="21"/>
          <w:szCs w:val="21"/>
          <w:highlight w:val="none"/>
        </w:rPr>
      </w:pPr>
      <w:r>
        <w:rPr>
          <w:rFonts w:ascii="宋体" w:hAnsi="宋体"/>
          <w:color w:val="auto"/>
          <w:sz w:val="21"/>
          <w:szCs w:val="21"/>
          <w:highlight w:val="none"/>
        </w:rPr>
        <w:t>法定代表人或其委托代理人：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（签字</w:t>
      </w:r>
      <w:r>
        <w:rPr>
          <w:rFonts w:hint="eastAsia" w:ascii="宋体" w:hAnsi="宋体"/>
          <w:color w:val="auto"/>
          <w:sz w:val="21"/>
          <w:szCs w:val="21"/>
          <w:highlight w:val="none"/>
          <w:lang w:val="en-US" w:eastAsia="zh-CN"/>
        </w:rPr>
        <w:t>或盖章</w:t>
      </w:r>
      <w:r>
        <w:rPr>
          <w:rFonts w:ascii="宋体" w:hAnsi="宋体"/>
          <w:color w:val="auto"/>
          <w:sz w:val="21"/>
          <w:szCs w:val="21"/>
          <w:highlight w:val="none"/>
        </w:rPr>
        <w:t>）</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地    址：</w:t>
      </w:r>
      <w:r>
        <w:rPr>
          <w:rFonts w:ascii="宋体" w:hAnsi="宋体"/>
          <w:color w:val="auto"/>
          <w:sz w:val="21"/>
          <w:szCs w:val="21"/>
          <w:highlight w:val="none"/>
          <w:u w:val="single"/>
        </w:rPr>
        <w:t xml:space="preserve">                                         </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邮政编码：</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电    话：</w:t>
      </w:r>
      <w:r>
        <w:rPr>
          <w:rFonts w:ascii="宋体" w:hAnsi="宋体"/>
          <w:color w:val="auto"/>
          <w:sz w:val="21"/>
          <w:szCs w:val="21"/>
          <w:highlight w:val="none"/>
          <w:u w:val="single"/>
        </w:rPr>
        <w:t xml:space="preserve">                                         </w:t>
      </w:r>
    </w:p>
    <w:p>
      <w:pPr>
        <w:spacing w:line="600" w:lineRule="exact"/>
        <w:ind w:right="46" w:rightChars="22" w:firstLine="4258" w:firstLineChars="2028"/>
        <w:jc w:val="right"/>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ascii="宋体" w:hAnsi="宋体"/>
          <w:color w:val="auto"/>
          <w:sz w:val="21"/>
          <w:szCs w:val="21"/>
          <w:highlight w:val="none"/>
        </w:rPr>
        <w:t>日</w:t>
      </w:r>
    </w:p>
    <w:p>
      <w:pPr>
        <w:keepNext w:val="0"/>
        <w:keepLines w:val="0"/>
        <w:pageBreakBefore w:val="0"/>
        <w:widowControl w:val="0"/>
        <w:kinsoku/>
        <w:wordWrap/>
        <w:overflowPunct/>
        <w:topLinePunct w:val="0"/>
        <w:autoSpaceDE/>
        <w:autoSpaceDN/>
        <w:bidi w:val="0"/>
        <w:adjustRightInd w:val="0"/>
        <w:snapToGrid/>
        <w:spacing w:before="120" w:beforeLines="50" w:after="120" w:afterLines="50" w:line="440" w:lineRule="exact"/>
        <w:jc w:val="left"/>
        <w:textAlignment w:val="baseline"/>
        <w:outlineLvl w:val="9"/>
        <w:rPr>
          <w:rFonts w:hint="eastAsia" w:ascii="宋体" w:hAnsi="宋体"/>
          <w:b/>
          <w:bCs/>
          <w:color w:val="auto"/>
          <w:sz w:val="24"/>
          <w:szCs w:val="24"/>
          <w:highlight w:val="none"/>
        </w:rPr>
      </w:pPr>
      <w:r>
        <w:rPr>
          <w:rFonts w:hint="eastAsia"/>
          <w:color w:val="auto"/>
          <w:highlight w:val="none"/>
        </w:rPr>
        <w:br w:type="page"/>
      </w: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预付款保函</w:t>
      </w:r>
      <w:r>
        <w:rPr>
          <w:rFonts w:hint="eastAsia" w:ascii="宋体" w:hAnsi="宋体"/>
          <w:b/>
          <w:bCs/>
          <w:color w:val="auto"/>
          <w:sz w:val="24"/>
          <w:szCs w:val="24"/>
          <w:highlight w:val="none"/>
        </w:rPr>
        <w:t>格式</w:t>
      </w:r>
    </w:p>
    <w:p>
      <w:pPr>
        <w:pStyle w:val="24"/>
        <w:rPr>
          <w:rFonts w:hint="default"/>
          <w:color w:val="auto"/>
          <w:highlight w:val="none"/>
          <w:lang w:val="en-US"/>
        </w:rPr>
      </w:pPr>
      <w:r>
        <w:rPr>
          <w:rFonts w:hint="eastAsia" w:ascii="宋体" w:hAnsi="宋体"/>
          <w:b/>
          <w:bCs/>
          <w:color w:val="auto"/>
          <w:sz w:val="24"/>
          <w:szCs w:val="24"/>
          <w:highlight w:val="none"/>
          <w:lang w:val="en-US" w:eastAsia="zh-CN"/>
        </w:rPr>
        <w:t>参考格式如下</w:t>
      </w:r>
    </w:p>
    <w:p>
      <w:pPr>
        <w:keepNext w:val="0"/>
        <w:keepLines w:val="0"/>
        <w:pageBreakBefore w:val="0"/>
        <w:widowControl w:val="0"/>
        <w:kinsoku/>
        <w:wordWrap/>
        <w:overflowPunct/>
        <w:topLinePunct w:val="0"/>
        <w:autoSpaceDE/>
        <w:autoSpaceDN/>
        <w:bidi w:val="0"/>
        <w:adjustRightInd w:val="0"/>
        <w:snapToGrid/>
        <w:spacing w:before="120" w:beforeLines="50" w:after="120" w:afterLines="50" w:line="440" w:lineRule="exact"/>
        <w:jc w:val="center"/>
        <w:textAlignment w:val="baseline"/>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预付款</w:t>
      </w:r>
      <w:r>
        <w:rPr>
          <w:rFonts w:hint="eastAsia" w:ascii="宋体" w:hAnsi="宋体" w:cs="宋体"/>
          <w:color w:val="auto"/>
          <w:sz w:val="24"/>
          <w:szCs w:val="24"/>
          <w:highlight w:val="none"/>
          <w:lang w:val="en-US" w:eastAsia="zh-CN"/>
        </w:rPr>
        <w:t>保函</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（发包人名称）：</w:t>
      </w:r>
      <w:r>
        <w:rPr>
          <w:rFonts w:hint="eastAsia" w:hAnsi="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（承包人名称）（以下称“承包人”）与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（发包人名称）（以下简称“发包人”）于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日签订的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（工程名称）《建设工程</w:t>
      </w:r>
      <w:r>
        <w:rPr>
          <w:rFonts w:hint="eastAsia" w:ascii="宋体" w:hAnsi="宋体" w:cs="宋体"/>
          <w:color w:val="auto"/>
          <w:sz w:val="24"/>
          <w:szCs w:val="24"/>
          <w:highlight w:val="none"/>
          <w:lang w:val="en-US" w:eastAsia="zh-CN"/>
        </w:rPr>
        <w:t>勘察设计</w:t>
      </w:r>
      <w:r>
        <w:rPr>
          <w:rFonts w:hint="eastAsia" w:ascii="宋体" w:hAnsi="宋体" w:cs="宋体"/>
          <w:color w:val="auto"/>
          <w:sz w:val="24"/>
          <w:szCs w:val="24"/>
          <w:highlight w:val="none"/>
        </w:rPr>
        <w:t>合同》，承包人按约定的金额向你方提交一份预付款担保，即有权得到你方支付相等金额的预付款。我方愿意就你方提供给承包人的预付款为承包人提供连带责任担保。</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 担保金额人民币（大写）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cs="宋体"/>
          <w:color w:val="auto"/>
          <w:sz w:val="24"/>
          <w:szCs w:val="24"/>
          <w:highlight w:val="none"/>
        </w:rPr>
        <w:t>担保有效期自预付款支付给承包人起生效，至你方签发的进度款支付证书说明已完全扣清止。</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cs="宋体"/>
          <w:color w:val="auto"/>
          <w:sz w:val="24"/>
          <w:szCs w:val="24"/>
          <w:highlight w:val="none"/>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cs="宋体"/>
          <w:color w:val="auto"/>
          <w:sz w:val="24"/>
          <w:szCs w:val="24"/>
          <w:highlight w:val="none"/>
        </w:rPr>
        <w:t>你方和承包人按合同约定变更合同时，我方承担本保函规定的义务不变。</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5. 因本保函发生的纠纷，可由双方协商解决，协商不成的，任何一方均可</w:t>
      </w:r>
      <w:r>
        <w:rPr>
          <w:rFonts w:hint="eastAsia" w:ascii="宋体" w:hAnsi="宋体" w:cs="宋体"/>
          <w:color w:val="auto"/>
          <w:sz w:val="24"/>
          <w:szCs w:val="24"/>
          <w:highlight w:val="none"/>
          <w:lang w:val="en-US" w:eastAsia="zh-CN"/>
        </w:rPr>
        <w:t>向项目所在地人民法院提起诉讼。</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cs="宋体"/>
          <w:color w:val="auto"/>
          <w:sz w:val="24"/>
          <w:szCs w:val="24"/>
          <w:highlight w:val="none"/>
        </w:rPr>
        <w:t>本保函自我方法定代表人（或其授权代理人）签字并加盖公章之日起生效。</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担保人：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val="0"/>
        <w:snapToGrid/>
        <w:spacing w:line="440" w:lineRule="exact"/>
        <w:ind w:firstLine="1200" w:firstLineChars="500"/>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rPr>
          <w:rFonts w:hint="eastAsia"/>
          <w:color w:val="auto"/>
          <w:highlight w:val="none"/>
        </w:rPr>
      </w:pPr>
      <w:r>
        <w:rPr>
          <w:rFonts w:hint="eastAsia" w:ascii="宋体" w:hAnsi="宋体" w:cs="宋体"/>
          <w:b/>
          <w:color w:val="auto"/>
          <w:sz w:val="24"/>
          <w:szCs w:val="24"/>
          <w:highlight w:val="none"/>
        </w:rPr>
        <w:br w:type="page"/>
      </w:r>
    </w:p>
    <w:p>
      <w:pPr>
        <w:pStyle w:val="4"/>
        <w:pageBreakBefore/>
        <w:numPr>
          <w:ilvl w:val="2"/>
          <w:numId w:val="0"/>
        </w:numPr>
        <w:spacing w:line="413" w:lineRule="auto"/>
        <w:ind w:right="46" w:rightChars="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：廉政协议</w:t>
      </w:r>
    </w:p>
    <w:p>
      <w:pPr>
        <w:spacing w:before="120" w:beforeLines="50" w:after="120" w:afterLines="50"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水利工程建设项目廉政建设责任书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工程项目名称： </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工程项目地址： </w:t>
      </w:r>
    </w:p>
    <w:p>
      <w:pPr>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发包人</w:t>
      </w:r>
      <w:r>
        <w:rPr>
          <w:rFonts w:hint="eastAsia" w:ascii="宋体" w:hAnsi="宋体" w:eastAsia="宋体" w:cs="宋体"/>
          <w:color w:val="auto"/>
          <w:highlight w:val="none"/>
        </w:rPr>
        <w:t xml:space="preserve">(甲方)： </w:t>
      </w:r>
    </w:p>
    <w:p>
      <w:pPr>
        <w:widowControl/>
        <w:spacing w:line="360" w:lineRule="auto"/>
        <w:jc w:val="left"/>
        <w:rPr>
          <w:rFonts w:hint="eastAsia" w:ascii="宋体" w:hAnsi="宋体" w:eastAsia="宋体" w:cs="宋体"/>
          <w:color w:val="auto"/>
          <w:highlight w:val="none"/>
        </w:rPr>
      </w:pPr>
      <w:r>
        <w:rPr>
          <w:rFonts w:hint="eastAsia" w:ascii="宋体" w:hAnsi="宋体" w:cs="宋体"/>
          <w:color w:val="auto"/>
          <w:highlight w:val="none"/>
          <w:lang w:val="en-US" w:eastAsia="zh-CN"/>
        </w:rPr>
        <w:t>勘察设计人</w:t>
      </w:r>
      <w:r>
        <w:rPr>
          <w:rFonts w:hint="eastAsia" w:ascii="宋体" w:hAnsi="宋体" w:eastAsia="宋体" w:cs="宋体"/>
          <w:color w:val="auto"/>
          <w:highlight w:val="none"/>
        </w:rPr>
        <w:t xml:space="preserve">(乙方)： </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为做好工程建设中的党风廉政建设，保证工程建设高效优质，保证建设资金的安全和有效使用以及投资效益，本项目</w:t>
      </w:r>
      <w:r>
        <w:rPr>
          <w:rFonts w:hint="eastAsia" w:ascii="宋体" w:hAnsi="宋体" w:cs="Times New Roman"/>
          <w:color w:val="auto"/>
          <w:kern w:val="2"/>
          <w:sz w:val="21"/>
          <w:szCs w:val="21"/>
          <w:highlight w:val="none"/>
          <w:lang w:val="en-US" w:eastAsia="zh-CN" w:bidi="ar-SA"/>
        </w:rPr>
        <w:t>发包</w:t>
      </w:r>
      <w:r>
        <w:rPr>
          <w:rFonts w:hint="default" w:ascii="宋体" w:hAnsi="宋体" w:eastAsia="宋体" w:cs="Times New Roman"/>
          <w:color w:val="auto"/>
          <w:kern w:val="2"/>
          <w:sz w:val="21"/>
          <w:szCs w:val="21"/>
          <w:highlight w:val="none"/>
          <w:lang w:val="zh-CN" w:eastAsia="zh-CN" w:bidi="ar-SA"/>
        </w:rPr>
        <w:t>人</w:t>
      </w:r>
      <w:r>
        <w:rPr>
          <w:rFonts w:hint="default" w:ascii="宋体" w:hAnsi="宋体" w:eastAsia="宋体" w:cs="Times New Roman"/>
          <w:color w:val="auto"/>
          <w:kern w:val="2"/>
          <w:sz w:val="21"/>
          <w:szCs w:val="21"/>
          <w:highlight w:val="none"/>
          <w:u w:val="single"/>
          <w:lang w:val="zh-CN" w:eastAsia="zh-CN" w:bidi="ar-SA"/>
        </w:rPr>
        <w:t>陆丰市水利工程建设管理中心</w:t>
      </w:r>
      <w:r>
        <w:rPr>
          <w:rFonts w:hint="default" w:ascii="宋体" w:hAnsi="宋体" w:eastAsia="宋体" w:cs="Times New Roman"/>
          <w:color w:val="auto"/>
          <w:kern w:val="2"/>
          <w:sz w:val="21"/>
          <w:szCs w:val="21"/>
          <w:highlight w:val="none"/>
          <w:lang w:val="zh-CN" w:eastAsia="zh-CN" w:bidi="ar-SA"/>
        </w:rPr>
        <w:t>（以下称甲方）与</w:t>
      </w:r>
      <w:r>
        <w:rPr>
          <w:rFonts w:hint="eastAsia" w:ascii="宋体" w:hAnsi="宋体" w:eastAsia="宋体" w:cs="Times New Roman"/>
          <w:color w:val="auto"/>
          <w:kern w:val="2"/>
          <w:sz w:val="21"/>
          <w:szCs w:val="21"/>
          <w:highlight w:val="none"/>
          <w:lang w:val="en-US" w:eastAsia="zh-CN" w:bidi="ar-SA"/>
        </w:rPr>
        <w:t>勘察设计</w:t>
      </w:r>
      <w:r>
        <w:rPr>
          <w:rFonts w:hint="default" w:ascii="宋体" w:hAnsi="宋体" w:eastAsia="宋体" w:cs="Times New Roman"/>
          <w:color w:val="auto"/>
          <w:kern w:val="2"/>
          <w:sz w:val="21"/>
          <w:szCs w:val="21"/>
          <w:highlight w:val="none"/>
          <w:lang w:val="zh-CN" w:eastAsia="zh-CN" w:bidi="ar-SA"/>
        </w:rPr>
        <w:t>人</w:t>
      </w:r>
      <w:r>
        <w:rPr>
          <w:rFonts w:hint="eastAsia" w:ascii="宋体" w:hAnsi="宋体" w:cs="Times New Roman"/>
          <w:color w:val="auto"/>
          <w:kern w:val="2"/>
          <w:sz w:val="21"/>
          <w:szCs w:val="21"/>
          <w:highlight w:val="none"/>
          <w:u w:val="single"/>
          <w:lang w:val="en-US" w:eastAsia="zh-CN" w:bidi="ar-SA"/>
        </w:rPr>
        <w:t xml:space="preserve">                   </w:t>
      </w:r>
      <w:r>
        <w:rPr>
          <w:rFonts w:hint="default" w:ascii="宋体" w:hAnsi="宋体" w:eastAsia="宋体" w:cs="Times New Roman"/>
          <w:color w:val="auto"/>
          <w:kern w:val="2"/>
          <w:sz w:val="21"/>
          <w:szCs w:val="21"/>
          <w:highlight w:val="none"/>
          <w:lang w:val="zh-CN" w:eastAsia="zh-CN" w:bidi="ar-SA"/>
        </w:rPr>
        <w:t>（以下称乙方</w:t>
      </w:r>
      <w:r>
        <w:rPr>
          <w:rFonts w:hint="eastAsia" w:ascii="宋体" w:hAnsi="宋体" w:eastAsia="宋体" w:cs="Times New Roman"/>
          <w:color w:val="auto"/>
          <w:kern w:val="2"/>
          <w:sz w:val="21"/>
          <w:szCs w:val="21"/>
          <w:highlight w:val="none"/>
          <w:lang w:val="zh-CN" w:eastAsia="zh-CN" w:bidi="ar-SA"/>
        </w:rPr>
        <w:t>）</w:t>
      </w:r>
      <w:r>
        <w:rPr>
          <w:rFonts w:hint="default" w:ascii="宋体" w:hAnsi="宋体" w:eastAsia="宋体" w:cs="Times New Roman"/>
          <w:color w:val="auto"/>
          <w:kern w:val="2"/>
          <w:sz w:val="21"/>
          <w:szCs w:val="21"/>
          <w:highlight w:val="none"/>
          <w:lang w:val="zh-CN" w:eastAsia="zh-CN" w:bidi="ar-SA"/>
        </w:rPr>
        <w:t>，特制定本廉政建设责任书。</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第一条 甲乙双方的责任</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（一）严格遵守党的政策和国家有关法律法规及水利部的有关规定。</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（二）严格执行</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勘测</w:t>
      </w:r>
      <w:r>
        <w:rPr>
          <w:rFonts w:hint="default" w:ascii="宋体" w:hAnsi="宋体" w:eastAsia="宋体" w:cs="Times New Roman"/>
          <w:color w:val="auto"/>
          <w:kern w:val="2"/>
          <w:sz w:val="21"/>
          <w:szCs w:val="21"/>
          <w:highlight w:val="none"/>
          <w:lang w:val="zh-CN" w:eastAsia="zh-CN" w:bidi="ar-SA"/>
        </w:rPr>
        <w:t>设计合同，自觉按合同办事。</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（三）双方的业务活动坚持公开、公正、诚信、透明的原则（除法律认定的商业秘密和合同文件另有规定之外），不得损害国家和集体利益，不得违反工程建设管理规章制度。</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w:t>
      </w:r>
      <w:r>
        <w:rPr>
          <w:rFonts w:hint="eastAsia" w:ascii="宋体" w:hAnsi="宋体" w:eastAsia="宋体" w:cs="Times New Roman"/>
          <w:color w:val="auto"/>
          <w:kern w:val="2"/>
          <w:sz w:val="21"/>
          <w:szCs w:val="21"/>
          <w:highlight w:val="none"/>
          <w:lang w:val="en-US" w:eastAsia="zh-CN" w:bidi="ar-SA"/>
        </w:rPr>
        <w:t>四</w:t>
      </w:r>
      <w:r>
        <w:rPr>
          <w:rFonts w:hint="default" w:ascii="宋体" w:hAnsi="宋体" w:eastAsia="宋体" w:cs="Times New Roman"/>
          <w:color w:val="auto"/>
          <w:kern w:val="2"/>
          <w:sz w:val="21"/>
          <w:szCs w:val="21"/>
          <w:highlight w:val="none"/>
          <w:lang w:val="zh-CN" w:eastAsia="zh-CN" w:bidi="ar-SA"/>
        </w:rPr>
        <w:t>）发现对方在业务活动中有违反廉政规定的行为，有及时提醒对方纠正的权利和义务。</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w:t>
      </w:r>
      <w:r>
        <w:rPr>
          <w:rFonts w:hint="eastAsia" w:ascii="宋体" w:hAnsi="宋体" w:eastAsia="宋体" w:cs="Times New Roman"/>
          <w:color w:val="auto"/>
          <w:kern w:val="2"/>
          <w:sz w:val="21"/>
          <w:szCs w:val="21"/>
          <w:highlight w:val="none"/>
          <w:lang w:val="en-US" w:eastAsia="zh-CN" w:bidi="ar-SA"/>
        </w:rPr>
        <w:t>五</w:t>
      </w:r>
      <w:r>
        <w:rPr>
          <w:rFonts w:hint="default" w:ascii="宋体" w:hAnsi="宋体" w:eastAsia="宋体" w:cs="Times New Roman"/>
          <w:color w:val="auto"/>
          <w:kern w:val="2"/>
          <w:sz w:val="21"/>
          <w:szCs w:val="21"/>
          <w:highlight w:val="none"/>
          <w:lang w:val="zh-CN" w:eastAsia="zh-CN" w:bidi="ar-SA"/>
        </w:rPr>
        <w:t>）发现对方严重违反本合同义务条款的行为，有向其上级部门举报、建议给予处理并要求告知处理结果的权利。</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第二条</w:t>
      </w:r>
      <w:r>
        <w:rPr>
          <w:rFonts w:ascii="宋体" w:hAnsi="宋体" w:eastAsia="宋体" w:cs="Times New Roman"/>
          <w:color w:val="auto"/>
          <w:kern w:val="2"/>
          <w:sz w:val="21"/>
          <w:szCs w:val="21"/>
          <w:highlight w:val="none"/>
          <w:lang w:val="en-US" w:eastAsia="zh-CN" w:bidi="ar-SA"/>
        </w:rPr>
        <w:tab/>
      </w:r>
      <w:r>
        <w:rPr>
          <w:rFonts w:ascii="宋体" w:hAnsi="宋体" w:eastAsia="宋体" w:cs="Times New Roman"/>
          <w:color w:val="auto"/>
          <w:kern w:val="2"/>
          <w:sz w:val="21"/>
          <w:szCs w:val="21"/>
          <w:highlight w:val="none"/>
          <w:lang w:val="en-US" w:eastAsia="zh-CN" w:bidi="ar-SA"/>
        </w:rPr>
        <w:t>甲方的责任</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（一）甲方及其工作人员不得索要或接受乙方的礼金、有价证券和贵重物品，不得在乙方报销任何应由甲方或其工作人员个人支付的费用等。</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（二）甲方工作人员不得参加乙方安排的超标准宴请和娱乐活动。</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（三）甲方及其工作人员不得要求或接受乙方为其住房装修、婚丧嫁娶活动、配偶子女及其亲属的工作安排以及出国出境、旅游等提供方便等。</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（四）甲方不准向乙方和相关单位介绍或为配偶、子女、亲属参与同本合同有关的业务等活动。不得以任何理由要求乙方和相关单位在编制中使用某种产品、材料和设备。</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第三条</w:t>
      </w:r>
      <w:r>
        <w:rPr>
          <w:rFonts w:hint="default" w:ascii="宋体" w:hAnsi="宋体" w:eastAsia="宋体" w:cs="Times New Roman"/>
          <w:color w:val="auto"/>
          <w:kern w:val="2"/>
          <w:sz w:val="21"/>
          <w:szCs w:val="21"/>
          <w:highlight w:val="none"/>
          <w:lang w:val="en-US" w:eastAsia="zh-CN" w:bidi="ar-SA"/>
        </w:rPr>
        <w:tab/>
      </w:r>
      <w:r>
        <w:rPr>
          <w:rFonts w:hint="default" w:ascii="宋体" w:hAnsi="宋体" w:eastAsia="宋体" w:cs="Times New Roman"/>
          <w:color w:val="auto"/>
          <w:kern w:val="2"/>
          <w:sz w:val="21"/>
          <w:szCs w:val="21"/>
          <w:highlight w:val="none"/>
          <w:lang w:val="en-US" w:eastAsia="zh-CN" w:bidi="ar-SA"/>
        </w:rPr>
        <w:t>乙方的责任</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（一）乙方不得以任何理由向甲方及其工作人员行贿或馈赠礼金、有价证券、贵重礼品。</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（二）乙方不得以任何名义为甲方及其工作人员报销应由甲方单位或个人支付的任何费用。</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（三）乙方不得以任何理由安排甲方工作人员参加超标准宴请及娱乐活动。</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第四条  违约责任</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（一）甲方及其工作人员违反本合同第一、二条，按管理权限，依据有关规定给予党纪、政纪处分或组织处理；涉嫌犯罪的，移交司法机关追究刑事责任；给乙方单位造成经济损失的，应予以赔偿。</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乙方及其工作人员违反本合同第一、三条，按管理权限，依据有关规定给予党纪、政纪处分或组织处理：给甲方单位造成经济损失的，应予以赔偿：情节严重的，甲方建议行政主管部门给予乙方一至三年内不得进入其主管的工程市场的处罚。</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第五条  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第六条  本合同有效期为甲乙双方签署之日起至本合同工程所有工作已完成、付完全部款项后为止。</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第七条  本合同作为</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勘测</w:t>
      </w:r>
      <w:r>
        <w:rPr>
          <w:rFonts w:hint="default" w:ascii="宋体" w:hAnsi="宋体" w:eastAsia="宋体" w:cs="Times New Roman"/>
          <w:color w:val="auto"/>
          <w:kern w:val="2"/>
          <w:sz w:val="21"/>
          <w:szCs w:val="21"/>
          <w:highlight w:val="none"/>
          <w:lang w:val="zh-CN" w:eastAsia="zh-CN" w:bidi="ar-SA"/>
        </w:rPr>
        <w:t>设计</w:t>
      </w:r>
      <w:r>
        <w:rPr>
          <w:rFonts w:hint="default" w:ascii="宋体" w:hAnsi="宋体" w:eastAsia="宋体" w:cs="Times New Roman"/>
          <w:color w:val="auto"/>
          <w:kern w:val="2"/>
          <w:sz w:val="21"/>
          <w:szCs w:val="21"/>
          <w:highlight w:val="none"/>
          <w:lang w:val="en-US" w:eastAsia="zh-CN" w:bidi="ar-SA"/>
        </w:rPr>
        <w:t>合同的附件，具有同等的法律效力，经合同双方签署立即生效。</w:t>
      </w:r>
    </w:p>
    <w:p>
      <w:pPr>
        <w:spacing w:line="360" w:lineRule="auto"/>
        <w:ind w:firstLine="422" w:firstLineChars="200"/>
        <w:rPr>
          <w:rFonts w:hint="eastAsia" w:ascii="宋体" w:hAnsi="宋体" w:eastAsia="宋体" w:cs="宋体"/>
          <w:b/>
          <w:strike/>
          <w:dstrike w:val="0"/>
          <w:color w:val="auto"/>
          <w:highlight w:val="none"/>
        </w:rPr>
      </w:pPr>
    </w:p>
    <w:p>
      <w:pPr>
        <w:spacing w:line="360" w:lineRule="auto"/>
        <w:ind w:left="645"/>
        <w:rPr>
          <w:rFonts w:hint="eastAsia" w:ascii="宋体" w:hAnsi="宋体" w:eastAsia="宋体" w:cs="宋体"/>
          <w:color w:val="auto"/>
          <w:highlight w:val="none"/>
        </w:rPr>
      </w:pPr>
    </w:p>
    <w:tbl>
      <w:tblPr>
        <w:tblStyle w:val="19"/>
        <w:tblW w:w="0" w:type="auto"/>
        <w:tblInd w:w="0" w:type="dxa"/>
        <w:tblLayout w:type="fixed"/>
        <w:tblCellMar>
          <w:top w:w="0" w:type="dxa"/>
          <w:left w:w="108" w:type="dxa"/>
          <w:bottom w:w="0" w:type="dxa"/>
          <w:right w:w="108" w:type="dxa"/>
        </w:tblCellMar>
      </w:tblPr>
      <w:tblGrid>
        <w:gridCol w:w="4788"/>
        <w:gridCol w:w="4320"/>
      </w:tblGrid>
      <w:tr>
        <w:tblPrEx>
          <w:tblCellMar>
            <w:top w:w="0" w:type="dxa"/>
            <w:left w:w="108" w:type="dxa"/>
            <w:bottom w:w="0" w:type="dxa"/>
            <w:right w:w="108" w:type="dxa"/>
          </w:tblCellMar>
        </w:tblPrEx>
        <w:tc>
          <w:tcPr>
            <w:tcW w:w="4788" w:type="dxa"/>
            <w:noWrap w:val="0"/>
            <w:vAlign w:val="top"/>
          </w:tcPr>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甲方单位：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(签字或盖章) </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联系地址： </w:t>
            </w:r>
          </w:p>
          <w:p>
            <w:pPr>
              <w:adjustRightInd w:val="0"/>
              <w:snapToGrid w:val="0"/>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联系电话： </w:t>
            </w:r>
          </w:p>
          <w:p>
            <w:pPr>
              <w:adjustRightInd w:val="0"/>
              <w:snapToGrid w:val="0"/>
              <w:spacing w:line="360" w:lineRule="auto"/>
              <w:ind w:right="420"/>
              <w:jc w:val="right"/>
              <w:rPr>
                <w:rStyle w:val="35"/>
                <w:rFonts w:hint="eastAsia" w:ascii="宋体" w:hAnsi="宋体" w:eastAsia="宋体" w:cs="宋体"/>
                <w:iCs w:val="0"/>
                <w:color w:val="auto"/>
                <w:szCs w:val="21"/>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djustRightInd w:val="0"/>
              <w:snapToGrid w:val="0"/>
              <w:spacing w:line="360" w:lineRule="auto"/>
              <w:rPr>
                <w:rFonts w:hint="eastAsia" w:ascii="宋体" w:hAnsi="宋体" w:eastAsia="宋体" w:cs="宋体"/>
                <w:color w:val="auto"/>
                <w:highlight w:val="none"/>
              </w:rPr>
            </w:pPr>
          </w:p>
        </w:tc>
        <w:tc>
          <w:tcPr>
            <w:tcW w:w="4320" w:type="dxa"/>
            <w:noWrap w:val="0"/>
            <w:vAlign w:val="top"/>
          </w:tcPr>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乙方单位：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(签字或盖章) </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联系地址：</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联系电话：</w:t>
            </w:r>
          </w:p>
          <w:p>
            <w:pPr>
              <w:adjustRightInd w:val="0"/>
              <w:snapToGrid w:val="0"/>
              <w:spacing w:line="360" w:lineRule="auto"/>
              <w:ind w:right="315"/>
              <w:jc w:val="righ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djustRightInd w:val="0"/>
              <w:snapToGrid w:val="0"/>
              <w:spacing w:line="360" w:lineRule="auto"/>
              <w:rPr>
                <w:rFonts w:hint="eastAsia" w:ascii="宋体" w:hAnsi="宋体" w:eastAsia="宋体" w:cs="宋体"/>
                <w:color w:val="auto"/>
                <w:highlight w:val="none"/>
              </w:rPr>
            </w:pPr>
          </w:p>
        </w:tc>
      </w:tr>
    </w:tbl>
    <w:p>
      <w:pPr>
        <w:pStyle w:val="15"/>
        <w:ind w:left="0" w:leftChars="0" w:firstLine="0" w:firstLineChars="0"/>
        <w:rPr>
          <w:rFonts w:hint="eastAsia"/>
          <w:color w:val="auto"/>
          <w:highlight w:val="none"/>
        </w:rPr>
      </w:pPr>
    </w:p>
    <w:p>
      <w:pPr>
        <w:rPr>
          <w:rFonts w:ascii="Times New Roman" w:hAnsi="Times New Roman"/>
          <w:color w:val="auto"/>
          <w:highlight w:val="none"/>
        </w:rPr>
      </w:pPr>
      <w:r>
        <w:rPr>
          <w:rFonts w:ascii="Times New Roman" w:hAnsi="Times New Roman"/>
          <w:color w:val="auto"/>
          <w:highlight w:val="none"/>
        </w:rPr>
        <w:br w:type="page"/>
      </w:r>
    </w:p>
    <w:p>
      <w:pPr>
        <w:pStyle w:val="3"/>
        <w:spacing w:before="120" w:after="120" w:line="240" w:lineRule="auto"/>
        <w:ind w:right="46" w:rightChars="22"/>
        <w:jc w:val="center"/>
        <w:rPr>
          <w:rFonts w:ascii="宋体" w:hAnsi="宋体"/>
          <w:color w:val="auto"/>
          <w:sz w:val="32"/>
          <w:szCs w:val="32"/>
          <w:highlight w:val="none"/>
        </w:rPr>
      </w:pPr>
      <w:bookmarkStart w:id="677" w:name="_Toc509766013"/>
      <w:r>
        <w:rPr>
          <w:rFonts w:hint="eastAsia" w:ascii="宋体" w:hAnsi="宋体"/>
          <w:color w:val="auto"/>
          <w:sz w:val="44"/>
          <w:szCs w:val="44"/>
          <w:highlight w:val="none"/>
        </w:rPr>
        <w:t>第五章 发包人要求</w:t>
      </w:r>
      <w:bookmarkEnd w:id="677"/>
    </w:p>
    <w:p>
      <w:pPr>
        <w:spacing w:line="400" w:lineRule="exact"/>
        <w:ind w:right="46" w:rightChars="22"/>
        <w:jc w:val="center"/>
        <w:rPr>
          <w:rFonts w:hint="eastAsia" w:ascii="宋体" w:hAnsi="宋体" w:eastAsia="宋体" w:cs="宋体"/>
          <w:b/>
          <w:color w:val="auto"/>
          <w:sz w:val="21"/>
          <w:szCs w:val="21"/>
          <w:highlight w:val="none"/>
        </w:rPr>
      </w:pPr>
    </w:p>
    <w:p>
      <w:pPr>
        <w:pStyle w:val="10"/>
        <w:keepNext w:val="0"/>
        <w:keepLines w:val="0"/>
        <w:pageBreakBefore w:val="0"/>
        <w:widowControl w:val="0"/>
        <w:kinsoku/>
        <w:wordWrap/>
        <w:overflowPunct/>
        <w:topLinePunct w:val="0"/>
        <w:autoSpaceDE w:val="0"/>
        <w:autoSpaceDN w:val="0"/>
        <w:bidi w:val="0"/>
        <w:adjustRightInd/>
        <w:snapToGrid/>
        <w:spacing w:before="128" w:line="300" w:lineRule="exact"/>
        <w:ind w:left="215" w:right="295"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初步设计报告、地质勘察报告、图纸及工程概算书等符合 </w:t>
      </w:r>
      <w:r>
        <w:rPr>
          <w:rFonts w:hint="eastAsia" w:ascii="宋体" w:hAnsi="宋体" w:eastAsia="宋体" w:cs="宋体"/>
          <w:color w:val="auto"/>
          <w:spacing w:val="-3"/>
          <w:sz w:val="21"/>
          <w:szCs w:val="21"/>
          <w:highlight w:val="none"/>
        </w:rPr>
        <w:t>SL</w:t>
      </w:r>
      <w:r>
        <w:rPr>
          <w:rFonts w:hint="eastAsia" w:ascii="宋体" w:hAnsi="宋体" w:eastAsia="宋体" w:cs="宋体"/>
          <w:color w:val="auto"/>
          <w:spacing w:val="-3"/>
          <w:sz w:val="21"/>
          <w:szCs w:val="21"/>
          <w:highlight w:val="none"/>
          <w:lang w:val="en-US"/>
        </w:rPr>
        <w:t>T</w:t>
      </w:r>
      <w:r>
        <w:rPr>
          <w:rFonts w:hint="eastAsia" w:ascii="宋体" w:hAnsi="宋体" w:eastAsia="宋体" w:cs="宋体"/>
          <w:color w:val="auto"/>
          <w:spacing w:val="-3"/>
          <w:sz w:val="21"/>
          <w:szCs w:val="21"/>
          <w:highlight w:val="none"/>
        </w:rPr>
        <w:t>619-20</w:t>
      </w:r>
      <w:r>
        <w:rPr>
          <w:rFonts w:hint="eastAsia" w:ascii="宋体" w:hAnsi="宋体" w:eastAsia="宋体" w:cs="宋体"/>
          <w:color w:val="auto"/>
          <w:spacing w:val="-3"/>
          <w:sz w:val="21"/>
          <w:szCs w:val="21"/>
          <w:highlight w:val="none"/>
          <w:lang w:val="en-US"/>
        </w:rPr>
        <w:t>21</w:t>
      </w:r>
      <w:r>
        <w:rPr>
          <w:rFonts w:hint="eastAsia" w:ascii="宋体" w:hAnsi="宋体" w:eastAsia="宋体" w:cs="宋体"/>
          <w:color w:val="auto"/>
          <w:spacing w:val="-3"/>
          <w:sz w:val="21"/>
          <w:szCs w:val="21"/>
          <w:highlight w:val="none"/>
        </w:rPr>
        <w:t>《水利水电工程初步设计</w:t>
      </w:r>
      <w:r>
        <w:rPr>
          <w:rFonts w:hint="eastAsia" w:ascii="宋体" w:hAnsi="宋体" w:eastAsia="宋体" w:cs="宋体"/>
          <w:color w:val="auto"/>
          <w:spacing w:val="-4"/>
          <w:sz w:val="21"/>
          <w:szCs w:val="21"/>
          <w:highlight w:val="none"/>
        </w:rPr>
        <w:t>报告编制规程》及国家和行业的规定，相应的技术规范和技术条款等其他成果资料符合现行国家和</w:t>
      </w:r>
      <w:r>
        <w:rPr>
          <w:rFonts w:hint="eastAsia" w:ascii="宋体" w:hAnsi="宋体" w:eastAsia="宋体" w:cs="宋体"/>
          <w:color w:val="auto"/>
          <w:spacing w:val="-3"/>
          <w:sz w:val="21"/>
          <w:szCs w:val="21"/>
          <w:highlight w:val="none"/>
        </w:rPr>
        <w:t>行业的规定。</w:t>
      </w:r>
    </w:p>
    <w:p>
      <w:pPr>
        <w:pStyle w:val="10"/>
        <w:keepNext w:val="0"/>
        <w:keepLines w:val="0"/>
        <w:pageBreakBefore w:val="0"/>
        <w:widowControl w:val="0"/>
        <w:kinsoku/>
        <w:wordWrap/>
        <w:overflowPunct/>
        <w:topLinePunct w:val="0"/>
        <w:autoSpaceDE w:val="0"/>
        <w:autoSpaceDN w:val="0"/>
        <w:bidi w:val="0"/>
        <w:adjustRightInd/>
        <w:snapToGrid/>
        <w:spacing w:line="300" w:lineRule="exact"/>
        <w:ind w:left="641" w:right="154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现行的规程、规范技术标准，主要包括(但不限于，如有更新则执行最新标准)： </w:t>
      </w:r>
    </w:p>
    <w:p>
      <w:pPr>
        <w:pStyle w:val="10"/>
        <w:keepNext w:val="0"/>
        <w:keepLines w:val="0"/>
        <w:pageBreakBefore w:val="0"/>
        <w:widowControl w:val="0"/>
        <w:kinsoku/>
        <w:wordWrap/>
        <w:overflowPunct/>
        <w:topLinePunct w:val="0"/>
        <w:autoSpaceDE w:val="0"/>
        <w:autoSpaceDN w:val="0"/>
        <w:bidi w:val="0"/>
        <w:adjustRightInd/>
        <w:snapToGrid/>
        <w:spacing w:line="240" w:lineRule="exact"/>
        <w:ind w:left="641" w:right="154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《防洪标准》GB50201-2014；</w:t>
      </w:r>
    </w:p>
    <w:p>
      <w:pPr>
        <w:pStyle w:val="10"/>
        <w:keepNext w:val="0"/>
        <w:keepLines w:val="0"/>
        <w:pageBreakBefore w:val="0"/>
        <w:widowControl w:val="0"/>
        <w:kinsoku/>
        <w:wordWrap/>
        <w:overflowPunct/>
        <w:topLinePunct w:val="0"/>
        <w:autoSpaceDE w:val="0"/>
        <w:autoSpaceDN w:val="0"/>
        <w:bidi w:val="0"/>
        <w:adjustRightInd/>
        <w:snapToGrid/>
        <w:spacing w:line="240" w:lineRule="exact"/>
        <w:ind w:left="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《水利水电工程等级划分及洪水标准》(SL252-2017)；</w:t>
      </w:r>
    </w:p>
    <w:p>
      <w:pPr>
        <w:pStyle w:val="10"/>
        <w:keepNext w:val="0"/>
        <w:keepLines w:val="0"/>
        <w:pageBreakBefore w:val="0"/>
        <w:widowControl w:val="0"/>
        <w:kinsoku/>
        <w:wordWrap/>
        <w:overflowPunct/>
        <w:topLinePunct w:val="0"/>
        <w:autoSpaceDE w:val="0"/>
        <w:autoSpaceDN w:val="0"/>
        <w:bidi w:val="0"/>
        <w:adjustRightInd/>
        <w:snapToGrid/>
        <w:spacing w:before="124" w:line="240" w:lineRule="exact"/>
        <w:ind w:left="63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《堤防工程设计规范》(GB50286-2013)；</w:t>
      </w:r>
    </w:p>
    <w:p>
      <w:pPr>
        <w:pStyle w:val="10"/>
        <w:keepNext w:val="0"/>
        <w:keepLines w:val="0"/>
        <w:pageBreakBefore w:val="0"/>
        <w:widowControl w:val="0"/>
        <w:kinsoku/>
        <w:wordWrap/>
        <w:overflowPunct/>
        <w:topLinePunct w:val="0"/>
        <w:autoSpaceDE w:val="0"/>
        <w:autoSpaceDN w:val="0"/>
        <w:bidi w:val="0"/>
        <w:adjustRightInd/>
        <w:snapToGrid/>
        <w:spacing w:before="124" w:line="240" w:lineRule="exact"/>
        <w:ind w:left="63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《水闸设计规范》(SL265-2016)；</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《水工挡土墙设计规范》</w:t>
      </w:r>
      <w:r>
        <w:rPr>
          <w:rFonts w:hint="eastAsia" w:ascii="宋体" w:hAnsi="宋体" w:eastAsia="宋体" w:cs="宋体"/>
          <w:color w:val="auto"/>
          <w:sz w:val="21"/>
          <w:szCs w:val="21"/>
          <w:highlight w:val="none"/>
        </w:rPr>
        <w:t>(SL379-2007)；</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4"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《水工混凝土结构设计规范》</w:t>
      </w:r>
      <w:r>
        <w:rPr>
          <w:rFonts w:hint="eastAsia" w:ascii="宋体" w:hAnsi="宋体" w:eastAsia="宋体" w:cs="宋体"/>
          <w:color w:val="auto"/>
          <w:sz w:val="21"/>
          <w:szCs w:val="21"/>
          <w:highlight w:val="none"/>
        </w:rPr>
        <w:t>SL191-2008；</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《水工建筑物抗震设计</w:t>
      </w:r>
      <w:r>
        <w:rPr>
          <w:rFonts w:hint="eastAsia" w:ascii="宋体" w:hAnsi="宋体" w:eastAsia="宋体" w:cs="宋体"/>
          <w:color w:val="auto"/>
          <w:spacing w:val="-3"/>
          <w:sz w:val="21"/>
          <w:szCs w:val="21"/>
          <w:highlight w:val="none"/>
          <w:lang w:val="en-US" w:eastAsia="zh-CN"/>
        </w:rPr>
        <w:t>标准</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GB51247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2018</w:t>
      </w:r>
      <w:r>
        <w:rPr>
          <w:rFonts w:hint="eastAsia" w:ascii="宋体" w:hAnsi="宋体" w:eastAsia="宋体" w:cs="宋体"/>
          <w:color w:val="auto"/>
          <w:sz w:val="21"/>
          <w:szCs w:val="21"/>
          <w:highlight w:val="none"/>
        </w:rPr>
        <w:t>)；</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5"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《水工建筑物荷载设计规范》</w:t>
      </w:r>
      <w:r>
        <w:rPr>
          <w:rFonts w:hint="eastAsia" w:ascii="宋体" w:hAnsi="宋体" w:eastAsia="宋体" w:cs="宋体"/>
          <w:color w:val="auto"/>
          <w:sz w:val="21"/>
          <w:szCs w:val="21"/>
          <w:highlight w:val="none"/>
        </w:rPr>
        <w:t>(DL5077-1997)；</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《建筑地基基础设计规范》(</w:t>
      </w:r>
      <w:r>
        <w:rPr>
          <w:rFonts w:hint="eastAsia" w:ascii="宋体" w:hAnsi="宋体" w:eastAsia="宋体" w:cs="宋体"/>
          <w:color w:val="auto"/>
          <w:sz w:val="21"/>
          <w:szCs w:val="21"/>
          <w:highlight w:val="none"/>
        </w:rPr>
        <w:t>GB50007-2011)；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《建筑地基处理技术规范》</w:t>
      </w:r>
      <w:r>
        <w:rPr>
          <w:rFonts w:hint="eastAsia" w:ascii="宋体" w:hAnsi="宋体" w:eastAsia="宋体" w:cs="宋体"/>
          <w:color w:val="auto"/>
          <w:sz w:val="21"/>
          <w:szCs w:val="21"/>
          <w:highlight w:val="none"/>
        </w:rPr>
        <w:t>(JGJ</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79-2012)；</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《建筑桩基技术规范》</w:t>
      </w:r>
      <w:r>
        <w:rPr>
          <w:rFonts w:hint="eastAsia" w:ascii="宋体" w:hAnsi="宋体" w:eastAsia="宋体" w:cs="宋体"/>
          <w:color w:val="auto"/>
          <w:sz w:val="21"/>
          <w:szCs w:val="21"/>
          <w:highlight w:val="none"/>
        </w:rPr>
        <w:t>(JGJ94-2008)；</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《水利水电工程设计工程量计算规定》(</w:t>
      </w:r>
      <w:r>
        <w:rPr>
          <w:rFonts w:hint="eastAsia" w:ascii="宋体" w:hAnsi="宋体" w:eastAsia="宋体" w:cs="宋体"/>
          <w:color w:val="auto"/>
          <w:sz w:val="21"/>
          <w:szCs w:val="21"/>
          <w:highlight w:val="none"/>
        </w:rPr>
        <w:t>SL328-2005)；</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5"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《水利水电工程可行性研究报告编制规程》(</w:t>
      </w:r>
      <w:r>
        <w:rPr>
          <w:rFonts w:hint="eastAsia" w:ascii="宋体" w:hAnsi="宋体" w:eastAsia="宋体" w:cs="宋体"/>
          <w:color w:val="auto"/>
          <w:sz w:val="21"/>
          <w:szCs w:val="21"/>
          <w:highlight w:val="none"/>
        </w:rPr>
        <w:t>SL618-20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《中国地震动参数区划图》</w:t>
      </w:r>
      <w:r>
        <w:rPr>
          <w:rFonts w:hint="eastAsia" w:ascii="宋体" w:hAnsi="宋体" w:eastAsia="宋体" w:cs="宋体"/>
          <w:color w:val="auto"/>
          <w:sz w:val="21"/>
          <w:szCs w:val="21"/>
          <w:highlight w:val="none"/>
        </w:rPr>
        <w:t>(GB18306-2015)；</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《水利水电工程钢闸门设计规范》(</w:t>
      </w:r>
      <w:r>
        <w:rPr>
          <w:rFonts w:hint="eastAsia" w:ascii="宋体" w:hAnsi="宋体" w:eastAsia="宋体" w:cs="宋体"/>
          <w:color w:val="auto"/>
          <w:sz w:val="21"/>
          <w:szCs w:val="21"/>
          <w:highlight w:val="none"/>
        </w:rPr>
        <w:t>SL74-2013)；</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《水利水电工程启闭机设计规范》(</w:t>
      </w:r>
      <w:r>
        <w:rPr>
          <w:rFonts w:hint="eastAsia" w:ascii="宋体" w:hAnsi="宋体" w:eastAsia="宋体" w:cs="宋体"/>
          <w:color w:val="auto"/>
          <w:sz w:val="21"/>
          <w:szCs w:val="21"/>
          <w:highlight w:val="none"/>
        </w:rPr>
        <w:t>SL 41-2011)；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5"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《水利水电工程施工组织设计规范》</w:t>
      </w:r>
      <w:r>
        <w:rPr>
          <w:rFonts w:hint="eastAsia" w:ascii="宋体" w:hAnsi="宋体" w:eastAsia="宋体" w:cs="宋体"/>
          <w:color w:val="auto"/>
          <w:sz w:val="21"/>
          <w:szCs w:val="21"/>
          <w:highlight w:val="none"/>
        </w:rPr>
        <w:t>(SL303-20</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《水电水利工程施工交通设计导则》</w:t>
      </w:r>
      <w:r>
        <w:rPr>
          <w:rFonts w:hint="eastAsia" w:ascii="宋体" w:hAnsi="宋体" w:eastAsia="宋体" w:cs="宋体"/>
          <w:color w:val="auto"/>
          <w:sz w:val="21"/>
          <w:szCs w:val="21"/>
          <w:highlight w:val="none"/>
        </w:rPr>
        <w:t>(DL/T5134-2001)；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《水利水电工程设计防火规范》</w:t>
      </w:r>
      <w:r>
        <w:rPr>
          <w:rFonts w:hint="eastAsia" w:ascii="宋体" w:hAnsi="宋体" w:eastAsia="宋体" w:cs="宋体"/>
          <w:color w:val="auto"/>
          <w:sz w:val="21"/>
          <w:szCs w:val="21"/>
          <w:highlight w:val="none"/>
        </w:rPr>
        <w:t>(GB50872-2014)；</w:t>
      </w:r>
    </w:p>
    <w:p>
      <w:pPr>
        <w:pStyle w:val="10"/>
        <w:keepNext w:val="0"/>
        <w:keepLines w:val="0"/>
        <w:pageBreakBefore w:val="0"/>
        <w:widowControl w:val="0"/>
        <w:kinsoku/>
        <w:wordWrap/>
        <w:overflowPunct/>
        <w:topLinePunct w:val="0"/>
        <w:autoSpaceDE w:val="0"/>
        <w:autoSpaceDN w:val="0"/>
        <w:bidi w:val="0"/>
        <w:adjustRightInd/>
        <w:snapToGrid/>
        <w:spacing w:before="127" w:line="240" w:lineRule="exact"/>
        <w:ind w:left="63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 《建筑设计防火规范》(GB50016-2014)；</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5"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《水利水电工程环境保护设计规范》</w:t>
      </w:r>
      <w:r>
        <w:rPr>
          <w:rFonts w:hint="eastAsia" w:ascii="宋体" w:hAnsi="宋体" w:eastAsia="宋体" w:cs="宋体"/>
          <w:color w:val="auto"/>
          <w:sz w:val="21"/>
          <w:szCs w:val="21"/>
          <w:highlight w:val="none"/>
        </w:rPr>
        <w:t>(SL</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492-2011)；</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《水利水电工程环境保护概估算编制规程》(</w:t>
      </w:r>
      <w:r>
        <w:rPr>
          <w:rFonts w:hint="eastAsia" w:ascii="宋体" w:hAnsi="宋体" w:eastAsia="宋体" w:cs="宋体"/>
          <w:color w:val="auto"/>
          <w:sz w:val="21"/>
          <w:szCs w:val="21"/>
          <w:highlight w:val="none"/>
        </w:rPr>
        <w:t>SL</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359-2006)；</w:t>
      </w:r>
      <w:r>
        <w:rPr>
          <w:rFonts w:hint="eastAsia" w:ascii="宋体" w:hAnsi="宋体" w:eastAsia="宋体" w:cs="宋体"/>
          <w:color w:val="auto"/>
          <w:sz w:val="21"/>
          <w:szCs w:val="21"/>
          <w:highlight w:val="none"/>
          <w:lang w:val="en-US" w:eastAsia="zh-CN"/>
        </w:rPr>
        <w:t xml:space="preserve">       </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《水利建设项目经济评价规范》</w:t>
      </w:r>
      <w:r>
        <w:rPr>
          <w:rFonts w:hint="eastAsia" w:ascii="宋体" w:hAnsi="宋体" w:eastAsia="宋体" w:cs="宋体"/>
          <w:color w:val="auto"/>
          <w:sz w:val="21"/>
          <w:szCs w:val="21"/>
          <w:highlight w:val="none"/>
        </w:rPr>
        <w:t>(SL72-2013)；</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4"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《开发建设项目水土保持技术规范》</w:t>
      </w:r>
      <w:r>
        <w:rPr>
          <w:rFonts w:hint="eastAsia" w:ascii="宋体" w:hAnsi="宋体" w:eastAsia="宋体" w:cs="宋体"/>
          <w:color w:val="auto"/>
          <w:sz w:val="21"/>
          <w:szCs w:val="21"/>
          <w:highlight w:val="none"/>
        </w:rPr>
        <w:t>(GB50433-2008)；</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《水利水电工程水库淹没实物指标调查细则》；</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5"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《水利水电工程劳动安全与工业卫生设计规范》</w:t>
      </w:r>
      <w:r>
        <w:rPr>
          <w:rFonts w:hint="eastAsia" w:ascii="宋体" w:hAnsi="宋体" w:eastAsia="宋体" w:cs="宋体"/>
          <w:color w:val="auto"/>
          <w:sz w:val="21"/>
          <w:szCs w:val="21"/>
          <w:highlight w:val="none"/>
        </w:rPr>
        <w:t>(GB50706-2011)；</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《水利工程设计概(估)算编制规定》(水利部 </w:t>
      </w:r>
      <w:r>
        <w:rPr>
          <w:rFonts w:hint="eastAsia" w:ascii="宋体" w:hAnsi="宋体" w:eastAsia="宋体" w:cs="宋体"/>
          <w:color w:val="auto"/>
          <w:sz w:val="21"/>
          <w:szCs w:val="21"/>
          <w:highlight w:val="none"/>
        </w:rPr>
        <w:t>2014</w:t>
      </w:r>
      <w:r>
        <w:rPr>
          <w:rFonts w:hint="eastAsia" w:ascii="宋体" w:hAnsi="宋体" w:eastAsia="宋体" w:cs="宋体"/>
          <w:color w:val="auto"/>
          <w:spacing w:val="-10"/>
          <w:sz w:val="21"/>
          <w:szCs w:val="21"/>
          <w:highlight w:val="none"/>
        </w:rPr>
        <w:t>年颁布)；</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4" w:line="240" w:lineRule="exact"/>
        <w:ind w:left="638" w:right="2285"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《广东省水利水电工程设计概(估) 算编制规定》(</w:t>
      </w:r>
      <w:r>
        <w:rPr>
          <w:rFonts w:hint="eastAsia" w:ascii="宋体" w:hAnsi="宋体" w:eastAsia="宋体" w:cs="宋体"/>
          <w:color w:val="auto"/>
          <w:spacing w:val="-3"/>
          <w:sz w:val="21"/>
          <w:szCs w:val="21"/>
          <w:highlight w:val="none"/>
          <w:lang w:val="en-US" w:eastAsia="zh-CN"/>
        </w:rPr>
        <w:t>2017</w:t>
      </w:r>
      <w:r>
        <w:rPr>
          <w:rFonts w:hint="eastAsia" w:ascii="宋体" w:hAnsi="宋体" w:eastAsia="宋体" w:cs="宋体"/>
          <w:color w:val="auto"/>
          <w:spacing w:val="-3"/>
          <w:sz w:val="21"/>
          <w:szCs w:val="21"/>
          <w:highlight w:val="none"/>
        </w:rPr>
        <w:t xml:space="preserve">)； </w:t>
      </w:r>
    </w:p>
    <w:p>
      <w:pPr>
        <w:pStyle w:val="37"/>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124" w:line="240" w:lineRule="exact"/>
        <w:ind w:left="641" w:leftChars="0" w:right="2285" w:rightChars="0"/>
        <w:textAlignment w:val="auto"/>
        <w:rPr>
          <w:rFonts w:hint="eastAsia"/>
          <w:color w:val="auto"/>
          <w:highlight w:val="none"/>
          <w:lang w:val="en-US" w:eastAsia="zh-CN"/>
        </w:rPr>
      </w:pPr>
      <w:r>
        <w:rPr>
          <w:rFonts w:hint="eastAsia" w:ascii="宋体" w:hAnsi="宋体" w:eastAsia="宋体" w:cs="宋体"/>
          <w:color w:val="auto"/>
          <w:spacing w:val="-3"/>
          <w:sz w:val="21"/>
          <w:szCs w:val="21"/>
          <w:highlight w:val="none"/>
        </w:rPr>
        <w:t>29)《水利水电工程初步设计报告编制规程》(</w:t>
      </w:r>
      <w:r>
        <w:rPr>
          <w:rFonts w:hint="eastAsia" w:ascii="宋体" w:hAnsi="宋体" w:eastAsia="宋体" w:cs="宋体"/>
          <w:color w:val="auto"/>
          <w:sz w:val="21"/>
          <w:szCs w:val="21"/>
          <w:highlight w:val="none"/>
        </w:rPr>
        <w:t>SL619-20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w:t>
      </w:r>
    </w:p>
    <w:p>
      <w:pPr>
        <w:pStyle w:val="14"/>
        <w:rPr>
          <w:rFonts w:hint="eastAsia"/>
          <w:color w:val="auto"/>
          <w:highlight w:val="none"/>
        </w:rPr>
      </w:pPr>
    </w:p>
    <w:p>
      <w:pPr>
        <w:spacing w:line="360" w:lineRule="auto"/>
        <w:ind w:firstLine="422" w:firstLineChars="200"/>
        <w:rPr>
          <w:rFonts w:ascii="宋体" w:hAnsi="宋体"/>
          <w:color w:val="auto"/>
          <w:szCs w:val="21"/>
          <w:highlight w:val="none"/>
        </w:rPr>
      </w:pPr>
      <w:r>
        <w:rPr>
          <w:rFonts w:hint="eastAsia" w:ascii="宋体" w:hAnsi="宋体" w:eastAsia="宋体" w:cs="宋体"/>
          <w:b/>
          <w:bCs/>
          <w:color w:val="auto"/>
          <w:sz w:val="21"/>
          <w:szCs w:val="21"/>
          <w:highlight w:val="none"/>
        </w:rPr>
        <w:t>上述规范、标准、规程仅是本工程的最基本依据，并未包括实施中所涉及到的所有规定、标准和规程。在施工中对于上述未尽事宜，按国家和地方现行的规定执行（相关行政主管部门有新颁布文件的，按最新颁布的文件执行）。</w:t>
      </w:r>
      <w:r>
        <w:rPr>
          <w:rFonts w:ascii="Times New Roman" w:hAnsi="Times New Roman"/>
          <w:color w:val="auto"/>
          <w:highlight w:val="none"/>
        </w:rPr>
        <w:br w:type="page"/>
      </w:r>
    </w:p>
    <w:p>
      <w:pPr>
        <w:pStyle w:val="24"/>
        <w:rPr>
          <w:color w:val="auto"/>
          <w:highlight w:val="none"/>
        </w:rPr>
      </w:pPr>
    </w:p>
    <w:p>
      <w:pPr>
        <w:pStyle w:val="4"/>
        <w:numPr>
          <w:ilvl w:val="0"/>
          <w:numId w:val="0"/>
        </w:numPr>
        <w:autoSpaceDE w:val="0"/>
        <w:spacing w:before="20" w:after="20"/>
        <w:jc w:val="both"/>
        <w:outlineLvl w:val="9"/>
        <w:rPr>
          <w:rFonts w:hint="eastAsia" w:ascii="宋体" w:hAnsi="宋体" w:eastAsia="宋体"/>
          <w:color w:val="auto"/>
          <w:sz w:val="36"/>
          <w:szCs w:val="36"/>
          <w:highlight w:val="none"/>
        </w:rPr>
      </w:pPr>
    </w:p>
    <w:p>
      <w:pPr>
        <w:pStyle w:val="4"/>
        <w:numPr>
          <w:ilvl w:val="0"/>
          <w:numId w:val="0"/>
        </w:numPr>
        <w:autoSpaceDE w:val="0"/>
        <w:spacing w:before="20" w:after="20"/>
        <w:ind w:left="1136" w:hanging="1140" w:hangingChars="258"/>
        <w:jc w:val="center"/>
        <w:outlineLvl w:val="0"/>
        <w:rPr>
          <w:rFonts w:hint="eastAsia" w:ascii="宋体" w:hAnsi="宋体" w:eastAsia="宋体"/>
          <w:color w:val="auto"/>
          <w:sz w:val="44"/>
          <w:szCs w:val="44"/>
          <w:highlight w:val="none"/>
        </w:rPr>
      </w:pPr>
      <w:bookmarkStart w:id="678" w:name="_Toc2220"/>
      <w:bookmarkStart w:id="679" w:name="_Toc24353"/>
      <w:r>
        <w:rPr>
          <w:rFonts w:hint="eastAsia" w:ascii="宋体" w:hAnsi="宋体" w:eastAsia="宋体"/>
          <w:color w:val="auto"/>
          <w:sz w:val="44"/>
          <w:szCs w:val="44"/>
          <w:highlight w:val="none"/>
          <w:lang w:eastAsia="zh-CN"/>
        </w:rPr>
        <w:t>第</w:t>
      </w:r>
      <w:r>
        <w:rPr>
          <w:rFonts w:hint="eastAsia" w:ascii="宋体" w:hAnsi="宋体" w:eastAsia="宋体"/>
          <w:color w:val="auto"/>
          <w:sz w:val="44"/>
          <w:szCs w:val="44"/>
          <w:highlight w:val="none"/>
          <w:lang w:val="en-US" w:eastAsia="zh-CN"/>
        </w:rPr>
        <w:t>六</w:t>
      </w:r>
      <w:r>
        <w:rPr>
          <w:rFonts w:hint="eastAsia" w:ascii="宋体" w:hAnsi="宋体" w:eastAsia="宋体"/>
          <w:color w:val="auto"/>
          <w:sz w:val="44"/>
          <w:szCs w:val="44"/>
          <w:highlight w:val="none"/>
          <w:lang w:eastAsia="zh-CN"/>
        </w:rPr>
        <w:t>章</w:t>
      </w:r>
      <w:r>
        <w:rPr>
          <w:rFonts w:hint="eastAsia" w:ascii="宋体" w:hAnsi="宋体" w:eastAsia="宋体"/>
          <w:color w:val="auto"/>
          <w:sz w:val="44"/>
          <w:szCs w:val="44"/>
          <w:highlight w:val="none"/>
        </w:rPr>
        <w:t xml:space="preserve"> 投标文件及格式</w:t>
      </w:r>
      <w:bookmarkEnd w:id="53"/>
      <w:bookmarkEnd w:id="54"/>
      <w:bookmarkEnd w:id="55"/>
      <w:bookmarkEnd w:id="678"/>
      <w:bookmarkEnd w:id="679"/>
    </w:p>
    <w:p>
      <w:pPr>
        <w:autoSpaceDE w:val="0"/>
        <w:jc w:val="center"/>
        <w:rPr>
          <w:rFonts w:hint="eastAsia" w:ascii="宋体" w:hAnsi="宋体"/>
          <w:color w:val="auto"/>
          <w:sz w:val="52"/>
          <w:highlight w:val="none"/>
        </w:rPr>
      </w:pPr>
    </w:p>
    <w:p>
      <w:pPr>
        <w:autoSpaceDE w:val="0"/>
        <w:rPr>
          <w:rFonts w:hint="eastAsia" w:ascii="宋体" w:hAnsi="宋体"/>
          <w:b/>
          <w:color w:val="auto"/>
          <w:sz w:val="44"/>
          <w:szCs w:val="44"/>
          <w:highlight w:val="none"/>
        </w:rPr>
      </w:pPr>
      <w:r>
        <w:rPr>
          <w:rFonts w:ascii="宋体" w:hAnsi="宋体"/>
          <w:color w:val="auto"/>
          <w:highlight w:val="none"/>
          <w:u w:val="single"/>
        </w:rPr>
        <w:br w:type="column"/>
      </w:r>
    </w:p>
    <w:p>
      <w:pPr>
        <w:autoSpaceDE w:val="0"/>
        <w:ind w:right="90" w:rightChars="43"/>
        <w:jc w:val="center"/>
        <w:rPr>
          <w:rFonts w:hint="eastAsia" w:ascii="宋体" w:hAnsi="宋体"/>
          <w:b/>
          <w:bCs/>
          <w:color w:val="auto"/>
          <w:sz w:val="44"/>
          <w:szCs w:val="44"/>
          <w:highlight w:val="none"/>
          <w:lang w:val="en-US" w:eastAsia="zh-CN"/>
        </w:rPr>
      </w:pPr>
      <w:r>
        <w:rPr>
          <w:rFonts w:hint="eastAsia" w:ascii="宋体" w:hAnsi="宋体"/>
          <w:b/>
          <w:bCs/>
          <w:color w:val="auto"/>
          <w:sz w:val="44"/>
          <w:szCs w:val="44"/>
          <w:highlight w:val="none"/>
          <w:lang w:val="en-US" w:eastAsia="zh-CN"/>
        </w:rPr>
        <w:t>陆丰市乌坎河流域河道综合整治(二期)工程</w:t>
      </w:r>
    </w:p>
    <w:p>
      <w:pPr>
        <w:autoSpaceDE w:val="0"/>
        <w:ind w:right="90" w:rightChars="43"/>
        <w:jc w:val="center"/>
        <w:rPr>
          <w:rFonts w:hint="eastAsia" w:ascii="宋体" w:hAnsi="宋体"/>
          <w:b/>
          <w:bCs/>
          <w:color w:val="auto"/>
          <w:sz w:val="32"/>
          <w:szCs w:val="32"/>
          <w:highlight w:val="none"/>
        </w:rPr>
      </w:pPr>
      <w:r>
        <w:rPr>
          <w:rFonts w:hint="eastAsia" w:ascii="宋体" w:hAnsi="宋体"/>
          <w:b/>
          <w:bCs/>
          <w:color w:val="auto"/>
          <w:sz w:val="44"/>
          <w:szCs w:val="44"/>
          <w:highlight w:val="none"/>
          <w:lang w:val="en-US" w:eastAsia="zh-CN"/>
        </w:rPr>
        <w:t>勘测设计</w:t>
      </w:r>
    </w:p>
    <w:p>
      <w:pPr>
        <w:autoSpaceDE w:val="0"/>
        <w:ind w:right="90" w:rightChars="43"/>
        <w:jc w:val="center"/>
        <w:rPr>
          <w:rFonts w:hint="eastAsia" w:ascii="宋体" w:hAnsi="宋体"/>
          <w:b/>
          <w:bCs/>
          <w:color w:val="auto"/>
          <w:sz w:val="32"/>
          <w:szCs w:val="32"/>
          <w:highlight w:val="none"/>
        </w:rPr>
      </w:pPr>
    </w:p>
    <w:p>
      <w:pPr>
        <w:autoSpaceDE w:val="0"/>
        <w:ind w:right="90" w:rightChars="43"/>
        <w:jc w:val="center"/>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autoSpaceDE w:val="0"/>
        <w:ind w:right="90" w:rightChars="43"/>
        <w:jc w:val="center"/>
        <w:rPr>
          <w:rFonts w:hint="eastAsia" w:ascii="宋体" w:hAnsi="宋体"/>
          <w:b/>
          <w:bCs/>
          <w:color w:val="auto"/>
          <w:sz w:val="32"/>
          <w:szCs w:val="32"/>
          <w:highlight w:val="none"/>
        </w:rPr>
      </w:pPr>
    </w:p>
    <w:p>
      <w:pPr>
        <w:autoSpaceDE w:val="0"/>
        <w:ind w:right="90" w:rightChars="43"/>
        <w:jc w:val="center"/>
        <w:outlineLvl w:val="0"/>
        <w:rPr>
          <w:rFonts w:hint="eastAsia" w:ascii="宋体" w:hAnsi="宋体"/>
          <w:b/>
          <w:bCs/>
          <w:color w:val="auto"/>
          <w:sz w:val="52"/>
          <w:szCs w:val="52"/>
          <w:highlight w:val="none"/>
        </w:rPr>
      </w:pPr>
      <w:bookmarkStart w:id="680" w:name="_Toc2232"/>
      <w:r>
        <w:rPr>
          <w:rFonts w:hint="eastAsia" w:ascii="宋体" w:hAnsi="宋体"/>
          <w:b/>
          <w:bCs/>
          <w:color w:val="auto"/>
          <w:sz w:val="52"/>
          <w:szCs w:val="52"/>
          <w:highlight w:val="none"/>
        </w:rPr>
        <w:t>投标文件</w:t>
      </w:r>
      <w:bookmarkEnd w:id="680"/>
    </w:p>
    <w:p>
      <w:pPr>
        <w:autoSpaceDE w:val="0"/>
        <w:autoSpaceDN w:val="0"/>
        <w:adjustRightInd w:val="0"/>
        <w:ind w:right="90" w:rightChars="43"/>
        <w:jc w:val="center"/>
        <w:rPr>
          <w:rFonts w:hint="eastAsia" w:ascii="宋体" w:hAnsi="宋体" w:eastAsia="宋体"/>
          <w:b/>
          <w:bCs/>
          <w:color w:val="auto"/>
          <w:sz w:val="32"/>
          <w:szCs w:val="32"/>
          <w:highlight w:val="none"/>
          <w:lang w:eastAsia="zh-CN"/>
        </w:rPr>
      </w:pPr>
    </w:p>
    <w:p>
      <w:pPr>
        <w:autoSpaceDE w:val="0"/>
        <w:autoSpaceDN w:val="0"/>
        <w:adjustRightInd w:val="0"/>
        <w:ind w:right="90" w:rightChars="43"/>
        <w:rPr>
          <w:rFonts w:hint="eastAsia" w:ascii="宋体" w:hAnsi="宋体"/>
          <w:color w:val="auto"/>
          <w:sz w:val="28"/>
          <w:szCs w:val="28"/>
          <w:highlight w:val="none"/>
        </w:rPr>
      </w:pPr>
    </w:p>
    <w:p>
      <w:pPr>
        <w:autoSpaceDE w:val="0"/>
        <w:autoSpaceDN w:val="0"/>
        <w:adjustRightInd w:val="0"/>
        <w:ind w:right="90" w:rightChars="43"/>
        <w:jc w:val="center"/>
        <w:rPr>
          <w:rFonts w:hint="eastAsia" w:ascii="宋体" w:hAnsi="宋体"/>
          <w:color w:val="auto"/>
          <w:sz w:val="28"/>
          <w:szCs w:val="28"/>
          <w:highlight w:val="none"/>
        </w:rPr>
      </w:pPr>
    </w:p>
    <w:p>
      <w:pPr>
        <w:autoSpaceDE w:val="0"/>
        <w:autoSpaceDN w:val="0"/>
        <w:adjustRightInd w:val="0"/>
        <w:ind w:right="90" w:rightChars="43"/>
        <w:jc w:val="center"/>
        <w:rPr>
          <w:rFonts w:hint="eastAsia" w:ascii="宋体" w:hAnsi="宋体"/>
          <w:color w:val="auto"/>
          <w:sz w:val="28"/>
          <w:szCs w:val="28"/>
          <w:highlight w:val="none"/>
        </w:rPr>
      </w:pPr>
    </w:p>
    <w:p>
      <w:pPr>
        <w:autoSpaceDE w:val="0"/>
        <w:autoSpaceDN w:val="0"/>
        <w:adjustRightInd w:val="0"/>
        <w:ind w:right="90" w:rightChars="43"/>
        <w:rPr>
          <w:rFonts w:hint="eastAsia" w:ascii="宋体" w:hAnsi="宋体"/>
          <w:color w:val="auto"/>
          <w:sz w:val="28"/>
          <w:szCs w:val="28"/>
          <w:highlight w:val="none"/>
        </w:rPr>
      </w:pPr>
    </w:p>
    <w:p>
      <w:pPr>
        <w:autoSpaceDE w:val="0"/>
        <w:autoSpaceDN w:val="0"/>
        <w:adjustRightInd w:val="0"/>
        <w:ind w:right="90" w:rightChars="43"/>
        <w:rPr>
          <w:rFonts w:hint="eastAsia" w:ascii="宋体" w:hAnsi="宋体"/>
          <w:color w:val="auto"/>
          <w:sz w:val="28"/>
          <w:szCs w:val="28"/>
          <w:highlight w:val="none"/>
        </w:rPr>
      </w:pPr>
    </w:p>
    <w:p>
      <w:pPr>
        <w:autoSpaceDE w:val="0"/>
        <w:autoSpaceDN w:val="0"/>
        <w:adjustRightInd w:val="0"/>
        <w:ind w:right="90" w:rightChars="43"/>
        <w:jc w:val="center"/>
        <w:rPr>
          <w:rFonts w:ascii="宋体" w:hAnsi="宋体"/>
          <w:color w:val="auto"/>
          <w:sz w:val="28"/>
          <w:szCs w:val="28"/>
          <w:highlight w:val="none"/>
        </w:rPr>
      </w:pPr>
    </w:p>
    <w:p>
      <w:pPr>
        <w:autoSpaceDE w:val="0"/>
        <w:autoSpaceDN w:val="0"/>
        <w:adjustRightInd w:val="0"/>
        <w:spacing w:line="720" w:lineRule="auto"/>
        <w:ind w:right="90" w:rightChars="43"/>
        <w:rPr>
          <w:rFonts w:hint="eastAsia" w:ascii="宋体" w:hAnsi="宋体"/>
          <w:color w:val="auto"/>
          <w:sz w:val="28"/>
          <w:szCs w:val="28"/>
          <w:highlight w:val="none"/>
          <w:lang w:val="zh-CN"/>
        </w:rPr>
      </w:pPr>
    </w:p>
    <w:p>
      <w:pPr>
        <w:autoSpaceDE w:val="0"/>
        <w:autoSpaceDN w:val="0"/>
        <w:adjustRightInd w:val="0"/>
        <w:spacing w:line="480" w:lineRule="auto"/>
        <w:ind w:right="90" w:rightChars="43" w:firstLine="1120" w:firstLineChars="400"/>
        <w:rPr>
          <w:rFonts w:hint="eastAsia" w:ascii="宋体" w:hAnsi="宋体"/>
          <w:color w:val="auto"/>
          <w:sz w:val="28"/>
          <w:szCs w:val="28"/>
          <w:highlight w:val="none"/>
          <w:u w:val="single"/>
          <w:lang w:val="zh-CN"/>
        </w:rPr>
      </w:pPr>
      <w:r>
        <w:rPr>
          <w:rFonts w:hint="eastAsia" w:ascii="宋体" w:hAnsi="宋体"/>
          <w:color w:val="auto"/>
          <w:sz w:val="28"/>
          <w:szCs w:val="28"/>
          <w:highlight w:val="none"/>
          <w:lang w:val="zh-CN"/>
        </w:rPr>
        <w:t>工程名称：</w:t>
      </w:r>
      <w:r>
        <w:rPr>
          <w:rFonts w:hint="eastAsia" w:ascii="宋体" w:hAnsi="宋体"/>
          <w:color w:val="auto"/>
          <w:sz w:val="28"/>
          <w:szCs w:val="28"/>
          <w:highlight w:val="none"/>
          <w:u w:val="single"/>
          <w:lang w:val="zh-CN"/>
        </w:rPr>
        <w:t xml:space="preserve">                                        </w:t>
      </w:r>
    </w:p>
    <w:p>
      <w:pPr>
        <w:autoSpaceDE w:val="0"/>
        <w:autoSpaceDN w:val="0"/>
        <w:adjustRightInd w:val="0"/>
        <w:spacing w:line="480" w:lineRule="auto"/>
        <w:ind w:right="90" w:rightChars="43" w:firstLine="1120" w:firstLineChars="400"/>
        <w:rPr>
          <w:rFonts w:ascii="宋体" w:hAnsi="宋体"/>
          <w:color w:val="auto"/>
          <w:sz w:val="28"/>
          <w:szCs w:val="28"/>
          <w:highlight w:val="none"/>
          <w:u w:val="single"/>
        </w:rPr>
      </w:pPr>
      <w:r>
        <w:rPr>
          <w:rFonts w:hint="eastAsia" w:ascii="宋体" w:hAnsi="宋体"/>
          <w:color w:val="auto"/>
          <w:sz w:val="28"/>
          <w:szCs w:val="28"/>
          <w:highlight w:val="none"/>
          <w:lang w:val="zh-CN"/>
        </w:rPr>
        <w:t>投标人：</w:t>
      </w:r>
      <w:r>
        <w:rPr>
          <w:rFonts w:hint="eastAsia" w:ascii="宋体" w:hAnsi="宋体"/>
          <w:color w:val="auto"/>
          <w:sz w:val="28"/>
          <w:szCs w:val="28"/>
          <w:highlight w:val="none"/>
          <w:u w:val="single"/>
          <w:lang w:val="zh-CN"/>
        </w:rPr>
        <w:t xml:space="preserve">                                （盖公章）</w:t>
      </w:r>
    </w:p>
    <w:p>
      <w:pPr>
        <w:autoSpaceDE w:val="0"/>
        <w:autoSpaceDN w:val="0"/>
        <w:adjustRightInd w:val="0"/>
        <w:spacing w:line="480" w:lineRule="auto"/>
        <w:ind w:right="90" w:rightChars="43" w:firstLine="1120" w:firstLineChars="400"/>
        <w:rPr>
          <w:rFonts w:hint="eastAsia" w:ascii="宋体" w:hAnsi="宋体"/>
          <w:color w:val="auto"/>
          <w:sz w:val="28"/>
          <w:szCs w:val="28"/>
          <w:highlight w:val="none"/>
          <w:u w:val="single"/>
          <w:lang w:val="zh-CN"/>
        </w:rPr>
      </w:pPr>
      <w:r>
        <w:rPr>
          <w:rFonts w:hint="eastAsia" w:ascii="宋体" w:hAnsi="宋体"/>
          <w:color w:val="auto"/>
          <w:sz w:val="28"/>
          <w:szCs w:val="28"/>
          <w:highlight w:val="none"/>
          <w:lang w:val="zh-CN"/>
        </w:rPr>
        <w:t>法定代表人（或委托代理人）：</w:t>
      </w:r>
      <w:r>
        <w:rPr>
          <w:rFonts w:hint="eastAsia" w:ascii="宋体" w:hAnsi="宋体"/>
          <w:color w:val="auto"/>
          <w:sz w:val="28"/>
          <w:szCs w:val="28"/>
          <w:highlight w:val="none"/>
          <w:u w:val="single"/>
          <w:lang w:val="zh-CN"/>
        </w:rPr>
        <w:t xml:space="preserve">           （签字或盖章）</w:t>
      </w:r>
    </w:p>
    <w:p>
      <w:pPr>
        <w:autoSpaceDE w:val="0"/>
        <w:autoSpaceDN w:val="0"/>
        <w:adjustRightInd w:val="0"/>
        <w:spacing w:line="720" w:lineRule="auto"/>
        <w:ind w:right="90" w:rightChars="43" w:firstLine="3500" w:firstLineChars="1250"/>
        <w:rPr>
          <w:rFonts w:hint="eastAsia" w:ascii="宋体" w:hAnsi="宋体"/>
          <w:color w:val="auto"/>
          <w:sz w:val="28"/>
          <w:szCs w:val="28"/>
          <w:highlight w:val="none"/>
          <w:u w:val="single"/>
        </w:rPr>
      </w:pPr>
      <w:r>
        <w:rPr>
          <w:rFonts w:hint="eastAsia" w:ascii="宋体" w:hAnsi="宋体"/>
          <w:color w:val="auto"/>
          <w:sz w:val="28"/>
          <w:szCs w:val="28"/>
          <w:highlight w:val="none"/>
          <w:lang w:val="zh-CN"/>
        </w:rPr>
        <w:t>年      月      日</w:t>
      </w:r>
      <w:bookmarkStart w:id="681" w:name="_Toc60537390"/>
    </w:p>
    <w:bookmarkEnd w:id="681"/>
    <w:p>
      <w:pPr>
        <w:autoSpaceDE w:val="0"/>
        <w:rPr>
          <w:rFonts w:hint="eastAsia"/>
          <w:color w:val="auto"/>
          <w:highlight w:val="none"/>
        </w:rPr>
      </w:pPr>
      <w:bookmarkStart w:id="682" w:name="_Toc60537391"/>
    </w:p>
    <w:p>
      <w:pPr>
        <w:pStyle w:val="4"/>
        <w:numPr>
          <w:ilvl w:val="0"/>
          <w:numId w:val="0"/>
        </w:numPr>
        <w:autoSpaceDE w:val="0"/>
        <w:jc w:val="center"/>
        <w:outlineLvl w:val="9"/>
        <w:rPr>
          <w:rFonts w:ascii="宋体" w:hAnsi="宋体" w:eastAsia="宋体"/>
          <w:color w:val="auto"/>
          <w:sz w:val="28"/>
          <w:szCs w:val="28"/>
          <w:highlight w:val="none"/>
        </w:rPr>
      </w:pPr>
      <w:bookmarkStart w:id="683" w:name="_Toc21159"/>
      <w:bookmarkStart w:id="684" w:name="_Toc534471633"/>
      <w:bookmarkStart w:id="685" w:name="_Toc534472072"/>
      <w:bookmarkStart w:id="686" w:name="_Toc499225497"/>
    </w:p>
    <w:p>
      <w:pPr>
        <w:rPr>
          <w:rFonts w:ascii="宋体" w:hAnsi="宋体"/>
          <w:color w:val="auto"/>
          <w:sz w:val="28"/>
          <w:szCs w:val="28"/>
          <w:highlight w:val="none"/>
        </w:rPr>
      </w:pPr>
      <w:r>
        <w:rPr>
          <w:rFonts w:ascii="宋体" w:hAnsi="宋体"/>
          <w:color w:val="auto"/>
          <w:sz w:val="28"/>
          <w:szCs w:val="28"/>
          <w:highlight w:val="none"/>
        </w:rPr>
        <w:br w:type="column"/>
      </w: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jc w:val="center"/>
        <w:outlineLvl w:val="0"/>
        <w:rPr>
          <w:rFonts w:ascii="宋体" w:hAnsi="宋体"/>
          <w:color w:val="auto"/>
          <w:sz w:val="28"/>
          <w:szCs w:val="28"/>
          <w:highlight w:val="none"/>
        </w:rPr>
      </w:pPr>
      <w:bookmarkStart w:id="687" w:name="_Toc15167"/>
      <w:r>
        <w:rPr>
          <w:rFonts w:hint="eastAsia" w:ascii="宋体" w:hAnsi="宋体"/>
          <w:b/>
          <w:bCs/>
          <w:color w:val="auto"/>
          <w:sz w:val="52"/>
          <w:szCs w:val="52"/>
          <w:highlight w:val="none"/>
          <w:u w:val="none"/>
          <w:lang w:val="zh-CN"/>
        </w:rPr>
        <w:t>商务部分</w:t>
      </w:r>
      <w:r>
        <w:rPr>
          <w:rFonts w:ascii="宋体" w:hAnsi="宋体"/>
          <w:color w:val="auto"/>
          <w:sz w:val="28"/>
          <w:szCs w:val="28"/>
          <w:highlight w:val="none"/>
        </w:rPr>
        <w:br w:type="page"/>
      </w:r>
      <w:bookmarkEnd w:id="687"/>
    </w:p>
    <w:p>
      <w:pPr>
        <w:pStyle w:val="13"/>
        <w:rPr>
          <w:color w:val="auto"/>
          <w:highlight w:val="none"/>
        </w:rPr>
      </w:pPr>
    </w:p>
    <w:p>
      <w:pPr>
        <w:jc w:val="center"/>
        <w:rPr>
          <w:rFonts w:hint="eastAsia" w:ascii="宋体" w:hAnsi="宋体"/>
          <w:color w:val="auto"/>
          <w:sz w:val="28"/>
          <w:szCs w:val="28"/>
          <w:highlight w:val="none"/>
        </w:rPr>
      </w:pPr>
      <w:r>
        <w:rPr>
          <w:rFonts w:hint="eastAsia" w:ascii="宋体" w:hAnsi="宋体"/>
          <w:color w:val="auto"/>
          <w:sz w:val="28"/>
          <w:szCs w:val="28"/>
          <w:highlight w:val="none"/>
        </w:rPr>
        <w:t>目录</w:t>
      </w:r>
    </w:p>
    <w:p>
      <w:pPr>
        <w:numPr>
          <w:ilvl w:val="0"/>
          <w:numId w:val="0"/>
        </w:numPr>
        <w:autoSpaceDE w:val="0"/>
        <w:spacing w:line="440" w:lineRule="exact"/>
        <w:outlineLvl w:val="0"/>
        <w:rPr>
          <w:rFonts w:hint="eastAsia" w:ascii="宋体" w:hAnsi="宋体"/>
          <w:color w:val="auto"/>
          <w:sz w:val="24"/>
          <w:highlight w:val="none"/>
        </w:rPr>
      </w:pPr>
      <w:bookmarkStart w:id="688" w:name="_Toc15255"/>
      <w:r>
        <w:rPr>
          <w:rFonts w:hint="eastAsia" w:ascii="宋体" w:hAnsi="宋体"/>
          <w:color w:val="auto"/>
          <w:sz w:val="24"/>
          <w:highlight w:val="none"/>
          <w:lang w:val="en-US" w:eastAsia="zh-CN"/>
        </w:rPr>
        <w:t>一</w:t>
      </w:r>
      <w:r>
        <w:rPr>
          <w:rFonts w:hint="eastAsia" w:ascii="宋体" w:hAnsi="宋体"/>
          <w:color w:val="auto"/>
          <w:sz w:val="24"/>
          <w:highlight w:val="none"/>
        </w:rPr>
        <w:t>、投标函</w:t>
      </w:r>
      <w:r>
        <w:rPr>
          <w:rFonts w:hint="eastAsia" w:ascii="宋体" w:hAnsi="宋体"/>
          <w:color w:val="auto"/>
          <w:sz w:val="24"/>
          <w:highlight w:val="none"/>
          <w:lang w:val="en-US" w:eastAsia="zh-CN"/>
        </w:rPr>
        <w:t>及</w:t>
      </w:r>
      <w:r>
        <w:rPr>
          <w:rFonts w:hint="eastAsia" w:ascii="宋体" w:hAnsi="宋体"/>
          <w:color w:val="auto"/>
          <w:sz w:val="24"/>
          <w:highlight w:val="none"/>
        </w:rPr>
        <w:t>投标函附</w:t>
      </w:r>
      <w:r>
        <w:rPr>
          <w:rFonts w:hint="eastAsia" w:ascii="宋体" w:hAnsi="宋体"/>
          <w:color w:val="auto"/>
          <w:sz w:val="24"/>
          <w:highlight w:val="none"/>
          <w:lang w:val="en-US" w:eastAsia="zh-CN"/>
        </w:rPr>
        <w:t>录</w:t>
      </w:r>
      <w:r>
        <w:rPr>
          <w:rFonts w:hint="eastAsia" w:ascii="宋体" w:hAnsi="宋体"/>
          <w:color w:val="auto"/>
          <w:sz w:val="24"/>
          <w:highlight w:val="none"/>
        </w:rPr>
        <w:t>；</w:t>
      </w:r>
    </w:p>
    <w:p>
      <w:pPr>
        <w:numPr>
          <w:ilvl w:val="0"/>
          <w:numId w:val="0"/>
        </w:numPr>
        <w:autoSpaceDE w:val="0"/>
        <w:spacing w:line="440" w:lineRule="exact"/>
        <w:outlineLvl w:val="0"/>
        <w:rPr>
          <w:rFonts w:hint="eastAsia" w:ascii="宋体" w:hAnsi="宋体"/>
          <w:color w:val="auto"/>
          <w:sz w:val="24"/>
          <w:highlight w:val="none"/>
        </w:rPr>
      </w:pP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bookmarkEnd w:id="688"/>
      <w:r>
        <w:rPr>
          <w:rFonts w:hint="eastAsia" w:ascii="宋体" w:hAnsi="宋体"/>
          <w:color w:val="auto"/>
          <w:sz w:val="24"/>
          <w:highlight w:val="none"/>
        </w:rPr>
        <w:t>法定代表人身份证明</w:t>
      </w:r>
      <w:bookmarkStart w:id="689" w:name="_Toc25368"/>
      <w:r>
        <w:rPr>
          <w:rFonts w:hint="eastAsia" w:ascii="宋体" w:hAnsi="宋体"/>
          <w:color w:val="auto"/>
          <w:sz w:val="24"/>
          <w:highlight w:val="none"/>
          <w:lang w:val="en-US" w:eastAsia="zh-CN"/>
        </w:rPr>
        <w:t>及</w:t>
      </w:r>
      <w:r>
        <w:rPr>
          <w:rFonts w:hint="eastAsia" w:ascii="宋体" w:hAnsi="宋体"/>
          <w:color w:val="auto"/>
          <w:sz w:val="24"/>
          <w:highlight w:val="none"/>
        </w:rPr>
        <w:t>授权委托书；</w:t>
      </w:r>
      <w:bookmarkEnd w:id="689"/>
    </w:p>
    <w:p>
      <w:pPr>
        <w:autoSpaceDE w:val="0"/>
        <w:spacing w:line="440" w:lineRule="exact"/>
        <w:outlineLvl w:val="0"/>
        <w:rPr>
          <w:rFonts w:hint="eastAsia" w:ascii="宋体" w:hAnsi="宋体"/>
          <w:color w:val="auto"/>
          <w:sz w:val="24"/>
          <w:highlight w:val="none"/>
        </w:rPr>
      </w:pPr>
      <w:bookmarkStart w:id="690" w:name="_Toc8950"/>
      <w:r>
        <w:rPr>
          <w:rFonts w:hint="eastAsia" w:ascii="宋体" w:hAnsi="宋体"/>
          <w:color w:val="auto"/>
          <w:sz w:val="24"/>
          <w:highlight w:val="none"/>
          <w:lang w:val="en-US" w:eastAsia="zh-CN"/>
        </w:rPr>
        <w:t>三</w:t>
      </w:r>
      <w:r>
        <w:rPr>
          <w:rFonts w:hint="eastAsia" w:ascii="宋体" w:hAnsi="宋体"/>
          <w:color w:val="auto"/>
          <w:sz w:val="24"/>
          <w:highlight w:val="none"/>
        </w:rPr>
        <w:t>、</w:t>
      </w:r>
      <w:bookmarkEnd w:id="690"/>
      <w:r>
        <w:rPr>
          <w:rFonts w:hint="eastAsia" w:ascii="宋体" w:hAnsi="宋体"/>
          <w:color w:val="auto"/>
          <w:sz w:val="24"/>
          <w:highlight w:val="none"/>
          <w:lang w:val="en-US" w:eastAsia="zh-CN"/>
        </w:rPr>
        <w:t>联合体协议书；</w:t>
      </w:r>
    </w:p>
    <w:p>
      <w:pPr>
        <w:autoSpaceDE w:val="0"/>
        <w:spacing w:line="440" w:lineRule="exact"/>
        <w:outlineLvl w:val="0"/>
        <w:rPr>
          <w:rFonts w:hint="eastAsia" w:eastAsia="宋体"/>
          <w:color w:val="auto"/>
          <w:highlight w:val="none"/>
          <w:lang w:eastAsia="zh-CN"/>
        </w:rPr>
      </w:pPr>
      <w:bookmarkStart w:id="691" w:name="_Toc29087"/>
      <w:r>
        <w:rPr>
          <w:rFonts w:hint="eastAsia" w:ascii="宋体" w:hAnsi="宋体"/>
          <w:color w:val="auto"/>
          <w:sz w:val="24"/>
          <w:highlight w:val="none"/>
          <w:lang w:val="en-US" w:eastAsia="zh-CN"/>
        </w:rPr>
        <w:t>四</w:t>
      </w:r>
      <w:r>
        <w:rPr>
          <w:rFonts w:hint="eastAsia" w:ascii="宋体" w:hAnsi="宋体"/>
          <w:color w:val="auto"/>
          <w:sz w:val="24"/>
          <w:highlight w:val="none"/>
        </w:rPr>
        <w:t>、投标保证金凭证；</w:t>
      </w:r>
      <w:bookmarkEnd w:id="691"/>
    </w:p>
    <w:p>
      <w:pPr>
        <w:autoSpaceDE w:val="0"/>
        <w:spacing w:line="440" w:lineRule="exact"/>
        <w:outlineLvl w:val="0"/>
        <w:rPr>
          <w:rFonts w:hint="eastAsia" w:ascii="宋体" w:hAnsi="宋体"/>
          <w:color w:val="auto"/>
          <w:sz w:val="24"/>
          <w:highlight w:val="none"/>
        </w:rPr>
      </w:pPr>
      <w:bookmarkStart w:id="692" w:name="_Toc1074"/>
      <w:r>
        <w:rPr>
          <w:rFonts w:hint="eastAsia" w:ascii="宋体" w:hAnsi="宋体"/>
          <w:color w:val="auto"/>
          <w:sz w:val="24"/>
          <w:highlight w:val="none"/>
          <w:lang w:val="en-US" w:eastAsia="zh-CN"/>
        </w:rPr>
        <w:t>五</w:t>
      </w:r>
      <w:r>
        <w:rPr>
          <w:rFonts w:hint="eastAsia" w:ascii="宋体" w:hAnsi="宋体"/>
          <w:color w:val="auto"/>
          <w:sz w:val="24"/>
          <w:highlight w:val="none"/>
        </w:rPr>
        <w:t>、</w:t>
      </w:r>
      <w:r>
        <w:rPr>
          <w:rFonts w:hint="eastAsia" w:ascii="宋体" w:hAnsi="宋体"/>
          <w:color w:val="auto"/>
          <w:sz w:val="24"/>
          <w:highlight w:val="none"/>
          <w:lang w:val="en-US" w:eastAsia="zh-CN"/>
        </w:rPr>
        <w:t>勘察</w:t>
      </w:r>
      <w:r>
        <w:rPr>
          <w:rFonts w:hint="eastAsia" w:ascii="宋体" w:hAnsi="宋体"/>
          <w:color w:val="auto"/>
          <w:sz w:val="24"/>
          <w:highlight w:val="none"/>
        </w:rPr>
        <w:t>设计费投标报价表；</w:t>
      </w:r>
      <w:bookmarkEnd w:id="692"/>
    </w:p>
    <w:p>
      <w:pPr>
        <w:autoSpaceDE w:val="0"/>
        <w:spacing w:line="440" w:lineRule="exact"/>
        <w:outlineLvl w:val="0"/>
        <w:rPr>
          <w:rFonts w:hint="eastAsia" w:ascii="宋体" w:hAnsi="宋体"/>
          <w:color w:val="auto"/>
          <w:sz w:val="24"/>
          <w:highlight w:val="none"/>
        </w:rPr>
      </w:pPr>
      <w:bookmarkStart w:id="693" w:name="_Toc20791"/>
      <w:r>
        <w:rPr>
          <w:rFonts w:hint="eastAsia" w:ascii="宋体" w:hAnsi="宋体"/>
          <w:color w:val="auto"/>
          <w:sz w:val="24"/>
          <w:highlight w:val="none"/>
          <w:lang w:val="en-US" w:eastAsia="zh-CN"/>
        </w:rPr>
        <w:t>六</w:t>
      </w:r>
      <w:r>
        <w:rPr>
          <w:rFonts w:hint="eastAsia" w:ascii="宋体" w:hAnsi="宋体"/>
          <w:color w:val="auto"/>
          <w:sz w:val="24"/>
          <w:highlight w:val="none"/>
        </w:rPr>
        <w:t>、</w:t>
      </w:r>
      <w:r>
        <w:rPr>
          <w:rFonts w:hint="eastAsia" w:ascii="宋体" w:hAnsi="宋体"/>
          <w:color w:val="auto"/>
          <w:sz w:val="24"/>
          <w:highlight w:val="none"/>
          <w:lang w:val="en-US" w:eastAsia="zh-CN"/>
        </w:rPr>
        <w:t>资格审查文件</w:t>
      </w:r>
      <w:r>
        <w:rPr>
          <w:rFonts w:hint="eastAsia" w:ascii="宋体" w:hAnsi="宋体"/>
          <w:color w:val="auto"/>
          <w:sz w:val="24"/>
          <w:highlight w:val="none"/>
        </w:rPr>
        <w:t>；</w:t>
      </w:r>
      <w:bookmarkEnd w:id="693"/>
    </w:p>
    <w:p>
      <w:pPr>
        <w:autoSpaceDE w:val="0"/>
        <w:spacing w:line="440" w:lineRule="exact"/>
        <w:outlineLvl w:val="0"/>
        <w:rPr>
          <w:rFonts w:hint="eastAsia" w:ascii="宋体" w:hAnsi="宋体"/>
          <w:color w:val="auto"/>
          <w:sz w:val="24"/>
          <w:highlight w:val="none"/>
        </w:rPr>
      </w:pPr>
      <w:bookmarkStart w:id="694" w:name="_Toc24158"/>
      <w:r>
        <w:rPr>
          <w:rFonts w:hint="eastAsia" w:ascii="宋体" w:hAnsi="宋体"/>
          <w:color w:val="auto"/>
          <w:sz w:val="24"/>
          <w:highlight w:val="none"/>
          <w:lang w:val="en-US" w:eastAsia="zh-CN"/>
        </w:rPr>
        <w:t>七</w:t>
      </w:r>
      <w:r>
        <w:rPr>
          <w:rFonts w:hint="eastAsia" w:ascii="宋体" w:hAnsi="宋体"/>
          <w:color w:val="auto"/>
          <w:sz w:val="24"/>
          <w:highlight w:val="none"/>
        </w:rPr>
        <w:t>、其它资料；</w:t>
      </w:r>
      <w:bookmarkEnd w:id="694"/>
    </w:p>
    <w:p>
      <w:pPr>
        <w:rPr>
          <w:rFonts w:ascii="宋体" w:hAnsi="宋体" w:eastAsia="宋体"/>
          <w:color w:val="auto"/>
          <w:sz w:val="28"/>
          <w:szCs w:val="28"/>
          <w:highlight w:val="none"/>
        </w:rPr>
      </w:pPr>
      <w:r>
        <w:rPr>
          <w:rFonts w:ascii="宋体" w:hAnsi="宋体" w:eastAsia="宋体"/>
          <w:color w:val="auto"/>
          <w:sz w:val="28"/>
          <w:szCs w:val="28"/>
          <w:highlight w:val="none"/>
        </w:rPr>
        <w:br w:type="page"/>
      </w:r>
    </w:p>
    <w:p>
      <w:pPr>
        <w:pStyle w:val="13"/>
        <w:ind w:left="0" w:leftChars="0" w:firstLine="0" w:firstLineChars="0"/>
        <w:jc w:val="center"/>
        <w:rPr>
          <w:rFonts w:hint="eastAsia" w:eastAsia="宋体"/>
          <w:b/>
          <w:bCs/>
          <w:color w:val="auto"/>
          <w:sz w:val="28"/>
          <w:szCs w:val="28"/>
          <w:highlight w:val="none"/>
          <w:lang w:val="en-US" w:eastAsia="zh-CN"/>
        </w:rPr>
      </w:pPr>
      <w:r>
        <w:rPr>
          <w:rFonts w:hint="eastAsia"/>
          <w:b/>
          <w:bCs/>
          <w:color w:val="auto"/>
          <w:sz w:val="28"/>
          <w:szCs w:val="28"/>
          <w:highlight w:val="none"/>
          <w:lang w:val="en-US" w:eastAsia="zh-CN"/>
        </w:rPr>
        <w:t>一、投标函及投标函附录</w:t>
      </w:r>
    </w:p>
    <w:bookmarkEnd w:id="683"/>
    <w:bookmarkEnd w:id="684"/>
    <w:bookmarkEnd w:id="685"/>
    <w:bookmarkEnd w:id="686"/>
    <w:p>
      <w:pPr>
        <w:pStyle w:val="4"/>
        <w:numPr>
          <w:ilvl w:val="0"/>
          <w:numId w:val="0"/>
        </w:numPr>
        <w:autoSpaceDE w:val="0"/>
        <w:jc w:val="center"/>
        <w:outlineLvl w:val="0"/>
        <w:rPr>
          <w:rFonts w:hint="eastAsia" w:ascii="宋体" w:hAnsi="宋体" w:eastAsia="宋体" w:cs="Times New Roman"/>
          <w:color w:val="auto"/>
          <w:sz w:val="28"/>
          <w:szCs w:val="28"/>
          <w:highlight w:val="none"/>
        </w:rPr>
      </w:pPr>
      <w:bookmarkStart w:id="695" w:name="_Toc4852"/>
      <w:r>
        <w:rPr>
          <w:rFonts w:hint="eastAsia" w:ascii="宋体" w:hAnsi="宋体" w:eastAsia="宋体" w:cs="Times New Roman"/>
          <w:color w:val="auto"/>
          <w:sz w:val="28"/>
          <w:szCs w:val="28"/>
          <w:highlight w:val="none"/>
        </w:rPr>
        <w:t>（一）投标函</w:t>
      </w:r>
      <w:bookmarkEnd w:id="695"/>
    </w:p>
    <w:p>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（招标人名称）：</w:t>
      </w:r>
    </w:p>
    <w:p>
      <w:pPr>
        <w:spacing w:line="440" w:lineRule="exact"/>
        <w:jc w:val="left"/>
        <w:rPr>
          <w:rFonts w:hint="eastAsia" w:ascii="宋体" w:hAnsi="宋体" w:eastAsia="宋体" w:cs="宋体"/>
          <w:color w:val="auto"/>
          <w:sz w:val="21"/>
          <w:szCs w:val="21"/>
          <w:highlight w:val="none"/>
        </w:rPr>
      </w:pPr>
    </w:p>
    <w:p>
      <w:pPr>
        <w:spacing w:line="44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1．我方已仔细研究了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（项目名称）招标文件的全部内容，愿意以人民币（大写）</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其中：勘察费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设计费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。按合同约定完成</w:t>
      </w:r>
      <w:r>
        <w:rPr>
          <w:rFonts w:hint="eastAsia" w:ascii="宋体" w:hAnsi="宋体" w:cs="宋体"/>
          <w:color w:val="auto"/>
          <w:sz w:val="21"/>
          <w:szCs w:val="21"/>
          <w:highlight w:val="none"/>
          <w:lang w:val="en-US" w:eastAsia="zh-CN"/>
        </w:rPr>
        <w:t>勘察</w:t>
      </w:r>
      <w:r>
        <w:rPr>
          <w:rFonts w:hint="eastAsia" w:ascii="宋体" w:hAnsi="宋体" w:eastAsia="宋体" w:cs="宋体"/>
          <w:color w:val="auto"/>
          <w:sz w:val="21"/>
          <w:szCs w:val="21"/>
          <w:highlight w:val="none"/>
        </w:rPr>
        <w:t>设计工作</w:t>
      </w:r>
      <w:r>
        <w:rPr>
          <w:rFonts w:hint="eastAsia" w:ascii="宋体" w:hAnsi="宋体" w:cs="宋体"/>
          <w:color w:val="auto"/>
          <w:sz w:val="21"/>
          <w:szCs w:val="21"/>
          <w:highlight w:val="none"/>
          <w:lang w:eastAsia="zh-CN"/>
        </w:rPr>
        <w:t>。</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2．我方承诺在招标文件规定的投标有效期内不修改、撤销投标文件。</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3．随同本投标函提交投标保证金一份。</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4．如我方中标：</w:t>
      </w:r>
    </w:p>
    <w:p>
      <w:pPr>
        <w:spacing w:line="440" w:lineRule="exact"/>
        <w:ind w:firstLine="718" w:firstLineChars="342"/>
        <w:jc w:val="left"/>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我方承诺投标函附录是我方投标函的组成部分。</w:t>
      </w:r>
    </w:p>
    <w:p>
      <w:pPr>
        <w:spacing w:line="440" w:lineRule="exact"/>
        <w:ind w:firstLine="718" w:firstLineChars="342"/>
        <w:jc w:val="left"/>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我方承诺在收到中标通知书后，在中标通知书规定的期限内与你方签订合同。</w:t>
      </w:r>
    </w:p>
    <w:p>
      <w:pPr>
        <w:spacing w:line="440" w:lineRule="exact"/>
        <w:ind w:firstLine="718" w:firstLineChars="3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）我方承诺按照招标文件规定向你方递交履约担保。</w:t>
      </w:r>
    </w:p>
    <w:p>
      <w:pPr>
        <w:spacing w:line="440" w:lineRule="exact"/>
        <w:ind w:firstLine="718" w:firstLineChars="3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）我方承诺在合同约定的期限内完成并移交全部合同工程。</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5．我方在此声明，所递交的投标文件及有关资料内容完整、真实和准确，且不存在第二章“投标须知”第1.4.3项规定的任何一种情形。</w:t>
      </w:r>
    </w:p>
    <w:p>
      <w:pPr>
        <w:adjustRightInd w:val="0"/>
        <w:snapToGrid w:val="0"/>
        <w:spacing w:line="312"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（其他补充说明）。</w:t>
      </w:r>
    </w:p>
    <w:p>
      <w:pPr>
        <w:adjustRightInd w:val="0"/>
        <w:snapToGrid w:val="0"/>
        <w:spacing w:line="312" w:lineRule="auto"/>
        <w:jc w:val="left"/>
        <w:rPr>
          <w:rFonts w:hint="eastAsia" w:ascii="宋体" w:hAnsi="宋体" w:cs="宋体"/>
          <w:color w:val="auto"/>
          <w:sz w:val="24"/>
          <w:highlight w:val="none"/>
        </w:rPr>
      </w:pPr>
    </w:p>
    <w:p>
      <w:pPr>
        <w:adjustRightInd w:val="0"/>
        <w:snapToGrid w:val="0"/>
        <w:spacing w:line="312" w:lineRule="auto"/>
        <w:jc w:val="left"/>
        <w:rPr>
          <w:rFonts w:hint="eastAsia" w:ascii="宋体" w:hAnsi="宋体" w:cs="宋体"/>
          <w:color w:val="auto"/>
          <w:sz w:val="24"/>
          <w:highlight w:val="none"/>
        </w:rPr>
      </w:pPr>
    </w:p>
    <w:p>
      <w:pPr>
        <w:adjustRightInd w:val="0"/>
        <w:snapToGrid w:val="0"/>
        <w:spacing w:line="360" w:lineRule="auto"/>
        <w:jc w:val="left"/>
        <w:rPr>
          <w:rFonts w:hint="eastAsia" w:ascii="宋体" w:hAnsi="宋体" w:cs="宋体"/>
          <w:color w:val="auto"/>
          <w:sz w:val="21"/>
          <w:szCs w:val="21"/>
          <w:highlight w:val="none"/>
        </w:rPr>
      </w:pPr>
    </w:p>
    <w:p>
      <w:pPr>
        <w:adjustRightInd w:val="0"/>
        <w:snapToGrid w:val="0"/>
        <w:spacing w:line="360" w:lineRule="auto"/>
        <w:ind w:left="0" w:leftChars="0" w:firstLine="2940" w:firstLineChars="14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标</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（盖章）</w:t>
      </w:r>
    </w:p>
    <w:p>
      <w:pPr>
        <w:adjustRightInd w:val="0"/>
        <w:snapToGrid w:val="0"/>
        <w:spacing w:line="360" w:lineRule="auto"/>
        <w:ind w:firstLine="2940" w:firstLineChars="14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（签字或盖章）</w:t>
      </w:r>
    </w:p>
    <w:p>
      <w:pPr>
        <w:tabs>
          <w:tab w:val="left" w:pos="500"/>
          <w:tab w:val="left" w:pos="800"/>
        </w:tabs>
        <w:adjustRightInd w:val="0"/>
        <w:snapToGrid w:val="0"/>
        <w:ind w:left="0" w:leftChars="0" w:firstLine="2940" w:firstLineChars="1400"/>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autoSpaceDE w:val="0"/>
        <w:spacing w:line="44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注：如是联合体，由牵头人按本格式提交。</w:t>
      </w:r>
    </w:p>
    <w:p>
      <w:pPr>
        <w:pStyle w:val="24"/>
        <w:rPr>
          <w:rFonts w:hint="eastAsia" w:ascii="宋体" w:hAnsi="宋体" w:cs="宋体"/>
          <w:color w:val="auto"/>
          <w:sz w:val="24"/>
          <w:highlight w:val="none"/>
        </w:rPr>
      </w:pPr>
    </w:p>
    <w:p>
      <w:pPr>
        <w:autoSpaceDE w:val="0"/>
        <w:rPr>
          <w:color w:val="auto"/>
          <w:highlight w:val="none"/>
        </w:rPr>
        <w:sectPr>
          <w:headerReference r:id="rId8" w:type="default"/>
          <w:footerReference r:id="rId9" w:type="default"/>
          <w:footnotePr>
            <w:numRestart w:val="eachPage"/>
          </w:footnotePr>
          <w:pgSz w:w="11907" w:h="16840"/>
          <w:pgMar w:top="1418" w:right="1134" w:bottom="1134" w:left="1134" w:header="680" w:footer="907" w:gutter="0"/>
          <w:pgNumType w:fmt="decimal"/>
          <w:cols w:space="720" w:num="1"/>
          <w:docGrid w:linePitch="271" w:charSpace="0"/>
        </w:sectPr>
      </w:pPr>
    </w:p>
    <w:bookmarkEnd w:id="682"/>
    <w:p>
      <w:pPr>
        <w:pStyle w:val="4"/>
        <w:numPr>
          <w:ilvl w:val="0"/>
          <w:numId w:val="0"/>
        </w:numPr>
        <w:autoSpaceDE w:val="0"/>
        <w:ind w:left="720" w:hanging="720"/>
        <w:jc w:val="center"/>
        <w:outlineLvl w:val="0"/>
        <w:rPr>
          <w:rFonts w:hint="eastAsia" w:ascii="宋体" w:hAnsi="宋体" w:eastAsia="宋体"/>
          <w:color w:val="auto"/>
          <w:sz w:val="28"/>
          <w:szCs w:val="28"/>
          <w:highlight w:val="none"/>
          <w:lang w:val="en-US" w:eastAsia="zh-CN"/>
        </w:rPr>
      </w:pPr>
      <w:bookmarkStart w:id="696" w:name="_Toc30429"/>
      <w:bookmarkStart w:id="697" w:name="_Toc445219542"/>
      <w:bookmarkStart w:id="698" w:name="_Toc499225498"/>
      <w:bookmarkStart w:id="699" w:name="_Toc534472073"/>
      <w:bookmarkStart w:id="700" w:name="_Toc534471634"/>
      <w:bookmarkStart w:id="701" w:name="_Toc60537392"/>
      <w:bookmarkStart w:id="702" w:name="_Toc30461"/>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二</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投标函附</w:t>
      </w:r>
      <w:bookmarkEnd w:id="696"/>
      <w:bookmarkEnd w:id="697"/>
      <w:bookmarkEnd w:id="698"/>
      <w:bookmarkEnd w:id="699"/>
      <w:bookmarkEnd w:id="700"/>
      <w:bookmarkEnd w:id="701"/>
      <w:bookmarkEnd w:id="702"/>
      <w:r>
        <w:rPr>
          <w:rFonts w:hint="eastAsia" w:ascii="宋体" w:hAnsi="宋体" w:eastAsia="宋体"/>
          <w:color w:val="auto"/>
          <w:sz w:val="28"/>
          <w:szCs w:val="28"/>
          <w:highlight w:val="none"/>
          <w:lang w:val="en-US" w:eastAsia="zh-CN"/>
        </w:rPr>
        <w:t>录</w:t>
      </w:r>
    </w:p>
    <w:p>
      <w:pPr>
        <w:autoSpaceDE w:val="0"/>
        <w:rPr>
          <w:rFonts w:hint="eastAsia"/>
          <w:color w:val="auto"/>
          <w:highlight w:val="none"/>
        </w:rPr>
      </w:pPr>
    </w:p>
    <w:tbl>
      <w:tblPr>
        <w:tblStyle w:val="19"/>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648"/>
        <w:gridCol w:w="376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48"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376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约定内容</w:t>
            </w:r>
          </w:p>
        </w:tc>
        <w:tc>
          <w:tcPr>
            <w:tcW w:w="110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48" w:type="dxa"/>
            <w:vAlign w:val="center"/>
          </w:tcPr>
          <w:p>
            <w:pPr>
              <w:spacing w:beforeLine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tc>
        <w:tc>
          <w:tcPr>
            <w:tcW w:w="3760" w:type="dxa"/>
            <w:vAlign w:val="center"/>
          </w:tcPr>
          <w:p>
            <w:pPr>
              <w:spacing w:beforeLine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姓名：</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服务期限</w:t>
            </w:r>
          </w:p>
        </w:tc>
        <w:tc>
          <w:tcPr>
            <w:tcW w:w="3760" w:type="dxa"/>
            <w:vAlign w:val="center"/>
          </w:tcPr>
          <w:p>
            <w:pPr>
              <w:spacing w:beforeLines="50" w:line="360" w:lineRule="auto"/>
              <w:rPr>
                <w:rFonts w:hint="eastAsia" w:ascii="宋体" w:hAnsi="宋体" w:eastAsia="宋体" w:cs="宋体"/>
                <w:color w:val="auto"/>
                <w:kern w:val="2"/>
                <w:sz w:val="21"/>
                <w:szCs w:val="21"/>
                <w:highlight w:val="none"/>
                <w:lang w:val="en-US" w:eastAsia="zh-CN" w:bidi="ar-SA"/>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投标有效期</w:t>
            </w:r>
          </w:p>
        </w:tc>
        <w:tc>
          <w:tcPr>
            <w:tcW w:w="3760"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日历天</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投标保证金</w:t>
            </w:r>
          </w:p>
        </w:tc>
        <w:tc>
          <w:tcPr>
            <w:tcW w:w="3760" w:type="dxa"/>
            <w:vAlign w:val="center"/>
          </w:tcPr>
          <w:p>
            <w:pPr>
              <w:spacing w:beforeLines="50"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2648" w:type="dxa"/>
            <w:vAlign w:val="center"/>
          </w:tcPr>
          <w:p>
            <w:pPr>
              <w:spacing w:beforeLine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质量标准</w:t>
            </w:r>
          </w:p>
        </w:tc>
        <w:tc>
          <w:tcPr>
            <w:tcW w:w="3760" w:type="dxa"/>
            <w:vAlign w:val="center"/>
          </w:tcPr>
          <w:p>
            <w:pPr>
              <w:spacing w:beforeLines="50"/>
              <w:rPr>
                <w:rFonts w:hint="eastAsia" w:ascii="宋体" w:hAnsi="宋体" w:eastAsia="宋体" w:cs="宋体"/>
                <w:color w:val="auto"/>
                <w:kern w:val="2"/>
                <w:sz w:val="21"/>
                <w:szCs w:val="21"/>
                <w:highlight w:val="none"/>
                <w:lang w:val="en-US" w:eastAsia="zh-CN" w:bidi="ar-SA"/>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lang w:val="en-US" w:eastAsia="zh-CN"/>
              </w:rPr>
            </w:pPr>
          </w:p>
        </w:tc>
        <w:tc>
          <w:tcPr>
            <w:tcW w:w="2648" w:type="dxa"/>
            <w:vAlign w:val="center"/>
          </w:tcPr>
          <w:p>
            <w:pPr>
              <w:spacing w:beforeLines="50"/>
              <w:rPr>
                <w:rFonts w:hint="eastAsia" w:ascii="宋体" w:hAnsi="宋体" w:eastAsia="宋体" w:cs="宋体"/>
                <w:color w:val="auto"/>
                <w:sz w:val="21"/>
                <w:szCs w:val="21"/>
                <w:highlight w:val="none"/>
                <w:lang w:val="en-US" w:eastAsia="zh-CN"/>
              </w:rPr>
            </w:pPr>
          </w:p>
        </w:tc>
        <w:tc>
          <w:tcPr>
            <w:tcW w:w="3760" w:type="dxa"/>
            <w:vAlign w:val="center"/>
          </w:tcPr>
          <w:p>
            <w:pPr>
              <w:spacing w:beforeLines="50"/>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rPr>
                <w:rFonts w:hint="eastAsia" w:ascii="宋体" w:hAnsi="宋体" w:eastAsia="宋体" w:cs="宋体"/>
                <w:color w:val="auto"/>
                <w:sz w:val="21"/>
                <w:szCs w:val="21"/>
                <w:highlight w:val="none"/>
              </w:rPr>
            </w:pPr>
          </w:p>
        </w:tc>
        <w:tc>
          <w:tcPr>
            <w:tcW w:w="3760" w:type="dxa"/>
            <w:vAlign w:val="center"/>
          </w:tcPr>
          <w:p>
            <w:pPr>
              <w:spacing w:beforeLines="50"/>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bl>
    <w:p>
      <w:pPr>
        <w:autoSpaceDE w:val="0"/>
        <w:spacing w:line="400" w:lineRule="atLeast"/>
        <w:rPr>
          <w:rFonts w:hint="eastAsia" w:ascii="宋体" w:hAnsi="宋体"/>
          <w:color w:val="auto"/>
          <w:sz w:val="24"/>
          <w:highlight w:val="none"/>
        </w:rPr>
      </w:pPr>
    </w:p>
    <w:p>
      <w:pPr>
        <w:autoSpaceDE w:val="0"/>
        <w:spacing w:line="440" w:lineRule="exact"/>
        <w:ind w:firstLine="3675" w:firstLineChars="1750"/>
        <w:rPr>
          <w:rFonts w:ascii="宋体" w:hAnsi="宋体"/>
          <w:color w:val="auto"/>
          <w:szCs w:val="21"/>
          <w:highlight w:val="none"/>
        </w:rPr>
      </w:pPr>
      <w:r>
        <w:rPr>
          <w:rFonts w:ascii="宋体" w:hAnsi="宋体"/>
          <w:color w:val="auto"/>
          <w:szCs w:val="21"/>
          <w:highlight w:val="none"/>
        </w:rPr>
        <w:t>投 标 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rPr>
        <w:t>（盖单位章）</w:t>
      </w:r>
    </w:p>
    <w:p>
      <w:pPr>
        <w:autoSpaceDE w:val="0"/>
        <w:spacing w:line="440" w:lineRule="exact"/>
        <w:ind w:firstLine="3675" w:firstLineChars="1750"/>
        <w:rPr>
          <w:rFonts w:ascii="宋体" w:hAnsi="宋体"/>
          <w:color w:val="auto"/>
          <w:szCs w:val="21"/>
          <w:highlight w:val="none"/>
        </w:rPr>
      </w:pPr>
      <w:r>
        <w:rPr>
          <w:rFonts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（签字）</w:t>
      </w:r>
    </w:p>
    <w:p>
      <w:pPr>
        <w:autoSpaceDE w:val="0"/>
        <w:spacing w:line="440" w:lineRule="exact"/>
        <w:ind w:firstLine="4725" w:firstLineChars="2250"/>
        <w:rPr>
          <w:rFonts w:hint="eastAsia"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autoSpaceDE w:val="0"/>
        <w:spacing w:line="440" w:lineRule="exact"/>
        <w:jc w:val="left"/>
        <w:rPr>
          <w:rFonts w:hint="eastAsia" w:ascii="宋体" w:hAnsi="宋体"/>
          <w:color w:val="auto"/>
          <w:sz w:val="21"/>
          <w:szCs w:val="21"/>
          <w:highlight w:val="none"/>
          <w:lang w:val="en-US" w:eastAsia="zh-CN"/>
        </w:rPr>
        <w:sectPr>
          <w:footnotePr>
            <w:numRestart w:val="eachPage"/>
          </w:footnotePr>
          <w:pgSz w:w="11907" w:h="16840"/>
          <w:pgMar w:top="1418" w:right="1134" w:bottom="1134" w:left="1134" w:header="680" w:footer="907" w:gutter="0"/>
          <w:pgNumType w:fmt="decimal"/>
          <w:cols w:space="720" w:num="1"/>
          <w:docGrid w:linePitch="271" w:charSpace="0"/>
        </w:sectPr>
      </w:pPr>
      <w:r>
        <w:rPr>
          <w:rFonts w:hint="eastAsia" w:ascii="宋体" w:hAnsi="宋体"/>
          <w:color w:val="auto"/>
          <w:sz w:val="21"/>
          <w:szCs w:val="21"/>
          <w:highlight w:val="none"/>
          <w:lang w:val="en-US" w:eastAsia="zh-CN"/>
        </w:rPr>
        <w:t>注：如是联合体，由牵头人按本格式提交。</w:t>
      </w:r>
      <w:bookmarkStart w:id="703" w:name="_Toc247514283"/>
      <w:bookmarkStart w:id="704" w:name="_Toc247527831"/>
      <w:bookmarkStart w:id="705" w:name="_Toc152042580"/>
      <w:bookmarkStart w:id="706" w:name="_Toc144974860"/>
      <w:bookmarkStart w:id="707" w:name="_Toc152045791"/>
      <w:bookmarkStart w:id="708" w:name="_Toc468539911"/>
    </w:p>
    <w:p>
      <w:pPr>
        <w:pStyle w:val="24"/>
        <w:rPr>
          <w:rFonts w:hint="eastAsia"/>
          <w:color w:val="auto"/>
          <w:highlight w:val="none"/>
        </w:rPr>
      </w:pPr>
    </w:p>
    <w:p>
      <w:pPr>
        <w:pStyle w:val="18"/>
        <w:autoSpaceDE w:val="0"/>
        <w:rPr>
          <w:rFonts w:hint="default" w:eastAsia="宋体"/>
          <w:color w:val="auto"/>
          <w:sz w:val="28"/>
          <w:szCs w:val="28"/>
          <w:highlight w:val="none"/>
          <w:lang w:val="en-US" w:eastAsia="zh-CN"/>
        </w:rPr>
      </w:pPr>
      <w:bookmarkStart w:id="709" w:name="_Toc17332"/>
      <w:bookmarkStart w:id="710" w:name="_Toc14420"/>
      <w:bookmarkStart w:id="711" w:name="_Toc534472074"/>
      <w:bookmarkStart w:id="712" w:name="_Toc499225499"/>
      <w:bookmarkStart w:id="713" w:name="_Toc534471635"/>
      <w:r>
        <w:rPr>
          <w:rFonts w:hint="eastAsia"/>
          <w:color w:val="auto"/>
          <w:sz w:val="28"/>
          <w:szCs w:val="28"/>
          <w:highlight w:val="none"/>
          <w:lang w:val="en-US" w:eastAsia="zh-CN"/>
        </w:rPr>
        <w:t>二、法</w:t>
      </w:r>
      <w:r>
        <w:rPr>
          <w:color w:val="auto"/>
          <w:sz w:val="28"/>
          <w:szCs w:val="28"/>
          <w:highlight w:val="none"/>
        </w:rPr>
        <w:t>定代表人身份证明</w:t>
      </w:r>
      <w:bookmarkEnd w:id="703"/>
      <w:bookmarkEnd w:id="704"/>
      <w:bookmarkEnd w:id="705"/>
      <w:bookmarkEnd w:id="706"/>
      <w:bookmarkEnd w:id="707"/>
      <w:bookmarkEnd w:id="708"/>
      <w:bookmarkEnd w:id="709"/>
      <w:bookmarkEnd w:id="710"/>
      <w:bookmarkEnd w:id="711"/>
      <w:bookmarkEnd w:id="712"/>
      <w:bookmarkEnd w:id="713"/>
    </w:p>
    <w:p>
      <w:pPr>
        <w:autoSpaceDE w:val="0"/>
        <w:spacing w:line="440" w:lineRule="exact"/>
        <w:rPr>
          <w:rFonts w:ascii="宋体" w:hAnsi="宋体"/>
          <w:color w:val="auto"/>
          <w:sz w:val="20"/>
          <w:szCs w:val="20"/>
          <w:highlight w:val="none"/>
        </w:rPr>
      </w:pPr>
    </w:p>
    <w:p>
      <w:pPr>
        <w:autoSpaceDE w:val="0"/>
        <w:spacing w:line="440" w:lineRule="exact"/>
        <w:rPr>
          <w:rFonts w:ascii="宋体" w:hAnsi="宋体"/>
          <w:color w:val="auto"/>
          <w:szCs w:val="21"/>
          <w:highlight w:val="none"/>
        </w:rPr>
      </w:pP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投标人名称：</w:t>
      </w:r>
      <w:r>
        <w:rPr>
          <w:rFonts w:ascii="宋体" w:hAnsi="宋体"/>
          <w:color w:val="auto"/>
          <w:szCs w:val="21"/>
          <w:highlight w:val="none"/>
          <w:u w:val="single"/>
        </w:rPr>
        <w:t xml:space="preserve">                            </w:t>
      </w:r>
      <w:r>
        <w:rPr>
          <w:rFonts w:ascii="宋体" w:hAnsi="宋体"/>
          <w:color w:val="auto"/>
          <w:szCs w:val="21"/>
          <w:highlight w:val="non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单位性质：</w:t>
      </w:r>
      <w:r>
        <w:rPr>
          <w:rFonts w:ascii="宋体" w:hAnsi="宋体"/>
          <w:color w:val="auto"/>
          <w:szCs w:val="21"/>
          <w:highlight w:val="none"/>
          <w:u w:val="single"/>
        </w:rPr>
        <w:t xml:space="preserve">                               </w:t>
      </w:r>
      <w:r>
        <w:rPr>
          <w:rFonts w:ascii="宋体" w:hAnsi="宋体"/>
          <w:color w:val="auto"/>
          <w:szCs w:val="21"/>
          <w:highlight w:val="non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地址：</w:t>
      </w:r>
      <w:r>
        <w:rPr>
          <w:rFonts w:ascii="宋体" w:hAnsi="宋体"/>
          <w:color w:val="auto"/>
          <w:szCs w:val="21"/>
          <w:highlight w:val="none"/>
          <w:u w:val="singl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成立时间：</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经营期限：</w:t>
      </w:r>
      <w:r>
        <w:rPr>
          <w:rFonts w:ascii="宋体" w:hAnsi="宋体"/>
          <w:color w:val="auto"/>
          <w:szCs w:val="21"/>
          <w:highlight w:val="none"/>
          <w:u w:val="singl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姓名：</w:t>
      </w:r>
      <w:r>
        <w:rPr>
          <w:rFonts w:ascii="宋体" w:hAnsi="宋体"/>
          <w:color w:val="auto"/>
          <w:szCs w:val="21"/>
          <w:highlight w:val="none"/>
          <w:u w:val="single"/>
        </w:rPr>
        <w:t xml:space="preserve">        </w:t>
      </w:r>
      <w:r>
        <w:rPr>
          <w:rFonts w:ascii="宋体" w:hAnsi="宋体"/>
          <w:color w:val="auto"/>
          <w:szCs w:val="21"/>
          <w:highlight w:val="none"/>
        </w:rPr>
        <w:t xml:space="preserve"> 性别：</w:t>
      </w:r>
      <w:r>
        <w:rPr>
          <w:rFonts w:ascii="宋体" w:hAnsi="宋体"/>
          <w:color w:val="auto"/>
          <w:szCs w:val="21"/>
          <w:highlight w:val="none"/>
          <w:u w:val="single"/>
        </w:rPr>
        <w:t xml:space="preserve">         </w:t>
      </w:r>
      <w:r>
        <w:rPr>
          <w:rFonts w:ascii="宋体" w:hAnsi="宋体"/>
          <w:color w:val="auto"/>
          <w:szCs w:val="21"/>
          <w:highlight w:val="none"/>
        </w:rPr>
        <w:t xml:space="preserve"> 年龄：</w:t>
      </w:r>
      <w:r>
        <w:rPr>
          <w:rFonts w:ascii="宋体" w:hAnsi="宋体"/>
          <w:color w:val="auto"/>
          <w:szCs w:val="21"/>
          <w:highlight w:val="none"/>
          <w:u w:val="single"/>
        </w:rPr>
        <w:t xml:space="preserve">        </w:t>
      </w:r>
      <w:r>
        <w:rPr>
          <w:rFonts w:ascii="宋体" w:hAnsi="宋体"/>
          <w:color w:val="auto"/>
          <w:szCs w:val="21"/>
          <w:highlight w:val="none"/>
        </w:rPr>
        <w:t>职务：</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autoSpaceDE w:val="0"/>
        <w:spacing w:line="440" w:lineRule="exact"/>
        <w:ind w:firstLine="420" w:firstLineChars="200"/>
        <w:rPr>
          <w:rFonts w:ascii="宋体" w:hAnsi="宋体"/>
          <w:color w:val="auto"/>
          <w:szCs w:val="21"/>
          <w:highlight w:val="none"/>
        </w:rPr>
      </w:pPr>
      <w:r>
        <w:rPr>
          <w:rFonts w:ascii="宋体" w:hAnsi="宋体"/>
          <w:color w:val="auto"/>
          <w:szCs w:val="21"/>
          <w:highlight w:val="none"/>
        </w:rPr>
        <w:t>系</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投标人名称</w:t>
      </w:r>
      <w:r>
        <w:rPr>
          <w:rFonts w:hint="eastAsia" w:ascii="宋体" w:hAnsi="宋体"/>
          <w:color w:val="auto"/>
          <w:szCs w:val="21"/>
          <w:highlight w:val="none"/>
        </w:rPr>
        <w:t>）</w:t>
      </w:r>
      <w:r>
        <w:rPr>
          <w:rFonts w:ascii="宋体" w:hAnsi="宋体"/>
          <w:color w:val="auto"/>
          <w:szCs w:val="21"/>
          <w:highlight w:val="none"/>
        </w:rPr>
        <w:t>的法定代表人。</w:t>
      </w:r>
    </w:p>
    <w:p>
      <w:pPr>
        <w:autoSpaceDE w:val="0"/>
        <w:spacing w:line="440" w:lineRule="exact"/>
        <w:ind w:firstLine="1260" w:firstLineChars="600"/>
        <w:rPr>
          <w:rFonts w:ascii="宋体" w:hAnsi="宋体"/>
          <w:color w:val="auto"/>
          <w:szCs w:val="21"/>
          <w:highlight w:val="none"/>
        </w:rPr>
      </w:pPr>
      <w:r>
        <w:rPr>
          <w:rFonts w:ascii="宋体" w:hAnsi="宋体"/>
          <w:color w:val="auto"/>
          <w:szCs w:val="21"/>
          <w:highlight w:val="none"/>
        </w:rPr>
        <w:t>特此证明。</w:t>
      </w:r>
    </w:p>
    <w:p>
      <w:pPr>
        <w:autoSpaceDE w:val="0"/>
        <w:spacing w:line="440" w:lineRule="exact"/>
        <w:rPr>
          <w:rFonts w:ascii="宋体" w:hAnsi="宋体"/>
          <w:color w:val="auto"/>
          <w:szCs w:val="21"/>
          <w:highlight w:val="none"/>
        </w:rPr>
      </w:pPr>
    </w:p>
    <w:p>
      <w:pPr>
        <w:autoSpaceDE w:val="0"/>
        <w:spacing w:line="440" w:lineRule="exact"/>
        <w:rPr>
          <w:rFonts w:hint="eastAsia" w:ascii="宋体" w:hAnsi="宋体"/>
          <w:color w:val="auto"/>
          <w:szCs w:val="21"/>
          <w:highlight w:val="none"/>
        </w:rPr>
      </w:pPr>
      <w:r>
        <w:rPr>
          <w:rFonts w:hint="eastAsia" w:ascii="宋体" w:hAnsi="宋体"/>
          <w:color w:val="auto"/>
          <w:szCs w:val="21"/>
          <w:highlight w:val="none"/>
        </w:rPr>
        <w:t>附：法定代表人身份证复印件。</w:t>
      </w:r>
    </w:p>
    <w:p>
      <w:pPr>
        <w:autoSpaceDE w:val="0"/>
        <w:spacing w:line="440" w:lineRule="exact"/>
        <w:rPr>
          <w:rFonts w:hint="eastAsia" w:ascii="宋体" w:hAnsi="宋体"/>
          <w:color w:val="auto"/>
          <w:szCs w:val="21"/>
          <w:highlight w:val="none"/>
        </w:rPr>
      </w:pPr>
      <w:r>
        <w:rPr>
          <w:rFonts w:hint="eastAsia" w:ascii="宋体" w:hAnsi="宋体"/>
          <w:color w:val="auto"/>
          <w:szCs w:val="21"/>
          <w:highlight w:val="none"/>
        </w:rPr>
        <w:t xml:space="preserve"> </w:t>
      </w:r>
    </w:p>
    <w:p>
      <w:pPr>
        <w:autoSpaceDE w:val="0"/>
        <w:spacing w:line="44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p>
    <w:p>
      <w:pPr>
        <w:autoSpaceDE w:val="0"/>
        <w:spacing w:line="440" w:lineRule="exact"/>
        <w:rPr>
          <w:rFonts w:hint="eastAsia" w:ascii="宋体" w:hAnsi="宋体"/>
          <w:color w:val="auto"/>
          <w:szCs w:val="21"/>
          <w:highlight w:val="none"/>
        </w:rPr>
      </w:pPr>
    </w:p>
    <w:p>
      <w:pPr>
        <w:autoSpaceDE w:val="0"/>
        <w:spacing w:line="440" w:lineRule="exact"/>
        <w:ind w:firstLine="3885" w:firstLineChars="18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投标人：</w:t>
      </w:r>
      <w:r>
        <w:rPr>
          <w:rFonts w:ascii="宋体" w:hAnsi="宋体"/>
          <w:color w:val="auto"/>
          <w:szCs w:val="21"/>
          <w:highlight w:val="none"/>
          <w:u w:val="single"/>
        </w:rPr>
        <w:t xml:space="preserve">                 </w:t>
      </w:r>
      <w:r>
        <w:rPr>
          <w:rFonts w:ascii="宋体" w:hAnsi="宋体"/>
          <w:color w:val="auto"/>
          <w:szCs w:val="21"/>
          <w:highlight w:val="none"/>
        </w:rPr>
        <w:t>（盖单位章）</w:t>
      </w:r>
    </w:p>
    <w:p>
      <w:pPr>
        <w:autoSpaceDE w:val="0"/>
        <w:spacing w:line="44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 xml:space="preserve"> 日           </w:t>
      </w:r>
    </w:p>
    <w:p>
      <w:pPr>
        <w:autoSpaceDE w:val="0"/>
        <w:spacing w:line="440" w:lineRule="exact"/>
        <w:jc w:val="left"/>
        <w:rPr>
          <w:rFonts w:hint="eastAsia" w:ascii="宋体" w:hAnsi="宋体"/>
          <w:color w:val="auto"/>
          <w:szCs w:val="21"/>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注：如是联合体，由牵头人按本格式提交。</w:t>
      </w:r>
    </w:p>
    <w:p>
      <w:pPr>
        <w:rPr>
          <w:rFonts w:hint="eastAsia"/>
          <w:color w:val="auto"/>
          <w:highlight w:val="none"/>
        </w:rPr>
      </w:pPr>
      <w:r>
        <w:rPr>
          <w:rFonts w:hint="eastAsia" w:ascii="宋体" w:hAnsi="宋体"/>
          <w:color w:val="auto"/>
          <w:sz w:val="20"/>
          <w:szCs w:val="20"/>
          <w:highlight w:val="none"/>
        </w:rPr>
        <w:br w:type="page"/>
      </w:r>
      <w:bookmarkStart w:id="714" w:name="_Toc10839"/>
      <w:bookmarkStart w:id="715" w:name="_Toc534472075"/>
      <w:bookmarkStart w:id="716" w:name="_Toc534471636"/>
      <w:bookmarkStart w:id="717" w:name="_Toc499225500"/>
    </w:p>
    <w:p>
      <w:pPr>
        <w:pStyle w:val="18"/>
        <w:autoSpaceDE w:val="0"/>
        <w:rPr>
          <w:rFonts w:hint="eastAsia" w:eastAsia="宋体"/>
          <w:color w:val="auto"/>
          <w:sz w:val="28"/>
          <w:szCs w:val="28"/>
          <w:highlight w:val="none"/>
          <w:lang w:eastAsia="zh-CN"/>
        </w:rPr>
      </w:pPr>
      <w:bookmarkStart w:id="718" w:name="_Toc14473"/>
      <w:r>
        <w:rPr>
          <w:color w:val="auto"/>
          <w:sz w:val="28"/>
          <w:szCs w:val="28"/>
          <w:highlight w:val="none"/>
        </w:rPr>
        <w:t>授权委托书</w:t>
      </w:r>
      <w:bookmarkEnd w:id="714"/>
      <w:bookmarkEnd w:id="715"/>
      <w:bookmarkEnd w:id="716"/>
      <w:bookmarkEnd w:id="717"/>
      <w:bookmarkEnd w:id="718"/>
    </w:p>
    <w:p>
      <w:pPr>
        <w:autoSpaceDE w:val="0"/>
        <w:spacing w:line="440" w:lineRule="exact"/>
        <w:jc w:val="center"/>
        <w:rPr>
          <w:rFonts w:ascii="宋体" w:hAnsi="宋体"/>
          <w:color w:val="auto"/>
          <w:szCs w:val="21"/>
          <w:highlight w:val="none"/>
        </w:rPr>
      </w:pPr>
    </w:p>
    <w:p>
      <w:pPr>
        <w:topLinePunct/>
        <w:autoSpaceDE w:val="0"/>
        <w:spacing w:line="440" w:lineRule="exact"/>
        <w:ind w:firstLine="420" w:firstLineChars="200"/>
        <w:rPr>
          <w:rFonts w:ascii="宋体" w:hAnsi="宋体"/>
          <w:color w:val="auto"/>
          <w:szCs w:val="21"/>
          <w:highlight w:val="none"/>
        </w:rPr>
      </w:pPr>
      <w:r>
        <w:rPr>
          <w:rFonts w:ascii="宋体" w:hAnsi="宋体"/>
          <w:color w:val="auto"/>
          <w:szCs w:val="21"/>
          <w:highlight w:val="none"/>
        </w:rPr>
        <w:t>本人</w:t>
      </w:r>
      <w:r>
        <w:rPr>
          <w:rFonts w:ascii="宋体" w:hAnsi="宋体"/>
          <w:color w:val="auto"/>
          <w:szCs w:val="21"/>
          <w:highlight w:val="none"/>
          <w:u w:val="single"/>
        </w:rPr>
        <w:t xml:space="preserve">       </w:t>
      </w:r>
      <w:r>
        <w:rPr>
          <w:rFonts w:ascii="宋体" w:hAnsi="宋体"/>
          <w:color w:val="auto"/>
          <w:szCs w:val="21"/>
          <w:highlight w:val="none"/>
        </w:rPr>
        <w:t>（姓名）系</w:t>
      </w:r>
      <w:r>
        <w:rPr>
          <w:rFonts w:ascii="宋体" w:hAnsi="宋体"/>
          <w:color w:val="auto"/>
          <w:szCs w:val="21"/>
          <w:highlight w:val="none"/>
          <w:u w:val="single"/>
        </w:rPr>
        <w:t xml:space="preserve">        </w:t>
      </w:r>
      <w:r>
        <w:rPr>
          <w:rFonts w:ascii="宋体" w:hAnsi="宋体"/>
          <w:color w:val="auto"/>
          <w:szCs w:val="21"/>
          <w:highlight w:val="none"/>
        </w:rPr>
        <w:t>（投标人名称）的法定代表人，现委托</w:t>
      </w:r>
      <w:r>
        <w:rPr>
          <w:rFonts w:ascii="宋体" w:hAnsi="宋体"/>
          <w:color w:val="auto"/>
          <w:szCs w:val="21"/>
          <w:highlight w:val="none"/>
          <w:u w:val="single"/>
        </w:rPr>
        <w:t xml:space="preserve">        </w:t>
      </w:r>
      <w:r>
        <w:rPr>
          <w:rFonts w:ascii="宋体" w:hAnsi="宋体"/>
          <w:color w:val="auto"/>
          <w:szCs w:val="21"/>
          <w:highlight w:val="none"/>
        </w:rPr>
        <w:t>（姓名）为我方代理人。代理人根据授权，以我方名义签署、澄清</w:t>
      </w:r>
      <w:r>
        <w:rPr>
          <w:rFonts w:hint="eastAsia" w:ascii="宋体" w:hAnsi="宋体"/>
          <w:color w:val="auto"/>
          <w:szCs w:val="21"/>
          <w:highlight w:val="none"/>
        </w:rPr>
        <w:t>、说明、补正</w:t>
      </w:r>
      <w:r>
        <w:rPr>
          <w:rFonts w:ascii="宋体" w:hAnsi="宋体"/>
          <w:color w:val="auto"/>
          <w:szCs w:val="21"/>
          <w:highlight w:val="none"/>
        </w:rPr>
        <w:t>、递交、撤回、修改</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none"/>
        </w:rPr>
        <w:t>（项目名称）</w:t>
      </w:r>
      <w:r>
        <w:rPr>
          <w:rFonts w:ascii="宋体" w:hAnsi="宋体"/>
          <w:color w:val="auto"/>
          <w:szCs w:val="21"/>
          <w:highlight w:val="none"/>
        </w:rPr>
        <w:t>投标文件、签订合同和处理有关事宜，其法律后果由我方承担。</w:t>
      </w:r>
    </w:p>
    <w:p>
      <w:pPr>
        <w:autoSpaceDE w:val="0"/>
        <w:spacing w:line="440" w:lineRule="exact"/>
        <w:rPr>
          <w:rFonts w:ascii="宋体" w:hAnsi="宋体"/>
          <w:color w:val="auto"/>
          <w:szCs w:val="21"/>
          <w:highlight w:val="none"/>
        </w:rPr>
      </w:pPr>
      <w:r>
        <w:rPr>
          <w:rFonts w:ascii="宋体" w:hAnsi="宋体"/>
          <w:color w:val="auto"/>
          <w:szCs w:val="21"/>
          <w:highlight w:val="none"/>
        </w:rPr>
        <w:t xml:space="preserve">    委托期限：</w:t>
      </w:r>
      <w:r>
        <w:rPr>
          <w:rFonts w:ascii="宋体" w:hAnsi="宋体"/>
          <w:color w:val="auto"/>
          <w:szCs w:val="21"/>
          <w:highlight w:val="none"/>
          <w:u w:val="single"/>
        </w:rPr>
        <w:t xml:space="preserve">             </w:t>
      </w:r>
      <w:r>
        <w:rPr>
          <w:rFonts w:hint="eastAsia" w:ascii="宋体" w:hAnsi="宋体"/>
          <w:color w:val="auto"/>
          <w:szCs w:val="21"/>
          <w:highlight w:val="none"/>
        </w:rPr>
        <w:t>。</w:t>
      </w:r>
    </w:p>
    <w:p>
      <w:pPr>
        <w:autoSpaceDE w:val="0"/>
        <w:spacing w:line="440" w:lineRule="exact"/>
        <w:ind w:firstLine="420" w:firstLineChars="200"/>
        <w:rPr>
          <w:rFonts w:ascii="宋体" w:hAnsi="宋体"/>
          <w:color w:val="auto"/>
          <w:szCs w:val="21"/>
          <w:highlight w:val="none"/>
        </w:rPr>
      </w:pPr>
      <w:r>
        <w:rPr>
          <w:rFonts w:ascii="宋体" w:hAnsi="宋体"/>
          <w:color w:val="auto"/>
          <w:szCs w:val="21"/>
          <w:highlight w:val="none"/>
        </w:rPr>
        <w:t>代理人无转委托权。</w:t>
      </w:r>
    </w:p>
    <w:p>
      <w:pPr>
        <w:autoSpaceDE w:val="0"/>
        <w:spacing w:line="440" w:lineRule="exact"/>
        <w:ind w:firstLine="420" w:firstLineChars="200"/>
        <w:rPr>
          <w:rFonts w:hint="eastAsia" w:ascii="宋体" w:hAnsi="宋体"/>
          <w:color w:val="auto"/>
          <w:szCs w:val="21"/>
          <w:highlight w:val="none"/>
        </w:rPr>
      </w:pPr>
    </w:p>
    <w:p>
      <w:pPr>
        <w:autoSpaceDE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附：委托代理人身份证复印件</w:t>
      </w:r>
    </w:p>
    <w:p>
      <w:pPr>
        <w:autoSpaceDE w:val="0"/>
        <w:spacing w:line="440" w:lineRule="exact"/>
        <w:rPr>
          <w:rFonts w:ascii="宋体" w:hAnsi="宋体"/>
          <w:color w:val="auto"/>
          <w:szCs w:val="21"/>
          <w:highlight w:val="none"/>
        </w:rPr>
      </w:pPr>
    </w:p>
    <w:p>
      <w:pPr>
        <w:autoSpaceDE w:val="0"/>
        <w:spacing w:line="440" w:lineRule="exact"/>
        <w:rPr>
          <w:rFonts w:ascii="宋体" w:hAnsi="宋体"/>
          <w:color w:val="auto"/>
          <w:szCs w:val="21"/>
          <w:highlight w:val="none"/>
        </w:rPr>
      </w:pPr>
    </w:p>
    <w:p>
      <w:pPr>
        <w:autoSpaceDE w:val="0"/>
        <w:spacing w:line="440" w:lineRule="exact"/>
        <w:ind w:left="3826" w:leftChars="1822"/>
        <w:rPr>
          <w:rFonts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（盖单位章）</w:t>
      </w:r>
    </w:p>
    <w:p>
      <w:pPr>
        <w:autoSpaceDE w:val="0"/>
        <w:spacing w:line="440" w:lineRule="exact"/>
        <w:ind w:left="3826" w:leftChars="1822"/>
        <w:rPr>
          <w:rFonts w:ascii="宋体" w:hAnsi="宋体"/>
          <w:color w:val="auto"/>
          <w:szCs w:val="21"/>
          <w:highlight w:val="none"/>
        </w:rPr>
      </w:pPr>
    </w:p>
    <w:p>
      <w:pPr>
        <w:autoSpaceDE w:val="0"/>
        <w:spacing w:line="440" w:lineRule="exact"/>
        <w:ind w:left="3826" w:leftChars="1822"/>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（签字）</w:t>
      </w:r>
    </w:p>
    <w:p>
      <w:pPr>
        <w:autoSpaceDE w:val="0"/>
        <w:spacing w:line="440" w:lineRule="exact"/>
        <w:ind w:left="3826" w:leftChars="1822"/>
        <w:rPr>
          <w:rFonts w:ascii="宋体" w:hAnsi="宋体"/>
          <w:color w:val="auto"/>
          <w:szCs w:val="21"/>
          <w:highlight w:val="none"/>
        </w:rPr>
      </w:pPr>
    </w:p>
    <w:p>
      <w:pPr>
        <w:autoSpaceDE w:val="0"/>
        <w:spacing w:line="440" w:lineRule="exact"/>
        <w:ind w:firstLine="3780" w:firstLineChars="1800"/>
        <w:rPr>
          <w:rFonts w:ascii="宋体" w:hAnsi="宋体"/>
          <w:color w:val="auto"/>
          <w:szCs w:val="21"/>
          <w:highlight w:val="none"/>
        </w:rPr>
      </w:pPr>
      <w:r>
        <w:rPr>
          <w:rFonts w:ascii="宋体" w:hAnsi="宋体"/>
          <w:color w:val="auto"/>
          <w:szCs w:val="21"/>
          <w:highlight w:val="none"/>
        </w:rPr>
        <w:t>身份证号码：</w:t>
      </w:r>
      <w:r>
        <w:rPr>
          <w:rFonts w:ascii="宋体" w:hAnsi="宋体"/>
          <w:color w:val="auto"/>
          <w:szCs w:val="21"/>
          <w:highlight w:val="none"/>
          <w:u w:val="single"/>
        </w:rPr>
        <w:t xml:space="preserve">                                     </w:t>
      </w:r>
    </w:p>
    <w:p>
      <w:pPr>
        <w:autoSpaceDE w:val="0"/>
        <w:spacing w:line="440" w:lineRule="exact"/>
        <w:ind w:left="3826" w:leftChars="1822"/>
        <w:rPr>
          <w:rFonts w:ascii="宋体" w:hAnsi="宋体"/>
          <w:color w:val="auto"/>
          <w:szCs w:val="21"/>
          <w:highlight w:val="none"/>
        </w:rPr>
      </w:pPr>
    </w:p>
    <w:p>
      <w:pPr>
        <w:autoSpaceDE w:val="0"/>
        <w:spacing w:line="440" w:lineRule="exact"/>
        <w:ind w:left="3826" w:leftChars="1822"/>
        <w:rPr>
          <w:rFonts w:ascii="宋体" w:hAnsi="宋体"/>
          <w:color w:val="auto"/>
          <w:szCs w:val="21"/>
          <w:highlight w:val="none"/>
        </w:rPr>
      </w:pPr>
      <w:r>
        <w:rPr>
          <w:rFonts w:ascii="宋体" w:hAnsi="宋体"/>
          <w:color w:val="auto"/>
          <w:szCs w:val="21"/>
          <w:highlight w:val="none"/>
        </w:rPr>
        <w:t>委托代理人：</w:t>
      </w:r>
      <w:r>
        <w:rPr>
          <w:rFonts w:ascii="宋体" w:hAnsi="宋体"/>
          <w:color w:val="auto"/>
          <w:szCs w:val="21"/>
          <w:highlight w:val="none"/>
          <w:u w:val="single"/>
        </w:rPr>
        <w:t xml:space="preserve">                               </w:t>
      </w:r>
      <w:r>
        <w:rPr>
          <w:rFonts w:ascii="宋体" w:hAnsi="宋体"/>
          <w:color w:val="auto"/>
          <w:szCs w:val="21"/>
          <w:highlight w:val="none"/>
        </w:rPr>
        <w:t>（签字）</w:t>
      </w:r>
    </w:p>
    <w:p>
      <w:pPr>
        <w:autoSpaceDE w:val="0"/>
        <w:spacing w:line="440" w:lineRule="exact"/>
        <w:ind w:left="3826" w:leftChars="1822"/>
        <w:rPr>
          <w:rFonts w:ascii="宋体" w:hAnsi="宋体"/>
          <w:color w:val="auto"/>
          <w:szCs w:val="21"/>
          <w:highlight w:val="none"/>
        </w:rPr>
      </w:pPr>
    </w:p>
    <w:p>
      <w:pPr>
        <w:autoSpaceDE w:val="0"/>
        <w:spacing w:line="440" w:lineRule="exact"/>
        <w:ind w:left="3826" w:leftChars="1822"/>
        <w:rPr>
          <w:rFonts w:hint="eastAsia" w:ascii="宋体" w:hAnsi="宋体"/>
          <w:color w:val="auto"/>
          <w:szCs w:val="21"/>
          <w:highlight w:val="none"/>
        </w:rPr>
      </w:pPr>
      <w:r>
        <w:rPr>
          <w:rFonts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autoSpaceDE w:val="0"/>
        <w:spacing w:line="440" w:lineRule="exact"/>
        <w:rPr>
          <w:rFonts w:ascii="宋体" w:hAnsi="宋体"/>
          <w:color w:val="auto"/>
          <w:szCs w:val="21"/>
          <w:highlight w:val="none"/>
        </w:rPr>
      </w:pPr>
    </w:p>
    <w:p>
      <w:pPr>
        <w:autoSpaceDE w:val="0"/>
        <w:spacing w:line="440" w:lineRule="exact"/>
        <w:rPr>
          <w:rFonts w:ascii="宋体" w:hAnsi="宋体"/>
          <w:color w:val="auto"/>
          <w:szCs w:val="21"/>
          <w:highlight w:val="none"/>
        </w:rPr>
      </w:pPr>
    </w:p>
    <w:p>
      <w:pPr>
        <w:autoSpaceDE w:val="0"/>
        <w:spacing w:line="440" w:lineRule="exact"/>
        <w:ind w:firstLine="4935" w:firstLineChars="2350"/>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r>
        <w:rPr>
          <w:rFonts w:hint="eastAsia" w:ascii="宋体" w:hAnsi="宋体"/>
          <w:color w:val="auto"/>
          <w:sz w:val="21"/>
          <w:szCs w:val="21"/>
          <w:highlight w:val="none"/>
          <w:lang w:val="en-US" w:eastAsia="zh-CN"/>
        </w:rPr>
        <w:t>注：如是联合体，由牵头人按本格式提交。</w:t>
      </w:r>
      <w:r>
        <w:rPr>
          <w:rFonts w:hint="eastAsia" w:ascii="宋体" w:hAnsi="宋体" w:eastAsia="宋体" w:cs="宋体"/>
          <w:color w:val="auto"/>
          <w:kern w:val="2"/>
          <w:sz w:val="21"/>
          <w:szCs w:val="21"/>
          <w:highlight w:val="none"/>
          <w:lang w:val="en-US" w:eastAsia="zh-CN" w:bidi="ar-SA"/>
        </w:rPr>
        <w:t>如</w:t>
      </w:r>
      <w:r>
        <w:rPr>
          <w:rFonts w:hint="eastAsia" w:ascii="宋体" w:hAnsi="宋体" w:cs="宋体"/>
          <w:color w:val="auto"/>
          <w:kern w:val="2"/>
          <w:sz w:val="21"/>
          <w:szCs w:val="21"/>
          <w:highlight w:val="none"/>
          <w:lang w:val="en-US" w:eastAsia="zh-CN" w:bidi="ar-SA"/>
        </w:rPr>
        <w:t>没有授权委托</w:t>
      </w:r>
      <w:r>
        <w:rPr>
          <w:rFonts w:hint="eastAsia" w:ascii="宋体" w:hAnsi="宋体" w:eastAsia="宋体" w:cs="宋体"/>
          <w:color w:val="auto"/>
          <w:kern w:val="2"/>
          <w:sz w:val="21"/>
          <w:szCs w:val="21"/>
          <w:highlight w:val="none"/>
          <w:lang w:val="en-US" w:eastAsia="zh-CN" w:bidi="ar-SA"/>
        </w:rPr>
        <w:t>，可不填写本页面具体内容，但必须保留本页面。</w:t>
      </w:r>
    </w:p>
    <w:p>
      <w:pPr>
        <w:rPr>
          <w:rFonts w:hint="eastAsia" w:ascii="宋体" w:hAnsi="宋体"/>
          <w:color w:val="auto"/>
          <w:sz w:val="24"/>
          <w:highlight w:val="none"/>
        </w:rPr>
      </w:pPr>
      <w:r>
        <w:rPr>
          <w:rFonts w:hint="eastAsia" w:ascii="宋体" w:hAnsi="宋体"/>
          <w:color w:val="auto"/>
          <w:sz w:val="24"/>
          <w:highlight w:val="none"/>
        </w:rPr>
        <w:br w:type="page"/>
      </w:r>
    </w:p>
    <w:p>
      <w:pPr>
        <w:pStyle w:val="24"/>
        <w:numPr>
          <w:ilvl w:val="0"/>
          <w:numId w:val="0"/>
        </w:numPr>
        <w:ind w:leftChars="0"/>
        <w:jc w:val="center"/>
        <w:rPr>
          <w:rFonts w:hint="eastAsia" w:ascii="宋体" w:hAnsi="宋体" w:eastAsia="宋体" w:cs="Times New Roman"/>
          <w:b/>
          <w:color w:val="auto"/>
          <w:kern w:val="0"/>
          <w:sz w:val="28"/>
          <w:szCs w:val="28"/>
          <w:highlight w:val="none"/>
          <w:lang w:val="en-US" w:eastAsia="zh-CN" w:bidi="ar-SA"/>
        </w:rPr>
      </w:pPr>
      <w:r>
        <w:rPr>
          <w:rFonts w:hint="eastAsia" w:hAnsi="宋体" w:cs="Times New Roman"/>
          <w:b/>
          <w:color w:val="auto"/>
          <w:kern w:val="0"/>
          <w:sz w:val="28"/>
          <w:szCs w:val="28"/>
          <w:highlight w:val="none"/>
          <w:lang w:val="en-US" w:eastAsia="zh-CN" w:bidi="ar-SA"/>
        </w:rPr>
        <w:t>三</w:t>
      </w:r>
      <w:r>
        <w:rPr>
          <w:rFonts w:hint="eastAsia" w:ascii="宋体" w:hAnsi="宋体" w:eastAsia="宋体" w:cs="Times New Roman"/>
          <w:b/>
          <w:color w:val="auto"/>
          <w:kern w:val="0"/>
          <w:sz w:val="28"/>
          <w:szCs w:val="28"/>
          <w:highlight w:val="none"/>
          <w:lang w:val="en-US" w:eastAsia="zh-CN" w:bidi="ar-SA"/>
        </w:rPr>
        <w:t>、联合体协议书</w:t>
      </w:r>
    </w:p>
    <w:p>
      <w:pPr>
        <w:pStyle w:val="24"/>
        <w:numPr>
          <w:ilvl w:val="0"/>
          <w:numId w:val="0"/>
        </w:numPr>
        <w:ind w:leftChars="0"/>
        <w:rPr>
          <w:rFonts w:hint="default"/>
          <w:color w:val="auto"/>
          <w:highlight w:val="none"/>
          <w:lang w:val="en-US" w:eastAsia="zh-CN"/>
        </w:rPr>
      </w:pPr>
    </w:p>
    <w:p>
      <w:pPr>
        <w:topLinePunct/>
        <w:spacing w:line="440" w:lineRule="exact"/>
        <w:rPr>
          <w:rFonts w:hint="eastAsia" w:ascii="宋体" w:hAnsi="宋体" w:eastAsia="宋体" w:cs="宋体"/>
          <w:color w:val="auto"/>
          <w:szCs w:val="21"/>
          <w:highlight w:val="none"/>
          <w:u w:val="single"/>
        </w:rPr>
      </w:pPr>
      <w:bookmarkStart w:id="719" w:name="_Toc60537399"/>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440" w:lineRule="exact"/>
        <w:rPr>
          <w:rFonts w:hint="eastAsia" w:ascii="宋体" w:hAnsi="宋体" w:eastAsia="宋体" w:cs="宋体"/>
          <w:color w:val="auto"/>
          <w:szCs w:val="21"/>
          <w:highlight w:val="none"/>
        </w:rPr>
      </w:pPr>
    </w:p>
    <w:p>
      <w:pPr>
        <w:pStyle w:val="1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autoSpaceDE w:val="0"/>
        <w:spacing w:line="5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w:t>
      </w:r>
      <w:r>
        <w:rPr>
          <w:rFonts w:hint="eastAsia" w:ascii="宋体" w:hAnsi="宋体" w:cs="宋体"/>
          <w:color w:val="auto"/>
          <w:kern w:val="2"/>
          <w:sz w:val="21"/>
          <w:szCs w:val="21"/>
          <w:highlight w:val="none"/>
          <w:lang w:val="en-US" w:eastAsia="zh-CN" w:bidi="ar-SA"/>
        </w:rPr>
        <w:t>如是</w:t>
      </w:r>
      <w:r>
        <w:rPr>
          <w:rFonts w:hint="eastAsia" w:ascii="宋体" w:hAnsi="宋体" w:eastAsia="宋体" w:cs="宋体"/>
          <w:color w:val="auto"/>
          <w:kern w:val="2"/>
          <w:sz w:val="21"/>
          <w:szCs w:val="21"/>
          <w:highlight w:val="none"/>
          <w:lang w:val="en-US" w:eastAsia="zh-CN" w:bidi="ar-SA"/>
        </w:rPr>
        <w:t>联合体，由联合体各成员签名盖章。如不组成联合体投标，可不填写本页面具体内容，但必须保留本页面。</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pStyle w:val="4"/>
        <w:numPr>
          <w:ilvl w:val="0"/>
          <w:numId w:val="0"/>
        </w:numPr>
        <w:autoSpaceDE w:val="0"/>
        <w:ind w:left="720" w:hanging="720"/>
        <w:jc w:val="center"/>
        <w:outlineLvl w:val="0"/>
        <w:rPr>
          <w:rFonts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四</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lang w:val="zh-CN"/>
        </w:rPr>
        <w:t>投标保证金凭证</w:t>
      </w:r>
    </w:p>
    <w:p>
      <w:pPr>
        <w:numPr>
          <w:ilvl w:val="0"/>
          <w:numId w:val="7"/>
        </w:numPr>
        <w:autoSpaceDE w:val="0"/>
        <w:spacing w:before="156" w:beforeLines="50" w:line="500" w:lineRule="exact"/>
        <w:rPr>
          <w:rFonts w:hint="eastAsia" w:ascii="宋体" w:hAnsi="宋体"/>
          <w:color w:val="auto"/>
          <w:szCs w:val="21"/>
          <w:highlight w:val="none"/>
        </w:rPr>
      </w:pPr>
      <w:r>
        <w:rPr>
          <w:rFonts w:hint="eastAsia" w:ascii="宋体" w:hAnsi="宋体"/>
          <w:color w:val="auto"/>
          <w:szCs w:val="21"/>
          <w:highlight w:val="none"/>
        </w:rPr>
        <w:t>投标保证金汇入招标人指定帐户的回单凭证或保函、保证保险复印件</w:t>
      </w: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numPr>
          <w:ilvl w:val="0"/>
          <w:numId w:val="7"/>
        </w:numPr>
        <w:autoSpaceDE w:val="0"/>
        <w:spacing w:before="156" w:beforeLines="50" w:line="500" w:lineRule="exact"/>
        <w:rPr>
          <w:rFonts w:hint="eastAsia" w:ascii="宋体" w:hAnsi="宋体"/>
          <w:color w:val="auto"/>
          <w:szCs w:val="21"/>
          <w:highlight w:val="none"/>
        </w:rPr>
      </w:pPr>
      <w:r>
        <w:rPr>
          <w:rFonts w:hint="eastAsia" w:ascii="宋体" w:hAnsi="宋体"/>
          <w:color w:val="auto"/>
          <w:szCs w:val="21"/>
          <w:highlight w:val="none"/>
        </w:rPr>
        <w:t>企业基本账户开户许可证</w:t>
      </w:r>
      <w:r>
        <w:rPr>
          <w:rFonts w:hint="eastAsia" w:ascii="宋体" w:hAnsi="宋体"/>
          <w:color w:val="auto"/>
          <w:szCs w:val="21"/>
          <w:highlight w:val="none"/>
          <w:lang w:val="en-US" w:eastAsia="zh-CN"/>
        </w:rPr>
        <w:t>或银行基本存款账号信息</w:t>
      </w:r>
      <w:r>
        <w:rPr>
          <w:rFonts w:hint="eastAsia" w:ascii="宋体" w:hAnsi="宋体"/>
          <w:color w:val="auto"/>
          <w:szCs w:val="21"/>
          <w:highlight w:val="none"/>
        </w:rPr>
        <w:t>复印件</w:t>
      </w:r>
    </w:p>
    <w:p>
      <w:pPr>
        <w:autoSpaceDE w:val="0"/>
        <w:autoSpaceDN w:val="0"/>
        <w:adjustRightInd w:val="0"/>
        <w:spacing w:line="720" w:lineRule="auto"/>
        <w:ind w:right="90" w:rightChars="43"/>
        <w:rPr>
          <w:rFonts w:hint="eastAsia" w:ascii="宋体" w:hAnsi="宋体"/>
          <w:b/>
          <w:color w:val="auto"/>
          <w:sz w:val="24"/>
          <w:highlight w:val="none"/>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如是联合体</w:t>
      </w:r>
      <w:r>
        <w:rPr>
          <w:rFonts w:hint="eastAsia" w:ascii="宋体" w:hAnsi="宋体" w:eastAsia="宋体" w:cs="宋体"/>
          <w:color w:val="auto"/>
          <w:sz w:val="21"/>
          <w:szCs w:val="21"/>
          <w:highlight w:val="none"/>
        </w:rPr>
        <w:t>，从联合体的</w:t>
      </w:r>
      <w:r>
        <w:rPr>
          <w:rFonts w:hint="eastAsia" w:ascii="宋体" w:hAnsi="宋体" w:eastAsia="宋体" w:cs="宋体"/>
          <w:color w:val="auto"/>
          <w:sz w:val="21"/>
          <w:szCs w:val="21"/>
          <w:highlight w:val="none"/>
          <w:lang w:eastAsia="zh-CN"/>
        </w:rPr>
        <w:t>牵头人</w:t>
      </w:r>
      <w:r>
        <w:rPr>
          <w:rFonts w:hint="eastAsia" w:ascii="宋体" w:hAnsi="宋体" w:eastAsia="宋体" w:cs="宋体"/>
          <w:color w:val="auto"/>
          <w:sz w:val="21"/>
          <w:szCs w:val="21"/>
          <w:highlight w:val="none"/>
        </w:rPr>
        <w:t>基本账户汇出</w:t>
      </w:r>
      <w:r>
        <w:rPr>
          <w:rFonts w:hint="eastAsia" w:ascii="宋体" w:hAnsi="宋体" w:eastAsia="宋体" w:cs="宋体"/>
          <w:color w:val="auto"/>
          <w:sz w:val="21"/>
          <w:szCs w:val="21"/>
          <w:highlight w:val="none"/>
          <w:lang w:eastAsia="zh-CN"/>
        </w:rPr>
        <w:t>。</w:t>
      </w:r>
    </w:p>
    <w:p>
      <w:pPr>
        <w:rPr>
          <w:rFonts w:hint="eastAsia"/>
          <w:color w:val="auto"/>
          <w:highlight w:val="none"/>
        </w:rPr>
      </w:pPr>
      <w:r>
        <w:rPr>
          <w:rFonts w:hint="eastAsia" w:ascii="宋体" w:hAnsi="宋体" w:eastAsia="宋体" w:cs="宋体"/>
          <w:color w:val="auto"/>
          <w:kern w:val="2"/>
          <w:sz w:val="21"/>
          <w:szCs w:val="21"/>
          <w:highlight w:val="none"/>
          <w:lang w:val="en-US" w:eastAsia="zh-CN" w:bidi="ar-SA"/>
        </w:rPr>
        <w:br w:type="page"/>
      </w:r>
    </w:p>
    <w:p>
      <w:pPr>
        <w:pStyle w:val="4"/>
        <w:numPr>
          <w:ilvl w:val="0"/>
          <w:numId w:val="0"/>
        </w:numPr>
        <w:autoSpaceDE w:val="0"/>
        <w:jc w:val="center"/>
        <w:outlineLvl w:val="0"/>
        <w:rPr>
          <w:rFonts w:hint="eastAsia" w:ascii="宋体" w:hAnsi="宋体" w:eastAsia="宋体"/>
          <w:color w:val="auto"/>
          <w:sz w:val="28"/>
          <w:szCs w:val="28"/>
          <w:highlight w:val="none"/>
        </w:rPr>
      </w:pPr>
      <w:bookmarkStart w:id="720" w:name="_Toc14544"/>
      <w:bookmarkStart w:id="721" w:name="_Toc534471638"/>
      <w:bookmarkStart w:id="722" w:name="_Toc12042"/>
      <w:bookmarkStart w:id="723" w:name="_Toc499225502"/>
      <w:bookmarkStart w:id="724" w:name="_Toc534472077"/>
      <w:r>
        <w:rPr>
          <w:rFonts w:hint="eastAsia" w:ascii="宋体" w:hAnsi="宋体" w:eastAsia="宋体"/>
          <w:color w:val="auto"/>
          <w:sz w:val="28"/>
          <w:szCs w:val="28"/>
          <w:highlight w:val="none"/>
          <w:lang w:val="en-US" w:eastAsia="zh-CN"/>
        </w:rPr>
        <w:t>五</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lang w:val="en-US" w:eastAsia="zh-CN"/>
        </w:rPr>
        <w:t>勘察</w:t>
      </w:r>
      <w:r>
        <w:rPr>
          <w:rFonts w:hint="eastAsia" w:ascii="宋体" w:hAnsi="宋体" w:eastAsia="宋体"/>
          <w:color w:val="auto"/>
          <w:sz w:val="28"/>
          <w:szCs w:val="28"/>
          <w:highlight w:val="none"/>
        </w:rPr>
        <w:t>设计费投标报价表</w:t>
      </w:r>
      <w:bookmarkEnd w:id="719"/>
      <w:bookmarkEnd w:id="720"/>
      <w:bookmarkEnd w:id="721"/>
      <w:bookmarkEnd w:id="722"/>
      <w:bookmarkEnd w:id="723"/>
      <w:bookmarkEnd w:id="724"/>
    </w:p>
    <w:p>
      <w:pPr>
        <w:autoSpaceDE w:val="0"/>
        <w:rPr>
          <w:rFonts w:hint="eastAsia" w:ascii="宋体" w:hAnsi="宋体"/>
          <w:color w:val="auto"/>
          <w:highlight w:val="none"/>
        </w:rPr>
      </w:pPr>
    </w:p>
    <w:p>
      <w:pPr>
        <w:autoSpaceDE w:val="0"/>
        <w:rPr>
          <w:rFonts w:hint="eastAsia" w:ascii="宋体" w:hAnsi="宋体"/>
          <w:color w:val="auto"/>
          <w:highlight w:val="none"/>
        </w:rPr>
      </w:pPr>
    </w:p>
    <w:tbl>
      <w:tblPr>
        <w:tblStyle w:val="19"/>
        <w:tblpPr w:leftFromText="180" w:rightFromText="180" w:vertAnchor="text" w:horzAnchor="page" w:tblpX="1298" w:tblpY="296"/>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2169"/>
        <w:gridCol w:w="3825"/>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trPr>
        <w:tc>
          <w:tcPr>
            <w:tcW w:w="7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序号</w:t>
            </w:r>
          </w:p>
        </w:tc>
        <w:tc>
          <w:tcPr>
            <w:tcW w:w="1102" w:type="pct"/>
            <w:noWrap w:val="0"/>
            <w:vAlign w:val="center"/>
          </w:tcPr>
          <w:p>
            <w:pPr>
              <w:autoSpaceDE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分项服务费名称</w:t>
            </w:r>
          </w:p>
        </w:tc>
        <w:tc>
          <w:tcPr>
            <w:tcW w:w="1943" w:type="pct"/>
            <w:noWrap w:val="0"/>
            <w:vAlign w:val="center"/>
          </w:tcPr>
          <w:p>
            <w:pPr>
              <w:autoSpaceDE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投标报价</w:t>
            </w:r>
          </w:p>
        </w:tc>
        <w:tc>
          <w:tcPr>
            <w:tcW w:w="1251"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7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11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设计费</w:t>
            </w:r>
          </w:p>
        </w:tc>
        <w:tc>
          <w:tcPr>
            <w:tcW w:w="1943" w:type="pct"/>
            <w:noWrap w:val="0"/>
            <w:vAlign w:val="center"/>
          </w:tcPr>
          <w:p>
            <w:pPr>
              <w:autoSpaceDE w:val="0"/>
              <w:ind w:left="630" w:hanging="630" w:hangingChars="300"/>
              <w:jc w:val="left"/>
              <w:rPr>
                <w:rFonts w:hint="default"/>
                <w:color w:val="auto"/>
                <w:highlight w:val="none"/>
                <w:lang w:val="en-US" w:eastAsia="zh-CN"/>
              </w:rPr>
            </w:pPr>
            <w:r>
              <w:rPr>
                <w:rFonts w:hint="eastAsia"/>
                <w:color w:val="auto"/>
                <w:highlight w:val="none"/>
                <w:lang w:val="en-US" w:eastAsia="zh-CN"/>
              </w:rPr>
              <w:t>人民币（大写）：</w:t>
            </w:r>
            <w:r>
              <w:rPr>
                <w:rFonts w:hint="eastAsia"/>
                <w:color w:val="auto"/>
                <w:highlight w:val="none"/>
                <w:u w:val="single"/>
                <w:lang w:val="en-US" w:eastAsia="zh-CN"/>
              </w:rPr>
              <w:t xml:space="preserve">           </w:t>
            </w:r>
            <w:r>
              <w:rPr>
                <w:rFonts w:hint="eastAsia" w:ascii="宋体" w:hAnsi="宋体"/>
                <w:color w:val="auto"/>
                <w:szCs w:val="21"/>
                <w:highlight w:val="none"/>
                <w:lang w:val="en-US" w:eastAsia="zh-CN"/>
              </w:rPr>
              <w:t xml:space="preserve">        （小写）：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251" w:type="pct"/>
            <w:noWrap w:val="0"/>
            <w:vAlign w:val="center"/>
          </w:tcPr>
          <w:p>
            <w:pPr>
              <w:autoSpaceDE w:val="0"/>
              <w:ind w:firstLine="210" w:firstLineChars="10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7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11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勘察费</w:t>
            </w:r>
          </w:p>
        </w:tc>
        <w:tc>
          <w:tcPr>
            <w:tcW w:w="1943" w:type="pct"/>
            <w:noWrap w:val="0"/>
            <w:vAlign w:val="center"/>
          </w:tcPr>
          <w:p>
            <w:pPr>
              <w:autoSpaceDE w:val="0"/>
              <w:ind w:left="630" w:hanging="630" w:hangingChars="300"/>
              <w:jc w:val="left"/>
              <w:rPr>
                <w:rFonts w:hint="eastAsia" w:ascii="宋体" w:hAnsi="宋体"/>
                <w:color w:val="auto"/>
                <w:szCs w:val="21"/>
                <w:highlight w:val="none"/>
              </w:rPr>
            </w:pPr>
            <w:r>
              <w:rPr>
                <w:rFonts w:hint="eastAsia"/>
                <w:color w:val="auto"/>
                <w:highlight w:val="none"/>
                <w:lang w:val="en-US" w:eastAsia="zh-CN"/>
              </w:rPr>
              <w:t>人民币（大写）：</w:t>
            </w:r>
            <w:r>
              <w:rPr>
                <w:rFonts w:hint="eastAsia"/>
                <w:color w:val="auto"/>
                <w:highlight w:val="none"/>
                <w:u w:val="single"/>
                <w:lang w:val="en-US" w:eastAsia="zh-CN"/>
              </w:rPr>
              <w:t xml:space="preserve">           </w:t>
            </w:r>
            <w:r>
              <w:rPr>
                <w:rFonts w:hint="eastAsia" w:ascii="宋体" w:hAnsi="宋体"/>
                <w:color w:val="auto"/>
                <w:szCs w:val="21"/>
                <w:highlight w:val="none"/>
                <w:lang w:val="en-US" w:eastAsia="zh-CN"/>
              </w:rPr>
              <w:t xml:space="preserve">        （小写）：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1804" w:type="pct"/>
            <w:gridSpan w:val="2"/>
            <w:noWrap w:val="0"/>
            <w:vAlign w:val="center"/>
          </w:tcPr>
          <w:p>
            <w:pPr>
              <w:autoSpaceDE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投标总报价合计（1+2）</w:t>
            </w:r>
          </w:p>
        </w:tc>
        <w:tc>
          <w:tcPr>
            <w:tcW w:w="1943" w:type="pct"/>
            <w:noWrap w:val="0"/>
            <w:vAlign w:val="center"/>
          </w:tcPr>
          <w:p>
            <w:pPr>
              <w:autoSpaceDE w:val="0"/>
              <w:ind w:left="630" w:hanging="630" w:hangingChars="300"/>
              <w:jc w:val="left"/>
              <w:rPr>
                <w:rFonts w:hint="eastAsia" w:ascii="宋体" w:hAnsi="宋体"/>
                <w:color w:val="auto"/>
                <w:szCs w:val="21"/>
                <w:highlight w:val="none"/>
              </w:rPr>
            </w:pPr>
            <w:r>
              <w:rPr>
                <w:rFonts w:hint="eastAsia"/>
                <w:color w:val="auto"/>
                <w:highlight w:val="none"/>
                <w:lang w:val="en-US" w:eastAsia="zh-CN"/>
              </w:rPr>
              <w:t>人民币（大写）：</w:t>
            </w:r>
            <w:r>
              <w:rPr>
                <w:rFonts w:hint="eastAsia"/>
                <w:color w:val="auto"/>
                <w:highlight w:val="none"/>
                <w:u w:val="single"/>
                <w:lang w:val="en-US" w:eastAsia="zh-CN"/>
              </w:rPr>
              <w:t xml:space="preserve">           </w:t>
            </w:r>
            <w:r>
              <w:rPr>
                <w:rFonts w:hint="eastAsia" w:ascii="宋体" w:hAnsi="宋体"/>
                <w:color w:val="auto"/>
                <w:szCs w:val="21"/>
                <w:highlight w:val="none"/>
                <w:lang w:val="en-US" w:eastAsia="zh-CN"/>
              </w:rPr>
              <w:t xml:space="preserve">        （小写）：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bl>
    <w:p>
      <w:pPr>
        <w:autoSpaceDE w:val="0"/>
        <w:rPr>
          <w:rFonts w:hint="eastAsia" w:ascii="宋体" w:hAnsi="宋体"/>
          <w:color w:val="auto"/>
          <w:sz w:val="28"/>
          <w:highlight w:val="none"/>
        </w:rPr>
      </w:pPr>
    </w:p>
    <w:p>
      <w:pPr>
        <w:autoSpaceDE w:val="0"/>
        <w:rPr>
          <w:rFonts w:hint="eastAsia" w:ascii="宋体" w:hAnsi="宋体"/>
          <w:color w:val="auto"/>
          <w:szCs w:val="21"/>
          <w:highlight w:val="none"/>
        </w:rPr>
      </w:pPr>
    </w:p>
    <w:p>
      <w:pPr>
        <w:autoSpaceDE w:val="0"/>
        <w:rPr>
          <w:rFonts w:hint="eastAsia" w:ascii="宋体" w:hAnsi="宋体"/>
          <w:color w:val="auto"/>
          <w:szCs w:val="21"/>
          <w:highlight w:val="none"/>
        </w:rPr>
      </w:pPr>
    </w:p>
    <w:p>
      <w:pPr>
        <w:autoSpaceDE w:val="0"/>
        <w:spacing w:line="400" w:lineRule="atLeast"/>
        <w:rPr>
          <w:rFonts w:hint="eastAsia"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pacing w:val="100"/>
          <w:szCs w:val="21"/>
          <w:highlight w:val="none"/>
        </w:rPr>
        <w:t>投标人</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(单位全称、盖章)</w:t>
      </w:r>
      <w:r>
        <w:rPr>
          <w:rFonts w:ascii="宋体" w:hAnsi="宋体"/>
          <w:color w:val="auto"/>
          <w:szCs w:val="21"/>
          <w:highlight w:val="none"/>
          <w:u w:val="single"/>
        </w:rPr>
        <w:t xml:space="preserve"> </w:t>
      </w:r>
    </w:p>
    <w:p>
      <w:pPr>
        <w:autoSpaceDE w:val="0"/>
        <w:spacing w:line="400" w:lineRule="atLeast"/>
        <w:rPr>
          <w:rFonts w:hint="eastAsia" w:ascii="宋体" w:hAnsi="宋体"/>
          <w:color w:val="auto"/>
          <w:szCs w:val="21"/>
          <w:highlight w:val="none"/>
        </w:rPr>
      </w:pPr>
    </w:p>
    <w:p>
      <w:pPr>
        <w:autoSpaceDE w:val="0"/>
        <w:spacing w:line="400" w:lineRule="atLeast"/>
        <w:ind w:left="239" w:firstLine="3150" w:firstLineChars="1500"/>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（签字或盖章）</w:t>
      </w:r>
    </w:p>
    <w:p>
      <w:pPr>
        <w:autoSpaceDE w:val="0"/>
        <w:spacing w:line="400" w:lineRule="atLeast"/>
        <w:ind w:firstLine="240"/>
        <w:rPr>
          <w:rFonts w:hint="eastAsia" w:ascii="宋体" w:hAnsi="宋体"/>
          <w:color w:val="auto"/>
          <w:szCs w:val="21"/>
          <w:highlight w:val="none"/>
        </w:rPr>
      </w:pPr>
    </w:p>
    <w:p>
      <w:pPr>
        <w:autoSpaceDE w:val="0"/>
        <w:spacing w:line="400" w:lineRule="atLeast"/>
        <w:ind w:firstLine="3387" w:firstLineChars="1613"/>
        <w:rPr>
          <w:rFonts w:hint="eastAsia" w:ascii="宋体" w:hAnsi="宋体"/>
          <w:color w:val="auto"/>
          <w:szCs w:val="21"/>
          <w:highlight w:val="none"/>
        </w:rPr>
      </w:pPr>
      <w:r>
        <w:rPr>
          <w:rFonts w:hint="eastAsia" w:ascii="宋体" w:hAnsi="宋体"/>
          <w:color w:val="auto"/>
          <w:szCs w:val="21"/>
          <w:highlight w:val="none"/>
        </w:rPr>
        <w:t>日  期：</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pPr>
        <w:autoSpaceDE w:val="0"/>
        <w:spacing w:line="400" w:lineRule="atLeast"/>
        <w:ind w:firstLine="240"/>
        <w:rPr>
          <w:rFonts w:hint="eastAsia" w:ascii="宋体" w:hAnsi="宋体"/>
          <w:color w:val="auto"/>
          <w:szCs w:val="21"/>
          <w:highlight w:val="none"/>
        </w:rPr>
      </w:pPr>
    </w:p>
    <w:p>
      <w:pPr>
        <w:autoSpaceDE w:val="0"/>
        <w:ind w:left="2833" w:firstLine="2100"/>
        <w:rPr>
          <w:rFonts w:hint="eastAsia" w:ascii="宋体" w:hAnsi="宋体"/>
          <w:color w:val="auto"/>
          <w:sz w:val="28"/>
          <w:highlight w:val="none"/>
        </w:rPr>
      </w:pPr>
    </w:p>
    <w:p>
      <w:pPr>
        <w:autoSpaceDE w:val="0"/>
        <w:ind w:left="2833" w:firstLine="2100"/>
        <w:jc w:val="left"/>
        <w:rPr>
          <w:rFonts w:hint="eastAsia" w:ascii="宋体" w:hAnsi="宋体"/>
          <w:color w:val="auto"/>
          <w:sz w:val="28"/>
          <w:highlight w:val="none"/>
        </w:rPr>
      </w:pPr>
    </w:p>
    <w:p>
      <w:pPr>
        <w:autoSpaceDE w:val="0"/>
        <w:ind w:left="2833" w:firstLine="2100"/>
        <w:jc w:val="left"/>
        <w:rPr>
          <w:rFonts w:hint="eastAsia" w:ascii="宋体" w:hAnsi="宋体"/>
          <w:color w:val="auto"/>
          <w:sz w:val="28"/>
          <w:highlight w:val="none"/>
        </w:rPr>
      </w:pPr>
    </w:p>
    <w:p>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如是联合体，</w:t>
      </w:r>
      <w:r>
        <w:rPr>
          <w:rFonts w:hint="eastAsia" w:ascii="宋体" w:hAnsi="宋体" w:cs="宋体"/>
          <w:color w:val="auto"/>
          <w:sz w:val="21"/>
          <w:szCs w:val="21"/>
          <w:highlight w:val="none"/>
          <w:lang w:val="en-US" w:eastAsia="zh-CN"/>
        </w:rPr>
        <w:t>由</w:t>
      </w:r>
      <w:r>
        <w:rPr>
          <w:rFonts w:hint="eastAsia" w:ascii="宋体" w:hAnsi="宋体" w:eastAsia="宋体" w:cs="宋体"/>
          <w:color w:val="auto"/>
          <w:sz w:val="21"/>
          <w:szCs w:val="21"/>
          <w:highlight w:val="none"/>
          <w:lang w:val="en-US" w:eastAsia="zh-CN"/>
        </w:rPr>
        <w:t>牵头人按本格式提交</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24"/>
        <w:jc w:val="center"/>
        <w:rPr>
          <w:rFonts w:hint="eastAsia"/>
          <w:b/>
          <w:bCs/>
          <w:color w:val="auto"/>
          <w:sz w:val="28"/>
          <w:szCs w:val="28"/>
          <w:highlight w:val="none"/>
          <w:lang w:val="en-US" w:eastAsia="zh-CN"/>
        </w:rPr>
      </w:pPr>
      <w:r>
        <w:rPr>
          <w:rFonts w:hint="eastAsia" w:ascii="宋体" w:hAnsi="宋体"/>
          <w:b/>
          <w:bCs/>
          <w:color w:val="auto"/>
          <w:sz w:val="28"/>
          <w:szCs w:val="28"/>
          <w:highlight w:val="none"/>
          <w:lang w:val="en-US" w:eastAsia="zh-CN"/>
        </w:rPr>
        <w:t>六</w:t>
      </w:r>
      <w:r>
        <w:rPr>
          <w:rFonts w:hint="eastAsia" w:ascii="宋体" w:hAnsi="宋体"/>
          <w:b/>
          <w:bCs/>
          <w:color w:val="auto"/>
          <w:sz w:val="28"/>
          <w:szCs w:val="28"/>
          <w:highlight w:val="none"/>
        </w:rPr>
        <w:t>、</w:t>
      </w:r>
      <w:r>
        <w:rPr>
          <w:rFonts w:hint="eastAsia" w:ascii="宋体" w:hAnsi="宋体"/>
          <w:b/>
          <w:bCs/>
          <w:color w:val="auto"/>
          <w:sz w:val="28"/>
          <w:szCs w:val="28"/>
          <w:highlight w:val="none"/>
          <w:lang w:val="en-US" w:eastAsia="zh-CN"/>
        </w:rPr>
        <w:t>资格审查文件</w:t>
      </w:r>
    </w:p>
    <w:p>
      <w:pPr>
        <w:rPr>
          <w:rFonts w:hint="eastAsia" w:ascii="宋体" w:hAnsi="宋体"/>
          <w:color w:val="auto"/>
          <w:highlight w:val="none"/>
        </w:rPr>
      </w:pPr>
    </w:p>
    <w:p>
      <w:pPr>
        <w:pStyle w:val="10"/>
        <w:topLinePunct/>
        <w:autoSpaceDE/>
        <w:autoSpaceDN/>
        <w:spacing w:line="360" w:lineRule="auto"/>
        <w:jc w:val="center"/>
        <w:outlineLvl w:val="0"/>
        <w:rPr>
          <w:rFonts w:hint="eastAsia" w:ascii="宋体" w:hAnsi="宋体" w:eastAsia="宋体" w:cs="宋体"/>
          <w:b/>
          <w:color w:val="auto"/>
          <w:sz w:val="28"/>
          <w:szCs w:val="28"/>
          <w:highlight w:val="none"/>
        </w:rPr>
      </w:pPr>
      <w:bookmarkStart w:id="725" w:name="_Toc15767"/>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一</w:t>
      </w:r>
      <w:r>
        <w:rPr>
          <w:rFonts w:hint="eastAsia" w:ascii="宋体" w:hAnsi="宋体" w:eastAsia="宋体" w:cs="宋体"/>
          <w:b/>
          <w:color w:val="auto"/>
          <w:sz w:val="28"/>
          <w:szCs w:val="28"/>
          <w:highlight w:val="none"/>
        </w:rPr>
        <w:t>）投标人基本情况表</w:t>
      </w:r>
      <w:bookmarkEnd w:id="725"/>
    </w:p>
    <w:tbl>
      <w:tblPr>
        <w:tblStyle w:val="19"/>
        <w:tblW w:w="0" w:type="auto"/>
        <w:tblInd w:w="108" w:type="dxa"/>
        <w:tblLayout w:type="fixed"/>
        <w:tblCellMar>
          <w:top w:w="0" w:type="dxa"/>
          <w:left w:w="0" w:type="dxa"/>
          <w:bottom w:w="0" w:type="dxa"/>
          <w:right w:w="0" w:type="dxa"/>
        </w:tblCellMar>
      </w:tblPr>
      <w:tblGrid>
        <w:gridCol w:w="1728"/>
        <w:gridCol w:w="898"/>
        <w:gridCol w:w="950"/>
        <w:gridCol w:w="840"/>
        <w:gridCol w:w="516"/>
        <w:gridCol w:w="113"/>
        <w:gridCol w:w="1181"/>
        <w:gridCol w:w="492"/>
        <w:gridCol w:w="859"/>
        <w:gridCol w:w="991"/>
      </w:tblGrid>
      <w:tr>
        <w:tblPrEx>
          <w:tblCellMar>
            <w:top w:w="0" w:type="dxa"/>
            <w:left w:w="0" w:type="dxa"/>
            <w:bottom w:w="0" w:type="dxa"/>
            <w:right w:w="0" w:type="dxa"/>
          </w:tblCellMar>
        </w:tblPrEx>
        <w:trPr>
          <w:trHeight w:val="57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4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559"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3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注册地址</w:t>
            </w:r>
          </w:p>
        </w:tc>
        <w:tc>
          <w:tcPr>
            <w:tcW w:w="3204"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3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26" w:hRule="exac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联系人</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750"/>
              </w:tabs>
              <w:topLinePunct/>
              <w:autoSpaceDE/>
              <w:autoSpaceDN/>
              <w:spacing w:before="7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11" w:hRule="exac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07"/>
              </w:tabs>
              <w:topLinePunct/>
              <w:autoSpaceDE/>
              <w:autoSpaceDN/>
              <w:spacing w:before="64" w:line="360" w:lineRule="auto"/>
              <w:ind w:left="6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真</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750"/>
              </w:tabs>
              <w:topLinePunct/>
              <w:autoSpaceDE/>
              <w:autoSpaceDN/>
              <w:spacing w:before="6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7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3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技术职称</w:t>
            </w:r>
          </w:p>
        </w:tc>
        <w:tc>
          <w:tcPr>
            <w:tcW w:w="1673"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8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技术职称</w:t>
            </w:r>
          </w:p>
        </w:tc>
        <w:tc>
          <w:tcPr>
            <w:tcW w:w="1673"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07"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2"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成立时间</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4992"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2" w:line="360" w:lineRule="auto"/>
              <w:ind w:left="10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员工总人数：</w:t>
            </w:r>
          </w:p>
        </w:tc>
      </w:tr>
      <w:tr>
        <w:tblPrEx>
          <w:tblCellMar>
            <w:top w:w="0" w:type="dxa"/>
            <w:left w:w="0" w:type="dxa"/>
            <w:bottom w:w="0" w:type="dxa"/>
            <w:right w:w="0" w:type="dxa"/>
          </w:tblCellMar>
        </w:tblPrEx>
        <w:trPr>
          <w:trHeight w:val="773"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企业资质等级</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其中</w:t>
            </w: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1"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高级职称人员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6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营业执照号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53"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中级职称人员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9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5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注册资金</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初级职称人员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75"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开户银行</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1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账号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1659"/>
              </w:tabs>
              <w:topLinePunct/>
              <w:autoSpaceDE/>
              <w:autoSpaceDN/>
              <w:spacing w:before="64" w:line="360" w:lineRule="auto"/>
              <w:jc w:val="center"/>
              <w:rPr>
                <w:rFonts w:hint="eastAsia" w:ascii="宋体" w:hAnsi="宋体" w:eastAsia="宋体" w:cs="宋体"/>
                <w:color w:val="auto"/>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124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经营范围</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49"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31"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bl>
    <w:p>
      <w:pPr>
        <w:pStyle w:val="10"/>
        <w:topLinePunct/>
        <w:autoSpaceDE/>
        <w:autoSpaceDN/>
        <w:spacing w:before="4" w:line="360" w:lineRule="auto"/>
        <w:ind w:left="974" w:right="115" w:hanging="735"/>
        <w:jc w:val="both"/>
        <w:rPr>
          <w:rFonts w:hint="eastAsia" w:ascii="宋体" w:hAnsi="宋体" w:eastAsia="宋体" w:cs="宋体"/>
          <w:color w:val="auto"/>
          <w:sz w:val="21"/>
          <w:szCs w:val="21"/>
          <w:highlight w:val="none"/>
        </w:rPr>
      </w:pPr>
    </w:p>
    <w:p>
      <w:pPr>
        <w:pStyle w:val="10"/>
        <w:topLinePunct/>
        <w:autoSpaceDE/>
        <w:autoSpaceDN/>
        <w:spacing w:before="4" w:line="360" w:lineRule="auto"/>
        <w:ind w:left="974" w:right="115" w:hanging="73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注：如是</w:t>
      </w:r>
      <w:r>
        <w:rPr>
          <w:rFonts w:hint="eastAsia" w:ascii="宋体" w:hAnsi="宋体" w:eastAsia="宋体" w:cs="宋体"/>
          <w:color w:val="auto"/>
          <w:sz w:val="21"/>
          <w:szCs w:val="21"/>
          <w:highlight w:val="none"/>
        </w:rPr>
        <w:t>联合体，联合体各方均应分别按本格式提交。</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10"/>
        <w:topLinePunct/>
        <w:autoSpaceDE/>
        <w:autoSpaceDN/>
        <w:spacing w:line="360" w:lineRule="auto"/>
        <w:jc w:val="center"/>
        <w:outlineLvl w:val="0"/>
        <w:rPr>
          <w:rFonts w:hint="eastAsia" w:ascii="宋体" w:hAnsi="宋体" w:eastAsia="宋体" w:cs="宋体"/>
          <w:b/>
          <w:color w:val="auto"/>
          <w:sz w:val="28"/>
          <w:szCs w:val="28"/>
          <w:highlight w:val="none"/>
        </w:rPr>
      </w:pPr>
      <w:bookmarkStart w:id="726" w:name="_Toc28915"/>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二</w:t>
      </w:r>
      <w:r>
        <w:rPr>
          <w:rFonts w:hint="eastAsia" w:ascii="宋体" w:hAnsi="宋体" w:eastAsia="宋体" w:cs="宋体"/>
          <w:b/>
          <w:color w:val="auto"/>
          <w:sz w:val="28"/>
          <w:szCs w:val="28"/>
          <w:highlight w:val="none"/>
        </w:rPr>
        <w:t>）项目负责人简历表</w:t>
      </w:r>
      <w:bookmarkEnd w:id="726"/>
    </w:p>
    <w:tbl>
      <w:tblPr>
        <w:tblStyle w:val="19"/>
        <w:tblW w:w="0" w:type="auto"/>
        <w:jc w:val="center"/>
        <w:tblLayout w:type="fixed"/>
        <w:tblCellMar>
          <w:top w:w="0" w:type="dxa"/>
          <w:left w:w="0" w:type="dxa"/>
          <w:bottom w:w="0" w:type="dxa"/>
          <w:right w:w="0" w:type="dxa"/>
        </w:tblCellMar>
      </w:tblPr>
      <w:tblGrid>
        <w:gridCol w:w="1545"/>
        <w:gridCol w:w="1035"/>
        <w:gridCol w:w="1049"/>
        <w:gridCol w:w="628"/>
        <w:gridCol w:w="708"/>
        <w:gridCol w:w="1260"/>
        <w:gridCol w:w="164"/>
        <w:gridCol w:w="2133"/>
      </w:tblGrid>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名</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26"/>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龄</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4"/>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学历</w:t>
            </w:r>
          </w:p>
        </w:tc>
        <w:tc>
          <w:tcPr>
            <w:tcW w:w="2133"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49"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26"/>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务</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拟在本合同任职</w:t>
            </w:r>
          </w:p>
        </w:tc>
        <w:tc>
          <w:tcPr>
            <w:tcW w:w="2133"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毕业学校</w:t>
            </w:r>
          </w:p>
        </w:tc>
        <w:tc>
          <w:tcPr>
            <w:tcW w:w="6977" w:type="dxa"/>
            <w:gridSpan w:val="7"/>
            <w:tcBorders>
              <w:top w:val="single" w:color="000000" w:sz="4" w:space="0"/>
              <w:left w:val="single" w:color="000000" w:sz="4" w:space="0"/>
              <w:bottom w:val="single" w:color="000000" w:sz="4" w:space="0"/>
              <w:right w:val="single" w:color="000000" w:sz="4" w:space="0"/>
            </w:tcBorders>
            <w:noWrap w:val="0"/>
            <w:vAlign w:val="top"/>
          </w:tcPr>
          <w:p>
            <w:pPr>
              <w:pStyle w:val="26"/>
              <w:tabs>
                <w:tab w:val="left" w:pos="4055"/>
                <w:tab w:val="left" w:pos="5316"/>
              </w:tabs>
              <w:topLinePunct/>
              <w:autoSpaceDE/>
              <w:autoSpaceDN/>
              <w:spacing w:line="360" w:lineRule="auto"/>
              <w:ind w:left="1235"/>
              <w:jc w:val="both"/>
              <w:rPr>
                <w:rFonts w:hint="eastAsia" w:ascii="宋体" w:hAnsi="宋体" w:eastAsia="宋体" w:cs="宋体"/>
                <w:color w:val="auto"/>
                <w:highlight w:val="none"/>
              </w:rPr>
            </w:pPr>
            <w:r>
              <w:rPr>
                <w:rFonts w:hint="eastAsia" w:ascii="宋体" w:hAnsi="宋体" w:eastAsia="宋体" w:cs="宋体"/>
                <w:color w:val="auto"/>
                <w:spacing w:val="-2"/>
                <w:sz w:val="21"/>
                <w:szCs w:val="21"/>
                <w:highlight w:val="none"/>
              </w:rPr>
              <w:t>年毕业于</w:t>
            </w:r>
            <w:r>
              <w:rPr>
                <w:rFonts w:hint="eastAsia" w:ascii="宋体" w:hAnsi="宋体" w:eastAsia="宋体" w:cs="宋体"/>
                <w:color w:val="auto"/>
                <w:spacing w:val="-2"/>
                <w:sz w:val="21"/>
                <w:szCs w:val="21"/>
                <w:highlight w:val="none"/>
              </w:rPr>
              <w:tab/>
            </w:r>
            <w:r>
              <w:rPr>
                <w:rFonts w:hint="eastAsia" w:ascii="宋体" w:hAnsi="宋体" w:eastAsia="宋体" w:cs="宋体"/>
                <w:color w:val="auto"/>
                <w:sz w:val="21"/>
                <w:szCs w:val="21"/>
                <w:highlight w:val="none"/>
              </w:rPr>
              <w:t>学校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专业</w:t>
            </w:r>
          </w:p>
        </w:tc>
      </w:tr>
      <w:tr>
        <w:tblPrEx>
          <w:tblCellMar>
            <w:top w:w="0" w:type="dxa"/>
            <w:left w:w="0" w:type="dxa"/>
            <w:bottom w:w="0" w:type="dxa"/>
            <w:right w:w="0" w:type="dxa"/>
          </w:tblCellMar>
        </w:tblPrEx>
        <w:trPr>
          <w:trHeight w:val="458" w:hRule="exact"/>
          <w:jc w:val="center"/>
        </w:trPr>
        <w:tc>
          <w:tcPr>
            <w:tcW w:w="8522" w:type="dxa"/>
            <w:gridSpan w:val="8"/>
            <w:tcBorders>
              <w:top w:val="single" w:color="000000" w:sz="4" w:space="0"/>
              <w:left w:val="single" w:color="000000" w:sz="4" w:space="0"/>
              <w:bottom w:val="single" w:color="000000" w:sz="4" w:space="0"/>
              <w:right w:val="single" w:color="000000" w:sz="4" w:space="0"/>
            </w:tcBorders>
            <w:noWrap w:val="0"/>
            <w:vAlign w:val="top"/>
          </w:tcPr>
          <w:p>
            <w:pPr>
              <w:pStyle w:val="26"/>
              <w:topLinePunct/>
              <w:autoSpaceDE/>
              <w:autoSpaceDN/>
              <w:spacing w:line="360" w:lineRule="auto"/>
              <w:ind w:left="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主要工作经历</w:t>
            </w:r>
          </w:p>
        </w:tc>
      </w:tr>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w:t>
            </w: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rPr>
          <w:trHeight w:val="698"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98"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34"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bl>
    <w:p>
      <w:pPr>
        <w:rPr>
          <w:rFonts w:hint="eastAsia" w:ascii="宋体" w:hAnsi="宋体" w:eastAsia="宋体" w:cs="宋体"/>
          <w:color w:val="auto"/>
          <w:kern w:val="2"/>
          <w:sz w:val="21"/>
          <w:szCs w:val="21"/>
          <w:highlight w:val="none"/>
          <w:lang w:val="en-US" w:eastAsia="zh-CN" w:bidi="ar-SA"/>
        </w:rPr>
      </w:pPr>
    </w:p>
    <w:p>
      <w:pPr>
        <w:topLinePunct/>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注：1、</w:t>
      </w:r>
      <w:r>
        <w:rPr>
          <w:rFonts w:hint="eastAsia" w:ascii="宋体" w:hAnsi="宋体" w:cs="宋体"/>
          <w:color w:val="auto"/>
          <w:kern w:val="2"/>
          <w:sz w:val="21"/>
          <w:szCs w:val="21"/>
          <w:highlight w:val="none"/>
          <w:lang w:val="en-US" w:eastAsia="zh-CN" w:bidi="ar-SA"/>
        </w:rPr>
        <w:t>如是</w:t>
      </w:r>
      <w:r>
        <w:rPr>
          <w:rFonts w:hint="eastAsia" w:ascii="宋体" w:hAnsi="宋体" w:eastAsia="宋体" w:cs="宋体"/>
          <w:color w:val="auto"/>
          <w:kern w:val="2"/>
          <w:sz w:val="21"/>
          <w:szCs w:val="21"/>
          <w:highlight w:val="none"/>
          <w:lang w:val="en-US" w:eastAsia="zh-CN" w:bidi="ar-SA"/>
        </w:rPr>
        <w:t>联合体，联合体各方均应分别按本格式提交。</w:t>
      </w:r>
    </w:p>
    <w:p>
      <w:pPr>
        <w:pStyle w:val="29"/>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2、按招标公告要求附相关证件。</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jc w:val="both"/>
        <w:rPr>
          <w:rFonts w:hint="eastAsia" w:ascii="宋体" w:hAnsi="宋体" w:eastAsia="宋体"/>
          <w:b/>
          <w:bCs/>
          <w:color w:val="auto"/>
          <w:sz w:val="28"/>
          <w:szCs w:val="28"/>
          <w:highlight w:val="none"/>
        </w:rPr>
      </w:pPr>
      <w:bookmarkStart w:id="727" w:name="_Toc509766024"/>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lang w:val="en-US" w:eastAsia="zh-CN"/>
        </w:rPr>
        <w:t>三</w:t>
      </w:r>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rPr>
        <w:t>资格审查其</w:t>
      </w:r>
      <w:r>
        <w:rPr>
          <w:rFonts w:hint="eastAsia" w:ascii="宋体" w:hAnsi="宋体"/>
          <w:b/>
          <w:bCs/>
          <w:color w:val="auto"/>
          <w:sz w:val="28"/>
          <w:szCs w:val="28"/>
          <w:highlight w:val="none"/>
          <w:lang w:val="en-US" w:eastAsia="zh-CN"/>
        </w:rPr>
        <w:t>它</w:t>
      </w:r>
      <w:r>
        <w:rPr>
          <w:rFonts w:hint="eastAsia" w:ascii="宋体" w:hAnsi="宋体" w:eastAsia="宋体"/>
          <w:b/>
          <w:bCs/>
          <w:color w:val="auto"/>
          <w:sz w:val="28"/>
          <w:szCs w:val="28"/>
          <w:highlight w:val="none"/>
        </w:rPr>
        <w:t>资料</w:t>
      </w:r>
      <w:bookmarkEnd w:id="727"/>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1.</w:t>
      </w:r>
      <w:r>
        <w:rPr>
          <w:rFonts w:ascii="宋体" w:hAnsi="宋体"/>
          <w:b/>
          <w:bCs/>
          <w:color w:val="auto"/>
          <w:sz w:val="24"/>
          <w:szCs w:val="24"/>
          <w:highlight w:val="none"/>
        </w:rPr>
        <w:t>营业执照(或事业单位法人证书)</w:t>
      </w:r>
    </w:p>
    <w:p>
      <w:pPr>
        <w:tabs>
          <w:tab w:val="left" w:pos="2760"/>
          <w:tab w:val="center" w:pos="4535"/>
        </w:tabs>
        <w:autoSpaceDE w:val="0"/>
        <w:autoSpaceDN w:val="0"/>
        <w:adjustRightInd w:val="0"/>
        <w:snapToGrid w:val="0"/>
        <w:spacing w:before="120" w:beforeLines="50" w:after="120" w:afterLines="50" w:line="30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附：营业执照(或事业单位法人证书)副本的复印件(复印件盖单位公章)</w:t>
      </w: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2.</w:t>
      </w:r>
      <w:r>
        <w:rPr>
          <w:rFonts w:ascii="宋体" w:hAnsi="宋体"/>
          <w:b/>
          <w:bCs/>
          <w:color w:val="auto"/>
          <w:sz w:val="24"/>
          <w:szCs w:val="24"/>
          <w:highlight w:val="none"/>
        </w:rPr>
        <w:t>勘察资质证书、设计资质证书</w:t>
      </w:r>
    </w:p>
    <w:p>
      <w:pPr>
        <w:tabs>
          <w:tab w:val="left" w:pos="2760"/>
          <w:tab w:val="center" w:pos="4535"/>
        </w:tabs>
        <w:autoSpaceDE w:val="0"/>
        <w:autoSpaceDN w:val="0"/>
        <w:adjustRightInd w:val="0"/>
        <w:snapToGrid w:val="0"/>
        <w:spacing w:before="120" w:beforeLines="50" w:after="120" w:afterLines="50"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附：勘察资质证书副本、设计资质证书副本的复印件(复印件盖单位公章)</w:t>
      </w: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3.</w:t>
      </w:r>
      <w:bookmarkStart w:id="728" w:name="_Hlk69057483"/>
      <w:r>
        <w:rPr>
          <w:rFonts w:ascii="宋体" w:hAnsi="宋体"/>
          <w:b/>
          <w:bCs/>
          <w:color w:val="auto"/>
          <w:sz w:val="24"/>
          <w:szCs w:val="24"/>
          <w:highlight w:val="none"/>
        </w:rPr>
        <w:t>投标人已在广东省水利建设市场信用信息平台完成信息录入手续的证明材料</w:t>
      </w:r>
      <w:bookmarkEnd w:id="728"/>
    </w:p>
    <w:p>
      <w:pPr>
        <w:rPr>
          <w:rFonts w:ascii="宋体" w:hAnsi="宋体"/>
          <w:color w:val="auto"/>
          <w:sz w:val="24"/>
          <w:szCs w:val="24"/>
          <w:highlight w:val="none"/>
        </w:rPr>
      </w:pPr>
    </w:p>
    <w:p>
      <w:pPr>
        <w:spacing w:line="360" w:lineRule="auto"/>
        <w:rPr>
          <w:rFonts w:ascii="宋体" w:hAnsi="宋体"/>
          <w:color w:val="auto"/>
          <w:sz w:val="21"/>
          <w:szCs w:val="21"/>
          <w:highlight w:val="none"/>
        </w:rPr>
      </w:pPr>
      <w:r>
        <w:rPr>
          <w:rFonts w:ascii="宋体" w:hAnsi="宋体"/>
          <w:color w:val="auto"/>
          <w:sz w:val="21"/>
          <w:szCs w:val="21"/>
          <w:highlight w:val="none"/>
        </w:rPr>
        <w:t>附：</w:t>
      </w:r>
      <w:r>
        <w:rPr>
          <w:rFonts w:ascii="宋体" w:hAnsi="宋体"/>
          <w:color w:val="auto"/>
          <w:kern w:val="0"/>
          <w:sz w:val="21"/>
          <w:szCs w:val="21"/>
          <w:highlight w:val="none"/>
        </w:rPr>
        <w:t>投标人</w:t>
      </w:r>
      <w:r>
        <w:rPr>
          <w:rFonts w:ascii="宋体" w:hAnsi="宋体"/>
          <w:color w:val="auto"/>
          <w:sz w:val="21"/>
          <w:szCs w:val="21"/>
          <w:highlight w:val="none"/>
        </w:rPr>
        <w:t>在</w:t>
      </w:r>
      <w:r>
        <w:rPr>
          <w:rFonts w:ascii="宋体" w:hAnsi="宋体"/>
          <w:b/>
          <w:bCs/>
          <w:color w:val="auto"/>
          <w:sz w:val="21"/>
          <w:szCs w:val="21"/>
          <w:highlight w:val="none"/>
        </w:rPr>
        <w:t>广东省水利建设市场信用信息平台</w:t>
      </w:r>
      <w:r>
        <w:rPr>
          <w:rFonts w:hint="eastAsia" w:ascii="宋体" w:hAnsi="宋体"/>
          <w:color w:val="auto"/>
          <w:sz w:val="21"/>
          <w:szCs w:val="21"/>
          <w:highlight w:val="none"/>
        </w:rPr>
        <w:t>(http://210.76.74.108/)</w:t>
      </w:r>
      <w:r>
        <w:rPr>
          <w:rFonts w:ascii="宋体" w:hAnsi="宋体"/>
          <w:b w:val="0"/>
          <w:bCs w:val="0"/>
          <w:color w:val="auto"/>
          <w:sz w:val="21"/>
          <w:szCs w:val="21"/>
          <w:highlight w:val="none"/>
        </w:rPr>
        <w:t>完成信息录入手续</w:t>
      </w:r>
      <w:r>
        <w:rPr>
          <w:rFonts w:ascii="宋体" w:hAnsi="宋体"/>
          <w:color w:val="auto"/>
          <w:sz w:val="21"/>
          <w:szCs w:val="21"/>
          <w:highlight w:val="none"/>
        </w:rPr>
        <w:t>的网页截图(加盖单位公章)。</w:t>
      </w:r>
    </w:p>
    <w:p>
      <w:pPr>
        <w:numPr>
          <w:ilvl w:val="0"/>
          <w:numId w:val="0"/>
        </w:numPr>
        <w:rPr>
          <w:color w:val="auto"/>
          <w:highlight w:val="none"/>
        </w:rPr>
      </w:pPr>
    </w:p>
    <w:p>
      <w:pPr>
        <w:pStyle w:val="10"/>
        <w:pBdr>
          <w:top w:val="none" w:color="auto" w:sz="0" w:space="0"/>
          <w:left w:val="none" w:color="auto" w:sz="0" w:space="0"/>
          <w:bottom w:val="none" w:color="auto" w:sz="0" w:space="0"/>
          <w:right w:val="none" w:color="auto" w:sz="0" w:space="0"/>
        </w:pBdr>
        <w:topLinePunct/>
        <w:autoSpaceDE/>
        <w:autoSpaceDN/>
        <w:spacing w:before="107" w:line="360" w:lineRule="auto"/>
        <w:jc w:val="both"/>
        <w:outlineLvl w:val="0"/>
        <w:rPr>
          <w:rFonts w:hint="eastAsia" w:ascii="宋体" w:hAnsi="宋体" w:eastAsia="宋体" w:cs="宋体"/>
          <w:b/>
          <w:color w:val="auto"/>
          <w:sz w:val="24"/>
          <w:szCs w:val="24"/>
          <w:highlight w:val="none"/>
          <w:lang w:val="en-US"/>
        </w:rPr>
      </w:pPr>
      <w:r>
        <w:rPr>
          <w:rFonts w:hint="eastAsia" w:ascii="宋体" w:hAnsi="宋体" w:cs="宋体"/>
          <w:b/>
          <w:color w:val="auto"/>
          <w:sz w:val="24"/>
          <w:szCs w:val="24"/>
          <w:highlight w:val="none"/>
          <w:lang w:val="en-US" w:eastAsia="zh-CN"/>
        </w:rPr>
        <w:t>4.</w:t>
      </w:r>
      <w:r>
        <w:rPr>
          <w:rFonts w:hint="eastAsia" w:ascii="宋体" w:hAnsi="宋体" w:eastAsia="宋体" w:cs="Times New Roman"/>
          <w:b/>
          <w:bCs/>
          <w:color w:val="auto"/>
          <w:kern w:val="2"/>
          <w:sz w:val="24"/>
          <w:szCs w:val="24"/>
          <w:highlight w:val="none"/>
          <w:lang w:val="en-US" w:eastAsia="zh-CN" w:bidi="ar-SA"/>
        </w:rPr>
        <w:t>信用查询</w:t>
      </w:r>
    </w:p>
    <w:p>
      <w:pPr>
        <w:pStyle w:val="10"/>
        <w:pBdr>
          <w:top w:val="none" w:color="auto" w:sz="0" w:space="0"/>
          <w:left w:val="none" w:color="auto" w:sz="0" w:space="0"/>
          <w:bottom w:val="none" w:color="auto" w:sz="0" w:space="0"/>
          <w:right w:val="none" w:color="auto" w:sz="0" w:space="0"/>
        </w:pBdr>
        <w:tabs>
          <w:tab w:val="left" w:pos="10020"/>
        </w:tabs>
        <w:topLinePunct/>
        <w:autoSpaceDE/>
        <w:autoSpaceDN/>
        <w:spacing w:before="13"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1"/>
          <w:szCs w:val="21"/>
          <w:highlight w:val="none"/>
          <w:lang w:val="en-US" w:eastAsia="zh-CN"/>
        </w:rPr>
        <w:t>附：</w:t>
      </w:r>
      <w:r>
        <w:rPr>
          <w:rFonts w:hint="eastAsia" w:ascii="宋体" w:hAnsi="宋体" w:eastAsia="宋体" w:cs="宋体"/>
          <w:color w:val="auto"/>
          <w:sz w:val="21"/>
          <w:szCs w:val="21"/>
          <w:highlight w:val="none"/>
          <w:lang w:val="en-US" w:eastAsia="zh-CN"/>
        </w:rPr>
        <w:t>“信用中国”网站（http://www.creditchina.gov.cn/）和国家企业信用信息公示系统（www.gsxt.gov.cn）查询结果。</w:t>
      </w:r>
    </w:p>
    <w:p>
      <w:pPr>
        <w:rPr>
          <w:rFonts w:hint="eastAsia" w:ascii="宋体" w:hAnsi="宋体" w:eastAsia="宋体" w:cs="宋体"/>
          <w:color w:val="auto"/>
          <w:sz w:val="24"/>
          <w:szCs w:val="24"/>
          <w:highlight w:val="none"/>
          <w:lang w:val="en-US" w:eastAsia="zh-CN"/>
        </w:rPr>
      </w:pPr>
    </w:p>
    <w:p>
      <w:pPr>
        <w:autoSpaceDE w:val="0"/>
        <w:autoSpaceDN w:val="0"/>
        <w:adjustRightInd w:val="0"/>
        <w:snapToGrid w:val="0"/>
        <w:spacing w:before="120" w:beforeLines="50" w:after="120" w:afterLines="50"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其他资料</w:t>
      </w:r>
    </w:p>
    <w:p>
      <w:pPr>
        <w:pStyle w:val="24"/>
        <w:rPr>
          <w:rFonts w:hint="eastAsia"/>
          <w:color w:val="auto"/>
          <w:sz w:val="21"/>
          <w:szCs w:val="21"/>
          <w:highlight w:val="none"/>
          <w:lang w:val="en-US" w:eastAsia="zh-CN"/>
        </w:rPr>
      </w:pPr>
      <w:r>
        <w:rPr>
          <w:rFonts w:hint="eastAsia" w:ascii="宋体" w:hAnsi="宋体"/>
          <w:color w:val="auto"/>
          <w:sz w:val="21"/>
          <w:szCs w:val="21"/>
          <w:highlight w:val="none"/>
        </w:rPr>
        <w:t>附：投标人按招标文件要求认为应提交的其他资料</w:t>
      </w:r>
    </w:p>
    <w:p>
      <w:pPr>
        <w:pStyle w:val="7"/>
        <w:rPr>
          <w:color w:val="auto"/>
          <w:highlight w:val="none"/>
        </w:rPr>
      </w:pPr>
    </w:p>
    <w:p>
      <w:pPr>
        <w:pStyle w:val="29"/>
        <w:ind w:firstLine="420" w:firstLineChars="200"/>
        <w:rPr>
          <w:rFonts w:hint="eastAsia" w:ascii="宋体" w:hAnsi="宋体" w:eastAsia="宋体" w:cs="宋体"/>
          <w:color w:val="auto"/>
          <w:kern w:val="2"/>
          <w:sz w:val="21"/>
          <w:szCs w:val="21"/>
          <w:highlight w:val="none"/>
          <w:lang w:val="en-US" w:eastAsia="zh-CN" w:bidi="ar-SA"/>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4"/>
        <w:rPr>
          <w:rFonts w:hint="eastAsia" w:ascii="宋体" w:hAnsi="宋体" w:eastAsia="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注：如是</w:t>
      </w:r>
      <w:r>
        <w:rPr>
          <w:rFonts w:hint="eastAsia" w:ascii="宋体" w:hAnsi="宋体" w:eastAsia="宋体" w:cs="宋体"/>
          <w:color w:val="auto"/>
          <w:sz w:val="21"/>
          <w:szCs w:val="21"/>
          <w:highlight w:val="none"/>
        </w:rPr>
        <w:t>联合体，联合体各方均应分别提交</w:t>
      </w:r>
      <w:r>
        <w:rPr>
          <w:rFonts w:hint="eastAsia" w:hAnsi="宋体" w:cs="宋体"/>
          <w:color w:val="auto"/>
          <w:sz w:val="21"/>
          <w:szCs w:val="21"/>
          <w:highlight w:val="none"/>
          <w:lang w:eastAsia="zh-CN"/>
        </w:rPr>
        <w:t>。</w:t>
      </w:r>
    </w:p>
    <w:p>
      <w:pPr>
        <w:rPr>
          <w:rFonts w:hint="eastAsia"/>
          <w:color w:val="auto"/>
          <w:highlight w:val="none"/>
        </w:rPr>
      </w:pPr>
      <w:r>
        <w:rPr>
          <w:rFonts w:hint="eastAsia"/>
          <w:color w:val="auto"/>
          <w:highlight w:val="none"/>
        </w:rPr>
        <w:br w:type="page"/>
      </w:r>
    </w:p>
    <w:p>
      <w:pPr>
        <w:pStyle w:val="7"/>
        <w:rPr>
          <w:rFonts w:hint="eastAsia"/>
          <w:color w:val="auto"/>
          <w:highlight w:val="none"/>
        </w:rPr>
        <w:sectPr>
          <w:footnotePr>
            <w:numRestart w:val="eachPage"/>
          </w:footnotePr>
          <w:pgSz w:w="11907" w:h="16840"/>
          <w:pgMar w:top="1418" w:right="1134" w:bottom="1134" w:left="1134" w:header="680" w:footer="907" w:gutter="0"/>
          <w:pgNumType w:fmt="decimal"/>
          <w:cols w:space="720" w:num="1"/>
          <w:docGrid w:linePitch="271" w:charSpace="0"/>
        </w:sectPr>
      </w:pPr>
    </w:p>
    <w:p>
      <w:pPr>
        <w:pStyle w:val="4"/>
        <w:numPr>
          <w:ilvl w:val="0"/>
          <w:numId w:val="0"/>
        </w:numPr>
        <w:autoSpaceDE w:val="0"/>
        <w:jc w:val="center"/>
        <w:outlineLvl w:val="0"/>
        <w:rPr>
          <w:rFonts w:hint="eastAsia" w:ascii="宋体" w:hAnsi="宋体" w:eastAsia="宋体"/>
          <w:color w:val="auto"/>
          <w:sz w:val="28"/>
          <w:szCs w:val="28"/>
          <w:highlight w:val="none"/>
        </w:rPr>
      </w:pPr>
      <w:bookmarkStart w:id="729" w:name="其他资料"/>
      <w:bookmarkEnd w:id="729"/>
      <w:bookmarkStart w:id="730" w:name="_Toc499225504"/>
      <w:bookmarkStart w:id="731" w:name="_Toc534472079"/>
      <w:bookmarkStart w:id="732" w:name="_Toc534471640"/>
      <w:bookmarkStart w:id="733" w:name="_Toc166"/>
      <w:bookmarkStart w:id="734" w:name="_Toc60537409"/>
      <w:bookmarkStart w:id="735" w:name="_Toc10939"/>
      <w:r>
        <w:rPr>
          <w:rFonts w:hint="eastAsia" w:ascii="宋体" w:hAnsi="宋体" w:eastAsia="宋体"/>
          <w:color w:val="auto"/>
          <w:sz w:val="28"/>
          <w:szCs w:val="28"/>
          <w:highlight w:val="none"/>
          <w:lang w:val="en-US" w:eastAsia="zh-CN"/>
        </w:rPr>
        <w:t>七</w:t>
      </w:r>
      <w:r>
        <w:rPr>
          <w:rFonts w:hint="eastAsia" w:ascii="宋体" w:hAnsi="宋体" w:eastAsia="宋体"/>
          <w:color w:val="auto"/>
          <w:sz w:val="28"/>
          <w:szCs w:val="28"/>
          <w:highlight w:val="none"/>
        </w:rPr>
        <w:t>、其它资料</w:t>
      </w:r>
      <w:bookmarkEnd w:id="730"/>
      <w:bookmarkEnd w:id="731"/>
      <w:bookmarkEnd w:id="732"/>
      <w:bookmarkEnd w:id="733"/>
      <w:bookmarkEnd w:id="734"/>
      <w:bookmarkEnd w:id="735"/>
    </w:p>
    <w:p>
      <w:pPr>
        <w:autoSpaceDE w:val="0"/>
        <w:spacing w:line="360" w:lineRule="auto"/>
        <w:jc w:val="center"/>
        <w:outlineLvl w:val="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注：</w:t>
      </w:r>
      <w:r>
        <w:rPr>
          <w:rFonts w:hint="eastAsia" w:ascii="宋体" w:hAnsi="宋体" w:eastAsia="宋体" w:cs="宋体"/>
          <w:color w:val="auto"/>
          <w:sz w:val="21"/>
          <w:szCs w:val="21"/>
          <w:highlight w:val="none"/>
        </w:rPr>
        <w:t>投标人根据</w:t>
      </w:r>
      <w:r>
        <w:rPr>
          <w:rFonts w:hint="eastAsia" w:ascii="宋体" w:hAnsi="宋体" w:eastAsia="宋体" w:cs="宋体"/>
          <w:color w:val="auto"/>
          <w:sz w:val="21"/>
          <w:szCs w:val="21"/>
          <w:highlight w:val="none"/>
          <w:lang w:val="en-US" w:eastAsia="zh-CN"/>
        </w:rPr>
        <w:t>招标文件评分标准</w:t>
      </w:r>
      <w:r>
        <w:rPr>
          <w:rFonts w:hint="eastAsia" w:ascii="宋体" w:hAnsi="宋体" w:cs="宋体"/>
          <w:color w:val="auto"/>
          <w:sz w:val="21"/>
          <w:szCs w:val="21"/>
          <w:highlight w:val="none"/>
          <w:lang w:val="en-US" w:eastAsia="zh-CN"/>
        </w:rPr>
        <w:t>认为需要提供的</w:t>
      </w:r>
      <w:r>
        <w:rPr>
          <w:rFonts w:hint="eastAsia" w:ascii="宋体" w:hAnsi="宋体"/>
          <w:color w:val="auto"/>
          <w:sz w:val="21"/>
          <w:szCs w:val="21"/>
          <w:highlight w:val="none"/>
        </w:rPr>
        <w:t>资料</w:t>
      </w:r>
    </w:p>
    <w:p>
      <w:pPr>
        <w:autoSpaceDE w:val="0"/>
        <w:spacing w:line="360" w:lineRule="auto"/>
        <w:jc w:val="center"/>
        <w:outlineLvl w:val="0"/>
        <w:rPr>
          <w:rFonts w:hint="eastAsia" w:ascii="宋体" w:hAnsi="宋体" w:eastAsia="宋体"/>
          <w:color w:val="auto"/>
          <w:sz w:val="21"/>
          <w:szCs w:val="21"/>
          <w:highlight w:val="none"/>
          <w:lang w:val="en-US" w:eastAsia="zh-CN"/>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pStyle w:val="4"/>
        <w:numPr>
          <w:ilvl w:val="0"/>
          <w:numId w:val="0"/>
        </w:numPr>
        <w:autoSpaceDE w:val="0"/>
        <w:spacing w:before="20" w:after="20"/>
        <w:jc w:val="both"/>
        <w:outlineLvl w:val="9"/>
        <w:rPr>
          <w:rFonts w:hint="eastAsia" w:ascii="宋体" w:hAnsi="宋体" w:eastAsia="宋体"/>
          <w:color w:val="auto"/>
          <w:sz w:val="36"/>
          <w:szCs w:val="36"/>
          <w:highlight w:val="none"/>
        </w:rPr>
      </w:pPr>
      <w:bookmarkStart w:id="736" w:name="_Toc534471641"/>
      <w:bookmarkStart w:id="737" w:name="_Toc534472080"/>
      <w:bookmarkStart w:id="738" w:name="_Toc60537416"/>
    </w:p>
    <w:p>
      <w:pPr>
        <w:pStyle w:val="4"/>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pStyle w:val="4"/>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pStyle w:val="4"/>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pStyle w:val="4"/>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autoSpaceDE w:val="0"/>
        <w:spacing w:line="360" w:lineRule="auto"/>
        <w:jc w:val="center"/>
        <w:outlineLvl w:val="0"/>
        <w:rPr>
          <w:rFonts w:hint="eastAsia" w:ascii="宋体" w:hAnsi="宋体"/>
          <w:b/>
          <w:bCs/>
          <w:color w:val="auto"/>
          <w:sz w:val="52"/>
          <w:szCs w:val="52"/>
          <w:highlight w:val="none"/>
        </w:rPr>
      </w:pPr>
      <w:bookmarkStart w:id="739" w:name="_Toc15449"/>
      <w:r>
        <w:rPr>
          <w:rFonts w:hint="eastAsia" w:ascii="宋体" w:hAnsi="宋体"/>
          <w:b/>
          <w:bCs/>
          <w:color w:val="auto"/>
          <w:sz w:val="52"/>
          <w:szCs w:val="52"/>
          <w:highlight w:val="none"/>
        </w:rPr>
        <w:t>技术部分</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（投标人根据</w:t>
      </w:r>
      <w:r>
        <w:rPr>
          <w:rFonts w:hint="eastAsia" w:ascii="宋体" w:hAnsi="宋体" w:eastAsia="宋体" w:cs="宋体"/>
          <w:color w:val="auto"/>
          <w:sz w:val="21"/>
          <w:szCs w:val="21"/>
          <w:highlight w:val="none"/>
          <w:lang w:val="en-US" w:eastAsia="zh-CN"/>
        </w:rPr>
        <w:t>招标文件评分标准自行编制</w:t>
      </w:r>
      <w:r>
        <w:rPr>
          <w:rFonts w:hint="eastAsia" w:ascii="宋体" w:hAnsi="宋体" w:eastAsia="宋体" w:cs="宋体"/>
          <w:color w:val="auto"/>
          <w:sz w:val="21"/>
          <w:szCs w:val="21"/>
          <w:highlight w:val="none"/>
        </w:rPr>
        <w:t>）</w:t>
      </w:r>
    </w:p>
    <w:bookmarkEnd w:id="739"/>
    <w:p>
      <w:pPr>
        <w:spacing w:line="360" w:lineRule="auto"/>
        <w:rPr>
          <w:rFonts w:hint="eastAsia" w:ascii="宋体" w:hAnsi="宋体"/>
          <w:strike/>
          <w:dstrike w:val="0"/>
          <w:color w:val="auto"/>
          <w:szCs w:val="21"/>
          <w:highlight w:val="none"/>
        </w:rPr>
      </w:pPr>
    </w:p>
    <w:p>
      <w:pPr>
        <w:pStyle w:val="4"/>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bookmarkStart w:id="740" w:name="_Toc17558"/>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pStyle w:val="4"/>
        <w:numPr>
          <w:ilvl w:val="0"/>
          <w:numId w:val="0"/>
        </w:numPr>
        <w:autoSpaceDE w:val="0"/>
        <w:spacing w:before="20" w:after="20" w:line="360" w:lineRule="auto"/>
        <w:jc w:val="both"/>
        <w:outlineLvl w:val="9"/>
        <w:rPr>
          <w:rFonts w:hint="eastAsia" w:ascii="宋体" w:hAnsi="宋体" w:eastAsia="宋体"/>
          <w:color w:val="auto"/>
          <w:sz w:val="36"/>
          <w:szCs w:val="36"/>
          <w:highlight w:val="none"/>
        </w:rPr>
      </w:pPr>
    </w:p>
    <w:p>
      <w:pPr>
        <w:pStyle w:val="4"/>
        <w:numPr>
          <w:ilvl w:val="0"/>
          <w:numId w:val="0"/>
        </w:numPr>
        <w:autoSpaceDE w:val="0"/>
        <w:spacing w:before="20" w:after="20" w:line="360" w:lineRule="auto"/>
        <w:jc w:val="both"/>
        <w:outlineLvl w:val="9"/>
        <w:rPr>
          <w:rFonts w:hint="eastAsia" w:ascii="宋体" w:hAnsi="宋体" w:eastAsia="宋体"/>
          <w:color w:val="auto"/>
          <w:sz w:val="36"/>
          <w:szCs w:val="36"/>
          <w:highlight w:val="none"/>
        </w:rPr>
      </w:pPr>
    </w:p>
    <w:p>
      <w:pPr>
        <w:pStyle w:val="4"/>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highlight w:val="none"/>
        </w:rPr>
      </w:pPr>
    </w:p>
    <w:p>
      <w:pPr>
        <w:pStyle w:val="4"/>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highlight w:val="none"/>
        </w:rPr>
      </w:pPr>
    </w:p>
    <w:p>
      <w:pPr>
        <w:pStyle w:val="4"/>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highlight w:val="none"/>
        </w:rPr>
      </w:pPr>
    </w:p>
    <w:p>
      <w:pPr>
        <w:rPr>
          <w:rFonts w:hint="eastAsia"/>
          <w:color w:val="auto"/>
          <w:highlight w:val="none"/>
        </w:rPr>
      </w:pPr>
    </w:p>
    <w:bookmarkEnd w:id="736"/>
    <w:bookmarkEnd w:id="737"/>
    <w:bookmarkEnd w:id="738"/>
    <w:bookmarkEnd w:id="740"/>
    <w:p>
      <w:pPr>
        <w:rPr>
          <w:color w:val="auto"/>
          <w:highlight w:val="none"/>
        </w:rPr>
      </w:pPr>
    </w:p>
    <w:sectPr>
      <w:headerReference r:id="rId12" w:type="first"/>
      <w:footerReference r:id="rId15" w:type="first"/>
      <w:headerReference r:id="rId10" w:type="default"/>
      <w:footerReference r:id="rId13" w:type="default"/>
      <w:headerReference r:id="rId11" w:type="even"/>
      <w:footerReference r:id="rId14" w:type="even"/>
      <w:footnotePr>
        <w:numRestart w:val="eachPage"/>
      </w:footnotePr>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Palatino">
    <w:altName w:val="Palatino Linotype"/>
    <w:panose1 w:val="02040602050305020304"/>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ascii="宋体" w:hAnsi="宋体"/>
        <w:b/>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2"/>
      </w:rPr>
    </w:pPr>
    <w:r>
      <w:fldChar w:fldCharType="begin"/>
    </w:r>
    <w:r>
      <w:rPr>
        <w:rStyle w:val="22"/>
      </w:rPr>
      <w:instrText xml:space="preserve">PAGE  </w:instrText>
    </w:r>
    <w:r>
      <w:fldChar w:fldCharType="separate"/>
    </w:r>
    <w:r>
      <w:rPr>
        <w:rStyle w:val="22"/>
      </w:rPr>
      <w:t>1</w:t>
    </w:r>
    <w:r>
      <w:fldChar w:fldCharType="end"/>
    </w:r>
  </w:p>
  <w:p>
    <w:pPr>
      <w:pStyle w:val="1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b/>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2"/>
      </w:rPr>
    </w:pPr>
    <w:r>
      <w:fldChar w:fldCharType="begin"/>
    </w:r>
    <w:r>
      <w:rPr>
        <w:rStyle w:val="22"/>
      </w:rPr>
      <w:instrText xml:space="preserve">PAGE  </w:instrText>
    </w:r>
    <w:r>
      <w:fldChar w:fldCharType="end"/>
    </w:r>
  </w:p>
  <w:p>
    <w:pPr>
      <w:pStyle w:val="16"/>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CEC7B"/>
    <w:multiLevelType w:val="singleLevel"/>
    <w:tmpl w:val="A3DCEC7B"/>
    <w:lvl w:ilvl="0" w:tentative="0">
      <w:start w:val="2"/>
      <w:numFmt w:val="chineseCounting"/>
      <w:suff w:val="space"/>
      <w:lvlText w:val="第%1节"/>
      <w:lvlJc w:val="left"/>
      <w:rPr>
        <w:rFonts w:hint="eastAsia"/>
      </w:rPr>
    </w:lvl>
  </w:abstractNum>
  <w:abstractNum w:abstractNumId="1">
    <w:nsid w:val="B2AEE6FB"/>
    <w:multiLevelType w:val="singleLevel"/>
    <w:tmpl w:val="B2AEE6FB"/>
    <w:lvl w:ilvl="0" w:tentative="0">
      <w:start w:val="2"/>
      <w:numFmt w:val="chineseCounting"/>
      <w:suff w:val="nothing"/>
      <w:lvlText w:val="%1、"/>
      <w:lvlJc w:val="left"/>
      <w:rPr>
        <w:rFonts w:hint="eastAsia"/>
      </w:rPr>
    </w:lvl>
  </w:abstractNum>
  <w:abstractNum w:abstractNumId="2">
    <w:nsid w:val="F5AF2DCF"/>
    <w:multiLevelType w:val="singleLevel"/>
    <w:tmpl w:val="F5AF2DCF"/>
    <w:lvl w:ilvl="0" w:tentative="0">
      <w:start w:val="1"/>
      <w:numFmt w:val="decimal"/>
      <w:suff w:val="nothing"/>
      <w:lvlText w:val="（%1）"/>
      <w:lvlJc w:val="left"/>
    </w:lvl>
  </w:abstractNum>
  <w:abstractNum w:abstractNumId="3">
    <w:nsid w:val="0FD75875"/>
    <w:multiLevelType w:val="multilevel"/>
    <w:tmpl w:val="0FD75875"/>
    <w:lvl w:ilvl="0" w:tentative="0">
      <w:start w:val="5"/>
      <w:numFmt w:val="decimal"/>
      <w:lvlText w:val="%1)"/>
      <w:lvlJc w:val="left"/>
      <w:pPr>
        <w:ind w:left="955" w:hanging="317"/>
      </w:pPr>
      <w:rPr>
        <w:rFonts w:hint="default" w:ascii="宋体" w:hAnsi="宋体" w:eastAsia="宋体" w:cs="宋体"/>
        <w:w w:val="100"/>
        <w:sz w:val="21"/>
        <w:szCs w:val="21"/>
        <w:lang w:val="zh-CN" w:eastAsia="zh-CN" w:bidi="zh-CN"/>
      </w:rPr>
    </w:lvl>
    <w:lvl w:ilvl="1" w:tentative="0">
      <w:start w:val="0"/>
      <w:numFmt w:val="bullet"/>
      <w:lvlText w:val="•"/>
      <w:lvlJc w:val="left"/>
      <w:pPr>
        <w:ind w:left="1818" w:hanging="317"/>
      </w:pPr>
      <w:rPr>
        <w:rFonts w:hint="default"/>
        <w:lang w:val="zh-CN" w:eastAsia="zh-CN" w:bidi="zh-CN"/>
      </w:rPr>
    </w:lvl>
    <w:lvl w:ilvl="2" w:tentative="0">
      <w:start w:val="0"/>
      <w:numFmt w:val="bullet"/>
      <w:lvlText w:val="•"/>
      <w:lvlJc w:val="left"/>
      <w:pPr>
        <w:ind w:left="2677" w:hanging="317"/>
      </w:pPr>
      <w:rPr>
        <w:rFonts w:hint="default"/>
        <w:lang w:val="zh-CN" w:eastAsia="zh-CN" w:bidi="zh-CN"/>
      </w:rPr>
    </w:lvl>
    <w:lvl w:ilvl="3" w:tentative="0">
      <w:start w:val="0"/>
      <w:numFmt w:val="bullet"/>
      <w:lvlText w:val="•"/>
      <w:lvlJc w:val="left"/>
      <w:pPr>
        <w:ind w:left="3535" w:hanging="317"/>
      </w:pPr>
      <w:rPr>
        <w:rFonts w:hint="default"/>
        <w:lang w:val="zh-CN" w:eastAsia="zh-CN" w:bidi="zh-CN"/>
      </w:rPr>
    </w:lvl>
    <w:lvl w:ilvl="4" w:tentative="0">
      <w:start w:val="0"/>
      <w:numFmt w:val="bullet"/>
      <w:lvlText w:val="•"/>
      <w:lvlJc w:val="left"/>
      <w:pPr>
        <w:ind w:left="4394" w:hanging="317"/>
      </w:pPr>
      <w:rPr>
        <w:rFonts w:hint="default"/>
        <w:lang w:val="zh-CN" w:eastAsia="zh-CN" w:bidi="zh-CN"/>
      </w:rPr>
    </w:lvl>
    <w:lvl w:ilvl="5" w:tentative="0">
      <w:start w:val="0"/>
      <w:numFmt w:val="bullet"/>
      <w:lvlText w:val="•"/>
      <w:lvlJc w:val="left"/>
      <w:pPr>
        <w:ind w:left="5252" w:hanging="317"/>
      </w:pPr>
      <w:rPr>
        <w:rFonts w:hint="default"/>
        <w:lang w:val="zh-CN" w:eastAsia="zh-CN" w:bidi="zh-CN"/>
      </w:rPr>
    </w:lvl>
    <w:lvl w:ilvl="6" w:tentative="0">
      <w:start w:val="0"/>
      <w:numFmt w:val="bullet"/>
      <w:lvlText w:val="•"/>
      <w:lvlJc w:val="left"/>
      <w:pPr>
        <w:ind w:left="6111" w:hanging="317"/>
      </w:pPr>
      <w:rPr>
        <w:rFonts w:hint="default"/>
        <w:lang w:val="zh-CN" w:eastAsia="zh-CN" w:bidi="zh-CN"/>
      </w:rPr>
    </w:lvl>
    <w:lvl w:ilvl="7" w:tentative="0">
      <w:start w:val="0"/>
      <w:numFmt w:val="bullet"/>
      <w:lvlText w:val="•"/>
      <w:lvlJc w:val="left"/>
      <w:pPr>
        <w:ind w:left="6969" w:hanging="317"/>
      </w:pPr>
      <w:rPr>
        <w:rFonts w:hint="default"/>
        <w:lang w:val="zh-CN" w:eastAsia="zh-CN" w:bidi="zh-CN"/>
      </w:rPr>
    </w:lvl>
    <w:lvl w:ilvl="8" w:tentative="0">
      <w:start w:val="0"/>
      <w:numFmt w:val="bullet"/>
      <w:lvlText w:val="•"/>
      <w:lvlJc w:val="left"/>
      <w:pPr>
        <w:ind w:left="7828" w:hanging="317"/>
      </w:pPr>
      <w:rPr>
        <w:rFonts w:hint="default"/>
        <w:lang w:val="zh-CN" w:eastAsia="zh-CN" w:bidi="zh-CN"/>
      </w:rPr>
    </w:lvl>
  </w:abstractNum>
  <w:abstractNum w:abstractNumId="4">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pStyle w:val="2"/>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lvl>
    <w:lvl w:ilvl="3" w:tentative="0">
      <w:start w:val="1"/>
      <w:numFmt w:val="decimal"/>
      <w:pStyle w:val="5"/>
      <w:lvlText w:val="5.2.%4"/>
      <w:lvlJc w:val="left"/>
      <w:pPr>
        <w:tabs>
          <w:tab w:val="left" w:pos="1080"/>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29351960"/>
    <w:multiLevelType w:val="multilevel"/>
    <w:tmpl w:val="29351960"/>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37C4739"/>
    <w:multiLevelType w:val="multilevel"/>
    <w:tmpl w:val="337C4739"/>
    <w:lvl w:ilvl="0" w:tentative="0">
      <w:start w:val="21"/>
      <w:numFmt w:val="decimal"/>
      <w:lvlText w:val="%1)"/>
      <w:lvlJc w:val="left"/>
      <w:pPr>
        <w:ind w:left="1060" w:hanging="423"/>
      </w:pPr>
      <w:rPr>
        <w:rFonts w:hint="default" w:ascii="宋体" w:hAnsi="宋体" w:eastAsia="宋体" w:cs="宋体"/>
        <w:w w:val="100"/>
        <w:sz w:val="21"/>
        <w:szCs w:val="21"/>
        <w:lang w:val="zh-CN" w:eastAsia="zh-CN" w:bidi="zh-CN"/>
      </w:rPr>
    </w:lvl>
    <w:lvl w:ilvl="1" w:tentative="0">
      <w:start w:val="0"/>
      <w:numFmt w:val="bullet"/>
      <w:lvlText w:val="•"/>
      <w:lvlJc w:val="left"/>
      <w:pPr>
        <w:ind w:left="1908" w:hanging="423"/>
      </w:pPr>
      <w:rPr>
        <w:rFonts w:hint="default"/>
        <w:lang w:val="zh-CN" w:eastAsia="zh-CN" w:bidi="zh-CN"/>
      </w:rPr>
    </w:lvl>
    <w:lvl w:ilvl="2" w:tentative="0">
      <w:start w:val="0"/>
      <w:numFmt w:val="bullet"/>
      <w:lvlText w:val="•"/>
      <w:lvlJc w:val="left"/>
      <w:pPr>
        <w:ind w:left="2757" w:hanging="423"/>
      </w:pPr>
      <w:rPr>
        <w:rFonts w:hint="default"/>
        <w:lang w:val="zh-CN" w:eastAsia="zh-CN" w:bidi="zh-CN"/>
      </w:rPr>
    </w:lvl>
    <w:lvl w:ilvl="3" w:tentative="0">
      <w:start w:val="0"/>
      <w:numFmt w:val="bullet"/>
      <w:lvlText w:val="•"/>
      <w:lvlJc w:val="left"/>
      <w:pPr>
        <w:ind w:left="3605" w:hanging="423"/>
      </w:pPr>
      <w:rPr>
        <w:rFonts w:hint="default"/>
        <w:lang w:val="zh-CN" w:eastAsia="zh-CN" w:bidi="zh-CN"/>
      </w:rPr>
    </w:lvl>
    <w:lvl w:ilvl="4" w:tentative="0">
      <w:start w:val="0"/>
      <w:numFmt w:val="bullet"/>
      <w:lvlText w:val="•"/>
      <w:lvlJc w:val="left"/>
      <w:pPr>
        <w:ind w:left="4454" w:hanging="423"/>
      </w:pPr>
      <w:rPr>
        <w:rFonts w:hint="default"/>
        <w:lang w:val="zh-CN" w:eastAsia="zh-CN" w:bidi="zh-CN"/>
      </w:rPr>
    </w:lvl>
    <w:lvl w:ilvl="5" w:tentative="0">
      <w:start w:val="0"/>
      <w:numFmt w:val="bullet"/>
      <w:lvlText w:val="•"/>
      <w:lvlJc w:val="left"/>
      <w:pPr>
        <w:ind w:left="5302" w:hanging="423"/>
      </w:pPr>
      <w:rPr>
        <w:rFonts w:hint="default"/>
        <w:lang w:val="zh-CN" w:eastAsia="zh-CN" w:bidi="zh-CN"/>
      </w:rPr>
    </w:lvl>
    <w:lvl w:ilvl="6" w:tentative="0">
      <w:start w:val="0"/>
      <w:numFmt w:val="bullet"/>
      <w:lvlText w:val="•"/>
      <w:lvlJc w:val="left"/>
      <w:pPr>
        <w:ind w:left="6151" w:hanging="423"/>
      </w:pPr>
      <w:rPr>
        <w:rFonts w:hint="default"/>
        <w:lang w:val="zh-CN" w:eastAsia="zh-CN" w:bidi="zh-CN"/>
      </w:rPr>
    </w:lvl>
    <w:lvl w:ilvl="7" w:tentative="0">
      <w:start w:val="0"/>
      <w:numFmt w:val="bullet"/>
      <w:lvlText w:val="•"/>
      <w:lvlJc w:val="left"/>
      <w:pPr>
        <w:ind w:left="6999" w:hanging="423"/>
      </w:pPr>
      <w:rPr>
        <w:rFonts w:hint="default"/>
        <w:lang w:val="zh-CN" w:eastAsia="zh-CN" w:bidi="zh-CN"/>
      </w:rPr>
    </w:lvl>
    <w:lvl w:ilvl="8" w:tentative="0">
      <w:start w:val="0"/>
      <w:numFmt w:val="bullet"/>
      <w:lvlText w:val="•"/>
      <w:lvlJc w:val="left"/>
      <w:pPr>
        <w:ind w:left="7848" w:hanging="423"/>
      </w:pPr>
      <w:rPr>
        <w:rFonts w:hint="default"/>
        <w:lang w:val="zh-CN" w:eastAsia="zh-CN" w:bidi="zh-CN"/>
      </w:r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ZWRmY2JlZTVmNGUxOGM0YzY1MDA2YmRiOTFlMTgifQ=="/>
  </w:docVars>
  <w:rsids>
    <w:rsidRoot w:val="1AD93D10"/>
    <w:rsid w:val="00042BC5"/>
    <w:rsid w:val="002B06D1"/>
    <w:rsid w:val="002B4765"/>
    <w:rsid w:val="00420D2A"/>
    <w:rsid w:val="00496E62"/>
    <w:rsid w:val="006B4F71"/>
    <w:rsid w:val="0075194C"/>
    <w:rsid w:val="00902C2A"/>
    <w:rsid w:val="00B44DE3"/>
    <w:rsid w:val="00CD27A3"/>
    <w:rsid w:val="00E944E9"/>
    <w:rsid w:val="00F00DBE"/>
    <w:rsid w:val="01092632"/>
    <w:rsid w:val="014001AC"/>
    <w:rsid w:val="017875F3"/>
    <w:rsid w:val="018A79CF"/>
    <w:rsid w:val="01C5574B"/>
    <w:rsid w:val="01D54D19"/>
    <w:rsid w:val="01DA23AF"/>
    <w:rsid w:val="01E274B5"/>
    <w:rsid w:val="01EA5B99"/>
    <w:rsid w:val="0223285E"/>
    <w:rsid w:val="022E1DE2"/>
    <w:rsid w:val="0252713F"/>
    <w:rsid w:val="027117C5"/>
    <w:rsid w:val="028506F8"/>
    <w:rsid w:val="028C57A6"/>
    <w:rsid w:val="02902A6D"/>
    <w:rsid w:val="038606A0"/>
    <w:rsid w:val="03BB7FBE"/>
    <w:rsid w:val="03DB7FB7"/>
    <w:rsid w:val="03EE7E13"/>
    <w:rsid w:val="04013F96"/>
    <w:rsid w:val="04351ED3"/>
    <w:rsid w:val="0450307B"/>
    <w:rsid w:val="045131E2"/>
    <w:rsid w:val="04AB0032"/>
    <w:rsid w:val="04BC6779"/>
    <w:rsid w:val="04D70E27"/>
    <w:rsid w:val="05517895"/>
    <w:rsid w:val="05542478"/>
    <w:rsid w:val="057F6DC9"/>
    <w:rsid w:val="058848D8"/>
    <w:rsid w:val="058B0B6A"/>
    <w:rsid w:val="058C06A6"/>
    <w:rsid w:val="05997E8B"/>
    <w:rsid w:val="06246704"/>
    <w:rsid w:val="0645168C"/>
    <w:rsid w:val="06826B71"/>
    <w:rsid w:val="068A2620"/>
    <w:rsid w:val="06951630"/>
    <w:rsid w:val="06A26ADE"/>
    <w:rsid w:val="06E918B3"/>
    <w:rsid w:val="07126147"/>
    <w:rsid w:val="071751E8"/>
    <w:rsid w:val="07845199"/>
    <w:rsid w:val="078D2513"/>
    <w:rsid w:val="07B436A2"/>
    <w:rsid w:val="07CA0DB3"/>
    <w:rsid w:val="07FE2B6F"/>
    <w:rsid w:val="08356B44"/>
    <w:rsid w:val="085D3A9D"/>
    <w:rsid w:val="0897720D"/>
    <w:rsid w:val="08AA468C"/>
    <w:rsid w:val="08B51480"/>
    <w:rsid w:val="08B84E77"/>
    <w:rsid w:val="08DA0EE6"/>
    <w:rsid w:val="08FD4BD5"/>
    <w:rsid w:val="09081222"/>
    <w:rsid w:val="09187A6A"/>
    <w:rsid w:val="09422AE6"/>
    <w:rsid w:val="09973586"/>
    <w:rsid w:val="09982907"/>
    <w:rsid w:val="099F5C8C"/>
    <w:rsid w:val="09D32FE4"/>
    <w:rsid w:val="0A014FE8"/>
    <w:rsid w:val="0A4725AB"/>
    <w:rsid w:val="0A6441B3"/>
    <w:rsid w:val="0A764C3F"/>
    <w:rsid w:val="0A8E55D0"/>
    <w:rsid w:val="0ACD1B99"/>
    <w:rsid w:val="0B4E5BBB"/>
    <w:rsid w:val="0B517646"/>
    <w:rsid w:val="0B6965DA"/>
    <w:rsid w:val="0B9335CE"/>
    <w:rsid w:val="0BA41A90"/>
    <w:rsid w:val="0BAD28E2"/>
    <w:rsid w:val="0BB43C70"/>
    <w:rsid w:val="0BB62B41"/>
    <w:rsid w:val="0BBC6DB9"/>
    <w:rsid w:val="0BD87233"/>
    <w:rsid w:val="0BE107DE"/>
    <w:rsid w:val="0BF03398"/>
    <w:rsid w:val="0C146CD0"/>
    <w:rsid w:val="0C267B5A"/>
    <w:rsid w:val="0C686809"/>
    <w:rsid w:val="0C782EF0"/>
    <w:rsid w:val="0C876B38"/>
    <w:rsid w:val="0C914CF9"/>
    <w:rsid w:val="0CD36378"/>
    <w:rsid w:val="0CDE6ACB"/>
    <w:rsid w:val="0CE560AB"/>
    <w:rsid w:val="0D1931A8"/>
    <w:rsid w:val="0D33367A"/>
    <w:rsid w:val="0D38267F"/>
    <w:rsid w:val="0D817298"/>
    <w:rsid w:val="0DA4014C"/>
    <w:rsid w:val="0E0F33E0"/>
    <w:rsid w:val="0E8042DE"/>
    <w:rsid w:val="0EBE6BB4"/>
    <w:rsid w:val="0EFD76DC"/>
    <w:rsid w:val="0F072309"/>
    <w:rsid w:val="0F1352C6"/>
    <w:rsid w:val="0F41676A"/>
    <w:rsid w:val="0F603A06"/>
    <w:rsid w:val="0F67724C"/>
    <w:rsid w:val="0F9D3F72"/>
    <w:rsid w:val="0FCA450C"/>
    <w:rsid w:val="0FD24FCC"/>
    <w:rsid w:val="0FDF14C1"/>
    <w:rsid w:val="0FEA38D8"/>
    <w:rsid w:val="0FF705D0"/>
    <w:rsid w:val="101F1692"/>
    <w:rsid w:val="10242A85"/>
    <w:rsid w:val="10271AE5"/>
    <w:rsid w:val="10311F64"/>
    <w:rsid w:val="10725EA8"/>
    <w:rsid w:val="109A0F5B"/>
    <w:rsid w:val="10A800F7"/>
    <w:rsid w:val="10AB4366"/>
    <w:rsid w:val="10AC760C"/>
    <w:rsid w:val="10E04EBD"/>
    <w:rsid w:val="10EB1FB3"/>
    <w:rsid w:val="110B357F"/>
    <w:rsid w:val="11101ECF"/>
    <w:rsid w:val="11162CD7"/>
    <w:rsid w:val="11292A0B"/>
    <w:rsid w:val="112B3BD1"/>
    <w:rsid w:val="1130750A"/>
    <w:rsid w:val="1134301E"/>
    <w:rsid w:val="113E522A"/>
    <w:rsid w:val="11D73061"/>
    <w:rsid w:val="11FC356C"/>
    <w:rsid w:val="1213495F"/>
    <w:rsid w:val="12165459"/>
    <w:rsid w:val="122272CD"/>
    <w:rsid w:val="12436A7A"/>
    <w:rsid w:val="12B8694C"/>
    <w:rsid w:val="12C51FC9"/>
    <w:rsid w:val="12CA5B28"/>
    <w:rsid w:val="12FC7CAB"/>
    <w:rsid w:val="13077FB9"/>
    <w:rsid w:val="130858E0"/>
    <w:rsid w:val="13184FA3"/>
    <w:rsid w:val="13307A58"/>
    <w:rsid w:val="13314807"/>
    <w:rsid w:val="13536AFE"/>
    <w:rsid w:val="138E761A"/>
    <w:rsid w:val="13A570AB"/>
    <w:rsid w:val="13B16CE7"/>
    <w:rsid w:val="13D037EB"/>
    <w:rsid w:val="13DC1FB6"/>
    <w:rsid w:val="13EA3E94"/>
    <w:rsid w:val="143B7653"/>
    <w:rsid w:val="14D44347"/>
    <w:rsid w:val="14DF1632"/>
    <w:rsid w:val="14EB2A48"/>
    <w:rsid w:val="15363948"/>
    <w:rsid w:val="1539525E"/>
    <w:rsid w:val="154108BB"/>
    <w:rsid w:val="15480B64"/>
    <w:rsid w:val="158E72E0"/>
    <w:rsid w:val="15BF5C2B"/>
    <w:rsid w:val="15D867AD"/>
    <w:rsid w:val="16104F17"/>
    <w:rsid w:val="16246B38"/>
    <w:rsid w:val="1658169C"/>
    <w:rsid w:val="167364D6"/>
    <w:rsid w:val="16BF25B5"/>
    <w:rsid w:val="170C7696"/>
    <w:rsid w:val="176F3E6E"/>
    <w:rsid w:val="176F4EEF"/>
    <w:rsid w:val="17B86929"/>
    <w:rsid w:val="18340A1C"/>
    <w:rsid w:val="18764AB8"/>
    <w:rsid w:val="187A0473"/>
    <w:rsid w:val="18A1557C"/>
    <w:rsid w:val="18BE41E5"/>
    <w:rsid w:val="18F41B50"/>
    <w:rsid w:val="18F65CC4"/>
    <w:rsid w:val="19472F5A"/>
    <w:rsid w:val="197A705F"/>
    <w:rsid w:val="197E58BE"/>
    <w:rsid w:val="19871871"/>
    <w:rsid w:val="19E636C9"/>
    <w:rsid w:val="1A145B6D"/>
    <w:rsid w:val="1A37028A"/>
    <w:rsid w:val="1A76020E"/>
    <w:rsid w:val="1A93555E"/>
    <w:rsid w:val="1AB1400D"/>
    <w:rsid w:val="1AB5530F"/>
    <w:rsid w:val="1AC47300"/>
    <w:rsid w:val="1AC756D5"/>
    <w:rsid w:val="1AD734D7"/>
    <w:rsid w:val="1AD93D10"/>
    <w:rsid w:val="1ADF1A49"/>
    <w:rsid w:val="1AEE041B"/>
    <w:rsid w:val="1B3D68D1"/>
    <w:rsid w:val="1B79458F"/>
    <w:rsid w:val="1B8C7796"/>
    <w:rsid w:val="1BA4071F"/>
    <w:rsid w:val="1BB04ED2"/>
    <w:rsid w:val="1BB7557D"/>
    <w:rsid w:val="1BEA2D97"/>
    <w:rsid w:val="1C24274C"/>
    <w:rsid w:val="1C42463B"/>
    <w:rsid w:val="1C4921B3"/>
    <w:rsid w:val="1CA22253"/>
    <w:rsid w:val="1CCC7C58"/>
    <w:rsid w:val="1CCD4761"/>
    <w:rsid w:val="1CE819CC"/>
    <w:rsid w:val="1D124406"/>
    <w:rsid w:val="1D557A76"/>
    <w:rsid w:val="1D602654"/>
    <w:rsid w:val="1D6372A4"/>
    <w:rsid w:val="1D662E99"/>
    <w:rsid w:val="1D7266FC"/>
    <w:rsid w:val="1D79587B"/>
    <w:rsid w:val="1D7D1C12"/>
    <w:rsid w:val="1D807E56"/>
    <w:rsid w:val="1D8526EB"/>
    <w:rsid w:val="1D927846"/>
    <w:rsid w:val="1DD43CFE"/>
    <w:rsid w:val="1DD67A76"/>
    <w:rsid w:val="1DE84317"/>
    <w:rsid w:val="1DF223D6"/>
    <w:rsid w:val="1DF44011"/>
    <w:rsid w:val="1DF51505"/>
    <w:rsid w:val="1E1547AC"/>
    <w:rsid w:val="1E6C10F7"/>
    <w:rsid w:val="1E7A67EE"/>
    <w:rsid w:val="1E934E45"/>
    <w:rsid w:val="1EAD3208"/>
    <w:rsid w:val="1ED146E2"/>
    <w:rsid w:val="1EFB350D"/>
    <w:rsid w:val="1F57306A"/>
    <w:rsid w:val="1F7F6607"/>
    <w:rsid w:val="1F906F24"/>
    <w:rsid w:val="1F933B3C"/>
    <w:rsid w:val="1FA745CF"/>
    <w:rsid w:val="1FB060A5"/>
    <w:rsid w:val="1FC40C14"/>
    <w:rsid w:val="1FCC77F5"/>
    <w:rsid w:val="1FCD5A2F"/>
    <w:rsid w:val="1FE10954"/>
    <w:rsid w:val="1FF64400"/>
    <w:rsid w:val="2043516B"/>
    <w:rsid w:val="208C266E"/>
    <w:rsid w:val="209716F7"/>
    <w:rsid w:val="209D0D1F"/>
    <w:rsid w:val="20B81864"/>
    <w:rsid w:val="20C03D67"/>
    <w:rsid w:val="20CA738D"/>
    <w:rsid w:val="20D95CC6"/>
    <w:rsid w:val="20F92165"/>
    <w:rsid w:val="20FF39E4"/>
    <w:rsid w:val="21000B1F"/>
    <w:rsid w:val="21802209"/>
    <w:rsid w:val="21B300CF"/>
    <w:rsid w:val="21F10E4E"/>
    <w:rsid w:val="21F73C5A"/>
    <w:rsid w:val="21F7620D"/>
    <w:rsid w:val="22060E09"/>
    <w:rsid w:val="221F4FB0"/>
    <w:rsid w:val="222A3C54"/>
    <w:rsid w:val="224867D7"/>
    <w:rsid w:val="229A4759"/>
    <w:rsid w:val="23494192"/>
    <w:rsid w:val="234A46C8"/>
    <w:rsid w:val="23695C51"/>
    <w:rsid w:val="236B2A0F"/>
    <w:rsid w:val="239E59B0"/>
    <w:rsid w:val="23B56380"/>
    <w:rsid w:val="23B720F8"/>
    <w:rsid w:val="23BE2382"/>
    <w:rsid w:val="23C245F9"/>
    <w:rsid w:val="24077B3A"/>
    <w:rsid w:val="241858E1"/>
    <w:rsid w:val="24187CB0"/>
    <w:rsid w:val="24372FA7"/>
    <w:rsid w:val="244A678E"/>
    <w:rsid w:val="244C02CD"/>
    <w:rsid w:val="247400BA"/>
    <w:rsid w:val="248F0037"/>
    <w:rsid w:val="24CF521F"/>
    <w:rsid w:val="24D54EA8"/>
    <w:rsid w:val="24D869DB"/>
    <w:rsid w:val="24E561A8"/>
    <w:rsid w:val="24F6350D"/>
    <w:rsid w:val="24FC3F2A"/>
    <w:rsid w:val="251357A3"/>
    <w:rsid w:val="2535025D"/>
    <w:rsid w:val="25480351"/>
    <w:rsid w:val="256703CA"/>
    <w:rsid w:val="256A0AA0"/>
    <w:rsid w:val="257F40F4"/>
    <w:rsid w:val="25865671"/>
    <w:rsid w:val="25D71B3C"/>
    <w:rsid w:val="25F25669"/>
    <w:rsid w:val="25F50CB6"/>
    <w:rsid w:val="25F5455C"/>
    <w:rsid w:val="25FF2699"/>
    <w:rsid w:val="26310685"/>
    <w:rsid w:val="26377520"/>
    <w:rsid w:val="264E426F"/>
    <w:rsid w:val="2676279C"/>
    <w:rsid w:val="26CB5E5E"/>
    <w:rsid w:val="26CF59AB"/>
    <w:rsid w:val="26CF789C"/>
    <w:rsid w:val="26D210A2"/>
    <w:rsid w:val="274D495D"/>
    <w:rsid w:val="27A44741"/>
    <w:rsid w:val="27BE5AEA"/>
    <w:rsid w:val="27CE13B8"/>
    <w:rsid w:val="27E2526A"/>
    <w:rsid w:val="27F37477"/>
    <w:rsid w:val="280166BC"/>
    <w:rsid w:val="281411E8"/>
    <w:rsid w:val="285D1488"/>
    <w:rsid w:val="28745F2A"/>
    <w:rsid w:val="287C121A"/>
    <w:rsid w:val="28E072EE"/>
    <w:rsid w:val="28E46B32"/>
    <w:rsid w:val="28F72F97"/>
    <w:rsid w:val="28FF6BFC"/>
    <w:rsid w:val="29CE0663"/>
    <w:rsid w:val="29EF4E00"/>
    <w:rsid w:val="2A7F1496"/>
    <w:rsid w:val="2ACC6789"/>
    <w:rsid w:val="2B226044"/>
    <w:rsid w:val="2B381D70"/>
    <w:rsid w:val="2B4104F9"/>
    <w:rsid w:val="2B906CF5"/>
    <w:rsid w:val="2C267E1B"/>
    <w:rsid w:val="2C293D47"/>
    <w:rsid w:val="2C335F75"/>
    <w:rsid w:val="2C3F712F"/>
    <w:rsid w:val="2C464019"/>
    <w:rsid w:val="2C637E07"/>
    <w:rsid w:val="2C6E757B"/>
    <w:rsid w:val="2C7E75FB"/>
    <w:rsid w:val="2CB73169"/>
    <w:rsid w:val="2CD027CC"/>
    <w:rsid w:val="2CD95E53"/>
    <w:rsid w:val="2CDE06F5"/>
    <w:rsid w:val="2D197980"/>
    <w:rsid w:val="2D3622E0"/>
    <w:rsid w:val="2D371BB4"/>
    <w:rsid w:val="2D446CFB"/>
    <w:rsid w:val="2D4A0CF2"/>
    <w:rsid w:val="2D5409B8"/>
    <w:rsid w:val="2D5D5164"/>
    <w:rsid w:val="2D67693D"/>
    <w:rsid w:val="2D6D3827"/>
    <w:rsid w:val="2D9B7BAD"/>
    <w:rsid w:val="2DAB44BC"/>
    <w:rsid w:val="2DAD1E76"/>
    <w:rsid w:val="2DAF2092"/>
    <w:rsid w:val="2DB00F5D"/>
    <w:rsid w:val="2DC4482D"/>
    <w:rsid w:val="2DD876C7"/>
    <w:rsid w:val="2E0C1926"/>
    <w:rsid w:val="2E387C83"/>
    <w:rsid w:val="2E8250B1"/>
    <w:rsid w:val="2ED92314"/>
    <w:rsid w:val="2EE51A99"/>
    <w:rsid w:val="2F3740ED"/>
    <w:rsid w:val="2F416392"/>
    <w:rsid w:val="2F6B51A6"/>
    <w:rsid w:val="2FE34275"/>
    <w:rsid w:val="2FE853E7"/>
    <w:rsid w:val="2FFB336C"/>
    <w:rsid w:val="2FFD2504"/>
    <w:rsid w:val="302C73FE"/>
    <w:rsid w:val="306227C7"/>
    <w:rsid w:val="30BB4FCE"/>
    <w:rsid w:val="31093EF3"/>
    <w:rsid w:val="310A1327"/>
    <w:rsid w:val="310F3573"/>
    <w:rsid w:val="31431597"/>
    <w:rsid w:val="31737A02"/>
    <w:rsid w:val="31D13FE7"/>
    <w:rsid w:val="321443BD"/>
    <w:rsid w:val="321A5D38"/>
    <w:rsid w:val="322F2A2C"/>
    <w:rsid w:val="322F7A5D"/>
    <w:rsid w:val="326675A7"/>
    <w:rsid w:val="327B181C"/>
    <w:rsid w:val="32A53B87"/>
    <w:rsid w:val="32D64474"/>
    <w:rsid w:val="32ED1692"/>
    <w:rsid w:val="334223F2"/>
    <w:rsid w:val="33704071"/>
    <w:rsid w:val="338833B7"/>
    <w:rsid w:val="339B67B0"/>
    <w:rsid w:val="339B7340"/>
    <w:rsid w:val="33B95D8C"/>
    <w:rsid w:val="33E278B0"/>
    <w:rsid w:val="33EA2A7A"/>
    <w:rsid w:val="33F04676"/>
    <w:rsid w:val="34333D66"/>
    <w:rsid w:val="34383A30"/>
    <w:rsid w:val="343B5BBD"/>
    <w:rsid w:val="34735BC7"/>
    <w:rsid w:val="34C87BDA"/>
    <w:rsid w:val="34D436AF"/>
    <w:rsid w:val="35004CDD"/>
    <w:rsid w:val="351031C1"/>
    <w:rsid w:val="351C625F"/>
    <w:rsid w:val="354A3A6D"/>
    <w:rsid w:val="35633E8E"/>
    <w:rsid w:val="35773495"/>
    <w:rsid w:val="357A39EE"/>
    <w:rsid w:val="35B51DFA"/>
    <w:rsid w:val="36436E00"/>
    <w:rsid w:val="36753737"/>
    <w:rsid w:val="367E0853"/>
    <w:rsid w:val="36A85F54"/>
    <w:rsid w:val="37023232"/>
    <w:rsid w:val="371C1548"/>
    <w:rsid w:val="3740544E"/>
    <w:rsid w:val="37600592"/>
    <w:rsid w:val="376637C1"/>
    <w:rsid w:val="37A03AC4"/>
    <w:rsid w:val="380A2A37"/>
    <w:rsid w:val="38A02BC9"/>
    <w:rsid w:val="38AA5930"/>
    <w:rsid w:val="38C42E95"/>
    <w:rsid w:val="38C70290"/>
    <w:rsid w:val="38F90665"/>
    <w:rsid w:val="39131E86"/>
    <w:rsid w:val="392508F1"/>
    <w:rsid w:val="392576AC"/>
    <w:rsid w:val="39B63432"/>
    <w:rsid w:val="3A173499"/>
    <w:rsid w:val="3A6F632B"/>
    <w:rsid w:val="3A946ECC"/>
    <w:rsid w:val="3A9F142D"/>
    <w:rsid w:val="3ABF6847"/>
    <w:rsid w:val="3ADC46E1"/>
    <w:rsid w:val="3AE74B3F"/>
    <w:rsid w:val="3AF61300"/>
    <w:rsid w:val="3B0C6ED0"/>
    <w:rsid w:val="3B1479D8"/>
    <w:rsid w:val="3B1933C9"/>
    <w:rsid w:val="3B4C75E2"/>
    <w:rsid w:val="3B660234"/>
    <w:rsid w:val="3B850558"/>
    <w:rsid w:val="3B960D61"/>
    <w:rsid w:val="3BAC5E63"/>
    <w:rsid w:val="3C1B7E5B"/>
    <w:rsid w:val="3C291261"/>
    <w:rsid w:val="3C682E06"/>
    <w:rsid w:val="3CB050D8"/>
    <w:rsid w:val="3CBC0706"/>
    <w:rsid w:val="3D172AAF"/>
    <w:rsid w:val="3DD551FD"/>
    <w:rsid w:val="3DE9005D"/>
    <w:rsid w:val="3E0E070F"/>
    <w:rsid w:val="3E2F57F9"/>
    <w:rsid w:val="3E9B4698"/>
    <w:rsid w:val="3EB37986"/>
    <w:rsid w:val="3ED214AC"/>
    <w:rsid w:val="3EF938CE"/>
    <w:rsid w:val="3F3B29AC"/>
    <w:rsid w:val="3F5900B0"/>
    <w:rsid w:val="3F660736"/>
    <w:rsid w:val="3F856AA5"/>
    <w:rsid w:val="3FA56E51"/>
    <w:rsid w:val="3FAF7CCF"/>
    <w:rsid w:val="3FC8069C"/>
    <w:rsid w:val="3FD5478D"/>
    <w:rsid w:val="402E7F0F"/>
    <w:rsid w:val="40464190"/>
    <w:rsid w:val="40A60DC8"/>
    <w:rsid w:val="40A74645"/>
    <w:rsid w:val="40AA1750"/>
    <w:rsid w:val="40D82DFB"/>
    <w:rsid w:val="40DB0111"/>
    <w:rsid w:val="40FE4A6B"/>
    <w:rsid w:val="41285F8B"/>
    <w:rsid w:val="412A1336"/>
    <w:rsid w:val="4135614B"/>
    <w:rsid w:val="41913C67"/>
    <w:rsid w:val="41AF045B"/>
    <w:rsid w:val="41BD1D7E"/>
    <w:rsid w:val="41CA2B9F"/>
    <w:rsid w:val="41FA4A23"/>
    <w:rsid w:val="420F2CA7"/>
    <w:rsid w:val="4229701C"/>
    <w:rsid w:val="428C60A6"/>
    <w:rsid w:val="42CE4BEE"/>
    <w:rsid w:val="42D77C69"/>
    <w:rsid w:val="42EA0041"/>
    <w:rsid w:val="4373744D"/>
    <w:rsid w:val="43FD3E70"/>
    <w:rsid w:val="441B2757"/>
    <w:rsid w:val="442230BD"/>
    <w:rsid w:val="445552E9"/>
    <w:rsid w:val="446612A5"/>
    <w:rsid w:val="44775DE2"/>
    <w:rsid w:val="44A11E75"/>
    <w:rsid w:val="44D062C5"/>
    <w:rsid w:val="44F40F77"/>
    <w:rsid w:val="450B59A8"/>
    <w:rsid w:val="45143D6B"/>
    <w:rsid w:val="451C6BB6"/>
    <w:rsid w:val="45603F46"/>
    <w:rsid w:val="457D1EA4"/>
    <w:rsid w:val="458A53B5"/>
    <w:rsid w:val="45B23E8D"/>
    <w:rsid w:val="45B414E6"/>
    <w:rsid w:val="45B47602"/>
    <w:rsid w:val="45F81E8C"/>
    <w:rsid w:val="461104A1"/>
    <w:rsid w:val="464772DA"/>
    <w:rsid w:val="466D10C5"/>
    <w:rsid w:val="467A4511"/>
    <w:rsid w:val="469F17F0"/>
    <w:rsid w:val="46BA7686"/>
    <w:rsid w:val="46DD4403"/>
    <w:rsid w:val="46E6047B"/>
    <w:rsid w:val="471E5199"/>
    <w:rsid w:val="47264F1F"/>
    <w:rsid w:val="475278BE"/>
    <w:rsid w:val="4773335F"/>
    <w:rsid w:val="47CA1B4A"/>
    <w:rsid w:val="47D432D9"/>
    <w:rsid w:val="47D97FDF"/>
    <w:rsid w:val="47F475B2"/>
    <w:rsid w:val="489F2FD7"/>
    <w:rsid w:val="48B30830"/>
    <w:rsid w:val="48C74E0D"/>
    <w:rsid w:val="48D32C81"/>
    <w:rsid w:val="49090450"/>
    <w:rsid w:val="493279A7"/>
    <w:rsid w:val="494F3663"/>
    <w:rsid w:val="49553696"/>
    <w:rsid w:val="496E402C"/>
    <w:rsid w:val="499B0D62"/>
    <w:rsid w:val="49D56585"/>
    <w:rsid w:val="4A0D48E4"/>
    <w:rsid w:val="4A123590"/>
    <w:rsid w:val="4A62606A"/>
    <w:rsid w:val="4AC13EAF"/>
    <w:rsid w:val="4ACA3C0F"/>
    <w:rsid w:val="4AE573BB"/>
    <w:rsid w:val="4B2C3E54"/>
    <w:rsid w:val="4B42237A"/>
    <w:rsid w:val="4B77246C"/>
    <w:rsid w:val="4B8447DA"/>
    <w:rsid w:val="4B884861"/>
    <w:rsid w:val="4C013661"/>
    <w:rsid w:val="4C030D78"/>
    <w:rsid w:val="4C0E1EFB"/>
    <w:rsid w:val="4C182230"/>
    <w:rsid w:val="4CB30DFF"/>
    <w:rsid w:val="4CC87A07"/>
    <w:rsid w:val="4CDC65DC"/>
    <w:rsid w:val="4D3B2BA3"/>
    <w:rsid w:val="4DA30E74"/>
    <w:rsid w:val="4DC1754C"/>
    <w:rsid w:val="4DEB6377"/>
    <w:rsid w:val="4DFB55DB"/>
    <w:rsid w:val="4DFE42FC"/>
    <w:rsid w:val="4E0533EB"/>
    <w:rsid w:val="4E1C1720"/>
    <w:rsid w:val="4E4446C6"/>
    <w:rsid w:val="4E8A0739"/>
    <w:rsid w:val="4EA01857"/>
    <w:rsid w:val="4EA44A01"/>
    <w:rsid w:val="4EB64BD7"/>
    <w:rsid w:val="4EC63E69"/>
    <w:rsid w:val="4EEB6BD4"/>
    <w:rsid w:val="4EFD57A9"/>
    <w:rsid w:val="4EFD79A0"/>
    <w:rsid w:val="50045CBF"/>
    <w:rsid w:val="503C4C0D"/>
    <w:rsid w:val="50517B45"/>
    <w:rsid w:val="50857EB7"/>
    <w:rsid w:val="508A6E38"/>
    <w:rsid w:val="50B40843"/>
    <w:rsid w:val="50B90060"/>
    <w:rsid w:val="50BD4D0C"/>
    <w:rsid w:val="50E8625E"/>
    <w:rsid w:val="50EA256F"/>
    <w:rsid w:val="510A1061"/>
    <w:rsid w:val="510A120A"/>
    <w:rsid w:val="510C4F82"/>
    <w:rsid w:val="511F2F07"/>
    <w:rsid w:val="51340B4D"/>
    <w:rsid w:val="514E7677"/>
    <w:rsid w:val="515801C7"/>
    <w:rsid w:val="51703763"/>
    <w:rsid w:val="51917235"/>
    <w:rsid w:val="519D0C67"/>
    <w:rsid w:val="522A0B18"/>
    <w:rsid w:val="52597404"/>
    <w:rsid w:val="52666914"/>
    <w:rsid w:val="52674156"/>
    <w:rsid w:val="52C378C2"/>
    <w:rsid w:val="52E072F4"/>
    <w:rsid w:val="53005DB0"/>
    <w:rsid w:val="53630588"/>
    <w:rsid w:val="539263F9"/>
    <w:rsid w:val="539C46BA"/>
    <w:rsid w:val="53A53847"/>
    <w:rsid w:val="53ED76EA"/>
    <w:rsid w:val="53F86A2E"/>
    <w:rsid w:val="540102F4"/>
    <w:rsid w:val="5445681C"/>
    <w:rsid w:val="54947768"/>
    <w:rsid w:val="553C73B0"/>
    <w:rsid w:val="556C67BC"/>
    <w:rsid w:val="55854E18"/>
    <w:rsid w:val="559D089E"/>
    <w:rsid w:val="55BA1450"/>
    <w:rsid w:val="55D3606E"/>
    <w:rsid w:val="55D50C46"/>
    <w:rsid w:val="564C7BCE"/>
    <w:rsid w:val="5655185E"/>
    <w:rsid w:val="56713A00"/>
    <w:rsid w:val="56A417B8"/>
    <w:rsid w:val="56C1236A"/>
    <w:rsid w:val="57002FB0"/>
    <w:rsid w:val="57047689"/>
    <w:rsid w:val="57250B4B"/>
    <w:rsid w:val="57444E15"/>
    <w:rsid w:val="57671164"/>
    <w:rsid w:val="57787C23"/>
    <w:rsid w:val="5782298A"/>
    <w:rsid w:val="57BB35B0"/>
    <w:rsid w:val="585B7C18"/>
    <w:rsid w:val="585C5B58"/>
    <w:rsid w:val="589E1A0A"/>
    <w:rsid w:val="58A97DBC"/>
    <w:rsid w:val="58BA221B"/>
    <w:rsid w:val="58E816CF"/>
    <w:rsid w:val="58F419FA"/>
    <w:rsid w:val="58F72073"/>
    <w:rsid w:val="58F8556E"/>
    <w:rsid w:val="58FA2D4E"/>
    <w:rsid w:val="59503D81"/>
    <w:rsid w:val="595B0854"/>
    <w:rsid w:val="598751B5"/>
    <w:rsid w:val="5A626FE9"/>
    <w:rsid w:val="5AD909D9"/>
    <w:rsid w:val="5B184523"/>
    <w:rsid w:val="5B35258E"/>
    <w:rsid w:val="5B8F2A37"/>
    <w:rsid w:val="5BA27B68"/>
    <w:rsid w:val="5BB3605C"/>
    <w:rsid w:val="5BCD3884"/>
    <w:rsid w:val="5BDF5F06"/>
    <w:rsid w:val="5BE30FD5"/>
    <w:rsid w:val="5BE379AC"/>
    <w:rsid w:val="5BEE28A9"/>
    <w:rsid w:val="5C3029BA"/>
    <w:rsid w:val="5C32275C"/>
    <w:rsid w:val="5C3E3EF1"/>
    <w:rsid w:val="5C9A1694"/>
    <w:rsid w:val="5C9B0D0E"/>
    <w:rsid w:val="5C9C18B0"/>
    <w:rsid w:val="5CD5089A"/>
    <w:rsid w:val="5D2E44D2"/>
    <w:rsid w:val="5D373386"/>
    <w:rsid w:val="5D484C15"/>
    <w:rsid w:val="5D4E06D0"/>
    <w:rsid w:val="5D7B1F26"/>
    <w:rsid w:val="5D941DBC"/>
    <w:rsid w:val="5DB46785"/>
    <w:rsid w:val="5DCD74E8"/>
    <w:rsid w:val="5DDA21DB"/>
    <w:rsid w:val="5DE1076E"/>
    <w:rsid w:val="5E4915C3"/>
    <w:rsid w:val="5E4A0913"/>
    <w:rsid w:val="5E4F2952"/>
    <w:rsid w:val="5E793037"/>
    <w:rsid w:val="5E914D18"/>
    <w:rsid w:val="5EBD3748"/>
    <w:rsid w:val="5EE841A7"/>
    <w:rsid w:val="5EEF4199"/>
    <w:rsid w:val="5F0C25F1"/>
    <w:rsid w:val="5F683CCB"/>
    <w:rsid w:val="5F8623A3"/>
    <w:rsid w:val="5FB707AE"/>
    <w:rsid w:val="5FD3691E"/>
    <w:rsid w:val="604148B0"/>
    <w:rsid w:val="6075547A"/>
    <w:rsid w:val="60AE2C5A"/>
    <w:rsid w:val="60D333C6"/>
    <w:rsid w:val="60DE687F"/>
    <w:rsid w:val="610F4FD1"/>
    <w:rsid w:val="61271964"/>
    <w:rsid w:val="61363955"/>
    <w:rsid w:val="61573F5A"/>
    <w:rsid w:val="61D218D0"/>
    <w:rsid w:val="61FA6CDE"/>
    <w:rsid w:val="622B7232"/>
    <w:rsid w:val="627E3805"/>
    <w:rsid w:val="62911749"/>
    <w:rsid w:val="62B41D62"/>
    <w:rsid w:val="63212B0F"/>
    <w:rsid w:val="634B7B8C"/>
    <w:rsid w:val="636B397A"/>
    <w:rsid w:val="63816D67"/>
    <w:rsid w:val="63A830B1"/>
    <w:rsid w:val="63BF2452"/>
    <w:rsid w:val="63C464CF"/>
    <w:rsid w:val="63CA432B"/>
    <w:rsid w:val="63F7431A"/>
    <w:rsid w:val="641E4715"/>
    <w:rsid w:val="644C6EE4"/>
    <w:rsid w:val="6454481E"/>
    <w:rsid w:val="646B7DB9"/>
    <w:rsid w:val="648115A5"/>
    <w:rsid w:val="648157A3"/>
    <w:rsid w:val="6486074F"/>
    <w:rsid w:val="64A07A63"/>
    <w:rsid w:val="64BA36C3"/>
    <w:rsid w:val="64C574CA"/>
    <w:rsid w:val="64CD5585"/>
    <w:rsid w:val="64E57C23"/>
    <w:rsid w:val="64E8265D"/>
    <w:rsid w:val="64EC2CA8"/>
    <w:rsid w:val="65420B1A"/>
    <w:rsid w:val="65544D07"/>
    <w:rsid w:val="65616EAE"/>
    <w:rsid w:val="65655D8C"/>
    <w:rsid w:val="65757843"/>
    <w:rsid w:val="657D53A3"/>
    <w:rsid w:val="657F25CC"/>
    <w:rsid w:val="65885870"/>
    <w:rsid w:val="65D61A11"/>
    <w:rsid w:val="65F362B8"/>
    <w:rsid w:val="661F7AE3"/>
    <w:rsid w:val="66796F11"/>
    <w:rsid w:val="6684265C"/>
    <w:rsid w:val="66B75538"/>
    <w:rsid w:val="66BE61EF"/>
    <w:rsid w:val="66D905FA"/>
    <w:rsid w:val="66EB0DCE"/>
    <w:rsid w:val="67081D59"/>
    <w:rsid w:val="671604B0"/>
    <w:rsid w:val="673B43C3"/>
    <w:rsid w:val="67553FCB"/>
    <w:rsid w:val="677F46AE"/>
    <w:rsid w:val="67E033BD"/>
    <w:rsid w:val="67F96A23"/>
    <w:rsid w:val="67FC715C"/>
    <w:rsid w:val="68002459"/>
    <w:rsid w:val="6837248C"/>
    <w:rsid w:val="68656D1C"/>
    <w:rsid w:val="68CD6E3C"/>
    <w:rsid w:val="68FB11EB"/>
    <w:rsid w:val="69185296"/>
    <w:rsid w:val="691B47B7"/>
    <w:rsid w:val="693B5FAC"/>
    <w:rsid w:val="69670B4F"/>
    <w:rsid w:val="6A253377"/>
    <w:rsid w:val="6A534846"/>
    <w:rsid w:val="6A8917B4"/>
    <w:rsid w:val="6AA308BB"/>
    <w:rsid w:val="6ACD3B37"/>
    <w:rsid w:val="6B853A16"/>
    <w:rsid w:val="6BC61FB7"/>
    <w:rsid w:val="6BE07B71"/>
    <w:rsid w:val="6C1443C9"/>
    <w:rsid w:val="6C44161C"/>
    <w:rsid w:val="6C53771E"/>
    <w:rsid w:val="6C6C28EB"/>
    <w:rsid w:val="6C7311F3"/>
    <w:rsid w:val="6C787517"/>
    <w:rsid w:val="6CBB6F2A"/>
    <w:rsid w:val="6CBC081A"/>
    <w:rsid w:val="6CD02860"/>
    <w:rsid w:val="6CE824D1"/>
    <w:rsid w:val="6D2E412A"/>
    <w:rsid w:val="6D5B082B"/>
    <w:rsid w:val="6D8F27FB"/>
    <w:rsid w:val="6DC320E8"/>
    <w:rsid w:val="6DE07122"/>
    <w:rsid w:val="6E190DC1"/>
    <w:rsid w:val="6E1B45FE"/>
    <w:rsid w:val="6E3D2E95"/>
    <w:rsid w:val="6E495485"/>
    <w:rsid w:val="6E7E535C"/>
    <w:rsid w:val="6E933D5C"/>
    <w:rsid w:val="6EBF1E76"/>
    <w:rsid w:val="6F143527"/>
    <w:rsid w:val="6F35524C"/>
    <w:rsid w:val="6F4249BC"/>
    <w:rsid w:val="6F4B5155"/>
    <w:rsid w:val="6F5C0A2B"/>
    <w:rsid w:val="6F666878"/>
    <w:rsid w:val="6F923418"/>
    <w:rsid w:val="6F95071A"/>
    <w:rsid w:val="6FAE2909"/>
    <w:rsid w:val="6FE0266F"/>
    <w:rsid w:val="70075954"/>
    <w:rsid w:val="70157E8E"/>
    <w:rsid w:val="70223A22"/>
    <w:rsid w:val="70337CAA"/>
    <w:rsid w:val="70470E71"/>
    <w:rsid w:val="704C3DC9"/>
    <w:rsid w:val="70714D0A"/>
    <w:rsid w:val="707F2C23"/>
    <w:rsid w:val="709A3F00"/>
    <w:rsid w:val="70FE36DC"/>
    <w:rsid w:val="715B75FC"/>
    <w:rsid w:val="7195188A"/>
    <w:rsid w:val="71CF5972"/>
    <w:rsid w:val="71FC1D41"/>
    <w:rsid w:val="725F0D4F"/>
    <w:rsid w:val="73491BB0"/>
    <w:rsid w:val="73774146"/>
    <w:rsid w:val="73AF2AF6"/>
    <w:rsid w:val="73C2382E"/>
    <w:rsid w:val="74185868"/>
    <w:rsid w:val="74404DBF"/>
    <w:rsid w:val="744A79EB"/>
    <w:rsid w:val="74600FBD"/>
    <w:rsid w:val="7473634F"/>
    <w:rsid w:val="74A85D11"/>
    <w:rsid w:val="74CA5664"/>
    <w:rsid w:val="74D02446"/>
    <w:rsid w:val="74F028D2"/>
    <w:rsid w:val="75376B03"/>
    <w:rsid w:val="755E7430"/>
    <w:rsid w:val="75B50E95"/>
    <w:rsid w:val="75D1061E"/>
    <w:rsid w:val="76197675"/>
    <w:rsid w:val="76766876"/>
    <w:rsid w:val="76876CD5"/>
    <w:rsid w:val="76E23F0B"/>
    <w:rsid w:val="76E46FA8"/>
    <w:rsid w:val="772C50B2"/>
    <w:rsid w:val="773F1043"/>
    <w:rsid w:val="77521091"/>
    <w:rsid w:val="776609F7"/>
    <w:rsid w:val="776B2153"/>
    <w:rsid w:val="77813AB0"/>
    <w:rsid w:val="77EF4C97"/>
    <w:rsid w:val="788C2381"/>
    <w:rsid w:val="78930EC1"/>
    <w:rsid w:val="78A559BB"/>
    <w:rsid w:val="78C44F7C"/>
    <w:rsid w:val="78E7331B"/>
    <w:rsid w:val="78ED6C6A"/>
    <w:rsid w:val="790C238F"/>
    <w:rsid w:val="79353A56"/>
    <w:rsid w:val="794C66AF"/>
    <w:rsid w:val="79607369"/>
    <w:rsid w:val="79B64568"/>
    <w:rsid w:val="79CD0EA3"/>
    <w:rsid w:val="79D6734C"/>
    <w:rsid w:val="79DC2E94"/>
    <w:rsid w:val="79FB16FB"/>
    <w:rsid w:val="7A036672"/>
    <w:rsid w:val="7A0F7856"/>
    <w:rsid w:val="7A292182"/>
    <w:rsid w:val="7A3C3932"/>
    <w:rsid w:val="7A523156"/>
    <w:rsid w:val="7A923E9A"/>
    <w:rsid w:val="7A9814B1"/>
    <w:rsid w:val="7A9A3BF0"/>
    <w:rsid w:val="7AA716F4"/>
    <w:rsid w:val="7B1F2B23"/>
    <w:rsid w:val="7B7610C6"/>
    <w:rsid w:val="7BAB5214"/>
    <w:rsid w:val="7BBB101B"/>
    <w:rsid w:val="7BD56555"/>
    <w:rsid w:val="7C2B3C5E"/>
    <w:rsid w:val="7C2F7997"/>
    <w:rsid w:val="7C6D284E"/>
    <w:rsid w:val="7C7C7121"/>
    <w:rsid w:val="7C813BF3"/>
    <w:rsid w:val="7CDB7433"/>
    <w:rsid w:val="7CE3278B"/>
    <w:rsid w:val="7CE64E34"/>
    <w:rsid w:val="7CF93D5D"/>
    <w:rsid w:val="7CFA3D6A"/>
    <w:rsid w:val="7D1D43C4"/>
    <w:rsid w:val="7D4C6582"/>
    <w:rsid w:val="7D770A2C"/>
    <w:rsid w:val="7D79258E"/>
    <w:rsid w:val="7D8E2749"/>
    <w:rsid w:val="7D955719"/>
    <w:rsid w:val="7D9B3E01"/>
    <w:rsid w:val="7DAE4185"/>
    <w:rsid w:val="7DB14637"/>
    <w:rsid w:val="7E0927B4"/>
    <w:rsid w:val="7E1931AC"/>
    <w:rsid w:val="7E3B2620"/>
    <w:rsid w:val="7E521976"/>
    <w:rsid w:val="7E664271"/>
    <w:rsid w:val="7E7D055C"/>
    <w:rsid w:val="7E8F4141"/>
    <w:rsid w:val="7E913C0A"/>
    <w:rsid w:val="7EC51AFE"/>
    <w:rsid w:val="7ECF4B58"/>
    <w:rsid w:val="7EE437C1"/>
    <w:rsid w:val="7F0F1615"/>
    <w:rsid w:val="7F263D76"/>
    <w:rsid w:val="7F457F16"/>
    <w:rsid w:val="7F5F07EF"/>
    <w:rsid w:val="7F6000C3"/>
    <w:rsid w:val="7F86235A"/>
    <w:rsid w:val="7FBF128D"/>
    <w:rsid w:val="7FE41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2">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4">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5">
    <w:name w:val="heading 4"/>
    <w:basedOn w:val="1"/>
    <w:next w:val="1"/>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paragraph" w:styleId="6">
    <w:name w:val="heading 5"/>
    <w:basedOn w:val="1"/>
    <w:next w:val="1"/>
    <w:qFormat/>
    <w:uiPriority w:val="0"/>
    <w:pPr>
      <w:widowControl/>
      <w:numPr>
        <w:ilvl w:val="4"/>
        <w:numId w:val="1"/>
      </w:numPr>
      <w:spacing w:before="240" w:after="60"/>
      <w:jc w:val="left"/>
      <w:outlineLvl w:val="4"/>
    </w:pPr>
    <w:rPr>
      <w:rFonts w:ascii="华文宋体" w:hAnsi="华文宋体" w:eastAsia="华文宋体"/>
      <w:b/>
      <w:i/>
      <w:kern w:val="0"/>
      <w:sz w:val="26"/>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index 8"/>
    <w:basedOn w:val="1"/>
    <w:next w:val="1"/>
    <w:unhideWhenUsed/>
    <w:qFormat/>
    <w:uiPriority w:val="99"/>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2940" w:right="0" w:firstLine="0"/>
      <w:jc w:val="left"/>
      <w:outlineLvl w:val="9"/>
    </w:pPr>
    <w:rPr>
      <w:rFonts w:ascii="宋体" w:hAnsi="宋体" w:eastAsia="宋体" w:cs="宋体"/>
      <w:color w:val="000000"/>
      <w:spacing w:val="0"/>
      <w:w w:val="100"/>
      <w:kern w:val="0"/>
      <w:position w:val="0"/>
      <w:sz w:val="21"/>
      <w:szCs w:val="21"/>
      <w:u w:val="none" w:color="000000"/>
      <w:vertAlign w:val="baseline"/>
      <w:lang w:val="en-US"/>
    </w:rPr>
  </w:style>
  <w:style w:type="paragraph" w:styleId="8">
    <w:name w:val="annotation text"/>
    <w:basedOn w:val="1"/>
    <w:qFormat/>
    <w:uiPriority w:val="0"/>
    <w:pPr>
      <w:adjustRightInd w:val="0"/>
      <w:spacing w:line="360" w:lineRule="atLeast"/>
      <w:jc w:val="left"/>
      <w:textAlignment w:val="baseline"/>
    </w:pPr>
    <w:rPr>
      <w:kern w:val="0"/>
      <w:sz w:val="24"/>
      <w:szCs w:val="20"/>
    </w:rPr>
  </w:style>
  <w:style w:type="paragraph" w:styleId="9">
    <w:name w:val="Body Text 3"/>
    <w:basedOn w:val="1"/>
    <w:qFormat/>
    <w:uiPriority w:val="0"/>
    <w:rPr>
      <w:rFonts w:ascii="宋体" w:hAnsi="Calibri"/>
      <w:sz w:val="24"/>
      <w:szCs w:val="20"/>
    </w:rPr>
  </w:style>
  <w:style w:type="paragraph" w:styleId="10">
    <w:name w:val="Body Text"/>
    <w:basedOn w:val="1"/>
    <w:next w:val="1"/>
    <w:qFormat/>
    <w:uiPriority w:val="0"/>
    <w:rPr>
      <w:sz w:val="32"/>
      <w:szCs w:val="20"/>
    </w:rPr>
  </w:style>
  <w:style w:type="paragraph" w:styleId="11">
    <w:name w:val="toc 3"/>
    <w:basedOn w:val="1"/>
    <w:next w:val="1"/>
    <w:qFormat/>
    <w:uiPriority w:val="39"/>
    <w:pPr>
      <w:widowControl/>
      <w:tabs>
        <w:tab w:val="right" w:leader="dot" w:pos="8647"/>
      </w:tabs>
      <w:spacing w:line="560" w:lineRule="exact"/>
      <w:ind w:left="-210" w:leftChars="-100" w:right="63" w:rightChars="30" w:firstLine="209" w:firstLineChars="87"/>
    </w:pPr>
    <w:rPr>
      <w:rFonts w:ascii="宋体" w:hAnsi="宋体"/>
      <w:color w:val="000000"/>
      <w:sz w:val="24"/>
    </w:rPr>
  </w:style>
  <w:style w:type="paragraph" w:styleId="12">
    <w:name w:val="Plain Text"/>
    <w:basedOn w:val="1"/>
    <w:qFormat/>
    <w:uiPriority w:val="0"/>
    <w:rPr>
      <w:rFonts w:ascii="宋体" w:hAnsi="Courier New" w:eastAsia="华文宋体"/>
      <w:sz w:val="28"/>
      <w:szCs w:val="20"/>
    </w:rPr>
  </w:style>
  <w:style w:type="paragraph" w:styleId="13">
    <w:name w:val="Body Text Indent 2"/>
    <w:basedOn w:val="1"/>
    <w:qFormat/>
    <w:uiPriority w:val="0"/>
    <w:pPr>
      <w:ind w:left="360" w:firstLine="540"/>
    </w:pPr>
    <w:rPr>
      <w:rFonts w:ascii="宋体"/>
      <w:sz w:val="28"/>
      <w:szCs w:val="20"/>
    </w:rPr>
  </w:style>
  <w:style w:type="paragraph" w:styleId="14">
    <w:name w:val="footer"/>
    <w:basedOn w:val="1"/>
    <w:next w:val="15"/>
    <w:qFormat/>
    <w:uiPriority w:val="0"/>
    <w:pPr>
      <w:widowControl/>
      <w:tabs>
        <w:tab w:val="center" w:pos="4153"/>
        <w:tab w:val="right" w:pos="8306"/>
      </w:tabs>
      <w:snapToGrid w:val="0"/>
      <w:jc w:val="left"/>
    </w:pPr>
    <w:rPr>
      <w:kern w:val="0"/>
      <w:sz w:val="18"/>
      <w:szCs w:val="20"/>
    </w:rPr>
  </w:style>
  <w:style w:type="paragraph" w:customStyle="1" w:styleId="15">
    <w:name w:val="Level (I)fo"/>
    <w:basedOn w:val="1"/>
    <w:next w:val="1"/>
    <w:qFormat/>
    <w:uiPriority w:val="0"/>
    <w:pPr>
      <w:widowControl/>
      <w:autoSpaceDE/>
      <w:autoSpaceDN/>
      <w:spacing w:before="240" w:after="0" w:line="240" w:lineRule="auto"/>
      <w:ind w:left="3600" w:firstLine="0"/>
      <w:jc w:val="both"/>
    </w:pPr>
    <w:rPr>
      <w:rFonts w:ascii="Palatino" w:eastAsia="宋体"/>
      <w:sz w:val="22"/>
    </w:rPr>
  </w:style>
  <w:style w:type="paragraph" w:styleId="16">
    <w:name w:val="header"/>
    <w:basedOn w:val="1"/>
    <w:qFormat/>
    <w:uiPriority w:val="0"/>
    <w:pPr>
      <w:widowControl/>
      <w:tabs>
        <w:tab w:val="center" w:pos="4153"/>
        <w:tab w:val="right" w:pos="8306"/>
      </w:tabs>
      <w:snapToGrid w:val="0"/>
      <w:jc w:val="center"/>
    </w:pPr>
    <w:rPr>
      <w:kern w:val="0"/>
      <w:sz w:val="18"/>
      <w:szCs w:val="20"/>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character" w:styleId="21">
    <w:name w:val="Strong"/>
    <w:basedOn w:val="20"/>
    <w:qFormat/>
    <w:uiPriority w:val="0"/>
    <w:rPr>
      <w:b/>
      <w:bCs/>
    </w:rPr>
  </w:style>
  <w:style w:type="character" w:styleId="22">
    <w:name w:val="page number"/>
    <w:basedOn w:val="20"/>
    <w:qFormat/>
    <w:uiPriority w:val="0"/>
  </w:style>
  <w:style w:type="paragraph" w:customStyle="1" w:styleId="23">
    <w:name w:val="样式 首行缩进:  2 字符"/>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p0"/>
    <w:basedOn w:val="1"/>
    <w:qFormat/>
    <w:uiPriority w:val="0"/>
    <w:pPr>
      <w:widowControl/>
      <w:jc w:val="left"/>
    </w:pPr>
    <w:rPr>
      <w:kern w:val="0"/>
      <w:sz w:val="24"/>
    </w:rPr>
  </w:style>
  <w:style w:type="paragraph" w:customStyle="1" w:styleId="26">
    <w:name w:val="Table Paragraph"/>
    <w:basedOn w:val="1"/>
    <w:next w:val="27"/>
    <w:qFormat/>
    <w:uiPriority w:val="1"/>
    <w:pPr>
      <w:jc w:val="left"/>
    </w:pPr>
    <w:rPr>
      <w:rFonts w:ascii="Calibri" w:hAnsi="Calibri" w:eastAsia="宋体" w:cs="Times New Roman"/>
      <w:kern w:val="0"/>
      <w:sz w:val="22"/>
      <w:szCs w:val="22"/>
      <w:lang w:eastAsia="en-US"/>
    </w:rPr>
  </w:style>
  <w:style w:type="paragraph" w:customStyle="1" w:styleId="27">
    <w:name w:val="xl91"/>
    <w:basedOn w:val="1"/>
    <w:next w:val="28"/>
    <w:qFormat/>
    <w:uiPriority w:val="99"/>
    <w:pPr>
      <w:widowControl/>
      <w:spacing w:before="280" w:after="280"/>
      <w:jc w:val="center"/>
    </w:pPr>
    <w:rPr>
      <w:color w:val="FF0000"/>
      <w:sz w:val="24"/>
    </w:rPr>
  </w:style>
  <w:style w:type="paragraph" w:customStyle="1" w:styleId="28">
    <w:name w:val="目录 92"/>
    <w:basedOn w:val="1"/>
    <w:next w:val="1"/>
    <w:qFormat/>
    <w:uiPriority w:val="99"/>
    <w:pPr>
      <w:ind w:left="1680"/>
    </w:pPr>
  </w:style>
  <w:style w:type="paragraph" w:customStyle="1" w:styleId="29">
    <w:name w:val="样式 宋体 小四 行距: 1.5 倍行距"/>
    <w:basedOn w:val="1"/>
    <w:qFormat/>
    <w:uiPriority w:val="0"/>
    <w:rPr>
      <w:rFonts w:ascii="宋体" w:hAnsi="宋体" w:cs="宋体"/>
      <w:sz w:val="28"/>
    </w:rPr>
  </w:style>
  <w:style w:type="character" w:customStyle="1" w:styleId="30">
    <w:name w:val="font41"/>
    <w:basedOn w:val="20"/>
    <w:qFormat/>
    <w:uiPriority w:val="0"/>
    <w:rPr>
      <w:rFonts w:hint="default" w:ascii="Times New Roman" w:hAnsi="Times New Roman" w:cs="Times New Roman"/>
      <w:color w:val="000000"/>
      <w:sz w:val="21"/>
      <w:szCs w:val="21"/>
      <w:u w:val="none"/>
    </w:rPr>
  </w:style>
  <w:style w:type="character" w:customStyle="1" w:styleId="31">
    <w:name w:val="font31"/>
    <w:basedOn w:val="20"/>
    <w:qFormat/>
    <w:uiPriority w:val="0"/>
    <w:rPr>
      <w:rFonts w:hint="eastAsia" w:ascii="宋体" w:hAnsi="宋体" w:eastAsia="宋体" w:cs="宋体"/>
      <w:color w:val="000000"/>
      <w:sz w:val="21"/>
      <w:szCs w:val="21"/>
      <w:u w:val="none"/>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样式 宋体 行距: 1.5 倍行距"/>
    <w:basedOn w:val="1"/>
    <w:qFormat/>
    <w:uiPriority w:val="0"/>
    <w:pPr>
      <w:jc w:val="center"/>
    </w:pPr>
    <w:rPr>
      <w:rFonts w:ascii="Times New Roman" w:hAnsi="Times New Roman"/>
      <w:b/>
    </w:rPr>
  </w:style>
  <w:style w:type="character" w:customStyle="1" w:styleId="35">
    <w:name w:val="标题 3 Char Char"/>
    <w:qFormat/>
    <w:uiPriority w:val="0"/>
    <w:rPr>
      <w:rFonts w:ascii="Verdana" w:hAnsi="Verdana" w:eastAsia="宋体"/>
      <w:b/>
      <w:bCs/>
      <w:iCs/>
      <w:color w:val="000000"/>
      <w:kern w:val="2"/>
      <w:sz w:val="24"/>
      <w:szCs w:val="32"/>
      <w:lang w:val="en-US" w:eastAsia="zh-CN" w:bidi="ar-SA"/>
    </w:rPr>
  </w:style>
  <w:style w:type="paragraph" w:customStyle="1" w:styleId="36">
    <w:name w:val="标题 41"/>
    <w:basedOn w:val="1"/>
    <w:qFormat/>
    <w:uiPriority w:val="1"/>
    <w:pPr>
      <w:ind w:left="916" w:hanging="562"/>
      <w:outlineLvl w:val="4"/>
    </w:pPr>
    <w:rPr>
      <w:sz w:val="28"/>
      <w:szCs w:val="28"/>
    </w:rPr>
  </w:style>
  <w:style w:type="paragraph" w:styleId="37">
    <w:name w:val="List Paragraph"/>
    <w:basedOn w:val="1"/>
    <w:qFormat/>
    <w:uiPriority w:val="1"/>
    <w:pPr>
      <w:ind w:left="218"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45747</Words>
  <Characters>49010</Characters>
  <Lines>0</Lines>
  <Paragraphs>0</Paragraphs>
  <TotalTime>4</TotalTime>
  <ScaleCrop>false</ScaleCrop>
  <LinksUpToDate>false</LinksUpToDate>
  <CharactersWithSpaces>52592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2022-04-22T09:39:00Z</dcterms:created>
  <dc:creator>妙华</dc:creator>
  <cp:lastModifiedBy>回归线</cp:lastModifiedBy>
  <cp:lastPrinted>2023-03-07T06:43:00Z</cp:lastPrinted>
  <dcterms:modified xsi:type="dcterms:W3CDTF">2023-06-07T09:36:16Z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8D52B8C284D44B91AF09492F59AC3C5B_13</vt:lpwstr>
  </property>
  <property fmtid="{D5CDD505-2E9C-101B-9397-08002B2CF9AE}" pid="4" name="commondata">
    <vt:lpwstr>eyJoZGlkIjoiNTQwZDYwMTNhMDI1NDVhMTQ0ZGE0MGQ1NjNlMjBlZTMifQ==</vt:lpwstr>
  </property>
</Properties>
</file>