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陆丰市乌坎河流域河道综合整治(二期)工程</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陆丰市乌坎河流域河道综合整治(二期)工程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申请上级补助及地方政府专项债券资金，不足部分由市财政配</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陆丰市乌坎河流域河道综合整治(二期)工程勘测设计。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strike w:val="0"/>
          <w:dstrike w:val="0"/>
          <w:color w:val="auto"/>
          <w:sz w:val="21"/>
          <w:szCs w:val="21"/>
          <w:highlight w:val="none"/>
          <w:lang w:val="en-US" w:eastAsia="zh-CN"/>
        </w:rPr>
        <w:t>工程估算批复</w:t>
      </w:r>
      <w:r>
        <w:rPr>
          <w:rFonts w:hint="eastAsia" w:ascii="宋体" w:hAnsi="宋体"/>
          <w:color w:val="auto"/>
          <w:sz w:val="21"/>
          <w:szCs w:val="21"/>
          <w:highlight w:val="none"/>
          <w:lang w:eastAsia="zh-CN"/>
        </w:rPr>
        <w:t>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66272.32万元，其中建安费53477.14万元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1114.35万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限价：532.27万元，</w:t>
      </w:r>
      <w:r>
        <w:rPr>
          <w:rFonts w:hint="eastAsia" w:ascii="宋体" w:hAnsi="宋体"/>
          <w:iCs/>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限价：582.08万元。</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及主要内容</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项目整治范围由乌坎河段、东河段和运河段三个部分组成，总长 7.416km。其中乌坎河段起自乌坎水闸，终于乌坎大桥，全长2.144km；东河段起自东河与运河交叉口，终于乌坎大桥，全长 4.186km；运河段起自永泰路，终于东河与运河交叉口，全长 1.086km。项目主要建设内容:1. 堤防工程，堤防加高培厚工程11.82km；2. 疏浚工程，清淤疏浚河道 7.427km；3.穿堤涵闸，共新(拆)建涵闸 17 座，其中，单孔 1.5× 2.0(m，宽度×高度) 5 座，双孔 1.5× 2.0(m，宽度×高度) 7座，三孔 2.5× 2.5(m，宽度×高度) 3座，四孔2.5× 2.0(m，宽度×高度)2座；4. 乌坎河、东河段堤防堤顶道路采用沥青混凝土结构，道路总长 9.637km，配套绿化及景观工程、生态水环境检测等</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包括但不限于岩土工程勘察、工程测量、初步设计、招标设计、施工图设计及概预算编制，工程施工期间</w:t>
      </w:r>
      <w:r>
        <w:rPr>
          <w:rFonts w:hint="eastAsia" w:ascii="宋体" w:hAnsi="宋体"/>
          <w:color w:val="auto"/>
          <w:sz w:val="21"/>
          <w:szCs w:val="21"/>
          <w:highlight w:val="none"/>
          <w:lang w:val="en-US" w:eastAsia="zh-CN"/>
        </w:rPr>
        <w:t>勘察、</w:t>
      </w:r>
      <w:r>
        <w:rPr>
          <w:rFonts w:hint="eastAsia" w:ascii="宋体" w:hAnsi="宋体"/>
          <w:color w:val="auto"/>
          <w:sz w:val="21"/>
          <w:szCs w:val="21"/>
          <w:highlight w:val="none"/>
          <w:lang w:eastAsia="zh-CN"/>
        </w:rPr>
        <w:t>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w:t>
      </w:r>
      <w:r>
        <w:rPr>
          <w:rFonts w:hint="eastAsia" w:ascii="宋体" w:hAnsi="宋体"/>
          <w:color w:val="auto"/>
          <w:szCs w:val="21"/>
          <w:highlight w:val="none"/>
          <w:lang w:val="en-US" w:eastAsia="zh-CN"/>
        </w:rPr>
        <w:t>9</w:t>
      </w:r>
      <w:r>
        <w:rPr>
          <w:rFonts w:hint="eastAsia" w:ascii="宋体" w:hAnsi="宋体"/>
          <w:color w:val="auto"/>
          <w:szCs w:val="21"/>
          <w:highlight w:val="none"/>
        </w:rPr>
        <w:t>0日历天内提交勘察成果报告、初步设计报告及图纸、工程概算书等报审稿；②审批部门完成初步设计报告及概算审批后</w:t>
      </w:r>
      <w:r>
        <w:rPr>
          <w:rFonts w:hint="eastAsia" w:ascii="宋体" w:hAnsi="宋体"/>
          <w:color w:val="auto"/>
          <w:szCs w:val="21"/>
          <w:highlight w:val="none"/>
          <w:lang w:val="en-US" w:eastAsia="zh-CN"/>
        </w:rPr>
        <w:t>3</w:t>
      </w:r>
      <w:r>
        <w:rPr>
          <w:rFonts w:hint="eastAsia" w:ascii="宋体" w:hAnsi="宋体"/>
          <w:color w:val="auto"/>
          <w:szCs w:val="21"/>
          <w:highlight w:val="none"/>
        </w:rPr>
        <w:t>0日历天内提交</w:t>
      </w:r>
      <w:r>
        <w:rPr>
          <w:rFonts w:hint="eastAsia" w:ascii="宋体" w:hAnsi="宋体"/>
          <w:color w:val="auto"/>
          <w:szCs w:val="21"/>
          <w:highlight w:val="none"/>
          <w:lang w:val="en-US" w:eastAsia="zh-CN"/>
        </w:rPr>
        <w:t>招标设计、</w:t>
      </w:r>
      <w:r>
        <w:rPr>
          <w:rFonts w:hint="eastAsia" w:ascii="宋体" w:hAnsi="宋体"/>
          <w:color w:val="auto"/>
          <w:szCs w:val="21"/>
          <w:highlight w:val="none"/>
        </w:rPr>
        <w:t>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（1）设计资质：须具备以下工程设计资质证书（具备以下①或②或③）：</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①工程设计综合甲级资质；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②</w:t>
      </w:r>
      <w:r>
        <w:rPr>
          <w:rFonts w:hint="eastAsia" w:ascii="宋体" w:hAnsi="宋体" w:cs="Times New Roman"/>
          <w:iCs/>
          <w:color w:val="auto"/>
          <w:sz w:val="21"/>
          <w:szCs w:val="21"/>
          <w:highlight w:val="none"/>
          <w:lang w:eastAsia="zh-CN"/>
        </w:rPr>
        <w:t>工程设计水利行业乙级和风景园林工程设计专项乙级（或以上）</w:t>
      </w:r>
      <w:r>
        <w:rPr>
          <w:rFonts w:hint="eastAsia" w:ascii="宋体" w:hAnsi="宋体" w:eastAsia="宋体" w:cs="Times New Roman"/>
          <w:i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③</w:t>
      </w:r>
      <w:r>
        <w:rPr>
          <w:rFonts w:hint="eastAsia" w:ascii="宋体" w:hAnsi="宋体" w:cs="Times New Roman"/>
          <w:iCs/>
          <w:color w:val="auto"/>
          <w:sz w:val="21"/>
          <w:szCs w:val="21"/>
          <w:highlight w:val="none"/>
          <w:lang w:eastAsia="zh-CN"/>
        </w:rPr>
        <w:t>工程设计水利行业（河道整治）专业乙级（或以上）和风景园林工程设计专项乙级（或以上）</w:t>
      </w:r>
      <w:r>
        <w:rPr>
          <w:rFonts w:hint="eastAsia" w:ascii="宋体" w:hAnsi="宋体" w:eastAsia="宋体" w:cs="Times New Roman"/>
          <w:i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（2）勘察资质：须具备以下工程勘察资质证书（具备以下①或②）：</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①工程勘察综合类甲级资质；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②工程勘察专业类（岩土工程(勘察)）乙级（或以上）和工程勘察专业类（工程测量）乙级（或以上）资质。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5"/>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r>
        <w:rPr>
          <w:rFonts w:hint="eastAsia" w:cs="Times New Roman"/>
          <w:iCs/>
          <w:color w:val="auto"/>
          <w:sz w:val="21"/>
          <w:szCs w:val="21"/>
          <w:highlight w:val="none"/>
          <w:lang w:val="en-US" w:eastAsia="zh-CN"/>
        </w:rPr>
        <w:t>，拟担任本项目的负责人为本企业信息登记中的在册人员</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5"/>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cs="宋体"/>
          <w:iCs/>
          <w:color w:val="auto"/>
          <w:kern w:val="0"/>
          <w:sz w:val="21"/>
          <w:szCs w:val="21"/>
          <w:highlight w:val="none"/>
          <w:lang w:val="en-US" w:eastAsia="zh-CN" w:bidi="ar-SA"/>
        </w:rPr>
        <w:t>拟派项目负责人（兼设计负责人）具有水利相关行业高级工程师（或以上）职称证书或注册土木工程师（水利水电工程）资格证书，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pStyle w:val="5"/>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default" w:ascii="宋体" w:hAnsi="宋体" w:eastAsia="宋体" w:cs="宋体"/>
          <w:iCs/>
          <w:color w:val="auto"/>
          <w:kern w:val="0"/>
          <w:sz w:val="21"/>
          <w:szCs w:val="21"/>
          <w:highlight w:val="none"/>
          <w:lang w:val="en-US" w:eastAsia="zh-CN" w:bidi="ar-SA"/>
        </w:rPr>
      </w:pPr>
      <w:r>
        <w:rPr>
          <w:rFonts w:hint="eastAsia" w:cs="宋体"/>
          <w:iCs/>
          <w:color w:val="auto"/>
          <w:kern w:val="0"/>
          <w:sz w:val="21"/>
          <w:szCs w:val="21"/>
          <w:highlight w:val="none"/>
          <w:lang w:val="en-US" w:eastAsia="zh-CN" w:bidi="ar-SA"/>
        </w:rPr>
        <w:t>3.6、</w:t>
      </w:r>
      <w:bookmarkStart w:id="3" w:name="_GoBack"/>
      <w:r>
        <w:rPr>
          <w:rFonts w:hint="eastAsia" w:cs="宋体"/>
          <w:iCs/>
          <w:color w:val="auto"/>
          <w:kern w:val="0"/>
          <w:sz w:val="21"/>
          <w:szCs w:val="21"/>
          <w:highlight w:val="none"/>
          <w:lang w:val="en-US" w:eastAsia="zh-CN" w:bidi="ar-SA"/>
        </w:rPr>
        <w:t>拟派本项目勘察负责人应具有勘察类高级工程师（或以上）的职称证书或注册土木工程师（岩土）注册执业证书，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bookmarkEnd w:id="3"/>
      <w:r>
        <w:rPr>
          <w:rFonts w:hint="eastAsia" w:cs="宋体"/>
          <w:iCs/>
          <w:color w:val="auto"/>
          <w:kern w:val="0"/>
          <w:sz w:val="21"/>
          <w:szCs w:val="21"/>
          <w:highlight w:val="none"/>
          <w:lang w:val="en-US" w:eastAsia="zh-CN" w:bidi="ar-SA"/>
        </w:rPr>
        <w:t>。（如是联合体，应为具有勘察资质的成员一方）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招标文件于</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日发出，投标人自行登录广州公共资源交易中心(</w:t>
      </w: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HYPERLINK "http://ww.gzggzy.cn" </w:instrText>
      </w:r>
      <w:r>
        <w:rPr>
          <w:rFonts w:hint="eastAsia" w:ascii="宋体" w:hAnsi="宋体" w:cs="Times New Roman"/>
          <w:color w:val="auto"/>
          <w:sz w:val="21"/>
          <w:szCs w:val="21"/>
          <w:highlight w:val="none"/>
        </w:rPr>
        <w:fldChar w:fldCharType="separate"/>
      </w:r>
      <w:r>
        <w:rPr>
          <w:rFonts w:hint="eastAsia" w:ascii="宋体" w:hAnsi="宋体" w:cs="Times New Roman"/>
          <w:color w:val="auto"/>
          <w:sz w:val="21"/>
          <w:szCs w:val="21"/>
          <w:highlight w:val="none"/>
        </w:rPr>
        <w:t>http://ww</w:t>
      </w:r>
      <w:r>
        <w:rPr>
          <w:rFonts w:hint="eastAsia" w:ascii="宋体" w:hAnsi="宋体" w:cs="Times New Roman"/>
          <w:color w:val="auto"/>
          <w:sz w:val="21"/>
          <w:szCs w:val="21"/>
          <w:highlight w:val="none"/>
          <w:lang w:val="en-US" w:eastAsia="zh-CN"/>
        </w:rPr>
        <w:t>w</w:t>
      </w:r>
      <w:r>
        <w:rPr>
          <w:rFonts w:hint="eastAsia" w:ascii="宋体" w:hAnsi="宋体" w:cs="Times New Roman"/>
          <w:color w:val="auto"/>
          <w:sz w:val="21"/>
          <w:szCs w:val="21"/>
          <w:highlight w:val="none"/>
        </w:rPr>
        <w:t>.gzggzy.cn</w: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开标时间：</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时</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逾期</w:t>
      </w:r>
      <w:r>
        <w:rPr>
          <w:rFonts w:hint="eastAsia" w:ascii="宋体" w:hAnsi="宋体" w:cs="Times New Roman"/>
          <w:color w:val="auto"/>
          <w:sz w:val="21"/>
          <w:szCs w:val="21"/>
          <w:highlight w:val="none"/>
          <w:lang w:val="en-US" w:eastAsia="zh-CN"/>
        </w:rPr>
        <w:t>递交</w:t>
      </w:r>
      <w:r>
        <w:rPr>
          <w:rFonts w:hint="eastAsia" w:ascii="宋体" w:hAnsi="宋体" w:cs="Times New Roman"/>
          <w:color w:val="auto"/>
          <w:sz w:val="21"/>
          <w:szCs w:val="21"/>
          <w:highlight w:val="none"/>
        </w:rPr>
        <w:t>的或者未</w:t>
      </w:r>
      <w:r>
        <w:rPr>
          <w:rFonts w:hint="eastAsia" w:ascii="宋体" w:hAnsi="宋体" w:cs="Times New Roman"/>
          <w:color w:val="auto"/>
          <w:sz w:val="21"/>
          <w:szCs w:val="21"/>
          <w:highlight w:val="none"/>
          <w:lang w:val="en-US" w:eastAsia="zh-CN"/>
        </w:rPr>
        <w:t>按规定递交</w:t>
      </w:r>
      <w:r>
        <w:rPr>
          <w:rFonts w:hint="eastAsia" w:ascii="宋体" w:hAnsi="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投标人若对招标文件有疑问，在招标文件《投标人须知》规定时间内办理数字证书登陆广州公共资源交易中心</w:t>
      </w:r>
      <w:r>
        <w:rPr>
          <w:rFonts w:hint="eastAsia" w:ascii="宋体" w:hAnsi="宋体" w:cs="Times New Roman"/>
          <w:color w:val="auto"/>
          <w:sz w:val="21"/>
          <w:szCs w:val="21"/>
          <w:highlight w:val="none"/>
          <w:lang w:val="en-US" w:eastAsia="zh-CN"/>
        </w:rPr>
        <w:t>平台</w:t>
      </w:r>
      <w:r>
        <w:rPr>
          <w:rFonts w:hint="eastAsia" w:ascii="宋体" w:hAnsi="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未中标单位的经济补偿：</w:t>
      </w:r>
      <w:r>
        <w:rPr>
          <w:rFonts w:hint="eastAsia" w:ascii="宋体" w:hAnsi="宋体" w:cs="Times New Roman"/>
          <w:color w:val="auto"/>
          <w:sz w:val="21"/>
          <w:szCs w:val="21"/>
          <w:highlight w:val="none"/>
          <w:lang w:val="en-US" w:eastAsia="zh-CN"/>
        </w:rPr>
        <w:t>不补偿</w:t>
      </w:r>
      <w:r>
        <w:rPr>
          <w:rFonts w:hint="eastAsia" w:ascii="宋体" w:hAnsi="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lang w:val="en-US" w:eastAsia="zh-CN"/>
        </w:rPr>
        <w:t>、联系方式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标</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人：</w:t>
      </w:r>
      <w:r>
        <w:rPr>
          <w:rFonts w:hint="eastAsia" w:ascii="宋体" w:hAnsi="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 xml:space="preserve">地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址：</w:t>
      </w:r>
      <w:r>
        <w:rPr>
          <w:rFonts w:hint="eastAsia" w:ascii="宋体" w:hAnsi="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系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人：林</w:t>
      </w:r>
      <w:r>
        <w:rPr>
          <w:rFonts w:hint="eastAsia" w:ascii="宋体" w:hAnsi="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 xml:space="preserve">电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Times New Roman"/>
          <w:color w:val="auto"/>
          <w:sz w:val="21"/>
          <w:szCs w:val="21"/>
          <w:highlight w:val="none"/>
          <w:u w:val="none"/>
          <w:lang w:val="en-US" w:eastAsia="zh-CN"/>
        </w:rPr>
      </w:pPr>
    </w:p>
    <w:p>
      <w:pPr>
        <w:spacing w:line="360" w:lineRule="auto"/>
        <w:jc w:val="both"/>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招标代理机构：</w:t>
      </w:r>
      <w:r>
        <w:rPr>
          <w:rFonts w:hint="eastAsia" w:ascii="宋体" w:hAnsi="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   系   人：</w:t>
      </w:r>
      <w:r>
        <w:rPr>
          <w:rFonts w:hint="eastAsia" w:ascii="宋体" w:hAnsi="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电        话：</w:t>
      </w:r>
      <w:r>
        <w:rPr>
          <w:rFonts w:hint="eastAsia" w:ascii="宋体" w:hAnsi="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6"/>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3"/>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1B8117A1"/>
    <w:rsid w:val="1B8117A1"/>
    <w:rsid w:val="6F17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widowControl/>
      <w:tabs>
        <w:tab w:val="center" w:pos="4153"/>
        <w:tab w:val="right" w:pos="8306"/>
      </w:tabs>
      <w:snapToGrid w:val="0"/>
      <w:jc w:val="left"/>
    </w:pPr>
    <w:rPr>
      <w:kern w:val="0"/>
      <w:sz w:val="18"/>
      <w:szCs w:val="20"/>
    </w:rPr>
  </w:style>
  <w:style w:type="paragraph" w:customStyle="1" w:styleId="4">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2574</Words>
  <Characters>2820</Characters>
  <Lines>0</Lines>
  <Paragraphs>0</Paragraphs>
  <TotalTime>3</TotalTime>
  <ScaleCrop>false</ScaleCrop>
  <LinksUpToDate>false</LinksUpToDate>
  <CharactersWithSpaces>3225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2023-06-04T08:33:00Z</dcterms:created>
  <dc:creator>回归线</dc:creator>
  <cp:lastModifiedBy>回归线</cp:lastModifiedBy>
  <dcterms:modified xsi:type="dcterms:W3CDTF">2023-06-06T14:24:05Z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85DDE292C52A48738489A766D86DE33C_11</vt:lpwstr>
  </property>
</Properties>
</file>